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65"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-206375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8"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pacing w:after="0" w:line="243"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(Mark One)</w:t>
      </w:r>
    </w:p>
    <w:p>
      <w:pPr>
        <w:spacing w:after="0" w:line="52" w:lineRule="exact"/>
        <w:rPr>
          <w:sz w:val="24"/>
          <w:szCs w:val="24"/>
          <w:color w:val="auto"/>
        </w:rPr>
      </w:pPr>
    </w:p>
    <w:p>
      <w:pPr>
        <w:ind w:left="370" w:hanging="370"/>
        <w:spacing w:after="0"/>
        <w:tabs>
          <w:tab w:leader="none" w:pos="37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93"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March 31, 2026</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5" w:lineRule="exact"/>
        <w:rPr>
          <w:sz w:val="24"/>
          <w:szCs w:val="24"/>
          <w:color w:val="auto"/>
        </w:rPr>
      </w:pPr>
    </w:p>
    <w:p>
      <w:pPr>
        <w:ind w:left="370" w:hanging="370"/>
        <w:spacing w:after="0"/>
        <w:tabs>
          <w:tab w:leader="none" w:pos="37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rFonts w:ascii="MS PGothic" w:cs="MS PGothic" w:eastAsia="MS PGothic" w:hAnsi="MS PGothic"/>
          <w:sz w:val="16"/>
          <w:szCs w:val="16"/>
          <w:color w:val="auto"/>
          <w:highlight w:val="black"/>
        </w:rPr>
      </w:pPr>
    </w:p>
    <w:p>
      <w:pPr>
        <w:ind w:left="2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transition period from _______ to _______</w:t>
      </w:r>
    </w:p>
    <w:p>
      <w:pPr>
        <w:spacing w:after="0" w:line="59" w:lineRule="exact"/>
        <w:rPr>
          <w:rFonts w:ascii="MS PGothic" w:cs="MS PGothic" w:eastAsia="MS PGothic" w:hAnsi="MS PGothic"/>
          <w:sz w:val="16"/>
          <w:szCs w:val="16"/>
          <w:color w:val="auto"/>
          <w:highlight w:val="black"/>
        </w:rPr>
      </w:pPr>
    </w:p>
    <w:p>
      <w:pPr>
        <w:ind w:left="3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001-40498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87"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Century Therapeutics, Inc.</w:t>
      </w:r>
    </w:p>
    <w:p>
      <w:pPr>
        <w:spacing w:after="0" w:line="4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p>
      <w:pPr>
        <w:spacing w:after="0" w:line="111" w:lineRule="exact"/>
        <w:rPr>
          <w:sz w:val="24"/>
          <w:szCs w:val="24"/>
          <w:color w:val="auto"/>
        </w:rPr>
      </w:pPr>
    </w:p>
    <w:p>
      <w:pPr>
        <w:ind w:left="2150"/>
        <w:spacing w:after="0"/>
        <w:rPr>
          <w:sz w:val="20"/>
          <w:szCs w:val="20"/>
          <w:color w:val="auto"/>
        </w:rPr>
      </w:pPr>
      <w:r>
        <w:rPr>
          <w:rFonts w:ascii="Arial" w:cs="Arial" w:eastAsia="Arial" w:hAnsi="Arial"/>
          <w:sz w:val="16"/>
          <w:szCs w:val="16"/>
          <w:b w:val="1"/>
          <w:bCs w:val="1"/>
          <w:color w:val="auto"/>
        </w:rPr>
        <w:t>Delaware</w:t>
      </w:r>
    </w:p>
    <w:p>
      <w:pPr>
        <w:spacing w:after="0" w:line="21" w:lineRule="exact"/>
        <w:rPr>
          <w:sz w:val="24"/>
          <w:szCs w:val="24"/>
          <w:color w:val="auto"/>
        </w:rPr>
      </w:pPr>
    </w:p>
    <w:p>
      <w:pPr>
        <w:ind w:left="1410"/>
        <w:spacing w:after="0"/>
        <w:rPr>
          <w:sz w:val="20"/>
          <w:szCs w:val="20"/>
          <w:color w:val="auto"/>
        </w:rPr>
      </w:pPr>
      <w:r>
        <w:rPr>
          <w:rFonts w:ascii="Arial" w:cs="Arial" w:eastAsia="Arial" w:hAnsi="Arial"/>
          <w:sz w:val="16"/>
          <w:szCs w:val="16"/>
          <w:b w:val="1"/>
          <w:bCs w:val="1"/>
          <w:color w:val="auto"/>
        </w:rPr>
        <w:t>(State or other jurisdiction of</w:t>
      </w:r>
    </w:p>
    <w:p>
      <w:pPr>
        <w:spacing w:after="0" w:line="5" w:lineRule="exact"/>
        <w:rPr>
          <w:sz w:val="24"/>
          <w:szCs w:val="24"/>
          <w:color w:val="auto"/>
        </w:rPr>
      </w:pPr>
    </w:p>
    <w:p>
      <w:pPr>
        <w:ind w:left="135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84-2040295</w:t>
      </w:r>
    </w:p>
    <w:p>
      <w:pPr>
        <w:spacing w:after="0" w:line="21"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(I.R.S. Employer</w:t>
      </w:r>
    </w:p>
    <w:p>
      <w:pPr>
        <w:spacing w:after="0" w:line="5"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Identification No.)</w:t>
      </w:r>
    </w:p>
    <w:p>
      <w:pPr>
        <w:spacing w:after="0" w:line="23" w:lineRule="exact"/>
        <w:rPr>
          <w:sz w:val="24"/>
          <w:szCs w:val="24"/>
          <w:color w:val="auto"/>
        </w:rPr>
      </w:pPr>
    </w:p>
    <w:p>
      <w:pPr>
        <w:sectPr>
          <w:pgSz w:w="11900" w:h="16838" w:orient="portrait"/>
          <w:cols w:equalWidth="0" w:num="3">
            <w:col w:w="4390" w:space="720"/>
            <w:col w:w="1240" w:space="720"/>
            <w:col w:w="3160"/>
          </w:cols>
          <w:pgMar w:left="830" w:top="661" w:right="839" w:bottom="1440" w:gutter="0" w:footer="0" w:header="0"/>
          <w:type w:val="continuous"/>
        </w:sectPr>
      </w:pPr>
    </w:p>
    <w:p>
      <w:pPr>
        <w:ind w:left="1510"/>
        <w:spacing w:after="0"/>
        <w:rPr>
          <w:sz w:val="20"/>
          <w:szCs w:val="20"/>
          <w:color w:val="auto"/>
        </w:rPr>
      </w:pPr>
      <w:r>
        <w:rPr>
          <w:rFonts w:ascii="Arial" w:cs="Arial" w:eastAsia="Arial" w:hAnsi="Arial"/>
          <w:sz w:val="16"/>
          <w:szCs w:val="16"/>
          <w:b w:val="1"/>
          <w:bCs w:val="1"/>
          <w:color w:val="auto"/>
        </w:rPr>
        <w:t>25 N 38</w:t>
      </w:r>
      <w:r>
        <w:rPr>
          <w:rFonts w:ascii="Arial" w:cs="Arial" w:eastAsia="Arial" w:hAnsi="Arial"/>
          <w:sz w:val="12"/>
          <w:szCs w:val="12"/>
          <w:b w:val="1"/>
          <w:bCs w:val="1"/>
          <w:color w:val="auto"/>
        </w:rPr>
        <w:t>th</w:t>
      </w:r>
      <w:r>
        <w:rPr>
          <w:rFonts w:ascii="Arial" w:cs="Arial" w:eastAsia="Arial" w:hAnsi="Arial"/>
          <w:sz w:val="16"/>
          <w:szCs w:val="16"/>
          <w:b w:val="1"/>
          <w:bCs w:val="1"/>
          <w:color w:val="auto"/>
        </w:rPr>
        <w:t xml:space="preserve"> Street, 11</w:t>
      </w:r>
      <w:r>
        <w:rPr>
          <w:rFonts w:ascii="Arial" w:cs="Arial" w:eastAsia="Arial" w:hAnsi="Arial"/>
          <w:sz w:val="12"/>
          <w:szCs w:val="12"/>
          <w:b w:val="1"/>
          <w:bCs w:val="1"/>
          <w:color w:val="auto"/>
        </w:rPr>
        <w:t>th</w:t>
      </w:r>
      <w:r>
        <w:rPr>
          <w:rFonts w:ascii="Arial" w:cs="Arial" w:eastAsia="Arial" w:hAnsi="Arial"/>
          <w:sz w:val="16"/>
          <w:szCs w:val="16"/>
          <w:b w:val="1"/>
          <w:bCs w:val="1"/>
          <w:color w:val="auto"/>
        </w:rPr>
        <w:t xml:space="preserve"> Floor</w:t>
      </w:r>
    </w:p>
    <w:p>
      <w:pPr>
        <w:sectPr>
          <w:pgSz w:w="11900" w:h="16838" w:orient="portrait"/>
          <w:cols w:equalWidth="0" w:num="1">
            <w:col w:w="10230"/>
          </w:cols>
          <w:pgMar w:left="830" w:top="661" w:right="839" w:bottom="1440" w:gutter="0" w:footer="0" w:header="0"/>
          <w:type w:val="continuous"/>
        </w:sectPr>
      </w:pPr>
    </w:p>
    <w:p>
      <w:pPr>
        <w:jc w:val="center"/>
        <w:ind w:right="1590"/>
        <w:spacing w:after="0" w:line="230" w:lineRule="auto"/>
        <w:rPr>
          <w:sz w:val="20"/>
          <w:szCs w:val="20"/>
          <w:color w:val="auto"/>
        </w:rPr>
      </w:pPr>
      <w:r>
        <w:rPr>
          <w:rFonts w:ascii="Arial" w:cs="Arial" w:eastAsia="Arial" w:hAnsi="Arial"/>
          <w:sz w:val="16"/>
          <w:szCs w:val="16"/>
          <w:b w:val="1"/>
          <w:bCs w:val="1"/>
          <w:color w:val="auto"/>
        </w:rPr>
        <w:t>Philadelphia, Pennsylvania</w:t>
      </w:r>
    </w:p>
    <w:p>
      <w:pPr>
        <w:jc w:val="center"/>
        <w:ind w:right="159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80"/>
        <w:spacing w:after="0" w:line="230" w:lineRule="auto"/>
        <w:rPr>
          <w:sz w:val="20"/>
          <w:szCs w:val="20"/>
          <w:color w:val="auto"/>
        </w:rPr>
      </w:pPr>
      <w:r>
        <w:rPr>
          <w:rFonts w:ascii="Arial" w:cs="Arial" w:eastAsia="Arial" w:hAnsi="Arial"/>
          <w:sz w:val="16"/>
          <w:szCs w:val="16"/>
          <w:b w:val="1"/>
          <w:bCs w:val="1"/>
          <w:color w:val="auto"/>
        </w:rPr>
        <w:t>19104</w:t>
      </w:r>
    </w:p>
    <w:p>
      <w:pPr>
        <w:jc w:val="center"/>
        <w:ind w:right="2080"/>
        <w:spacing w:after="0"/>
        <w:rPr>
          <w:sz w:val="20"/>
          <w:szCs w:val="20"/>
          <w:color w:val="auto"/>
        </w:rPr>
      </w:pPr>
      <w:r>
        <w:rPr>
          <w:rFonts w:ascii="Arial" w:cs="Arial" w:eastAsia="Arial" w:hAnsi="Arial"/>
          <w:sz w:val="16"/>
          <w:szCs w:val="16"/>
          <w:b w:val="1"/>
          <w:bCs w:val="1"/>
          <w:color w:val="auto"/>
        </w:rPr>
        <w:t>(Zip Code)</w:t>
      </w:r>
    </w:p>
    <w:p>
      <w:pPr>
        <w:spacing w:after="0" w:line="57" w:lineRule="exact"/>
        <w:rPr>
          <w:sz w:val="24"/>
          <w:szCs w:val="24"/>
          <w:color w:val="auto"/>
        </w:rPr>
      </w:pPr>
    </w:p>
    <w:p>
      <w:pPr>
        <w:sectPr>
          <w:pgSz w:w="11900" w:h="16838" w:orient="portrait"/>
          <w:cols w:equalWidth="0" w:num="2">
            <w:col w:w="6630" w:space="720"/>
            <w:col w:w="2880"/>
          </w:cols>
          <w:pgMar w:left="830" w:top="661" w:right="839" w:bottom="1440" w:gutter="0" w:footer="0" w:header="0"/>
          <w:type w:val="continuous"/>
        </w:sectPr>
      </w:pPr>
    </w:p>
    <w:p>
      <w:pPr>
        <w:jc w:val="center"/>
        <w:ind w:right="-9"/>
        <w:spacing w:after="0"/>
        <w:rPr>
          <w:sz w:val="20"/>
          <w:szCs w:val="20"/>
          <w:color w:val="auto"/>
        </w:rPr>
      </w:pPr>
      <w:r>
        <w:rPr>
          <w:rFonts w:ascii="Arial" w:cs="Arial" w:eastAsia="Arial" w:hAnsi="Arial"/>
          <w:sz w:val="16"/>
          <w:szCs w:val="16"/>
          <w:b w:val="1"/>
          <w:bCs w:val="1"/>
          <w:color w:val="auto"/>
        </w:rPr>
        <w:t>(267) 817-5790</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Not applicable</w:t>
      </w:r>
    </w:p>
    <w:p>
      <w:pPr>
        <w:spacing w:after="0" w:line="4" w:lineRule="exact"/>
        <w:rPr>
          <w:sz w:val="24"/>
          <w:szCs w:val="24"/>
          <w:color w:val="auto"/>
        </w:rPr>
      </w:pPr>
    </w:p>
    <w:p>
      <w:pPr>
        <w:ind w:left="265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79"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8"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20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3500" w:type="dxa"/>
            <w:vAlign w:val="bottom"/>
          </w:tcPr>
          <w:p>
            <w:pPr>
              <w:jc w:val="center"/>
              <w:spacing w:after="0"/>
              <w:rPr>
                <w:sz w:val="20"/>
                <w:szCs w:val="20"/>
                <w:color w:val="auto"/>
              </w:rPr>
            </w:pPr>
            <w:r>
              <w:rPr>
                <w:rFonts w:ascii="Arial" w:cs="Arial" w:eastAsia="Arial" w:hAnsi="Arial"/>
                <w:sz w:val="13"/>
                <w:szCs w:val="13"/>
                <w:b w:val="1"/>
                <w:bCs w:val="1"/>
                <w:color w:val="auto"/>
                <w:w w:val="92"/>
              </w:rPr>
              <w:t>Trading</w:t>
            </w:r>
          </w:p>
        </w:tc>
        <w:tc>
          <w:tcPr>
            <w:tcW w:w="338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r>
      <w:tr>
        <w:trPr>
          <w:trHeight w:val="153"/>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00" w:type="dxa"/>
            <w:vAlign w:val="bottom"/>
          </w:tcPr>
          <w:p>
            <w:pPr>
              <w:spacing w:after="0"/>
              <w:rPr>
                <w:sz w:val="13"/>
                <w:szCs w:val="13"/>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200" w:type="dxa"/>
            <w:vAlign w:val="bottom"/>
          </w:tcPr>
          <w:p>
            <w:pPr>
              <w:spacing w:after="0"/>
              <w:rPr>
                <w:sz w:val="13"/>
                <w:szCs w:val="13"/>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68"/>
        </w:trPr>
        <w:tc>
          <w:tcPr>
            <w:tcW w:w="3340" w:type="dxa"/>
            <w:vAlign w:val="bottom"/>
            <w:gridSpan w:val="2"/>
          </w:tcPr>
          <w:p>
            <w:pPr>
              <w:jc w:val="center"/>
              <w:ind w:right="157"/>
              <w:spacing w:after="0"/>
              <w:rPr>
                <w:sz w:val="20"/>
                <w:szCs w:val="20"/>
                <w:color w:val="auto"/>
              </w:rPr>
            </w:pPr>
            <w:r>
              <w:rPr>
                <w:rFonts w:ascii="Arial" w:cs="Arial" w:eastAsia="Arial" w:hAnsi="Arial"/>
                <w:sz w:val="13"/>
                <w:szCs w:val="13"/>
                <w:color w:val="auto"/>
                <w:w w:val="97"/>
              </w:rPr>
              <w:t>Common Stock, $0.0001 par value per share</w:t>
            </w:r>
          </w:p>
        </w:tc>
        <w:tc>
          <w:tcPr>
            <w:tcW w:w="3500" w:type="dxa"/>
            <w:vAlign w:val="bottom"/>
          </w:tcPr>
          <w:p>
            <w:pPr>
              <w:jc w:val="center"/>
              <w:spacing w:after="0"/>
              <w:rPr>
                <w:sz w:val="20"/>
                <w:szCs w:val="20"/>
                <w:color w:val="auto"/>
              </w:rPr>
            </w:pPr>
            <w:r>
              <w:rPr>
                <w:rFonts w:ascii="Arial" w:cs="Arial" w:eastAsia="Arial" w:hAnsi="Arial"/>
                <w:sz w:val="13"/>
                <w:szCs w:val="13"/>
                <w:color w:val="auto"/>
                <w:w w:val="92"/>
              </w:rPr>
              <w:t>IPSC</w:t>
            </w:r>
          </w:p>
        </w:tc>
        <w:tc>
          <w:tcPr>
            <w:tcW w:w="20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3"/>
                <w:szCs w:val="13"/>
                <w:color w:val="auto"/>
                <w:w w:val="96"/>
              </w:rPr>
              <w:t>The Nasdaq Capital Market</w:t>
            </w:r>
          </w:p>
        </w:tc>
      </w:tr>
    </w:tbl>
    <w:p>
      <w:pPr>
        <w:spacing w:after="0" w:line="81" w:lineRule="exact"/>
        <w:rPr>
          <w:sz w:val="24"/>
          <w:szCs w:val="24"/>
          <w:color w:val="auto"/>
        </w:rPr>
      </w:pPr>
    </w:p>
    <w:p>
      <w:pPr>
        <w:ind w:left="10" w:right="4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10" w:right="36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10" w:right="10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2940"/>
              <w:spacing w:after="0"/>
              <w:rPr>
                <w:sz w:val="20"/>
                <w:szCs w:val="20"/>
                <w:color w:val="auto"/>
              </w:rPr>
            </w:pPr>
            <w:r>
              <w:rPr>
                <w:rFonts w:ascii="Arial" w:cs="Arial" w:eastAsia="Arial" w:hAnsi="Arial"/>
                <w:sz w:val="16"/>
                <w:szCs w:val="16"/>
                <w:color w:val="auto"/>
              </w:rPr>
              <w:t>Accelerated filer</w:t>
            </w:r>
          </w:p>
        </w:tc>
        <w:tc>
          <w:tcPr>
            <w:tcW w:w="5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gridSpan w:val="2"/>
          </w:tcPr>
          <w:p>
            <w:pPr>
              <w:jc w:val="right"/>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272"/>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6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33" w:lineRule="exact"/>
        <w:rPr>
          <w:sz w:val="24"/>
          <w:szCs w:val="24"/>
          <w:color w:val="auto"/>
        </w:rPr>
      </w:pPr>
    </w:p>
    <w:p>
      <w:pPr>
        <w:ind w:left="10" w:right="30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0" w:right="1140"/>
        <w:spacing w:after="0" w:line="24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 2026 the registrant had 180,354,809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481330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35560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78740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260" w:type="dxa"/>
            <w:vAlign w:val="bottom"/>
            <w:gridSpan w:val="25"/>
            <w:vMerge w:val="restart"/>
          </w:tcPr>
          <w:p>
            <w:pPr>
              <w:spacing w:after="0"/>
              <w:rPr>
                <w:sz w:val="20"/>
                <w:szCs w:val="20"/>
                <w:color w:val="auto"/>
              </w:rPr>
            </w:pPr>
            <w:r>
              <w:rPr>
                <w:rFonts w:ascii="Arial" w:cs="Arial" w:eastAsia="Arial" w:hAnsi="Arial"/>
                <w:sz w:val="18"/>
                <w:szCs w:val="18"/>
                <w:b w:val="1"/>
                <w:bCs w:val="1"/>
                <w:color w:val="0000EE"/>
              </w:rPr>
              <w:t>PART I. FINANCIAL INFORMATION</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8260" w:type="dxa"/>
            <w:vAlign w:val="bottom"/>
            <w:gridSpan w:val="25"/>
            <w:vMerge w:val="continue"/>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1.</w:t>
            </w:r>
          </w:p>
        </w:tc>
        <w:tc>
          <w:tcPr>
            <w:tcW w:w="180" w:type="dxa"/>
            <w:vAlign w:val="bottom"/>
            <w:gridSpan w:val="2"/>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Arial" w:cs="Arial" w:eastAsia="Arial" w:hAnsi="Arial"/>
                <w:sz w:val="18"/>
                <w:szCs w:val="18"/>
                <w:color w:val="0000EE"/>
              </w:rPr>
              <w:t>Unaudited Consolidated Financial Statements: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Arial" w:cs="Arial" w:eastAsia="Arial" w:hAnsi="Arial"/>
                <w:sz w:val="18"/>
                <w:szCs w:val="18"/>
                <w:color w:val="0000EE"/>
              </w:rPr>
              <w:t>Consolidated Balance Sheets as of March 31, 2026 (unaudited) and December 31, 2025</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4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Consolidated Statements of Operations and Comprehensive Income (Loss) for the three</w:t>
            </w:r>
          </w:p>
        </w:tc>
        <w:tc>
          <w:tcPr>
            <w:tcW w:w="480" w:type="dxa"/>
            <w:vAlign w:val="bottom"/>
            <w:gridSpan w:val="4"/>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2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months ended March 31, 2026 and 2025 (unaudited)</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Arial" w:cs="Arial" w:eastAsia="Arial" w:hAnsi="Arial"/>
                <w:sz w:val="18"/>
                <w:szCs w:val="18"/>
                <w:color w:val="0000EE"/>
              </w:rPr>
              <w:t>Consolidated Statements of Changes in Stockholders’ Equity for the three months ended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2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9"/>
              </w:rPr>
              <w:t>March 31, 2026 and 2025 (unaudited)</w:t>
            </w:r>
          </w:p>
        </w:tc>
        <w:tc>
          <w:tcPr>
            <w:tcW w:w="404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Arial" w:cs="Arial" w:eastAsia="Arial" w:hAnsi="Arial"/>
                <w:sz w:val="18"/>
                <w:szCs w:val="18"/>
                <w:color w:val="0000EE"/>
              </w:rPr>
              <w:t>Consolidated Statements of Cash Flows for the three months ended March 31, 2026 and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6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2025 (unaudited)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9"/>
              </w:rPr>
              <w:t>Notes to Unaudited Consolidated Financial Statements</w:t>
            </w:r>
          </w:p>
        </w:tc>
        <w:tc>
          <w:tcPr>
            <w:tcW w:w="3140" w:type="dxa"/>
            <w:vAlign w:val="bottom"/>
            <w:gridSpan w:val="7"/>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2.</w:t>
            </w:r>
          </w:p>
        </w:tc>
        <w:tc>
          <w:tcPr>
            <w:tcW w:w="180" w:type="dxa"/>
            <w:vAlign w:val="bottom"/>
            <w:gridSpan w:val="2"/>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3.</w:t>
            </w:r>
          </w:p>
        </w:tc>
        <w:tc>
          <w:tcPr>
            <w:tcW w:w="180" w:type="dxa"/>
            <w:vAlign w:val="bottom"/>
            <w:gridSpan w:val="2"/>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4.</w:t>
            </w:r>
          </w:p>
        </w:tc>
        <w:tc>
          <w:tcPr>
            <w:tcW w:w="180" w:type="dxa"/>
            <w:vAlign w:val="bottom"/>
            <w:gridSpan w:val="2"/>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Arial" w:cs="Arial" w:eastAsia="Arial" w:hAnsi="Arial"/>
                <w:sz w:val="18"/>
                <w:szCs w:val="18"/>
                <w:color w:val="0000EE"/>
              </w:rPr>
              <w:t>Controls and Procedures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60" w:type="dxa"/>
            <w:vAlign w:val="bottom"/>
            <w:gridSpan w:val="25"/>
          </w:tcPr>
          <w:p>
            <w:pPr>
              <w:spacing w:after="0"/>
              <w:rPr>
                <w:sz w:val="20"/>
                <w:szCs w:val="20"/>
                <w:color w:val="auto"/>
              </w:rPr>
            </w:pPr>
            <w:r>
              <w:rPr>
                <w:rFonts w:ascii="Arial" w:cs="Arial" w:eastAsia="Arial" w:hAnsi="Arial"/>
                <w:sz w:val="18"/>
                <w:szCs w:val="18"/>
                <w:b w:val="1"/>
                <w:bCs w:val="1"/>
                <w:color w:val="0000EE"/>
              </w:rPr>
              <w:t>PART II. OTHER INFORMATION</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Arial" w:cs="Arial" w:eastAsia="Arial" w:hAnsi="Arial"/>
                <w:sz w:val="18"/>
                <w:szCs w:val="18"/>
                <w:color w:val="0000EE"/>
              </w:rPr>
              <w:t>Legal Proceedings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spacing w:after="0" w:line="196" w:lineRule="exact"/>
              <w:rPr>
                <w:sz w:val="20"/>
                <w:szCs w:val="20"/>
                <w:color w:val="auto"/>
              </w:rPr>
            </w:pPr>
            <w:r>
              <w:rPr>
                <w:rFonts w:ascii="Arial" w:cs="Arial" w:eastAsia="Arial" w:hAnsi="Arial"/>
                <w:sz w:val="18"/>
                <w:szCs w:val="18"/>
                <w:color w:val="0000EE"/>
                <w:w w:val="95"/>
              </w:rPr>
              <w:t>Item 1A.</w:t>
            </w:r>
          </w:p>
        </w:tc>
        <w:tc>
          <w:tcPr>
            <w:tcW w:w="6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Arial" w:cs="Arial" w:eastAsia="Arial" w:hAnsi="Arial"/>
                <w:sz w:val="18"/>
                <w:szCs w:val="18"/>
                <w:color w:val="0000EE"/>
              </w:rPr>
              <w:t>Risk Factors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vMerge w:val="restart"/>
          </w:tcPr>
          <w:p>
            <w:pPr>
              <w:spacing w:after="0"/>
              <w:rPr>
                <w:sz w:val="20"/>
                <w:szCs w:val="20"/>
                <w:color w:val="auto"/>
              </w:rPr>
            </w:pPr>
            <w:r>
              <w:rPr>
                <w:rFonts w:ascii="Arial" w:cs="Arial" w:eastAsia="Arial" w:hAnsi="Arial"/>
                <w:sz w:val="18"/>
                <w:szCs w:val="18"/>
                <w:color w:val="0000EE"/>
              </w:rPr>
              <w:t>Item 2.</w:t>
            </w:r>
          </w:p>
        </w:tc>
        <w:tc>
          <w:tcPr>
            <w:tcW w:w="60" w:type="dxa"/>
            <w:vAlign w:val="bottom"/>
            <w:vMerge w:val="restart"/>
          </w:tcPr>
          <w:p>
            <w:pPr>
              <w:spacing w:after="0"/>
              <w:rPr>
                <w:sz w:val="17"/>
                <w:szCs w:val="17"/>
                <w:color w:val="auto"/>
              </w:rPr>
            </w:pPr>
          </w:p>
        </w:tc>
        <w:tc>
          <w:tcPr>
            <w:tcW w:w="7140" w:type="dxa"/>
            <w:vAlign w:val="bottom"/>
            <w:tcBorders>
              <w:bottom w:val="single" w:sz="8" w:color="0000EE"/>
            </w:tcBorders>
            <w:gridSpan w:val="21"/>
          </w:tcPr>
          <w:p>
            <w:pPr>
              <w:spacing w:after="0" w:line="182" w:lineRule="exact"/>
              <w:rPr>
                <w:sz w:val="20"/>
                <w:szCs w:val="20"/>
                <w:color w:val="auto"/>
              </w:rPr>
            </w:pPr>
            <w:r>
              <w:rPr>
                <w:rFonts w:ascii="Arial" w:cs="Arial" w:eastAsia="Arial" w:hAnsi="Arial"/>
                <w:sz w:val="18"/>
                <w:szCs w:val="18"/>
                <w:color w:val="0000EE"/>
                <w:w w:val="99"/>
              </w:rPr>
              <w:t>Unregistered Sales of Equity Securities, Use of Proceeds, and Issuer Purchases of Equity</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680" w:type="dxa"/>
            <w:vAlign w:val="bottom"/>
            <w:gridSpan w:val="2"/>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7520" w:type="dxa"/>
            <w:vAlign w:val="bottom"/>
            <w:gridSpan w:val="22"/>
            <w:vMerge w:val="restart"/>
          </w:tcPr>
          <w:p>
            <w:pPr>
              <w:spacing w:after="0" w:line="182" w:lineRule="exact"/>
              <w:rPr>
                <w:sz w:val="20"/>
                <w:szCs w:val="20"/>
                <w:color w:val="auto"/>
              </w:rPr>
            </w:pPr>
            <w:r>
              <w:rPr>
                <w:rFonts w:ascii="Arial" w:cs="Arial" w:eastAsia="Arial" w:hAnsi="Arial"/>
                <w:sz w:val="18"/>
                <w:szCs w:val="18"/>
                <w:color w:val="0000EE"/>
              </w:rPr>
              <w:t>Securities</w:t>
            </w:r>
          </w:p>
        </w:tc>
        <w:tc>
          <w:tcPr>
            <w:tcW w:w="640" w:type="dxa"/>
            <w:vAlign w:val="bottom"/>
            <w:vMerge w:val="restart"/>
          </w:tcPr>
          <w:p>
            <w:pPr>
              <w:jc w:val="center"/>
              <w:spacing w:after="0" w:line="182" w:lineRule="exact"/>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88"/>
        </w:trPr>
        <w:tc>
          <w:tcPr>
            <w:tcW w:w="560" w:type="dxa"/>
            <w:vAlign w:val="bottom"/>
            <w:tcBorders>
              <w:top w:val="single" w:sz="8" w:color="0000EE"/>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520" w:type="dxa"/>
            <w:vAlign w:val="bottom"/>
            <w:gridSpan w:val="2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Arial" w:cs="Arial" w:eastAsia="Arial" w:hAnsi="Arial"/>
                <w:sz w:val="18"/>
                <w:szCs w:val="18"/>
                <w:color w:val="0000EE"/>
                <w:w w:val="94"/>
              </w:rPr>
              <w:t>Item 3.</w:t>
            </w:r>
          </w:p>
        </w:tc>
        <w:tc>
          <w:tcPr>
            <w:tcW w:w="18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960" w:type="dxa"/>
            <w:vAlign w:val="bottom"/>
            <w:gridSpan w:val="11"/>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line="20" w:lineRule="exact"/>
              <w:rPr>
                <w:sz w:val="1"/>
                <w:szCs w:val="1"/>
                <w:color w:val="auto"/>
              </w:rPr>
            </w:pPr>
          </w:p>
        </w:tc>
      </w:tr>
      <w:tr>
        <w:trPr>
          <w:trHeight w:val="196"/>
        </w:trPr>
        <w:tc>
          <w:tcPr>
            <w:tcW w:w="560" w:type="dxa"/>
            <w:vAlign w:val="bottom"/>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4960" w:type="dxa"/>
            <w:vAlign w:val="bottom"/>
            <w:gridSpan w:val="11"/>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4.</w:t>
            </w:r>
          </w:p>
        </w:tc>
        <w:tc>
          <w:tcPr>
            <w:tcW w:w="180" w:type="dxa"/>
            <w:vAlign w:val="bottom"/>
            <w:gridSpan w:val="2"/>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Arial" w:cs="Arial" w:eastAsia="Arial" w:hAnsi="Arial"/>
                <w:sz w:val="18"/>
                <w:szCs w:val="18"/>
                <w:color w:val="0000EE"/>
              </w:rPr>
              <w:t>Mine Safety Disclosures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580" w:type="dxa"/>
            <w:vAlign w:val="bottom"/>
            <w:gridSpan w:val="13"/>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5.</w:t>
            </w:r>
          </w:p>
        </w:tc>
        <w:tc>
          <w:tcPr>
            <w:tcW w:w="180" w:type="dxa"/>
            <w:vAlign w:val="bottom"/>
            <w:gridSpan w:val="2"/>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Arial" w:cs="Arial" w:eastAsia="Arial" w:hAnsi="Arial"/>
                <w:sz w:val="18"/>
                <w:szCs w:val="18"/>
                <w:color w:val="0000EE"/>
              </w:rPr>
              <w:t>Other Information</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120" w:type="dxa"/>
            <w:vAlign w:val="bottom"/>
            <w:gridSpan w:val="15"/>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6.</w:t>
            </w:r>
          </w:p>
        </w:tc>
        <w:tc>
          <w:tcPr>
            <w:tcW w:w="180" w:type="dxa"/>
            <w:vAlign w:val="bottom"/>
            <w:gridSpan w:val="2"/>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Arial" w:cs="Arial" w:eastAsia="Arial" w:hAnsi="Arial"/>
                <w:sz w:val="18"/>
                <w:szCs w:val="18"/>
                <w:color w:val="0000EE"/>
              </w:rPr>
              <w:t>Exhibits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80" w:type="dxa"/>
            <w:vAlign w:val="bottom"/>
            <w:gridSpan w:val="19"/>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44</w:t>
            </w:r>
          </w:p>
        </w:tc>
        <w:tc>
          <w:tcPr>
            <w:tcW w:w="0" w:type="dxa"/>
            <w:vAlign w:val="bottom"/>
          </w:tcPr>
          <w:p>
            <w:pPr>
              <w:spacing w:after="0" w:line="20" w:lineRule="exact"/>
              <w:rPr>
                <w:sz w:val="1"/>
                <w:szCs w:val="1"/>
                <w:color w:val="auto"/>
              </w:rPr>
            </w:pPr>
          </w:p>
        </w:tc>
      </w:tr>
      <w:tr>
        <w:trPr>
          <w:trHeight w:val="196"/>
        </w:trPr>
        <w:tc>
          <w:tcPr>
            <w:tcW w:w="8260" w:type="dxa"/>
            <w:vAlign w:val="bottom"/>
            <w:gridSpan w:val="25"/>
          </w:tcPr>
          <w:p>
            <w:pPr>
              <w:spacing w:after="0" w:line="196" w:lineRule="exact"/>
              <w:rPr>
                <w:sz w:val="20"/>
                <w:szCs w:val="20"/>
                <w:color w:val="auto"/>
              </w:rPr>
            </w:pPr>
            <w:r>
              <w:rPr>
                <w:rFonts w:ascii="Arial" w:cs="Arial" w:eastAsia="Arial" w:hAnsi="Arial"/>
                <w:sz w:val="18"/>
                <w:szCs w:val="18"/>
                <w:color w:val="0000EE"/>
              </w:rPr>
              <w:t>Signatures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This Quarterly Report on Form 10-Q and the documents incorporated by reference herein contain forward-looking statements that involve substantial risks and uncertainties. All statements, other than statements of historical facts, included in this Quarterly Report on Form 10-Q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83"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54" w:lineRule="exact"/>
        <w:rPr>
          <w:sz w:val="20"/>
          <w:szCs w:val="20"/>
          <w:color w:val="auto"/>
        </w:rPr>
      </w:pPr>
    </w:p>
    <w:p>
      <w:pPr>
        <w:ind w:left="720" w:right="1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54" w:lineRule="exact"/>
        <w:rPr>
          <w:rFonts w:ascii="Times New Roman" w:cs="Times New Roman" w:eastAsia="Times New Roman" w:hAnsi="Times New Roman"/>
          <w:sz w:val="18"/>
          <w:szCs w:val="18"/>
          <w:color w:val="auto"/>
        </w:rPr>
      </w:pPr>
    </w:p>
    <w:p>
      <w:pPr>
        <w:ind w:left="720" w:right="25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early preclinical and clinical nature of our business and our ability to successfully advance our current and future product candidates, through development activities, preclinical studies, and clinical trials;</w:t>
      </w:r>
    </w:p>
    <w:p>
      <w:pPr>
        <w:spacing w:after="0" w:line="170" w:lineRule="exact"/>
        <w:rPr>
          <w:rFonts w:ascii="Times New Roman" w:cs="Times New Roman" w:eastAsia="Times New Roman" w:hAnsi="Times New Roman"/>
          <w:sz w:val="18"/>
          <w:szCs w:val="18"/>
          <w:color w:val="auto"/>
        </w:rPr>
      </w:pPr>
    </w:p>
    <w:p>
      <w:pPr>
        <w:ind w:left="720" w:right="6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54"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54" w:lineRule="exact"/>
        <w:rPr>
          <w:rFonts w:ascii="Times New Roman" w:cs="Times New Roman" w:eastAsia="Times New Roman" w:hAnsi="Times New Roman"/>
          <w:sz w:val="18"/>
          <w:szCs w:val="18"/>
          <w:color w:val="auto"/>
        </w:rPr>
      </w:pPr>
    </w:p>
    <w:p>
      <w:pPr>
        <w:ind w:left="720" w:right="33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novelty of our approach to immuno-oncology and autoimmune treatments, utilizing iPSC-derived immune cells and islet cells, and the challenges we will face due to the novel nature of such technology;</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224" w:lineRule="exact"/>
        <w:rPr>
          <w:rFonts w:ascii="Times New Roman" w:cs="Times New Roman" w:eastAsia="Times New Roman" w:hAnsi="Times New Roman"/>
          <w:sz w:val="18"/>
          <w:szCs w:val="18"/>
          <w:color w:val="auto"/>
        </w:rPr>
      </w:pPr>
    </w:p>
    <w:p>
      <w:pPr>
        <w:ind w:left="720" w:right="2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progress, success, cost, and timing of our development activities, preclinical studies and clinical trials;</w:t>
      </w:r>
    </w:p>
    <w:p>
      <w:pPr>
        <w:spacing w:after="0" w:line="154" w:lineRule="exact"/>
        <w:rPr>
          <w:rFonts w:ascii="Times New Roman" w:cs="Times New Roman" w:eastAsia="Times New Roman" w:hAnsi="Times New Roman"/>
          <w:sz w:val="18"/>
          <w:szCs w:val="18"/>
          <w:color w:val="auto"/>
        </w:rPr>
      </w:pPr>
    </w:p>
    <w:p>
      <w:pPr>
        <w:ind w:left="720" w:right="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future investigational new drug (“IND”), applications and the likelihood of, and our ability to obtain and maintain, regulatory clearance of IND applications for our product candidates;</w:t>
      </w:r>
    </w:p>
    <w:p>
      <w:pPr>
        <w:spacing w:after="0" w:line="154"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154" w:lineRule="exact"/>
        <w:rPr>
          <w:rFonts w:ascii="Times New Roman" w:cs="Times New Roman" w:eastAsia="Times New Roman" w:hAnsi="Times New Roman"/>
          <w:sz w:val="18"/>
          <w:szCs w:val="18"/>
          <w:color w:val="auto"/>
        </w:rPr>
      </w:pPr>
    </w:p>
    <w:p>
      <w:pPr>
        <w:ind w:left="720" w:right="39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170" w:lineRule="exact"/>
        <w:rPr>
          <w:rFonts w:ascii="Times New Roman" w:cs="Times New Roman" w:eastAsia="Times New Roman" w:hAnsi="Times New Roman"/>
          <w:sz w:val="18"/>
          <w:szCs w:val="18"/>
          <w:color w:val="auto"/>
        </w:rPr>
      </w:pPr>
    </w:p>
    <w:p>
      <w:pPr>
        <w:ind w:left="720" w:right="137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 opinion and scrutiny of cell-based immuno-oncology and autoimmune therapies and its potential impact on public perception of our company and product candidates;</w:t>
      </w:r>
    </w:p>
    <w:p>
      <w:pPr>
        <w:spacing w:after="0" w:line="154"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54"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54" w:lineRule="exact"/>
        <w:rPr>
          <w:rFonts w:ascii="Times New Roman" w:cs="Times New Roman" w:eastAsia="Times New Roman" w:hAnsi="Times New Roman"/>
          <w:sz w:val="18"/>
          <w:szCs w:val="18"/>
          <w:color w:val="auto"/>
        </w:rPr>
      </w:pPr>
    </w:p>
    <w:p>
      <w:pPr>
        <w:ind w:left="720" w:right="4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224" w:lineRule="exact"/>
        <w:rPr>
          <w:rFonts w:ascii="Times New Roman" w:cs="Times New Roman" w:eastAsia="Times New Roman" w:hAnsi="Times New Roman"/>
          <w:sz w:val="18"/>
          <w:szCs w:val="18"/>
          <w:color w:val="auto"/>
        </w:rPr>
      </w:pPr>
    </w:p>
    <w:p>
      <w:pPr>
        <w:ind w:left="720" w:right="17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224" w:lineRule="exact"/>
        <w:rPr>
          <w:rFonts w:ascii="Times New Roman" w:cs="Times New Roman" w:eastAsia="Times New Roman" w:hAnsi="Times New Roman"/>
          <w:sz w:val="18"/>
          <w:szCs w:val="18"/>
          <w:color w:val="auto"/>
        </w:rPr>
      </w:pPr>
    </w:p>
    <w:p>
      <w:pPr>
        <w:ind w:left="720" w:right="17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volatility of capital markets and other macroeconomic factors, including due to inflationary pressures, banking instability, global health crises, geopolitical tensions or the outbreak of hostilities or war;</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 and</w:t>
      </w:r>
    </w:p>
    <w:p>
      <w:pPr>
        <w:spacing w:after="0" w:line="224" w:lineRule="exact"/>
        <w:rPr>
          <w:rFonts w:ascii="Times New Roman" w:cs="Times New Roman" w:eastAsia="Times New Roman" w:hAnsi="Times New Roman"/>
          <w:sz w:val="18"/>
          <w:szCs w:val="18"/>
          <w:color w:val="auto"/>
        </w:rPr>
      </w:pPr>
    </w:p>
    <w:p>
      <w:pPr>
        <w:ind w:left="720" w:right="1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described or incorporated by reference under the caption “Risk Factors” in this Quarterly Report on Form 10-Q.</w:t>
      </w:r>
    </w:p>
    <w:p>
      <w:pPr>
        <w:spacing w:after="0" w:line="15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set forth in Part II, Item 1A of this Quarterly Report on Form 10-Q, the section titled “Risk Factors” set forth in Part I, Item 1A of our Annual Report on Form 10-K for the year ended December 31, 2025 and the section titled “Risk Factors” set forth in Part II, Item 1A of our subsequent Quarterly Reports on Form 10-Q for a discussion of important factors that may cause our actual results to differ materially from those expressed or implied by our forward-looking statements.</w:t>
      </w:r>
    </w:p>
    <w:p>
      <w:pPr>
        <w:spacing w:after="0" w:line="15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6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intend the forward-looking statements contained in this Quarterly Report on Form 10-Q to be covered by the safe harbor provisions for forward-looking statements contained in Section 27A of the Securities Act of 1933, as amended (the “Securities Act”), and Section 21E of the Securities Exchange Act of 1934, as amended (the “Exchange Act”).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auto"/>
        </w:rPr>
        <w:t>PART I—FINANCIAL INFORMATION</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2"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CONSOLIDATED BALANCE SHEETS</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amounts)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color w:val="auto"/>
              </w:rPr>
              <w:t>March 31, 2026</w:t>
            </w: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December 31, 2025</w:t>
            </w:r>
          </w:p>
        </w:tc>
      </w:tr>
      <w:tr>
        <w:trPr>
          <w:trHeight w:val="171"/>
        </w:trPr>
        <w:tc>
          <w:tcPr>
            <w:tcW w:w="4880" w:type="dxa"/>
            <w:vAlign w:val="bottom"/>
          </w:tcPr>
          <w:p>
            <w:pPr>
              <w:ind w:left="468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1520" w:type="dxa"/>
            <w:vAlign w:val="bottom"/>
          </w:tcPr>
          <w:p>
            <w:pPr>
              <w:jc w:val="right"/>
              <w:ind w:right="436"/>
              <w:spacing w:after="0"/>
              <w:rPr>
                <w:sz w:val="20"/>
                <w:szCs w:val="20"/>
                <w:color w:val="auto"/>
              </w:rPr>
            </w:pPr>
            <w:r>
              <w:rPr>
                <w:rFonts w:ascii="Arial" w:cs="Arial" w:eastAsia="Arial" w:hAnsi="Arial"/>
                <w:sz w:val="14"/>
                <w:szCs w:val="14"/>
                <w:color w:val="auto"/>
              </w:rPr>
              <w:t>(unaudited)</w:t>
            </w:r>
          </w:p>
        </w:tc>
        <w:tc>
          <w:tcPr>
            <w:tcW w:w="440" w:type="dxa"/>
            <w:vAlign w:val="bottom"/>
            <w:gridSpan w:val="2"/>
          </w:tcPr>
          <w:p>
            <w:pPr>
              <w:jc w:val="right"/>
              <w:ind w:right="148"/>
              <w:spacing w:after="0"/>
              <w:rPr>
                <w:sz w:val="20"/>
                <w:szCs w:val="20"/>
                <w:color w:val="auto"/>
              </w:rPr>
            </w:pPr>
            <w:r>
              <w:rPr>
                <w:rFonts w:ascii="Arial" w:cs="Arial" w:eastAsia="Arial" w:hAnsi="Arial"/>
                <w:sz w:val="13"/>
                <w:szCs w:val="13"/>
                <w:b w:val="1"/>
                <w:bCs w:val="1"/>
                <w:color w:val="auto"/>
              </w:rPr>
              <w:t>​​​</w:t>
            </w: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8"/>
        </w:trPr>
        <w:tc>
          <w:tcPr>
            <w:tcW w:w="48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Assets</w:t>
            </w:r>
          </w:p>
        </w:tc>
        <w:tc>
          <w:tcPr>
            <w:tcW w:w="22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r>
      <w:tr>
        <w:trPr>
          <w:trHeight w:val="135"/>
        </w:trPr>
        <w:tc>
          <w:tcPr>
            <w:tcW w:w="4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4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assets</w:t>
            </w: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35"/>
        </w:trPr>
        <w:tc>
          <w:tcPr>
            <w:tcW w:w="4880" w:type="dxa"/>
            <w:vAlign w:val="bottom"/>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220" w:type="dxa"/>
            <w:vAlign w:val="bottom"/>
          </w:tcPr>
          <w:p>
            <w:pPr>
              <w:jc w:val="right"/>
              <w:ind w:right="77"/>
              <w:spacing w:after="0" w:line="135" w:lineRule="exact"/>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51,048</w:t>
            </w:r>
          </w:p>
        </w:tc>
        <w:tc>
          <w:tcPr>
            <w:tcW w:w="440" w:type="dxa"/>
            <w:vAlign w:val="bottom"/>
            <w:gridSpan w:val="2"/>
          </w:tcPr>
          <w:p>
            <w:pPr>
              <w:jc w:val="right"/>
              <w:ind w:right="48"/>
              <w:spacing w:after="0" w:line="135" w:lineRule="exact"/>
              <w:rPr>
                <w:sz w:val="20"/>
                <w:szCs w:val="20"/>
                <w:color w:val="auto"/>
              </w:rPr>
            </w:pPr>
            <w:r>
              <w:rPr>
                <w:rFonts w:ascii="Arial" w:cs="Arial" w:eastAsia="Arial" w:hAnsi="Arial"/>
                <w:sz w:val="13"/>
                <w:szCs w:val="13"/>
                <w:color w:val="auto"/>
              </w:rPr>
              <w:t>$</w:t>
            </w: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61,853</w:t>
            </w:r>
          </w:p>
        </w:tc>
        <w:tc>
          <w:tcPr>
            <w:tcW w:w="260" w:type="dxa"/>
            <w:vAlign w:val="bottom"/>
          </w:tcPr>
          <w:p>
            <w:pPr>
              <w:spacing w:after="0"/>
              <w:rPr>
                <w:sz w:val="11"/>
                <w:szCs w:val="11"/>
                <w:color w:val="auto"/>
              </w:rPr>
            </w:pPr>
          </w:p>
        </w:tc>
      </w:tr>
      <w:tr>
        <w:trPr>
          <w:trHeight w:val="135"/>
        </w:trPr>
        <w:tc>
          <w:tcPr>
            <w:tcW w:w="4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Short-term investments</w:t>
            </w: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83,755</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55,261</w:t>
            </w:r>
          </w:p>
        </w:tc>
        <w:tc>
          <w:tcPr>
            <w:tcW w:w="260" w:type="dxa"/>
            <w:vAlign w:val="bottom"/>
            <w:shd w:val="clear" w:color="auto" w:fill="CCEEFF"/>
          </w:tcPr>
          <w:p>
            <w:pPr>
              <w:spacing w:after="0"/>
              <w:rPr>
                <w:sz w:val="11"/>
                <w:szCs w:val="11"/>
                <w:color w:val="auto"/>
              </w:rPr>
            </w:pPr>
          </w:p>
        </w:tc>
      </w:tr>
      <w:tr>
        <w:trPr>
          <w:trHeight w:val="135"/>
        </w:trPr>
        <w:tc>
          <w:tcPr>
            <w:tcW w:w="488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2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4,236</w:t>
            </w:r>
          </w:p>
        </w:tc>
        <w:tc>
          <w:tcPr>
            <w:tcW w:w="2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3,655</w:t>
            </w:r>
          </w:p>
        </w:tc>
        <w:tc>
          <w:tcPr>
            <w:tcW w:w="260" w:type="dxa"/>
            <w:vAlign w:val="bottom"/>
            <w:tcBorders>
              <w:bottom w:val="single" w:sz="8" w:color="CCEEFF"/>
            </w:tcBorders>
          </w:tcPr>
          <w:p>
            <w:pPr>
              <w:spacing w:after="0"/>
              <w:rPr>
                <w:sz w:val="11"/>
                <w:szCs w:val="11"/>
                <w:color w:val="auto"/>
              </w:rPr>
            </w:pPr>
          </w:p>
        </w:tc>
      </w:tr>
      <w:tr>
        <w:trPr>
          <w:trHeight w:val="128"/>
        </w:trPr>
        <w:tc>
          <w:tcPr>
            <w:tcW w:w="4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assets</w:t>
            </w: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139,039</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120,769</w:t>
            </w:r>
          </w:p>
        </w:tc>
        <w:tc>
          <w:tcPr>
            <w:tcW w:w="260" w:type="dxa"/>
            <w:vAlign w:val="bottom"/>
            <w:shd w:val="clear" w:color="auto" w:fill="CCEEFF"/>
          </w:tcPr>
          <w:p>
            <w:pPr>
              <w:spacing w:after="0"/>
              <w:rPr>
                <w:sz w:val="11"/>
                <w:szCs w:val="11"/>
                <w:color w:val="auto"/>
              </w:rPr>
            </w:pPr>
          </w:p>
        </w:tc>
      </w:tr>
      <w:tr>
        <w:trPr>
          <w:trHeight w:val="135"/>
        </w:trPr>
        <w:tc>
          <w:tcPr>
            <w:tcW w:w="4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4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Property and equipment, net</w:t>
            </w: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47,606</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50,026</w:t>
            </w:r>
          </w:p>
        </w:tc>
        <w:tc>
          <w:tcPr>
            <w:tcW w:w="260" w:type="dxa"/>
            <w:vAlign w:val="bottom"/>
            <w:shd w:val="clear" w:color="auto" w:fill="CCEEFF"/>
          </w:tcPr>
          <w:p>
            <w:pPr>
              <w:spacing w:after="0"/>
              <w:rPr>
                <w:sz w:val="11"/>
                <w:szCs w:val="11"/>
                <w:color w:val="auto"/>
              </w:rPr>
            </w:pPr>
          </w:p>
        </w:tc>
      </w:tr>
      <w:tr>
        <w:trPr>
          <w:trHeight w:val="135"/>
        </w:trPr>
        <w:tc>
          <w:tcPr>
            <w:tcW w:w="4880" w:type="dxa"/>
            <w:vAlign w:val="bottom"/>
          </w:tcPr>
          <w:p>
            <w:pPr>
              <w:ind w:left="20"/>
              <w:spacing w:after="0" w:line="135" w:lineRule="exact"/>
              <w:rPr>
                <w:sz w:val="20"/>
                <w:szCs w:val="20"/>
                <w:color w:val="auto"/>
              </w:rPr>
            </w:pPr>
            <w:r>
              <w:rPr>
                <w:rFonts w:ascii="Arial" w:cs="Arial" w:eastAsia="Arial" w:hAnsi="Arial"/>
                <w:sz w:val="13"/>
                <w:szCs w:val="13"/>
                <w:color w:val="auto"/>
              </w:rPr>
              <w:t>Operating lease right-of-use assets</w:t>
            </w:r>
          </w:p>
        </w:tc>
        <w:tc>
          <w:tcPr>
            <w:tcW w:w="22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20,972</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16,139</w:t>
            </w:r>
          </w:p>
        </w:tc>
        <w:tc>
          <w:tcPr>
            <w:tcW w:w="260" w:type="dxa"/>
            <w:vAlign w:val="bottom"/>
          </w:tcPr>
          <w:p>
            <w:pPr>
              <w:spacing w:after="0"/>
              <w:rPr>
                <w:sz w:val="11"/>
                <w:szCs w:val="11"/>
                <w:color w:val="auto"/>
              </w:rPr>
            </w:pPr>
          </w:p>
        </w:tc>
      </w:tr>
      <w:tr>
        <w:trPr>
          <w:trHeight w:val="135"/>
        </w:trPr>
        <w:tc>
          <w:tcPr>
            <w:tcW w:w="4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Restricted cash</w:t>
            </w: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2,359</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2,359</w:t>
            </w:r>
          </w:p>
        </w:tc>
        <w:tc>
          <w:tcPr>
            <w:tcW w:w="260" w:type="dxa"/>
            <w:vAlign w:val="bottom"/>
            <w:shd w:val="clear" w:color="auto" w:fill="CCEEFF"/>
          </w:tcPr>
          <w:p>
            <w:pPr>
              <w:spacing w:after="0"/>
              <w:rPr>
                <w:sz w:val="11"/>
                <w:szCs w:val="11"/>
                <w:color w:val="auto"/>
              </w:rPr>
            </w:pPr>
          </w:p>
        </w:tc>
      </w:tr>
      <w:tr>
        <w:trPr>
          <w:trHeight w:val="135"/>
        </w:trPr>
        <w:tc>
          <w:tcPr>
            <w:tcW w:w="4880" w:type="dxa"/>
            <w:vAlign w:val="bottom"/>
          </w:tcPr>
          <w:p>
            <w:pPr>
              <w:ind w:left="20"/>
              <w:spacing w:after="0" w:line="135" w:lineRule="exact"/>
              <w:rPr>
                <w:sz w:val="20"/>
                <w:szCs w:val="20"/>
                <w:color w:val="auto"/>
              </w:rPr>
            </w:pPr>
            <w:r>
              <w:rPr>
                <w:rFonts w:ascii="Arial" w:cs="Arial" w:eastAsia="Arial" w:hAnsi="Arial"/>
                <w:sz w:val="13"/>
                <w:szCs w:val="13"/>
                <w:color w:val="auto"/>
              </w:rPr>
              <w:t>Long-term investments</w:t>
            </w:r>
          </w:p>
        </w:tc>
        <w:tc>
          <w:tcPr>
            <w:tcW w:w="22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82,169</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2"/>
          </w:tcPr>
          <w:p>
            <w:pPr>
              <w:jc w:val="right"/>
              <w:ind w:right="237"/>
              <w:spacing w:after="0" w:line="135" w:lineRule="exact"/>
              <w:rPr>
                <w:sz w:val="20"/>
                <w:szCs w:val="20"/>
                <w:color w:val="auto"/>
              </w:rPr>
            </w:pPr>
            <w:r>
              <w:rPr>
                <w:rFonts w:ascii="Arial" w:cs="Arial" w:eastAsia="Arial" w:hAnsi="Arial"/>
                <w:sz w:val="13"/>
                <w:szCs w:val="13"/>
                <w:color w:val="auto"/>
              </w:rPr>
              <w:t>—</w:t>
            </w:r>
          </w:p>
        </w:tc>
      </w:tr>
      <w:tr>
        <w:trPr>
          <w:trHeight w:val="135"/>
        </w:trPr>
        <w:tc>
          <w:tcPr>
            <w:tcW w:w="4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Intangible assets</w:t>
            </w: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34,200</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34,200</w:t>
            </w:r>
          </w:p>
        </w:tc>
        <w:tc>
          <w:tcPr>
            <w:tcW w:w="260" w:type="dxa"/>
            <w:vAlign w:val="bottom"/>
            <w:shd w:val="clear" w:color="auto" w:fill="CCEEFF"/>
          </w:tcPr>
          <w:p>
            <w:pPr>
              <w:spacing w:after="0"/>
              <w:rPr>
                <w:sz w:val="11"/>
                <w:szCs w:val="11"/>
                <w:color w:val="auto"/>
              </w:rPr>
            </w:pPr>
          </w:p>
        </w:tc>
      </w:tr>
      <w:tr>
        <w:trPr>
          <w:trHeight w:val="135"/>
        </w:trPr>
        <w:tc>
          <w:tcPr>
            <w:tcW w:w="488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Security deposits and non-current assets</w:t>
            </w:r>
          </w:p>
        </w:tc>
        <w:tc>
          <w:tcPr>
            <w:tcW w:w="2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208</w:t>
            </w:r>
          </w:p>
        </w:tc>
        <w:tc>
          <w:tcPr>
            <w:tcW w:w="2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211</w:t>
            </w:r>
          </w:p>
        </w:tc>
        <w:tc>
          <w:tcPr>
            <w:tcW w:w="260" w:type="dxa"/>
            <w:vAlign w:val="bottom"/>
            <w:tcBorders>
              <w:bottom w:val="single" w:sz="8" w:color="CCEEFF"/>
            </w:tcBorders>
          </w:tcPr>
          <w:p>
            <w:pPr>
              <w:spacing w:after="0"/>
              <w:rPr>
                <w:sz w:val="11"/>
                <w:szCs w:val="11"/>
                <w:color w:val="auto"/>
              </w:rPr>
            </w:pPr>
          </w:p>
        </w:tc>
      </w:tr>
      <w:tr>
        <w:trPr>
          <w:trHeight w:val="128"/>
        </w:trPr>
        <w:tc>
          <w:tcPr>
            <w:tcW w:w="488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assets</w:t>
            </w:r>
          </w:p>
        </w:tc>
        <w:tc>
          <w:tcPr>
            <w:tcW w:w="220" w:type="dxa"/>
            <w:vAlign w:val="bottom"/>
            <w:tcBorders>
              <w:bottom w:val="single" w:sz="8" w:color="auto"/>
            </w:tcBorders>
            <w:shd w:val="clear" w:color="auto" w:fill="CCEEFF"/>
          </w:tcPr>
          <w:p>
            <w:pPr>
              <w:jc w:val="right"/>
              <w:ind w:right="77"/>
              <w:spacing w:after="0" w:line="129" w:lineRule="exact"/>
              <w:rPr>
                <w:sz w:val="20"/>
                <w:szCs w:val="20"/>
                <w:color w:val="auto"/>
              </w:rPr>
            </w:pPr>
            <w:r>
              <w:rPr>
                <w:rFonts w:ascii="Arial" w:cs="Arial" w:eastAsia="Arial" w:hAnsi="Arial"/>
                <w:sz w:val="13"/>
                <w:szCs w:val="13"/>
                <w:b w:val="1"/>
                <w:bCs w:val="1"/>
                <w:color w:val="auto"/>
                <w:w w:val="82"/>
              </w:rPr>
              <w:t>$</w:t>
            </w:r>
          </w:p>
        </w:tc>
        <w:tc>
          <w:tcPr>
            <w:tcW w:w="1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326,553</w:t>
            </w:r>
          </w:p>
        </w:tc>
        <w:tc>
          <w:tcPr>
            <w:tcW w:w="2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1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223,704</w:t>
            </w:r>
          </w:p>
        </w:tc>
        <w:tc>
          <w:tcPr>
            <w:tcW w:w="260" w:type="dxa"/>
            <w:vAlign w:val="bottom"/>
            <w:tcBorders>
              <w:bottom w:val="single" w:sz="8" w:color="CCEEFF"/>
            </w:tcBorders>
            <w:shd w:val="clear" w:color="auto" w:fill="CCEEFF"/>
          </w:tcPr>
          <w:p>
            <w:pPr>
              <w:spacing w:after="0"/>
              <w:rPr>
                <w:sz w:val="11"/>
                <w:szCs w:val="11"/>
                <w:color w:val="auto"/>
              </w:rPr>
            </w:pPr>
          </w:p>
        </w:tc>
      </w:tr>
      <w:tr>
        <w:trPr>
          <w:trHeight w:val="20"/>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16"/>
        </w:trPr>
        <w:tc>
          <w:tcPr>
            <w:tcW w:w="4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35"/>
        </w:trPr>
        <w:tc>
          <w:tcPr>
            <w:tcW w:w="4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48"/>
              <w:spacing w:after="0" w:line="135" w:lineRule="exact"/>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r>
      <w:tr>
        <w:trPr>
          <w:trHeight w:val="135"/>
        </w:trPr>
        <w:tc>
          <w:tcPr>
            <w:tcW w:w="4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4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liabilities</w:t>
            </w: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r>
      <w:tr>
        <w:trPr>
          <w:trHeight w:val="135"/>
        </w:trPr>
        <w:tc>
          <w:tcPr>
            <w:tcW w:w="4880" w:type="dxa"/>
            <w:vAlign w:val="bottom"/>
          </w:tcPr>
          <w:p>
            <w:pPr>
              <w:ind w:left="120"/>
              <w:spacing w:after="0" w:line="135" w:lineRule="exact"/>
              <w:rPr>
                <w:sz w:val="20"/>
                <w:szCs w:val="20"/>
                <w:color w:val="auto"/>
              </w:rPr>
            </w:pPr>
            <w:r>
              <w:rPr>
                <w:rFonts w:ascii="Arial" w:cs="Arial" w:eastAsia="Arial" w:hAnsi="Arial"/>
                <w:sz w:val="13"/>
                <w:szCs w:val="13"/>
                <w:color w:val="auto"/>
              </w:rPr>
              <w:t>Accounts payable</w:t>
            </w:r>
          </w:p>
        </w:tc>
        <w:tc>
          <w:tcPr>
            <w:tcW w:w="220" w:type="dxa"/>
            <w:vAlign w:val="bottom"/>
          </w:tcPr>
          <w:p>
            <w:pPr>
              <w:jc w:val="right"/>
              <w:ind w:right="77"/>
              <w:spacing w:after="0" w:line="135" w:lineRule="exact"/>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3,150</w:t>
            </w:r>
          </w:p>
        </w:tc>
        <w:tc>
          <w:tcPr>
            <w:tcW w:w="440" w:type="dxa"/>
            <w:vAlign w:val="bottom"/>
            <w:gridSpan w:val="2"/>
          </w:tcPr>
          <w:p>
            <w:pPr>
              <w:jc w:val="right"/>
              <w:ind w:right="48"/>
              <w:spacing w:after="0" w:line="135" w:lineRule="exact"/>
              <w:rPr>
                <w:sz w:val="20"/>
                <w:szCs w:val="20"/>
                <w:color w:val="auto"/>
              </w:rPr>
            </w:pPr>
            <w:r>
              <w:rPr>
                <w:rFonts w:ascii="Arial" w:cs="Arial" w:eastAsia="Arial" w:hAnsi="Arial"/>
                <w:sz w:val="13"/>
                <w:szCs w:val="13"/>
                <w:color w:val="auto"/>
              </w:rPr>
              <w:t>$</w:t>
            </w: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4,773</w:t>
            </w:r>
          </w:p>
        </w:tc>
        <w:tc>
          <w:tcPr>
            <w:tcW w:w="260" w:type="dxa"/>
            <w:vAlign w:val="bottom"/>
          </w:tcPr>
          <w:p>
            <w:pPr>
              <w:spacing w:after="0"/>
              <w:rPr>
                <w:sz w:val="11"/>
                <w:szCs w:val="11"/>
                <w:color w:val="auto"/>
              </w:rPr>
            </w:pPr>
          </w:p>
        </w:tc>
      </w:tr>
      <w:tr>
        <w:trPr>
          <w:trHeight w:val="135"/>
        </w:trPr>
        <w:tc>
          <w:tcPr>
            <w:tcW w:w="4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Accrued expenses and other liabilities</w:t>
            </w: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8,477</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11,676</w:t>
            </w:r>
          </w:p>
        </w:tc>
        <w:tc>
          <w:tcPr>
            <w:tcW w:w="260" w:type="dxa"/>
            <w:vAlign w:val="bottom"/>
            <w:shd w:val="clear" w:color="auto" w:fill="CCEEFF"/>
          </w:tcPr>
          <w:p>
            <w:pPr>
              <w:spacing w:after="0"/>
              <w:rPr>
                <w:sz w:val="11"/>
                <w:szCs w:val="11"/>
                <w:color w:val="auto"/>
              </w:rPr>
            </w:pPr>
          </w:p>
        </w:tc>
      </w:tr>
      <w:tr>
        <w:trPr>
          <w:trHeight w:val="135"/>
        </w:trPr>
        <w:tc>
          <w:tcPr>
            <w:tcW w:w="4880" w:type="dxa"/>
            <w:vAlign w:val="bottom"/>
          </w:tcPr>
          <w:p>
            <w:pPr>
              <w:ind w:left="120"/>
              <w:spacing w:after="0" w:line="135" w:lineRule="exact"/>
              <w:rPr>
                <w:sz w:val="20"/>
                <w:szCs w:val="20"/>
                <w:color w:val="auto"/>
              </w:rPr>
            </w:pPr>
            <w:r>
              <w:rPr>
                <w:rFonts w:ascii="Arial" w:cs="Arial" w:eastAsia="Arial" w:hAnsi="Arial"/>
                <w:sz w:val="13"/>
                <w:szCs w:val="13"/>
                <w:color w:val="auto"/>
              </w:rPr>
              <w:t>Contingent consideration liability, short-term</w:t>
            </w:r>
          </w:p>
        </w:tc>
        <w:tc>
          <w:tcPr>
            <w:tcW w:w="22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1,939</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3,757</w:t>
            </w:r>
          </w:p>
        </w:tc>
        <w:tc>
          <w:tcPr>
            <w:tcW w:w="260" w:type="dxa"/>
            <w:vAlign w:val="bottom"/>
          </w:tcPr>
          <w:p>
            <w:pPr>
              <w:spacing w:after="0"/>
              <w:rPr>
                <w:sz w:val="11"/>
                <w:szCs w:val="11"/>
                <w:color w:val="auto"/>
              </w:rPr>
            </w:pPr>
          </w:p>
        </w:tc>
      </w:tr>
      <w:tr>
        <w:trPr>
          <w:trHeight w:val="135"/>
        </w:trPr>
        <w:tc>
          <w:tcPr>
            <w:tcW w:w="48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Deposit liability</w:t>
            </w:r>
          </w:p>
        </w:tc>
        <w:tc>
          <w:tcPr>
            <w:tcW w:w="220" w:type="dxa"/>
            <w:vAlign w:val="bottom"/>
            <w:tcBorders>
              <w:bottom w:val="single" w:sz="8" w:color="auto"/>
            </w:tcBorders>
            <w:shd w:val="clear" w:color="auto" w:fill="CCEEFF"/>
          </w:tcPr>
          <w:p>
            <w:pPr>
              <w:spacing w:after="0"/>
              <w:rPr>
                <w:sz w:val="11"/>
                <w:szCs w:val="11"/>
                <w:color w:val="auto"/>
              </w:rPr>
            </w:pPr>
          </w:p>
        </w:tc>
        <w:tc>
          <w:tcPr>
            <w:tcW w:w="1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260" w:type="dxa"/>
            <w:vAlign w:val="bottom"/>
            <w:shd w:val="clear" w:color="auto" w:fill="CCEEFF"/>
          </w:tcPr>
          <w:p>
            <w:pPr>
              <w:spacing w:after="0"/>
              <w:rPr>
                <w:sz w:val="11"/>
                <w:szCs w:val="11"/>
                <w:color w:val="auto"/>
              </w:rPr>
            </w:pPr>
          </w:p>
        </w:tc>
      </w:tr>
      <w:tr>
        <w:trPr>
          <w:trHeight w:val="129"/>
        </w:trPr>
        <w:tc>
          <w:tcPr>
            <w:tcW w:w="4880" w:type="dxa"/>
            <w:vAlign w:val="bottom"/>
          </w:tcPr>
          <w:p>
            <w:pPr>
              <w:ind w:left="20"/>
              <w:spacing w:after="0" w:line="129" w:lineRule="exact"/>
              <w:rPr>
                <w:sz w:val="20"/>
                <w:szCs w:val="20"/>
                <w:color w:val="auto"/>
              </w:rPr>
            </w:pPr>
            <w:r>
              <w:rPr>
                <w:rFonts w:ascii="Arial" w:cs="Arial" w:eastAsia="Arial" w:hAnsi="Arial"/>
                <w:sz w:val="13"/>
                <w:szCs w:val="13"/>
                <w:color w:val="auto"/>
              </w:rPr>
              <w:t>Total current liabilities</w:t>
            </w:r>
          </w:p>
        </w:tc>
        <w:tc>
          <w:tcPr>
            <w:tcW w:w="220" w:type="dxa"/>
            <w:vAlign w:val="bottom"/>
          </w:tcPr>
          <w:p>
            <w:pPr>
              <w:spacing w:after="0"/>
              <w:rPr>
                <w:sz w:val="11"/>
                <w:szCs w:val="11"/>
                <w:color w:val="auto"/>
              </w:rPr>
            </w:pPr>
          </w:p>
        </w:tc>
        <w:tc>
          <w:tcPr>
            <w:tcW w:w="15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13,566</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20,226</w:t>
            </w:r>
          </w:p>
        </w:tc>
        <w:tc>
          <w:tcPr>
            <w:tcW w:w="260" w:type="dxa"/>
            <w:vAlign w:val="bottom"/>
          </w:tcPr>
          <w:p>
            <w:pPr>
              <w:spacing w:after="0"/>
              <w:rPr>
                <w:sz w:val="11"/>
                <w:szCs w:val="11"/>
                <w:color w:val="auto"/>
              </w:rPr>
            </w:pPr>
          </w:p>
        </w:tc>
      </w:tr>
      <w:tr>
        <w:trPr>
          <w:trHeight w:val="135"/>
        </w:trPr>
        <w:tc>
          <w:tcPr>
            <w:tcW w:w="4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35"/>
        </w:trPr>
        <w:tc>
          <w:tcPr>
            <w:tcW w:w="4880" w:type="dxa"/>
            <w:vAlign w:val="bottom"/>
          </w:tcPr>
          <w:p>
            <w:pPr>
              <w:ind w:left="20"/>
              <w:spacing w:after="0" w:line="135" w:lineRule="exact"/>
              <w:rPr>
                <w:sz w:val="20"/>
                <w:szCs w:val="20"/>
                <w:color w:val="auto"/>
              </w:rPr>
            </w:pPr>
            <w:r>
              <w:rPr>
                <w:rFonts w:ascii="Arial" w:cs="Arial" w:eastAsia="Arial" w:hAnsi="Arial"/>
                <w:sz w:val="13"/>
                <w:szCs w:val="13"/>
                <w:color w:val="auto"/>
              </w:rPr>
              <w:t>Operating lease liability, long term</w:t>
            </w:r>
          </w:p>
        </w:tc>
        <w:tc>
          <w:tcPr>
            <w:tcW w:w="22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43,942</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40,241</w:t>
            </w:r>
          </w:p>
        </w:tc>
        <w:tc>
          <w:tcPr>
            <w:tcW w:w="260" w:type="dxa"/>
            <w:vAlign w:val="bottom"/>
          </w:tcPr>
          <w:p>
            <w:pPr>
              <w:spacing w:after="0"/>
              <w:rPr>
                <w:sz w:val="11"/>
                <w:szCs w:val="11"/>
                <w:color w:val="auto"/>
              </w:rPr>
            </w:pPr>
          </w:p>
        </w:tc>
      </w:tr>
      <w:tr>
        <w:trPr>
          <w:trHeight w:val="135"/>
        </w:trPr>
        <w:tc>
          <w:tcPr>
            <w:tcW w:w="4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Deferred tax liability</w:t>
            </w:r>
          </w:p>
        </w:tc>
        <w:tc>
          <w:tcPr>
            <w:tcW w:w="220" w:type="dxa"/>
            <w:vAlign w:val="bottom"/>
            <w:tcBorders>
              <w:bottom w:val="single" w:sz="8" w:color="auto"/>
            </w:tcBorders>
            <w:shd w:val="clear" w:color="auto" w:fill="CCEEFF"/>
          </w:tcPr>
          <w:p>
            <w:pPr>
              <w:spacing w:after="0"/>
              <w:rPr>
                <w:sz w:val="11"/>
                <w:szCs w:val="11"/>
                <w:color w:val="auto"/>
              </w:rPr>
            </w:pPr>
          </w:p>
        </w:tc>
        <w:tc>
          <w:tcPr>
            <w:tcW w:w="1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4,301</w:t>
            </w:r>
          </w:p>
        </w:tc>
        <w:tc>
          <w:tcPr>
            <w:tcW w:w="2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4,301</w:t>
            </w:r>
          </w:p>
        </w:tc>
        <w:tc>
          <w:tcPr>
            <w:tcW w:w="260" w:type="dxa"/>
            <w:vAlign w:val="bottom"/>
            <w:shd w:val="clear" w:color="auto" w:fill="CCEEFF"/>
          </w:tcPr>
          <w:p>
            <w:pPr>
              <w:spacing w:after="0"/>
              <w:rPr>
                <w:sz w:val="11"/>
                <w:szCs w:val="11"/>
                <w:color w:val="auto"/>
              </w:rPr>
            </w:pPr>
          </w:p>
        </w:tc>
      </w:tr>
      <w:tr>
        <w:trPr>
          <w:trHeight w:val="129"/>
        </w:trPr>
        <w:tc>
          <w:tcPr>
            <w:tcW w:w="488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liabilities</w:t>
            </w:r>
          </w:p>
        </w:tc>
        <w:tc>
          <w:tcPr>
            <w:tcW w:w="2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61,809</w:t>
            </w:r>
          </w:p>
        </w:tc>
        <w:tc>
          <w:tcPr>
            <w:tcW w:w="2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64,768</w:t>
            </w:r>
          </w:p>
        </w:tc>
        <w:tc>
          <w:tcPr>
            <w:tcW w:w="260" w:type="dxa"/>
            <w:vAlign w:val="bottom"/>
            <w:tcBorders>
              <w:bottom w:val="single" w:sz="8" w:color="CCEEFF"/>
            </w:tcBorders>
          </w:tcPr>
          <w:p>
            <w:pPr>
              <w:spacing w:after="0"/>
              <w:rPr>
                <w:sz w:val="11"/>
                <w:szCs w:val="11"/>
                <w:color w:val="auto"/>
              </w:rPr>
            </w:pPr>
          </w:p>
        </w:tc>
      </w:tr>
      <w:tr>
        <w:trPr>
          <w:trHeight w:val="128"/>
        </w:trPr>
        <w:tc>
          <w:tcPr>
            <w:tcW w:w="4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17"/>
        </w:trPr>
        <w:tc>
          <w:tcPr>
            <w:tcW w:w="4880" w:type="dxa"/>
            <w:vAlign w:val="bottom"/>
          </w:tcPr>
          <w:p>
            <w:pPr>
              <w:ind w:left="20"/>
              <w:spacing w:after="0" w:line="117" w:lineRule="exact"/>
              <w:rPr>
                <w:sz w:val="20"/>
                <w:szCs w:val="20"/>
                <w:color w:val="auto"/>
              </w:rPr>
            </w:pPr>
            <w:r>
              <w:rPr>
                <w:rFonts w:ascii="Arial" w:cs="Arial" w:eastAsia="Arial" w:hAnsi="Arial"/>
                <w:sz w:val="13"/>
                <w:szCs w:val="13"/>
                <w:color w:val="auto"/>
              </w:rPr>
              <w:t>Common stock, $0.0001 par value, 300,000,000 shares authorized; 180,102,343</w:t>
            </w: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35"/>
        </w:trPr>
        <w:tc>
          <w:tcPr>
            <w:tcW w:w="4880" w:type="dxa"/>
            <w:vAlign w:val="bottom"/>
          </w:tcPr>
          <w:p>
            <w:pPr>
              <w:ind w:left="20"/>
              <w:spacing w:after="0" w:line="135" w:lineRule="exact"/>
              <w:rPr>
                <w:sz w:val="20"/>
                <w:szCs w:val="20"/>
                <w:color w:val="auto"/>
              </w:rPr>
            </w:pPr>
            <w:r>
              <w:rPr>
                <w:rFonts w:ascii="Arial" w:cs="Arial" w:eastAsia="Arial" w:hAnsi="Arial"/>
                <w:sz w:val="13"/>
                <w:szCs w:val="13"/>
                <w:color w:val="auto"/>
              </w:rPr>
              <w:t>and 87,519,096 shares issued and outstanding at March 31, 2026 and December</w:t>
            </w: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53"/>
        </w:trPr>
        <w:tc>
          <w:tcPr>
            <w:tcW w:w="4880" w:type="dxa"/>
            <w:vAlign w:val="bottom"/>
          </w:tcPr>
          <w:p>
            <w:pPr>
              <w:ind w:left="20"/>
              <w:spacing w:after="0"/>
              <w:rPr>
                <w:sz w:val="20"/>
                <w:szCs w:val="20"/>
                <w:color w:val="auto"/>
              </w:rPr>
            </w:pPr>
            <w:r>
              <w:rPr>
                <w:rFonts w:ascii="Arial" w:cs="Arial" w:eastAsia="Arial" w:hAnsi="Arial"/>
                <w:sz w:val="13"/>
                <w:szCs w:val="13"/>
                <w:color w:val="auto"/>
              </w:rPr>
              <w:t>31, 2025, respectively</w:t>
            </w:r>
          </w:p>
        </w:tc>
        <w:tc>
          <w:tcPr>
            <w:tcW w:w="2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18</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9</w:t>
            </w:r>
          </w:p>
        </w:tc>
        <w:tc>
          <w:tcPr>
            <w:tcW w:w="260" w:type="dxa"/>
            <w:vAlign w:val="bottom"/>
          </w:tcPr>
          <w:p>
            <w:pPr>
              <w:spacing w:after="0"/>
              <w:rPr>
                <w:sz w:val="13"/>
                <w:szCs w:val="13"/>
                <w:color w:val="auto"/>
              </w:rPr>
            </w:pPr>
          </w:p>
        </w:tc>
      </w:tr>
      <w:tr>
        <w:trPr>
          <w:trHeight w:val="135"/>
        </w:trPr>
        <w:tc>
          <w:tcPr>
            <w:tcW w:w="4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Additional paid-in capital</w:t>
            </w: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1,078,873</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950,814</w:t>
            </w:r>
          </w:p>
        </w:tc>
        <w:tc>
          <w:tcPr>
            <w:tcW w:w="260" w:type="dxa"/>
            <w:vAlign w:val="bottom"/>
            <w:shd w:val="clear" w:color="auto" w:fill="CCEEFF"/>
          </w:tcPr>
          <w:p>
            <w:pPr>
              <w:spacing w:after="0"/>
              <w:rPr>
                <w:sz w:val="11"/>
                <w:szCs w:val="11"/>
                <w:color w:val="auto"/>
              </w:rPr>
            </w:pPr>
          </w:p>
        </w:tc>
      </w:tr>
      <w:tr>
        <w:trPr>
          <w:trHeight w:val="135"/>
        </w:trPr>
        <w:tc>
          <w:tcPr>
            <w:tcW w:w="4880" w:type="dxa"/>
            <w:vAlign w:val="bottom"/>
          </w:tcPr>
          <w:p>
            <w:pPr>
              <w:ind w:left="20"/>
              <w:spacing w:after="0" w:line="135" w:lineRule="exact"/>
              <w:rPr>
                <w:sz w:val="20"/>
                <w:szCs w:val="20"/>
                <w:color w:val="auto"/>
              </w:rPr>
            </w:pPr>
            <w:r>
              <w:rPr>
                <w:rFonts w:ascii="Arial" w:cs="Arial" w:eastAsia="Arial" w:hAnsi="Arial"/>
                <w:sz w:val="13"/>
                <w:szCs w:val="13"/>
                <w:color w:val="auto"/>
              </w:rPr>
              <w:t>Accumulated deficit</w:t>
            </w:r>
          </w:p>
        </w:tc>
        <w:tc>
          <w:tcPr>
            <w:tcW w:w="22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(813,562)</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(791,917)</w:t>
            </w:r>
          </w:p>
        </w:tc>
      </w:tr>
      <w:tr>
        <w:trPr>
          <w:trHeight w:val="135"/>
        </w:trPr>
        <w:tc>
          <w:tcPr>
            <w:tcW w:w="4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Accumulated other comprehensive income</w:t>
            </w:r>
          </w:p>
        </w:tc>
        <w:tc>
          <w:tcPr>
            <w:tcW w:w="220" w:type="dxa"/>
            <w:vAlign w:val="bottom"/>
            <w:tcBorders>
              <w:bottom w:val="single" w:sz="8" w:color="auto"/>
            </w:tcBorders>
            <w:shd w:val="clear" w:color="auto" w:fill="CCEEFF"/>
          </w:tcPr>
          <w:p>
            <w:pPr>
              <w:spacing w:after="0"/>
              <w:rPr>
                <w:sz w:val="11"/>
                <w:szCs w:val="11"/>
                <w:color w:val="auto"/>
              </w:rPr>
            </w:pPr>
          </w:p>
        </w:tc>
        <w:tc>
          <w:tcPr>
            <w:tcW w:w="1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(585)</w:t>
            </w:r>
          </w:p>
        </w:tc>
        <w:tc>
          <w:tcPr>
            <w:tcW w:w="2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c>
          <w:tcPr>
            <w:tcW w:w="260" w:type="dxa"/>
            <w:vAlign w:val="bottom"/>
            <w:shd w:val="clear" w:color="auto" w:fill="CCEEFF"/>
          </w:tcPr>
          <w:p>
            <w:pPr>
              <w:spacing w:after="0"/>
              <w:rPr>
                <w:sz w:val="11"/>
                <w:szCs w:val="11"/>
                <w:color w:val="auto"/>
              </w:rPr>
            </w:pPr>
          </w:p>
        </w:tc>
      </w:tr>
      <w:tr>
        <w:trPr>
          <w:trHeight w:val="128"/>
        </w:trPr>
        <w:tc>
          <w:tcPr>
            <w:tcW w:w="488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stockholders’ equity</w:t>
            </w:r>
          </w:p>
        </w:tc>
        <w:tc>
          <w:tcPr>
            <w:tcW w:w="2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264,744</w:t>
            </w:r>
          </w:p>
        </w:tc>
        <w:tc>
          <w:tcPr>
            <w:tcW w:w="2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158,936</w:t>
            </w:r>
          </w:p>
        </w:tc>
        <w:tc>
          <w:tcPr>
            <w:tcW w:w="260" w:type="dxa"/>
            <w:vAlign w:val="bottom"/>
            <w:tcBorders>
              <w:bottom w:val="single" w:sz="8" w:color="CCEEFF"/>
            </w:tcBorders>
          </w:tcPr>
          <w:p>
            <w:pPr>
              <w:spacing w:after="0"/>
              <w:rPr>
                <w:sz w:val="11"/>
                <w:szCs w:val="11"/>
                <w:color w:val="auto"/>
              </w:rPr>
            </w:pPr>
          </w:p>
        </w:tc>
      </w:tr>
      <w:tr>
        <w:trPr>
          <w:trHeight w:val="129"/>
        </w:trPr>
        <w:tc>
          <w:tcPr>
            <w:tcW w:w="488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77"/>
              <w:spacing w:after="0" w:line="129" w:lineRule="exact"/>
              <w:rPr>
                <w:sz w:val="20"/>
                <w:szCs w:val="20"/>
                <w:color w:val="auto"/>
              </w:rPr>
            </w:pPr>
            <w:r>
              <w:rPr>
                <w:rFonts w:ascii="Arial" w:cs="Arial" w:eastAsia="Arial" w:hAnsi="Arial"/>
                <w:sz w:val="13"/>
                <w:szCs w:val="13"/>
                <w:b w:val="1"/>
                <w:bCs w:val="1"/>
                <w:color w:val="auto"/>
                <w:w w:val="82"/>
              </w:rPr>
              <w:t>$</w:t>
            </w:r>
          </w:p>
        </w:tc>
        <w:tc>
          <w:tcPr>
            <w:tcW w:w="1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326,553</w:t>
            </w:r>
          </w:p>
        </w:tc>
        <w:tc>
          <w:tcPr>
            <w:tcW w:w="2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1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223,704</w:t>
            </w:r>
          </w:p>
        </w:tc>
        <w:tc>
          <w:tcPr>
            <w:tcW w:w="260" w:type="dxa"/>
            <w:vAlign w:val="bottom"/>
            <w:tcBorders>
              <w:bottom w:val="single" w:sz="8" w:color="CCEEFF"/>
            </w:tcBorders>
            <w:shd w:val="clear" w:color="auto" w:fill="CCEEFF"/>
          </w:tcPr>
          <w:p>
            <w:pPr>
              <w:spacing w:after="0"/>
              <w:rPr>
                <w:sz w:val="11"/>
                <w:szCs w:val="11"/>
                <w:color w:val="auto"/>
              </w:rPr>
            </w:pPr>
          </w:p>
        </w:tc>
      </w:tr>
      <w:tr>
        <w:trPr>
          <w:trHeight w:val="20"/>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INCOME</w:t>
      </w:r>
    </w:p>
    <w:p>
      <w:pPr>
        <w:jc w:val="center"/>
        <w:ind w:right="19"/>
        <w:spacing w:after="0" w:line="230" w:lineRule="auto"/>
        <w:rPr>
          <w:sz w:val="20"/>
          <w:szCs w:val="20"/>
          <w:color w:val="auto"/>
        </w:rPr>
      </w:pPr>
      <w:r>
        <w:rPr>
          <w:rFonts w:ascii="Arial" w:cs="Arial" w:eastAsia="Arial" w:hAnsi="Arial"/>
          <w:sz w:val="22"/>
          <w:szCs w:val="22"/>
          <w:b w:val="1"/>
          <w:bCs w:val="1"/>
          <w:color w:val="auto"/>
        </w:rPr>
        <w:t>(LOSS)</w:t>
      </w:r>
    </w:p>
    <w:p>
      <w:pPr>
        <w:jc w:val="center"/>
        <w:ind w:right="19"/>
        <w:spacing w:after="0" w:line="231" w:lineRule="auto"/>
        <w:rPr>
          <w:sz w:val="20"/>
          <w:szCs w:val="20"/>
          <w:color w:val="auto"/>
        </w:rPr>
      </w:pPr>
      <w:r>
        <w:rPr>
          <w:rFonts w:ascii="Arial" w:cs="Arial" w:eastAsia="Arial" w:hAnsi="Arial"/>
          <w:sz w:val="22"/>
          <w:szCs w:val="22"/>
          <w:b w:val="1"/>
          <w:bCs w:val="1"/>
          <w:color w:val="auto"/>
        </w:rPr>
        <w:t>(Unaudited)</w:t>
      </w: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Three Months Ended</w:t>
            </w:r>
          </w:p>
        </w:tc>
        <w:tc>
          <w:tcPr>
            <w:tcW w:w="1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color w:val="auto"/>
              </w:rPr>
              <w:t>Three Months Ended</w:t>
            </w: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4"/>
                <w:szCs w:val="14"/>
                <w:color w:val="auto"/>
              </w:rPr>
              <w:t>March 31, 2026</w:t>
            </w:r>
          </w:p>
        </w:tc>
        <w:tc>
          <w:tcPr>
            <w:tcW w:w="12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color w:val="auto"/>
              </w:rPr>
              <w:t>March 31, 2025</w:t>
            </w:r>
          </w:p>
        </w:tc>
      </w:tr>
      <w:tr>
        <w:trPr>
          <w:trHeight w:val="155"/>
        </w:trPr>
        <w:tc>
          <w:tcPr>
            <w:tcW w:w="5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Collaboration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109,164</w:t>
            </w:r>
          </w:p>
        </w:tc>
        <w:tc>
          <w:tcPr>
            <w:tcW w:w="100" w:type="dxa"/>
            <w:vAlign w:val="bottom"/>
            <w:shd w:val="clear" w:color="auto" w:fill="CCEEFF"/>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2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17,105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26,580</w:t>
            </w:r>
          </w:p>
        </w:tc>
        <w:tc>
          <w:tcPr>
            <w:tcW w:w="100" w:type="dxa"/>
            <w:vAlign w:val="bottom"/>
          </w:tcPr>
          <w:p>
            <w:pPr>
              <w:spacing w:after="0"/>
              <w:rPr>
                <w:sz w:val="14"/>
                <w:szCs w:val="14"/>
                <w:color w:val="auto"/>
              </w:rPr>
            </w:pPr>
          </w:p>
        </w:tc>
      </w:tr>
      <w:tr>
        <w:trPr>
          <w:trHeight w:val="162"/>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6,579</w:t>
            </w:r>
          </w:p>
        </w:tc>
        <w:tc>
          <w:tcPr>
            <w:tcW w:w="2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8,408</w:t>
            </w:r>
          </w:p>
        </w:tc>
        <w:tc>
          <w:tcPr>
            <w:tcW w:w="100" w:type="dxa"/>
            <w:vAlign w:val="bottom"/>
            <w:shd w:val="clear" w:color="auto" w:fill="CCEEFF"/>
          </w:tcPr>
          <w:p>
            <w:pPr>
              <w:spacing w:after="0"/>
              <w:rPr>
                <w:sz w:val="14"/>
                <w:szCs w:val="14"/>
                <w:color w:val="auto"/>
              </w:rPr>
            </w:pPr>
          </w:p>
        </w:tc>
      </w:tr>
      <w:tr>
        <w:trPr>
          <w:trHeight w:val="156"/>
        </w:trPr>
        <w:tc>
          <w:tcPr>
            <w:tcW w:w="5240" w:type="dxa"/>
            <w:vAlign w:val="bottom"/>
            <w:tcBorders>
              <w:bottom w:val="single" w:sz="8" w:color="CCEEFF"/>
            </w:tcBorders>
          </w:tcPr>
          <w:p>
            <w:pPr>
              <w:ind w:left="120"/>
              <w:spacing w:after="0" w:line="155" w:lineRule="exact"/>
              <w:rPr>
                <w:sz w:val="20"/>
                <w:szCs w:val="20"/>
                <w:color w:val="auto"/>
              </w:rPr>
            </w:pPr>
            <w:r>
              <w:rPr>
                <w:rFonts w:ascii="Arial" w:cs="Arial" w:eastAsia="Arial" w:hAnsi="Arial"/>
                <w:sz w:val="14"/>
                <w:szCs w:val="14"/>
                <w:b w:val="1"/>
                <w:bCs w:val="1"/>
                <w:color w:val="auto"/>
              </w:rPr>
              <w:t>Total operating expenses</w:t>
            </w: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23,684</w:t>
            </w: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34,988</w:t>
            </w:r>
          </w:p>
        </w:tc>
        <w:tc>
          <w:tcPr>
            <w:tcW w:w="100" w:type="dxa"/>
            <w:vAlign w:val="bottom"/>
            <w:tcBorders>
              <w:bottom w:val="single" w:sz="8" w:color="CCEEFF"/>
            </w:tcBorders>
          </w:tcPr>
          <w:p>
            <w:pPr>
              <w:spacing w:after="0"/>
              <w:rPr>
                <w:sz w:val="13"/>
                <w:szCs w:val="13"/>
                <w:color w:val="auto"/>
              </w:rPr>
            </w:pPr>
          </w:p>
        </w:tc>
      </w:tr>
      <w:tr>
        <w:trPr>
          <w:trHeight w:val="155"/>
        </w:trPr>
        <w:tc>
          <w:tcPr>
            <w:tcW w:w="5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120" w:type="dxa"/>
            <w:vAlign w:val="bottom"/>
          </w:tcPr>
          <w:p>
            <w:pPr>
              <w:spacing w:after="0"/>
              <w:rPr>
                <w:sz w:val="14"/>
                <w:szCs w:val="14"/>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color w:val="auto"/>
              </w:rPr>
              <w:t>(23,684)</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74,176</w:t>
            </w:r>
          </w:p>
        </w:tc>
        <w:tc>
          <w:tcPr>
            <w:tcW w:w="100" w:type="dxa"/>
            <w:vAlign w:val="bottom"/>
          </w:tcPr>
          <w:p>
            <w:pPr>
              <w:spacing w:after="0"/>
              <w:rPr>
                <w:sz w:val="14"/>
                <w:szCs w:val="14"/>
                <w:color w:val="auto"/>
              </w:rPr>
            </w:pPr>
          </w:p>
        </w:tc>
      </w:tr>
      <w:tr>
        <w:trPr>
          <w:trHeight w:val="162"/>
        </w:trPr>
        <w:tc>
          <w:tcPr>
            <w:tcW w:w="5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2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2,422</w:t>
            </w:r>
          </w:p>
        </w:tc>
        <w:tc>
          <w:tcPr>
            <w:tcW w:w="100" w:type="dxa"/>
            <w:vAlign w:val="bottom"/>
          </w:tcPr>
          <w:p>
            <w:pPr>
              <w:spacing w:after="0"/>
              <w:rPr>
                <w:sz w:val="14"/>
                <w:szCs w:val="14"/>
                <w:color w:val="auto"/>
              </w:rPr>
            </w:pPr>
          </w:p>
        </w:tc>
      </w:tr>
      <w:tr>
        <w:trPr>
          <w:trHeight w:val="162"/>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(loss)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w:t>
            </w:r>
          </w:p>
        </w:tc>
      </w:tr>
      <w:tr>
        <w:trPr>
          <w:trHeight w:val="155"/>
        </w:trPr>
        <w:tc>
          <w:tcPr>
            <w:tcW w:w="52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Total other income</w:t>
            </w: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2,039</w:t>
            </w: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2,384</w:t>
            </w:r>
          </w:p>
        </w:tc>
        <w:tc>
          <w:tcPr>
            <w:tcW w:w="100" w:type="dxa"/>
            <w:vAlign w:val="bottom"/>
          </w:tcPr>
          <w:p>
            <w:pPr>
              <w:spacing w:after="0"/>
              <w:rPr>
                <w:sz w:val="13"/>
                <w:szCs w:val="13"/>
                <w:color w:val="auto"/>
              </w:rPr>
            </w:pPr>
          </w:p>
        </w:tc>
      </w:tr>
      <w:tr>
        <w:trPr>
          <w:trHeight w:val="162"/>
        </w:trPr>
        <w:tc>
          <w:tcPr>
            <w:tcW w:w="5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5"/>
        </w:trPr>
        <w:tc>
          <w:tcPr>
            <w:tcW w:w="52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Net income (loss)</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(21,645)</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76,560</w:t>
            </w:r>
          </w:p>
        </w:tc>
        <w:tc>
          <w:tcPr>
            <w:tcW w:w="100" w:type="dxa"/>
            <w:vAlign w:val="bottom"/>
            <w:tcBorders>
              <w:bottom w:val="single" w:sz="8" w:color="CCEEFF"/>
            </w:tcBorders>
          </w:tcPr>
          <w:p>
            <w:pPr>
              <w:spacing w:after="0"/>
              <w:rPr>
                <w:sz w:val="17"/>
                <w:szCs w:val="17"/>
                <w:color w:val="auto"/>
              </w:rPr>
            </w:pPr>
          </w:p>
        </w:tc>
      </w:tr>
      <w:tr>
        <w:trPr>
          <w:trHeight w:val="143"/>
        </w:trPr>
        <w:tc>
          <w:tcPr>
            <w:tcW w:w="5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3"/>
        </w:trPr>
        <w:tc>
          <w:tcPr>
            <w:tcW w:w="5240" w:type="dxa"/>
            <w:vAlign w:val="bottom"/>
          </w:tcPr>
          <w:p>
            <w:pPr>
              <w:ind w:left="20"/>
              <w:spacing w:after="0" w:line="153" w:lineRule="exact"/>
              <w:rPr>
                <w:sz w:val="20"/>
                <w:szCs w:val="20"/>
                <w:color w:val="auto"/>
              </w:rPr>
            </w:pPr>
            <w:r>
              <w:rPr>
                <w:rFonts w:ascii="Arial" w:cs="Arial" w:eastAsia="Arial" w:hAnsi="Arial"/>
                <w:sz w:val="14"/>
                <w:szCs w:val="14"/>
                <w:color w:val="auto"/>
              </w:rPr>
              <w:t>Net income (loss) per common share</w:t>
            </w: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5240" w:type="dxa"/>
            <w:vAlign w:val="bottom"/>
          </w:tcPr>
          <w:p>
            <w:pPr>
              <w:ind w:left="20"/>
              <w:spacing w:after="0"/>
              <w:rPr>
                <w:sz w:val="20"/>
                <w:szCs w:val="20"/>
                <w:color w:val="auto"/>
              </w:rPr>
            </w:pPr>
            <w:r>
              <w:rPr>
                <w:rFonts w:ascii="Arial" w:cs="Arial" w:eastAsia="Arial" w:hAnsi="Arial"/>
                <w:sz w:val="14"/>
                <w:szCs w:val="14"/>
                <w:color w:val="auto"/>
              </w:rPr>
              <w:t>Basic and Diluted</w:t>
            </w:r>
          </w:p>
        </w:tc>
        <w:tc>
          <w:tcPr>
            <w:tcW w:w="120" w:type="dxa"/>
            <w:vAlign w:val="bottom"/>
          </w:tcPr>
          <w:p>
            <w:pPr>
              <w:spacing w:after="0"/>
              <w:rPr>
                <w:sz w:val="14"/>
                <w:szCs w:val="14"/>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0.89</w:t>
            </w:r>
          </w:p>
        </w:tc>
        <w:tc>
          <w:tcPr>
            <w:tcW w:w="100" w:type="dxa"/>
            <w:vAlign w:val="bottom"/>
          </w:tcPr>
          <w:p>
            <w:pPr>
              <w:spacing w:after="0"/>
              <w:rPr>
                <w:sz w:val="14"/>
                <w:szCs w:val="14"/>
                <w:color w:val="auto"/>
              </w:rPr>
            </w:pPr>
          </w:p>
        </w:tc>
      </w:tr>
      <w:tr>
        <w:trPr>
          <w:trHeight w:val="153"/>
        </w:trPr>
        <w:tc>
          <w:tcPr>
            <w:tcW w:w="52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Weighted average common shares outstanding</w:t>
            </w: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193,474,913</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86,021,188</w:t>
            </w:r>
          </w:p>
        </w:tc>
        <w:tc>
          <w:tcPr>
            <w:tcW w:w="100" w:type="dxa"/>
            <w:vAlign w:val="bottom"/>
            <w:shd w:val="clear" w:color="auto" w:fill="CCEEFF"/>
          </w:tcPr>
          <w:p>
            <w:pPr>
              <w:spacing w:after="0"/>
              <w:rPr>
                <w:sz w:val="14"/>
                <w:szCs w:val="14"/>
                <w:color w:val="auto"/>
              </w:rPr>
            </w:pPr>
          </w:p>
        </w:tc>
      </w:tr>
      <w:tr>
        <w:trPr>
          <w:trHeight w:val="153"/>
        </w:trPr>
        <w:tc>
          <w:tcPr>
            <w:tcW w:w="5240" w:type="dxa"/>
            <w:vAlign w:val="bottom"/>
          </w:tcPr>
          <w:p>
            <w:pPr>
              <w:ind w:left="20"/>
              <w:spacing w:after="0" w:line="153" w:lineRule="exact"/>
              <w:rPr>
                <w:sz w:val="20"/>
                <w:szCs w:val="20"/>
                <w:color w:val="auto"/>
              </w:rPr>
            </w:pPr>
            <w:r>
              <w:rPr>
                <w:rFonts w:ascii="Arial" w:cs="Arial" w:eastAsia="Arial" w:hAnsi="Arial"/>
                <w:sz w:val="14"/>
                <w:szCs w:val="14"/>
                <w:color w:val="auto"/>
              </w:rPr>
              <w:t>Weighted average common shares outstanding</w:t>
            </w: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5240" w:type="dxa"/>
            <w:vAlign w:val="bottom"/>
          </w:tcPr>
          <w:p>
            <w:pPr>
              <w:ind w:left="2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193,474,913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86,098,619</w:t>
            </w:r>
          </w:p>
        </w:tc>
        <w:tc>
          <w:tcPr>
            <w:tcW w:w="100" w:type="dxa"/>
            <w:vAlign w:val="bottom"/>
          </w:tcPr>
          <w:p>
            <w:pPr>
              <w:spacing w:after="0"/>
              <w:rPr>
                <w:sz w:val="14"/>
                <w:szCs w:val="14"/>
                <w:color w:val="auto"/>
              </w:rPr>
            </w:pPr>
          </w:p>
        </w:tc>
      </w:tr>
      <w:tr>
        <w:trPr>
          <w:trHeight w:val="162"/>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24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00" w:type="dxa"/>
            <w:vAlign w:val="bottom"/>
            <w:gridSpan w:val="2"/>
          </w:tcPr>
          <w:p>
            <w:pPr>
              <w:jc w:val="right"/>
              <w:ind w:right="280"/>
              <w:spacing w:after="0"/>
              <w:rPr>
                <w:sz w:val="20"/>
                <w:szCs w:val="20"/>
                <w:color w:val="auto"/>
              </w:rPr>
            </w:pPr>
            <w:r>
              <w:rPr>
                <w:rFonts w:ascii="Arial" w:cs="Arial" w:eastAsia="Arial" w:hAnsi="Arial"/>
                <w:sz w:val="14"/>
                <w:szCs w:val="14"/>
                <w:color w:val="auto"/>
              </w:rPr>
              <w:t>(21,645)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76,560</w:t>
            </w:r>
          </w:p>
        </w:tc>
        <w:tc>
          <w:tcPr>
            <w:tcW w:w="100" w:type="dxa"/>
            <w:vAlign w:val="bottom"/>
          </w:tcPr>
          <w:p>
            <w:pPr>
              <w:spacing w:after="0"/>
              <w:rPr>
                <w:sz w:val="14"/>
                <w:szCs w:val="14"/>
                <w:color w:val="auto"/>
              </w:rPr>
            </w:pPr>
          </w:p>
        </w:tc>
      </w:tr>
      <w:tr>
        <w:trPr>
          <w:trHeight w:val="162"/>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loss on investments</w:t>
            </w:r>
          </w:p>
        </w:tc>
        <w:tc>
          <w:tcPr>
            <w:tcW w:w="1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w:t>
            </w:r>
          </w:p>
        </w:tc>
      </w:tr>
      <w:tr>
        <w:trPr>
          <w:trHeight w:val="195"/>
        </w:trPr>
        <w:tc>
          <w:tcPr>
            <w:tcW w:w="52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Comprehensive income (loss)</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(22,260)</w:t>
            </w:r>
          </w:p>
        </w:tc>
        <w:tc>
          <w:tcPr>
            <w:tcW w:w="2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76,541</w:t>
            </w:r>
          </w:p>
        </w:tc>
        <w:tc>
          <w:tcPr>
            <w:tcW w:w="100" w:type="dxa"/>
            <w:vAlign w:val="bottom"/>
            <w:tcBorders>
              <w:bottom w:val="single" w:sz="8" w:color="CCEEFF"/>
            </w:tcBorders>
          </w:tcPr>
          <w:p>
            <w:pPr>
              <w:spacing w:after="0"/>
              <w:rPr>
                <w:sz w:val="17"/>
                <w:szCs w:val="17"/>
                <w:color w:val="auto"/>
              </w:rPr>
            </w:pPr>
          </w:p>
        </w:tc>
      </w:tr>
      <w:tr>
        <w:trPr>
          <w:trHeight w:val="143"/>
        </w:trPr>
        <w:tc>
          <w:tcPr>
            <w:tcW w:w="5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jc w:val="center"/>
        <w:ind w:right="19"/>
        <w:spacing w:after="0" w:line="186" w:lineRule="auto"/>
        <w:rPr>
          <w:sz w:val="20"/>
          <w:szCs w:val="20"/>
          <w:color w:val="auto"/>
        </w:rPr>
      </w:pPr>
      <w:r>
        <w:rPr>
          <w:rFonts w:ascii="Arial" w:cs="Arial" w:eastAsia="Arial" w:hAnsi="Arial"/>
          <w:sz w:val="22"/>
          <w:szCs w:val="22"/>
          <w:b w:val="1"/>
          <w:bCs w:val="1"/>
          <w:color w:val="auto"/>
        </w:rPr>
        <w:t>CONSOLIDATED STATEMENTS OF CHANGES IN STOCKHOLDERS’ EQUITY</w:t>
      </w:r>
    </w:p>
    <w:p>
      <w:pPr>
        <w:jc w:val="center"/>
        <w:ind w:right="19"/>
        <w:spacing w:after="0" w:line="181" w:lineRule="auto"/>
        <w:rPr>
          <w:sz w:val="20"/>
          <w:szCs w:val="20"/>
          <w:color w:val="auto"/>
        </w:rPr>
      </w:pPr>
      <w:r>
        <w:rPr>
          <w:rFonts w:ascii="Arial" w:cs="Arial" w:eastAsia="Arial" w:hAnsi="Arial"/>
          <w:sz w:val="25"/>
          <w:szCs w:val="25"/>
          <w:b w:val="1"/>
          <w:bCs w:val="1"/>
          <w:color w:val="auto"/>
        </w:rPr>
        <w:t>(Unaudited)</w:t>
      </w:r>
    </w:p>
    <w:p>
      <w:pPr>
        <w:jc w:val="center"/>
        <w:ind w:right="19"/>
        <w:spacing w:after="0"/>
        <w:rPr>
          <w:sz w:val="20"/>
          <w:szCs w:val="20"/>
          <w:color w:val="auto"/>
        </w:rPr>
      </w:pPr>
      <w:r>
        <w:rPr>
          <w:rFonts w:ascii="Arial" w:cs="Arial" w:eastAsia="Arial" w:hAnsi="Arial"/>
          <w:sz w:val="25"/>
          <w:szCs w:val="25"/>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116840</wp:posOffset>
            </wp:positionV>
            <wp:extent cx="5648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4"/>
                <w:szCs w:val="14"/>
                <w:color w:val="auto"/>
              </w:rPr>
            </w:pPr>
          </w:p>
        </w:tc>
        <w:tc>
          <w:tcPr>
            <w:tcW w:w="740" w:type="dxa"/>
            <w:vAlign w:val="bottom"/>
          </w:tcPr>
          <w:p>
            <w:pPr>
              <w:jc w:val="center"/>
              <w:ind w:right="102"/>
              <w:spacing w:after="0"/>
              <w:rPr>
                <w:sz w:val="20"/>
                <w:szCs w:val="20"/>
                <w:color w:val="auto"/>
              </w:rPr>
            </w:pPr>
            <w:r>
              <w:rPr>
                <w:rFonts w:ascii="Arial" w:cs="Arial" w:eastAsia="Arial" w:hAnsi="Arial"/>
                <w:sz w:val="14"/>
                <w:szCs w:val="14"/>
                <w:color w:val="auto"/>
                <w:w w:val="96"/>
              </w:rPr>
              <w:t>Total</w:t>
            </w:r>
          </w:p>
        </w:tc>
      </w:tr>
      <w:tr>
        <w:trPr>
          <w:trHeight w:val="171"/>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ind w:left="18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Accumulated</w:t>
            </w:r>
          </w:p>
        </w:tc>
        <w:tc>
          <w:tcPr>
            <w:tcW w:w="1120" w:type="dxa"/>
            <w:vAlign w:val="bottom"/>
            <w:gridSpan w:val="3"/>
          </w:tcPr>
          <w:p>
            <w:pPr>
              <w:ind w:left="20"/>
              <w:spacing w:after="0"/>
              <w:rPr>
                <w:sz w:val="20"/>
                <w:szCs w:val="20"/>
                <w:color w:val="auto"/>
              </w:rPr>
            </w:pPr>
            <w:r>
              <w:rPr>
                <w:rFonts w:ascii="Arial" w:cs="Arial" w:eastAsia="Arial" w:hAnsi="Arial"/>
                <w:sz w:val="14"/>
                <w:szCs w:val="14"/>
                <w:color w:val="auto"/>
              </w:rPr>
              <w:t>Comprehensive</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Stockholders’</w:t>
            </w:r>
          </w:p>
        </w:tc>
      </w:tr>
      <w:tr>
        <w:trPr>
          <w:trHeight w:val="155"/>
        </w:trPr>
        <w:tc>
          <w:tcPr>
            <w:tcW w:w="340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gridSpan w:val="2"/>
          </w:tcPr>
          <w:p>
            <w:pPr>
              <w:ind w:left="200"/>
              <w:spacing w:after="0" w:line="155" w:lineRule="exact"/>
              <w:rPr>
                <w:sz w:val="20"/>
                <w:szCs w:val="20"/>
                <w:color w:val="auto"/>
              </w:rPr>
            </w:pPr>
            <w:r>
              <w:rPr>
                <w:rFonts w:ascii="Arial" w:cs="Arial" w:eastAsia="Arial" w:hAnsi="Arial"/>
                <w:sz w:val="14"/>
                <w:szCs w:val="14"/>
                <w:color w:val="auto"/>
              </w:rPr>
              <w:t>Shares</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60"/>
              <w:spacing w:after="0" w:line="155" w:lineRule="exact"/>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3"/>
                <w:szCs w:val="13"/>
                <w:color w:val="auto"/>
              </w:rPr>
            </w:pPr>
          </w:p>
        </w:tc>
        <w:tc>
          <w:tcPr>
            <w:tcW w:w="98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Deficit</w:t>
            </w:r>
          </w:p>
        </w:tc>
        <w:tc>
          <w:tcPr>
            <w:tcW w:w="60" w:type="dxa"/>
            <w:vAlign w:val="bottom"/>
          </w:tcPr>
          <w:p>
            <w:pPr>
              <w:spacing w:after="0"/>
              <w:rPr>
                <w:sz w:val="13"/>
                <w:szCs w:val="13"/>
                <w:color w:val="auto"/>
              </w:rPr>
            </w:pPr>
          </w:p>
        </w:tc>
        <w:tc>
          <w:tcPr>
            <w:tcW w:w="10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Income (Loss)</w:t>
            </w:r>
          </w:p>
        </w:tc>
        <w:tc>
          <w:tcPr>
            <w:tcW w:w="160" w:type="dxa"/>
            <w:vAlign w:val="bottom"/>
          </w:tcPr>
          <w:p>
            <w:pPr>
              <w:spacing w:after="0"/>
              <w:rPr>
                <w:sz w:val="13"/>
                <w:szCs w:val="13"/>
                <w:color w:val="auto"/>
              </w:rPr>
            </w:pPr>
          </w:p>
        </w:tc>
        <w:tc>
          <w:tcPr>
            <w:tcW w:w="740" w:type="dxa"/>
            <w:vAlign w:val="bottom"/>
          </w:tcPr>
          <w:p>
            <w:pPr>
              <w:jc w:val="center"/>
              <w:ind w:right="82"/>
              <w:spacing w:after="0" w:line="155" w:lineRule="exact"/>
              <w:rPr>
                <w:sz w:val="20"/>
                <w:szCs w:val="20"/>
                <w:color w:val="auto"/>
              </w:rPr>
            </w:pPr>
            <w:r>
              <w:rPr>
                <w:rFonts w:ascii="Arial" w:cs="Arial" w:eastAsia="Arial" w:hAnsi="Arial"/>
                <w:sz w:val="14"/>
                <w:szCs w:val="14"/>
                <w:color w:val="auto"/>
              </w:rPr>
              <w:t>Equity</w:t>
            </w:r>
          </w:p>
        </w:tc>
      </w:tr>
      <w:tr>
        <w:trPr>
          <w:trHeight w:val="115"/>
        </w:trPr>
        <w:tc>
          <w:tcPr>
            <w:tcW w:w="3400" w:type="dxa"/>
            <w:vAlign w:val="bottom"/>
            <w:tcBorders>
              <w:top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Balance, December 31, 2025</w:t>
            </w: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87,519,096</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950,814</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(791,917)</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30</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158,936</w:t>
            </w:r>
          </w:p>
        </w:tc>
      </w:tr>
      <w:tr>
        <w:trPr>
          <w:trHeight w:val="108"/>
        </w:trPr>
        <w:tc>
          <w:tcPr>
            <w:tcW w:w="3500" w:type="dxa"/>
            <w:vAlign w:val="bottom"/>
            <w:gridSpan w:val="2"/>
          </w:tcPr>
          <w:p>
            <w:pPr>
              <w:ind w:left="20"/>
              <w:spacing w:after="0" w:line="109" w:lineRule="exact"/>
              <w:rPr>
                <w:sz w:val="20"/>
                <w:szCs w:val="20"/>
                <w:color w:val="auto"/>
              </w:rPr>
            </w:pPr>
            <w:r>
              <w:rPr>
                <w:rFonts w:ascii="Arial" w:cs="Arial" w:eastAsia="Arial" w:hAnsi="Arial"/>
                <w:sz w:val="11"/>
                <w:szCs w:val="11"/>
                <w:color w:val="auto"/>
              </w:rPr>
              <w:t>Issuance of common stock upon the exercise of stock options and</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35"/>
        </w:trPr>
        <w:tc>
          <w:tcPr>
            <w:tcW w:w="3500" w:type="dxa"/>
            <w:vAlign w:val="bottom"/>
            <w:gridSpan w:val="2"/>
          </w:tcPr>
          <w:p>
            <w:pPr>
              <w:ind w:left="20"/>
              <w:spacing w:after="0"/>
              <w:rPr>
                <w:sz w:val="20"/>
                <w:szCs w:val="20"/>
                <w:color w:val="auto"/>
              </w:rPr>
            </w:pPr>
            <w:r>
              <w:rPr>
                <w:rFonts w:ascii="Arial" w:cs="Arial" w:eastAsia="Arial" w:hAnsi="Arial"/>
                <w:sz w:val="11"/>
                <w:szCs w:val="11"/>
                <w:color w:val="auto"/>
              </w:rPr>
              <w:t>2021 ESPP</w:t>
            </w:r>
          </w:p>
        </w:tc>
        <w:tc>
          <w:tcPr>
            <w:tcW w:w="700" w:type="dxa"/>
            <w:vAlign w:val="bottom"/>
          </w:tcPr>
          <w:p>
            <w:pPr>
              <w:jc w:val="right"/>
              <w:spacing w:after="0"/>
              <w:rPr>
                <w:sz w:val="20"/>
                <w:szCs w:val="20"/>
                <w:color w:val="auto"/>
              </w:rPr>
            </w:pPr>
            <w:r>
              <w:rPr>
                <w:rFonts w:ascii="Arial" w:cs="Arial" w:eastAsia="Arial" w:hAnsi="Arial"/>
                <w:sz w:val="11"/>
                <w:szCs w:val="11"/>
                <w:color w:val="auto"/>
              </w:rPr>
              <w:t>202,326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202</w:t>
            </w:r>
          </w:p>
        </w:tc>
      </w:tr>
      <w:tr>
        <w:trPr>
          <w:trHeight w:val="122"/>
        </w:trPr>
        <w:tc>
          <w:tcPr>
            <w:tcW w:w="35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Vesting of restricted stock units</w:t>
            </w: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350,326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r>
      <w:tr>
        <w:trPr>
          <w:trHeight w:val="108"/>
        </w:trPr>
        <w:tc>
          <w:tcPr>
            <w:tcW w:w="3500" w:type="dxa"/>
            <w:vAlign w:val="bottom"/>
            <w:gridSpan w:val="2"/>
          </w:tcPr>
          <w:p>
            <w:pPr>
              <w:ind w:left="20"/>
              <w:spacing w:after="0" w:line="109" w:lineRule="exact"/>
              <w:rPr>
                <w:sz w:val="20"/>
                <w:szCs w:val="20"/>
                <w:color w:val="auto"/>
              </w:rPr>
            </w:pPr>
            <w:r>
              <w:rPr>
                <w:rFonts w:ascii="Arial" w:cs="Arial" w:eastAsia="Arial" w:hAnsi="Arial"/>
                <w:sz w:val="11"/>
                <w:szCs w:val="11"/>
                <w:color w:val="auto"/>
              </w:rPr>
              <w:t>Issuance of common stock, warrants and pre-funded warrants, net of</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35"/>
        </w:trPr>
        <w:tc>
          <w:tcPr>
            <w:tcW w:w="3500" w:type="dxa"/>
            <w:vAlign w:val="bottom"/>
            <w:gridSpan w:val="2"/>
          </w:tcPr>
          <w:p>
            <w:pPr>
              <w:ind w:left="20"/>
              <w:spacing w:after="0"/>
              <w:rPr>
                <w:sz w:val="20"/>
                <w:szCs w:val="20"/>
                <w:color w:val="auto"/>
              </w:rPr>
            </w:pPr>
            <w:r>
              <w:rPr>
                <w:rFonts w:ascii="Arial" w:cs="Arial" w:eastAsia="Arial" w:hAnsi="Arial"/>
                <w:sz w:val="11"/>
                <w:szCs w:val="11"/>
                <w:color w:val="auto"/>
              </w:rPr>
              <w:t>issuance costs of $8,588</w:t>
            </w:r>
          </w:p>
        </w:tc>
        <w:tc>
          <w:tcPr>
            <w:tcW w:w="700" w:type="dxa"/>
            <w:vAlign w:val="bottom"/>
          </w:tcPr>
          <w:p>
            <w:pPr>
              <w:jc w:val="right"/>
              <w:spacing w:after="0"/>
              <w:rPr>
                <w:sz w:val="20"/>
                <w:szCs w:val="20"/>
                <w:color w:val="auto"/>
              </w:rPr>
            </w:pPr>
            <w:r>
              <w:rPr>
                <w:rFonts w:ascii="Arial" w:cs="Arial" w:eastAsia="Arial" w:hAnsi="Arial"/>
                <w:sz w:val="11"/>
                <w:szCs w:val="11"/>
                <w:color w:val="auto"/>
              </w:rPr>
              <w:t>92,030,595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126,412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126,421</w:t>
            </w:r>
          </w:p>
        </w:tc>
      </w:tr>
      <w:tr>
        <w:trPr>
          <w:trHeight w:val="122"/>
        </w:trPr>
        <w:tc>
          <w:tcPr>
            <w:tcW w:w="35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Unrealized loss on investments</w:t>
            </w: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(615)</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(615)</w:t>
            </w:r>
          </w:p>
        </w:tc>
      </w:tr>
      <w:tr>
        <w:trPr>
          <w:trHeight w:val="122"/>
        </w:trPr>
        <w:tc>
          <w:tcPr>
            <w:tcW w:w="35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1,445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1,445</w:t>
            </w:r>
          </w:p>
        </w:tc>
      </w:tr>
      <w:tr>
        <w:trPr>
          <w:trHeight w:val="121"/>
        </w:trPr>
        <w:tc>
          <w:tcPr>
            <w:tcW w:w="35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Net loss</w:t>
            </w:r>
          </w:p>
        </w:tc>
        <w:tc>
          <w:tcPr>
            <w:tcW w:w="7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(21,645)</w:t>
            </w: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(21,645)</w:t>
            </w:r>
          </w:p>
        </w:tc>
      </w:tr>
      <w:tr>
        <w:trPr>
          <w:trHeight w:val="115"/>
        </w:trPr>
        <w:tc>
          <w:tcPr>
            <w:tcW w:w="3400" w:type="dxa"/>
            <w:vAlign w:val="bottom"/>
          </w:tcPr>
          <w:p>
            <w:pPr>
              <w:ind w:left="20"/>
              <w:spacing w:after="0" w:line="115" w:lineRule="exact"/>
              <w:rPr>
                <w:sz w:val="20"/>
                <w:szCs w:val="20"/>
                <w:color w:val="auto"/>
              </w:rPr>
            </w:pPr>
            <w:r>
              <w:rPr>
                <w:rFonts w:ascii="Arial" w:cs="Arial" w:eastAsia="Arial" w:hAnsi="Arial"/>
                <w:sz w:val="11"/>
                <w:szCs w:val="11"/>
                <w:b w:val="1"/>
                <w:bCs w:val="1"/>
                <w:color w:val="auto"/>
              </w:rPr>
              <w:t>Balance, March 31, 2026</w:t>
            </w:r>
          </w:p>
        </w:tc>
        <w:tc>
          <w:tcPr>
            <w:tcW w:w="10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180,102,343</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18</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1,078,873</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(813,562)</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(585)</w:t>
            </w:r>
          </w:p>
        </w:tc>
        <w:tc>
          <w:tcPr>
            <w:tcW w:w="8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264,744</w:t>
            </w: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3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Accumulated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1"/>
        </w:trPr>
        <w:tc>
          <w:tcPr>
            <w:tcW w:w="3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Additional</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ind w:left="480"/>
              <w:spacing w:after="0" w:line="122" w:lineRule="exact"/>
              <w:rPr>
                <w:sz w:val="20"/>
                <w:szCs w:val="20"/>
                <w:color w:val="auto"/>
              </w:rPr>
            </w:pPr>
            <w:r>
              <w:rPr>
                <w:rFonts w:ascii="Arial" w:cs="Arial" w:eastAsia="Arial" w:hAnsi="Arial"/>
                <w:sz w:val="11"/>
                <w:szCs w:val="11"/>
                <w:color w:val="auto"/>
              </w:rPr>
              <w:t>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Total</w:t>
            </w:r>
          </w:p>
        </w:tc>
      </w:tr>
      <w:tr>
        <w:trPr>
          <w:trHeight w:val="135"/>
        </w:trPr>
        <w:tc>
          <w:tcPr>
            <w:tcW w:w="3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ind w:left="300"/>
              <w:spacing w:after="0"/>
              <w:rPr>
                <w:sz w:val="20"/>
                <w:szCs w:val="20"/>
                <w:color w:val="auto"/>
              </w:rPr>
            </w:pPr>
            <w:r>
              <w:rPr>
                <w:rFonts w:ascii="Arial" w:cs="Arial" w:eastAsia="Arial" w:hAnsi="Arial"/>
                <w:sz w:val="11"/>
                <w:szCs w:val="11"/>
                <w:color w:val="auto"/>
                <w:w w:val="98"/>
              </w:rPr>
              <w:t>Common Stock</w:t>
            </w: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Paid-in</w:t>
            </w:r>
          </w:p>
        </w:tc>
        <w:tc>
          <w:tcPr>
            <w:tcW w:w="10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Accumulated</w:t>
            </w:r>
          </w:p>
        </w:tc>
        <w:tc>
          <w:tcPr>
            <w:tcW w:w="100" w:type="dxa"/>
            <w:vAlign w:val="bottom"/>
          </w:tcPr>
          <w:p>
            <w:pPr>
              <w:spacing w:after="0"/>
              <w:rPr>
                <w:sz w:val="11"/>
                <w:szCs w:val="1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w w:val="98"/>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Stockholders’</w:t>
            </w:r>
          </w:p>
        </w:tc>
      </w:tr>
      <w:tr>
        <w:trPr>
          <w:trHeight w:val="115"/>
        </w:trPr>
        <w:tc>
          <w:tcPr>
            <w:tcW w:w="3460" w:type="dxa"/>
            <w:vAlign w:val="bottom"/>
          </w:tcPr>
          <w:p>
            <w:pPr>
              <w:spacing w:after="0"/>
              <w:rPr>
                <w:sz w:val="10"/>
                <w:szCs w:val="10"/>
                <w:color w:val="auto"/>
              </w:rPr>
            </w:pPr>
          </w:p>
        </w:tc>
        <w:tc>
          <w:tcPr>
            <w:tcW w:w="120" w:type="dxa"/>
            <w:vAlign w:val="bottom"/>
          </w:tcPr>
          <w:p>
            <w:pPr>
              <w:spacing w:after="0" w:line="115" w:lineRule="exact"/>
              <w:rPr>
                <w:sz w:val="20"/>
                <w:szCs w:val="20"/>
                <w:color w:val="auto"/>
              </w:rPr>
            </w:pPr>
            <w:r>
              <w:rPr>
                <w:rFonts w:ascii="Arial" w:cs="Arial" w:eastAsia="Arial" w:hAnsi="Arial"/>
                <w:sz w:val="11"/>
                <w:szCs w:val="11"/>
                <w:color w:val="auto"/>
              </w:rPr>
              <w:t>​</w:t>
            </w:r>
          </w:p>
        </w:tc>
        <w:tc>
          <w:tcPr>
            <w:tcW w:w="780" w:type="dxa"/>
            <w:vAlign w:val="bottom"/>
            <w:gridSpan w:val="2"/>
          </w:tcPr>
          <w:p>
            <w:pPr>
              <w:ind w:left="300"/>
              <w:spacing w:after="0" w:line="115" w:lineRule="exact"/>
              <w:rPr>
                <w:sz w:val="20"/>
                <w:szCs w:val="20"/>
                <w:color w:val="auto"/>
              </w:rPr>
            </w:pPr>
            <w:r>
              <w:rPr>
                <w:rFonts w:ascii="Arial" w:cs="Arial" w:eastAsia="Arial" w:hAnsi="Arial"/>
                <w:sz w:val="11"/>
                <w:szCs w:val="11"/>
                <w:color w:val="auto"/>
              </w:rPr>
              <w:t>Shares</w:t>
            </w:r>
          </w:p>
        </w:tc>
        <w:tc>
          <w:tcPr>
            <w:tcW w:w="280" w:type="dxa"/>
            <w:vAlign w:val="bottom"/>
          </w:tcPr>
          <w:p>
            <w:pPr>
              <w:spacing w:after="0" w:line="115"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w w:val="94"/>
              </w:rPr>
              <w:t>Amount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Capital</w:t>
            </w:r>
          </w:p>
        </w:tc>
        <w:tc>
          <w:tcPr>
            <w:tcW w:w="100" w:type="dxa"/>
            <w:vAlign w:val="bottom"/>
          </w:tcPr>
          <w:p>
            <w:pPr>
              <w:ind w:left="20"/>
              <w:spacing w:after="0" w:line="115"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Deficit</w:t>
            </w:r>
          </w:p>
        </w:tc>
        <w:tc>
          <w:tcPr>
            <w:tcW w:w="100" w:type="dxa"/>
            <w:vAlign w:val="bottom"/>
          </w:tcPr>
          <w:p>
            <w:pPr>
              <w:ind w:left="20"/>
              <w:spacing w:after="0" w:line="115"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60"/>
              <w:spacing w:after="0" w:line="115" w:lineRule="exact"/>
              <w:rPr>
                <w:sz w:val="20"/>
                <w:szCs w:val="20"/>
                <w:color w:val="auto"/>
              </w:rPr>
            </w:pPr>
            <w:r>
              <w:rPr>
                <w:rFonts w:ascii="Arial" w:cs="Arial" w:eastAsia="Arial" w:hAnsi="Arial"/>
                <w:sz w:val="11"/>
                <w:szCs w:val="11"/>
                <w:color w:val="auto"/>
              </w:rPr>
              <w:t>Loss</w:t>
            </w:r>
          </w:p>
        </w:tc>
        <w:tc>
          <w:tcPr>
            <w:tcW w:w="180" w:type="dxa"/>
            <w:vAlign w:val="bottom"/>
            <w:gridSpan w:val="2"/>
          </w:tcPr>
          <w:p>
            <w:pPr>
              <w:jc w:val="right"/>
              <w:ind w:right="11"/>
              <w:spacing w:after="0" w:line="115"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15" w:lineRule="exact"/>
              <w:rPr>
                <w:sz w:val="20"/>
                <w:szCs w:val="20"/>
                <w:color w:val="auto"/>
              </w:rPr>
            </w:pPr>
            <w:r>
              <w:rPr>
                <w:rFonts w:ascii="Arial" w:cs="Arial" w:eastAsia="Arial" w:hAnsi="Arial"/>
                <w:sz w:val="11"/>
                <w:szCs w:val="11"/>
                <w:color w:val="auto"/>
              </w:rPr>
              <w:t>Deficit</w:t>
            </w:r>
          </w:p>
        </w:tc>
      </w:tr>
      <w:tr>
        <w:trPr>
          <w:trHeight w:val="115"/>
        </w:trPr>
        <w:tc>
          <w:tcPr>
            <w:tcW w:w="3460" w:type="dxa"/>
            <w:vAlign w:val="bottom"/>
            <w:tcBorders>
              <w:top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Balance, December 31, 2024</w:t>
            </w: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85,836,429</w:t>
            </w: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943,366</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(782,337)</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324</w:t>
            </w: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161,362</w:t>
            </w:r>
          </w:p>
        </w:tc>
      </w:tr>
      <w:tr>
        <w:trPr>
          <w:trHeight w:val="108"/>
        </w:trPr>
        <w:tc>
          <w:tcPr>
            <w:tcW w:w="3580" w:type="dxa"/>
            <w:vAlign w:val="bottom"/>
            <w:gridSpan w:val="2"/>
          </w:tcPr>
          <w:p>
            <w:pPr>
              <w:ind w:left="20"/>
              <w:spacing w:after="0" w:line="109" w:lineRule="exact"/>
              <w:rPr>
                <w:sz w:val="20"/>
                <w:szCs w:val="20"/>
                <w:color w:val="auto"/>
              </w:rPr>
            </w:pPr>
            <w:r>
              <w:rPr>
                <w:rFonts w:ascii="Arial" w:cs="Arial" w:eastAsia="Arial" w:hAnsi="Arial"/>
                <w:sz w:val="11"/>
                <w:szCs w:val="11"/>
                <w:color w:val="auto"/>
              </w:rPr>
              <w:t>Issuance of common stock upon exercise of stock options and 2021</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5"/>
        </w:trPr>
        <w:tc>
          <w:tcPr>
            <w:tcW w:w="3580" w:type="dxa"/>
            <w:vAlign w:val="bottom"/>
            <w:gridSpan w:val="2"/>
          </w:tcPr>
          <w:p>
            <w:pPr>
              <w:ind w:left="20"/>
              <w:spacing w:after="0"/>
              <w:rPr>
                <w:sz w:val="20"/>
                <w:szCs w:val="20"/>
                <w:color w:val="auto"/>
              </w:rPr>
            </w:pPr>
            <w:r>
              <w:rPr>
                <w:rFonts w:ascii="Arial" w:cs="Arial" w:eastAsia="Arial" w:hAnsi="Arial"/>
                <w:sz w:val="11"/>
                <w:szCs w:val="11"/>
                <w:color w:val="auto"/>
              </w:rPr>
              <w:t>ESPP</w:t>
            </w:r>
          </w:p>
        </w:tc>
        <w:tc>
          <w:tcPr>
            <w:tcW w:w="680" w:type="dxa"/>
            <w:vAlign w:val="bottom"/>
          </w:tcPr>
          <w:p>
            <w:pPr>
              <w:jc w:val="right"/>
              <w:spacing w:after="0"/>
              <w:rPr>
                <w:sz w:val="20"/>
                <w:szCs w:val="20"/>
                <w:color w:val="auto"/>
              </w:rPr>
            </w:pPr>
            <w:r>
              <w:rPr>
                <w:rFonts w:ascii="Arial" w:cs="Arial" w:eastAsia="Arial" w:hAnsi="Arial"/>
                <w:sz w:val="11"/>
                <w:szCs w:val="11"/>
                <w:color w:val="auto"/>
              </w:rPr>
              <w:t>116,488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120</w:t>
            </w:r>
          </w:p>
        </w:tc>
      </w:tr>
      <w:tr>
        <w:trPr>
          <w:trHeight w:val="121"/>
        </w:trPr>
        <w:tc>
          <w:tcPr>
            <w:tcW w:w="3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Vesting of restricted stock</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24,734</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r>
      <w:tr>
        <w:trPr>
          <w:trHeight w:val="122"/>
        </w:trPr>
        <w:tc>
          <w:tcPr>
            <w:tcW w:w="3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Vesting of early exercise stock options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11,321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84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84</w:t>
            </w:r>
          </w:p>
        </w:tc>
      </w:tr>
      <w:tr>
        <w:trPr>
          <w:trHeight w:val="121"/>
        </w:trPr>
        <w:tc>
          <w:tcPr>
            <w:tcW w:w="3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Vesting of restricted stock units</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157,077</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(94)</w:t>
            </w:r>
          </w:p>
        </w:tc>
        <w:tc>
          <w:tcPr>
            <w:tcW w:w="1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(94)</w:t>
            </w:r>
          </w:p>
        </w:tc>
      </w:tr>
      <w:tr>
        <w:trPr>
          <w:trHeight w:val="122"/>
        </w:trPr>
        <w:tc>
          <w:tcPr>
            <w:tcW w:w="3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Unrealized loss on investments</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4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(19)</w:t>
            </w:r>
          </w:p>
        </w:tc>
      </w:tr>
      <w:tr>
        <w:trPr>
          <w:trHeight w:val="122"/>
        </w:trPr>
        <w:tc>
          <w:tcPr>
            <w:tcW w:w="3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Foreign currency translation</w:t>
            </w:r>
          </w:p>
        </w:tc>
        <w:tc>
          <w:tcPr>
            <w:tcW w:w="7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r>
      <w:tr>
        <w:trPr>
          <w:trHeight w:val="121"/>
        </w:trPr>
        <w:tc>
          <w:tcPr>
            <w:tcW w:w="3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2,426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2,426</w:t>
            </w:r>
          </w:p>
        </w:tc>
      </w:tr>
      <w:tr>
        <w:trPr>
          <w:trHeight w:val="122"/>
        </w:trPr>
        <w:tc>
          <w:tcPr>
            <w:tcW w:w="3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Net income</w:t>
            </w:r>
          </w:p>
        </w:tc>
        <w:tc>
          <w:tcPr>
            <w:tcW w:w="7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76,560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76,560</w:t>
            </w:r>
          </w:p>
        </w:tc>
      </w:tr>
      <w:tr>
        <w:trPr>
          <w:trHeight w:val="115"/>
        </w:trPr>
        <w:tc>
          <w:tcPr>
            <w:tcW w:w="3460" w:type="dxa"/>
            <w:vAlign w:val="bottom"/>
          </w:tcPr>
          <w:p>
            <w:pPr>
              <w:ind w:left="20"/>
              <w:spacing w:after="0" w:line="115" w:lineRule="exact"/>
              <w:rPr>
                <w:sz w:val="20"/>
                <w:szCs w:val="20"/>
                <w:color w:val="auto"/>
              </w:rPr>
            </w:pPr>
            <w:r>
              <w:rPr>
                <w:rFonts w:ascii="Arial" w:cs="Arial" w:eastAsia="Arial" w:hAnsi="Arial"/>
                <w:sz w:val="11"/>
                <w:szCs w:val="11"/>
                <w:b w:val="1"/>
                <w:bCs w:val="1"/>
                <w:color w:val="auto"/>
              </w:rPr>
              <w:t>Balance, March 31, 2025</w:t>
            </w: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86,146,049</w:t>
            </w:r>
          </w:p>
        </w:tc>
        <w:tc>
          <w:tcPr>
            <w:tcW w:w="100" w:type="dxa"/>
            <w:vAlign w:val="bottom"/>
          </w:tcPr>
          <w:p>
            <w:pPr>
              <w:spacing w:after="0"/>
              <w:rPr>
                <w:sz w:val="10"/>
                <w:szCs w:val="10"/>
                <w:color w:val="auto"/>
              </w:rPr>
            </w:pPr>
          </w:p>
        </w:tc>
        <w:tc>
          <w:tcPr>
            <w:tcW w:w="28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945,902</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ind w:left="20"/>
              <w:spacing w:after="0" w:line="115" w:lineRule="exact"/>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(705,777)</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ind w:left="20"/>
              <w:spacing w:after="0" w:line="115" w:lineRule="exact"/>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305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240,439</w:t>
            </w: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CASH FLOWS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right"/>
              <w:ind w:right="368"/>
              <w:spacing w:after="0"/>
              <w:rPr>
                <w:sz w:val="20"/>
                <w:szCs w:val="20"/>
                <w:color w:val="auto"/>
              </w:rPr>
            </w:pPr>
            <w:r>
              <w:rPr>
                <w:rFonts w:ascii="Arial" w:cs="Arial" w:eastAsia="Arial" w:hAnsi="Arial"/>
                <w:sz w:val="14"/>
                <w:szCs w:val="14"/>
                <w:color w:val="auto"/>
              </w:rPr>
              <w:t>Three Months Ended</w:t>
            </w:r>
          </w:p>
        </w:tc>
      </w:tr>
      <w:tr>
        <w:trPr>
          <w:trHeight w:val="17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March 31, 2026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right"/>
              <w:ind w:right="548"/>
              <w:spacing w:after="0"/>
              <w:rPr>
                <w:sz w:val="20"/>
                <w:szCs w:val="20"/>
                <w:color w:val="auto"/>
              </w:rPr>
            </w:pPr>
            <w:r>
              <w:rPr>
                <w:rFonts w:ascii="Arial" w:cs="Arial" w:eastAsia="Arial" w:hAnsi="Arial"/>
                <w:sz w:val="14"/>
                <w:szCs w:val="14"/>
                <w:color w:val="auto"/>
              </w:rPr>
              <w:t>March 31, 2025</w:t>
            </w:r>
          </w:p>
        </w:tc>
      </w:tr>
      <w:tr>
        <w:trPr>
          <w:trHeight w:val="162"/>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r>
      <w:tr>
        <w:trPr>
          <w:trHeight w:val="162"/>
        </w:trPr>
        <w:tc>
          <w:tcPr>
            <w:tcW w:w="524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(21,645)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76,560</w:t>
            </w:r>
          </w:p>
        </w:tc>
        <w:tc>
          <w:tcPr>
            <w:tcW w:w="360" w:type="dxa"/>
            <w:vAlign w:val="bottom"/>
          </w:tcPr>
          <w:p>
            <w:pPr>
              <w:spacing w:after="0"/>
              <w:rPr>
                <w:sz w:val="14"/>
                <w:szCs w:val="14"/>
                <w:color w:val="auto"/>
              </w:rPr>
            </w:pPr>
          </w:p>
        </w:tc>
      </w:tr>
      <w:tr>
        <w:trPr>
          <w:trHeight w:val="153"/>
        </w:trPr>
        <w:tc>
          <w:tcPr>
            <w:tcW w:w="524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b w:val="1"/>
                <w:bCs w:val="1"/>
                <w:color w:val="auto"/>
              </w:rPr>
              <w:t>Adjustments to reconcile net income (loss) to net cash used in</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operating activities:</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3,004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3,221</w:t>
            </w:r>
          </w:p>
        </w:tc>
        <w:tc>
          <w:tcPr>
            <w:tcW w:w="360" w:type="dxa"/>
            <w:vAlign w:val="bottom"/>
          </w:tcPr>
          <w:p>
            <w:pPr>
              <w:spacing w:after="0"/>
              <w:rPr>
                <w:sz w:val="14"/>
                <w:szCs w:val="14"/>
                <w:color w:val="auto"/>
              </w:rPr>
            </w:pPr>
          </w:p>
        </w:tc>
      </w:tr>
      <w:tr>
        <w:trPr>
          <w:trHeight w:val="162"/>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operating lease expense (benefit)</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360" w:type="dxa"/>
            <w:vAlign w:val="bottom"/>
            <w:shd w:val="clear" w:color="auto" w:fill="CCEEFF"/>
          </w:tcPr>
          <w:p>
            <w:pPr>
              <w:spacing w:after="0"/>
              <w:rPr>
                <w:sz w:val="14"/>
                <w:szCs w:val="14"/>
                <w:color w:val="auto"/>
              </w:rPr>
            </w:pP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Stock based compensation</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1,445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2,426</w:t>
            </w:r>
          </w:p>
        </w:tc>
        <w:tc>
          <w:tcPr>
            <w:tcW w:w="360" w:type="dxa"/>
            <w:vAlign w:val="bottom"/>
          </w:tcPr>
          <w:p>
            <w:pPr>
              <w:spacing w:after="0"/>
              <w:rPr>
                <w:sz w:val="14"/>
                <w:szCs w:val="14"/>
                <w:color w:val="auto"/>
              </w:rPr>
            </w:pPr>
          </w:p>
        </w:tc>
      </w:tr>
      <w:tr>
        <w:trPr>
          <w:trHeight w:val="162"/>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Accretion of investments</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(854)</w:t>
            </w: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Change in fair value of contingent liabilities</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right"/>
              <w:ind w:right="288"/>
              <w:spacing w:after="0"/>
              <w:rPr>
                <w:sz w:val="20"/>
                <w:szCs w:val="20"/>
                <w:color w:val="auto"/>
              </w:rPr>
            </w:pPr>
            <w:r>
              <w:rPr>
                <w:rFonts w:ascii="Arial" w:cs="Arial" w:eastAsia="Arial" w:hAnsi="Arial"/>
                <w:sz w:val="14"/>
                <w:szCs w:val="14"/>
                <w:color w:val="auto"/>
              </w:rPr>
              <w:t>(238)</w:t>
            </w:r>
          </w:p>
        </w:tc>
      </w:tr>
      <w:tr>
        <w:trPr>
          <w:trHeight w:val="162"/>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Change in operating assets and liabilities:</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289</w:t>
            </w:r>
          </w:p>
        </w:tc>
        <w:tc>
          <w:tcPr>
            <w:tcW w:w="360" w:type="dxa"/>
            <w:vAlign w:val="bottom"/>
          </w:tcPr>
          <w:p>
            <w:pPr>
              <w:spacing w:after="0"/>
              <w:rPr>
                <w:sz w:val="14"/>
                <w:szCs w:val="14"/>
                <w:color w:val="auto"/>
              </w:rPr>
            </w:pPr>
          </w:p>
        </w:tc>
      </w:tr>
      <w:tr>
        <w:trPr>
          <w:trHeight w:val="162"/>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liability</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(1,154)</w:t>
            </w: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right"/>
              <w:ind w:right="288"/>
              <w:spacing w:after="0"/>
              <w:rPr>
                <w:sz w:val="20"/>
                <w:szCs w:val="20"/>
                <w:color w:val="auto"/>
              </w:rPr>
            </w:pPr>
            <w:r>
              <w:rPr>
                <w:rFonts w:ascii="Arial" w:cs="Arial" w:eastAsia="Arial" w:hAnsi="Arial"/>
                <w:sz w:val="14"/>
                <w:szCs w:val="14"/>
                <w:color w:val="auto"/>
              </w:rPr>
              <w:t>(109,164)</w:t>
            </w:r>
          </w:p>
        </w:tc>
      </w:tr>
      <w:tr>
        <w:trPr>
          <w:trHeight w:val="162"/>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360" w:type="dxa"/>
            <w:vAlign w:val="bottom"/>
            <w:shd w:val="clear" w:color="auto" w:fill="CCEEFF"/>
          </w:tcPr>
          <w:p>
            <w:pPr>
              <w:spacing w:after="0"/>
              <w:rPr>
                <w:sz w:val="14"/>
                <w:szCs w:val="14"/>
                <w:color w:val="auto"/>
              </w:rPr>
            </w:pP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(3,956)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right"/>
              <w:ind w:right="288"/>
              <w:spacing w:after="0"/>
              <w:rPr>
                <w:sz w:val="20"/>
                <w:szCs w:val="20"/>
                <w:color w:val="auto"/>
              </w:rPr>
            </w:pPr>
            <w:r>
              <w:rPr>
                <w:rFonts w:ascii="Arial" w:cs="Arial" w:eastAsia="Arial" w:hAnsi="Arial"/>
                <w:sz w:val="14"/>
                <w:szCs w:val="14"/>
                <w:color w:val="auto"/>
              </w:rPr>
              <w:t>(6,544)</w:t>
            </w:r>
          </w:p>
        </w:tc>
      </w:tr>
      <w:tr>
        <w:trPr>
          <w:trHeight w:val="162"/>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Security deposit</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r>
      <w:tr>
        <w:trPr>
          <w:trHeight w:val="156"/>
        </w:trPr>
        <w:tc>
          <w:tcPr>
            <w:tcW w:w="524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b w:val="1"/>
                <w:bCs w:val="1"/>
                <w:color w:val="auto"/>
              </w:rPr>
              <w:t>Net cash used in operating activities</w:t>
            </w:r>
          </w:p>
        </w:tc>
        <w:tc>
          <w:tcPr>
            <w:tcW w:w="1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(25,262)</w:t>
            </w:r>
          </w:p>
        </w:tc>
        <w:tc>
          <w:tcPr>
            <w:tcW w:w="24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(34,623)</w:t>
            </w:r>
          </w:p>
        </w:tc>
        <w:tc>
          <w:tcPr>
            <w:tcW w:w="360" w:type="dxa"/>
            <w:vAlign w:val="bottom"/>
            <w:tcBorders>
              <w:bottom w:val="single" w:sz="8" w:color="CCEEFF"/>
            </w:tcBorders>
          </w:tcPr>
          <w:p>
            <w:pPr>
              <w:spacing w:after="0"/>
              <w:rPr>
                <w:sz w:val="13"/>
                <w:szCs w:val="13"/>
                <w:color w:val="auto"/>
              </w:rPr>
            </w:pPr>
          </w:p>
        </w:tc>
      </w:tr>
      <w:tr>
        <w:trPr>
          <w:trHeight w:val="155"/>
        </w:trPr>
        <w:tc>
          <w:tcPr>
            <w:tcW w:w="5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r>
      <w:tr>
        <w:trPr>
          <w:trHeight w:val="162"/>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spacing w:after="0"/>
              <w:rPr>
                <w:sz w:val="14"/>
                <w:szCs w:val="14"/>
                <w:color w:val="auto"/>
              </w:rPr>
            </w:pPr>
          </w:p>
        </w:tc>
        <w:tc>
          <w:tcPr>
            <w:tcW w:w="360" w:type="dxa"/>
            <w:vAlign w:val="bottom"/>
          </w:tcPr>
          <w:p>
            <w:pPr>
              <w:jc w:val="right"/>
              <w:ind w:right="248"/>
              <w:spacing w:after="0"/>
              <w:rPr>
                <w:sz w:val="20"/>
                <w:szCs w:val="20"/>
                <w:color w:val="auto"/>
              </w:rPr>
            </w:pPr>
            <w:r>
              <w:rPr>
                <w:rFonts w:ascii="Arial" w:cs="Arial" w:eastAsia="Arial" w:hAnsi="Arial"/>
                <w:sz w:val="14"/>
                <w:szCs w:val="14"/>
                <w:color w:val="auto"/>
              </w:rPr>
              <w:t>​</w:t>
            </w:r>
          </w:p>
        </w:tc>
      </w:tr>
      <w:tr>
        <w:trPr>
          <w:trHeight w:val="162"/>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property and equipment</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(475)</w:t>
            </w:r>
          </w:p>
        </w:tc>
      </w:tr>
      <w:tr>
        <w:trPr>
          <w:trHeight w:val="162"/>
        </w:trPr>
        <w:tc>
          <w:tcPr>
            <w:tcW w:w="5240" w:type="dxa"/>
            <w:vAlign w:val="bottom"/>
          </w:tcPr>
          <w:p>
            <w:pPr>
              <w:ind w:left="120"/>
              <w:spacing w:after="0"/>
              <w:rPr>
                <w:sz w:val="20"/>
                <w:szCs w:val="20"/>
                <w:color w:val="auto"/>
              </w:rPr>
            </w:pPr>
            <w:r>
              <w:rPr>
                <w:rFonts w:ascii="Arial" w:cs="Arial" w:eastAsia="Arial" w:hAnsi="Arial"/>
                <w:sz w:val="14"/>
                <w:szCs w:val="14"/>
                <w:color w:val="auto"/>
              </w:rPr>
              <w:t>Acquisition of fixed maturity securities, available for sale</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(140,691)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right"/>
              <w:ind w:right="288"/>
              <w:spacing w:after="0"/>
              <w:rPr>
                <w:sz w:val="20"/>
                <w:szCs w:val="20"/>
                <w:color w:val="auto"/>
              </w:rPr>
            </w:pPr>
            <w:r>
              <w:rPr>
                <w:rFonts w:ascii="Arial" w:cs="Arial" w:eastAsia="Arial" w:hAnsi="Arial"/>
                <w:sz w:val="14"/>
                <w:szCs w:val="14"/>
                <w:color w:val="auto"/>
              </w:rPr>
              <w:t>(14,885)</w:t>
            </w:r>
          </w:p>
        </w:tc>
      </w:tr>
      <w:tr>
        <w:trPr>
          <w:trHeight w:val="162"/>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 of fixed maturity securities, available for sale</w:t>
            </w:r>
          </w:p>
        </w:tc>
        <w:tc>
          <w:tcPr>
            <w:tcW w:w="10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28,660</w:t>
            </w: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43,290</w:t>
            </w:r>
          </w:p>
        </w:tc>
        <w:tc>
          <w:tcPr>
            <w:tcW w:w="360" w:type="dxa"/>
            <w:vAlign w:val="bottom"/>
            <w:shd w:val="clear" w:color="auto" w:fill="CCEEFF"/>
          </w:tcPr>
          <w:p>
            <w:pPr>
              <w:spacing w:after="0"/>
              <w:rPr>
                <w:sz w:val="14"/>
                <w:szCs w:val="14"/>
                <w:color w:val="auto"/>
              </w:rPr>
            </w:pPr>
          </w:p>
        </w:tc>
      </w:tr>
      <w:tr>
        <w:trPr>
          <w:trHeight w:val="156"/>
        </w:trPr>
        <w:tc>
          <w:tcPr>
            <w:tcW w:w="52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Net cash provided (used in) by investing activities</w:t>
            </w: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(112,615)</w:t>
            </w: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27,930</w:t>
            </w:r>
          </w:p>
        </w:tc>
        <w:tc>
          <w:tcPr>
            <w:tcW w:w="360" w:type="dxa"/>
            <w:vAlign w:val="bottom"/>
            <w:tcBorders>
              <w:bottom w:val="single" w:sz="8" w:color="CCEEFF"/>
            </w:tcBorders>
          </w:tcPr>
          <w:p>
            <w:pPr>
              <w:spacing w:after="0"/>
              <w:rPr>
                <w:sz w:val="13"/>
                <w:szCs w:val="13"/>
                <w:color w:val="auto"/>
              </w:rPr>
            </w:pPr>
          </w:p>
        </w:tc>
      </w:tr>
      <w:tr>
        <w:trPr>
          <w:trHeight w:val="155"/>
        </w:trPr>
        <w:tc>
          <w:tcPr>
            <w:tcW w:w="5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r>
      <w:tr>
        <w:trPr>
          <w:trHeight w:val="162"/>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spacing w:after="0"/>
              <w:rPr>
                <w:sz w:val="14"/>
                <w:szCs w:val="14"/>
                <w:color w:val="auto"/>
              </w:rPr>
            </w:pPr>
          </w:p>
        </w:tc>
        <w:tc>
          <w:tcPr>
            <w:tcW w:w="360" w:type="dxa"/>
            <w:vAlign w:val="bottom"/>
          </w:tcPr>
          <w:p>
            <w:pPr>
              <w:jc w:val="right"/>
              <w:ind w:right="248"/>
              <w:spacing w:after="0"/>
              <w:rPr>
                <w:sz w:val="20"/>
                <w:szCs w:val="20"/>
                <w:color w:val="auto"/>
              </w:rPr>
            </w:pPr>
            <w:r>
              <w:rPr>
                <w:rFonts w:ascii="Arial" w:cs="Arial" w:eastAsia="Arial" w:hAnsi="Arial"/>
                <w:sz w:val="14"/>
                <w:szCs w:val="14"/>
                <w:color w:val="auto"/>
              </w:rPr>
              <w:t>​</w:t>
            </w:r>
          </w:p>
        </w:tc>
      </w:tr>
      <w:tr>
        <w:trPr>
          <w:trHeight w:val="162"/>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common stock and ESPP</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360" w:type="dxa"/>
            <w:vAlign w:val="bottom"/>
            <w:shd w:val="clear" w:color="auto" w:fill="CCEEFF"/>
          </w:tcPr>
          <w:p>
            <w:pPr>
              <w:spacing w:after="0"/>
              <w:rPr>
                <w:sz w:val="14"/>
                <w:szCs w:val="14"/>
                <w:color w:val="auto"/>
              </w:rPr>
            </w:pPr>
          </w:p>
        </w:tc>
      </w:tr>
      <w:tr>
        <w:trPr>
          <w:trHeight w:val="162"/>
        </w:trPr>
        <w:tc>
          <w:tcPr>
            <w:tcW w:w="5240" w:type="dxa"/>
            <w:vAlign w:val="bottom"/>
          </w:tcPr>
          <w:p>
            <w:pPr>
              <w:ind w:left="120"/>
              <w:spacing w:after="0"/>
              <w:rPr>
                <w:sz w:val="20"/>
                <w:szCs w:val="20"/>
                <w:color w:val="auto"/>
              </w:rPr>
            </w:pPr>
            <w:r>
              <w:rPr>
                <w:rFonts w:ascii="Arial" w:cs="Arial" w:eastAsia="Arial" w:hAnsi="Arial"/>
                <w:sz w:val="14"/>
                <w:szCs w:val="14"/>
                <w:color w:val="auto"/>
              </w:rPr>
              <w:t>Proceeds from PIPE, net of issuance costs</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126,421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r>
      <w:tr>
        <w:trPr>
          <w:trHeight w:val="155"/>
        </w:trPr>
        <w:tc>
          <w:tcPr>
            <w:tcW w:w="5240" w:type="dxa"/>
            <w:vAlign w:val="bottom"/>
            <w:tcBorders>
              <w:top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126,623</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120</w:t>
            </w:r>
          </w:p>
        </w:tc>
        <w:tc>
          <w:tcPr>
            <w:tcW w:w="360" w:type="dxa"/>
            <w:vAlign w:val="bottom"/>
            <w:tcBorders>
              <w:top w:val="single" w:sz="8" w:color="CCEEFF"/>
            </w:tcBorders>
            <w:shd w:val="clear" w:color="auto" w:fill="CCEEFF"/>
          </w:tcPr>
          <w:p>
            <w:pPr>
              <w:spacing w:after="0"/>
              <w:rPr>
                <w:sz w:val="13"/>
                <w:szCs w:val="13"/>
                <w:color w:val="auto"/>
              </w:rPr>
            </w:pPr>
          </w:p>
        </w:tc>
      </w:tr>
      <w:tr>
        <w:trPr>
          <w:trHeight w:val="155"/>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2"/>
        </w:trPr>
        <w:tc>
          <w:tcPr>
            <w:tcW w:w="524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(11,254)</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(6,573)</w:t>
            </w: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2"/>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65,011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61,213</w:t>
            </w:r>
          </w:p>
        </w:tc>
        <w:tc>
          <w:tcPr>
            <w:tcW w:w="360" w:type="dxa"/>
            <w:vAlign w:val="bottom"/>
            <w:shd w:val="clear" w:color="auto" w:fill="CCEEFF"/>
          </w:tcPr>
          <w:p>
            <w:pPr>
              <w:spacing w:after="0"/>
              <w:rPr>
                <w:sz w:val="14"/>
                <w:szCs w:val="14"/>
                <w:color w:val="auto"/>
              </w:rPr>
            </w:pPr>
          </w:p>
        </w:tc>
      </w:tr>
      <w:tr>
        <w:trPr>
          <w:trHeight w:val="162"/>
        </w:trPr>
        <w:tc>
          <w:tcPr>
            <w:tcW w:w="5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r>
      <w:tr>
        <w:trPr>
          <w:trHeight w:val="156"/>
        </w:trPr>
        <w:tc>
          <w:tcPr>
            <w:tcW w:w="52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Cash, cash equivalents and restricted cash, end of period</w:t>
            </w: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53,757</w:t>
            </w: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54,640</w:t>
            </w:r>
          </w:p>
        </w:tc>
        <w:tc>
          <w:tcPr>
            <w:tcW w:w="360" w:type="dxa"/>
            <w:vAlign w:val="bottom"/>
            <w:tcBorders>
              <w:bottom w:val="single" w:sz="8" w:color="CCEEFF"/>
            </w:tcBorders>
            <w:shd w:val="clear" w:color="auto" w:fill="CCEEFF"/>
          </w:tcPr>
          <w:p>
            <w:pPr>
              <w:spacing w:after="0"/>
              <w:rPr>
                <w:sz w:val="13"/>
                <w:szCs w:val="13"/>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43"/>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2"/>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62"/>
        </w:trPr>
        <w:tc>
          <w:tcPr>
            <w:tcW w:w="5240" w:type="dxa"/>
            <w:vAlign w:val="bottom"/>
          </w:tcPr>
          <w:p>
            <w:pPr>
              <w:ind w:left="140"/>
              <w:spacing w:after="0"/>
              <w:rPr>
                <w:sz w:val="20"/>
                <w:szCs w:val="20"/>
                <w:color w:val="auto"/>
              </w:rPr>
            </w:pPr>
            <w:r>
              <w:rPr>
                <w:rFonts w:ascii="Arial" w:cs="Arial" w:eastAsia="Arial" w:hAnsi="Arial"/>
                <w:sz w:val="14"/>
                <w:szCs w:val="14"/>
                <w:color w:val="auto"/>
              </w:rPr>
              <w:t>Recognition of ROU asset and lease liability at lease commencement</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5,245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w:t>
            </w:r>
          </w:p>
        </w:tc>
      </w:tr>
      <w:tr>
        <w:trPr>
          <w:trHeight w:val="162"/>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paid for income tax</w:t>
            </w:r>
          </w:p>
        </w:tc>
        <w:tc>
          <w:tcPr>
            <w:tcW w:w="10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360" w:type="dxa"/>
            <w:vAlign w:val="bottom"/>
            <w:tcBorders>
              <w:bottom w:val="single" w:sz="8" w:color="CCEEFF"/>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43"/>
        </w:trPr>
        <w:tc>
          <w:tcPr>
            <w:tcW w:w="5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5,245</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w:t>
            </w:r>
          </w:p>
        </w:tc>
        <w:tc>
          <w:tcPr>
            <w:tcW w:w="360" w:type="dxa"/>
            <w:vAlign w:val="bottom"/>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1—Organization and description of the business</w:t>
      </w:r>
    </w:p>
    <w:p>
      <w:pPr>
        <w:spacing w:after="0" w:line="17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Century Therapeutics, Inc. (the “Company”) is an innovative biotechnology company developing transformative allogeneic cell therapies to create products for the treatment of autoimmune diseases, including Type 1 diabetes, and cancer. Since inception, the Company has devoted substantially all of its time and efforts to performing research and development activities, building infrastructure and raising capital. The Company is incorporated in the state of Delaware.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210" w:lineRule="exact"/>
        <w:rPr>
          <w:sz w:val="20"/>
          <w:szCs w:val="20"/>
          <w:color w:val="auto"/>
        </w:rPr>
      </w:pPr>
    </w:p>
    <w:p>
      <w:pPr>
        <w:jc w:val="both"/>
        <w:ind w:left="60" w:right="399"/>
        <w:spacing w:after="0" w:line="253"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the Company’s subsidiaries, Clade Therapeutics (“Clade”) and Gadeta B.V. (“Gadeta”). All intercompany balances and transactions have been eliminated in consolidation.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69"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Since inception, the Company has incurred negative cash flows from operations and net losses in most periods.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three months ended March 31, 2026, the Company recognized a net loss of $21,645 and the</w:t>
      </w:r>
    </w:p>
    <w:p>
      <w:pPr>
        <w:ind w:left="60"/>
        <w:spacing w:after="0" w:line="234" w:lineRule="auto"/>
        <w:rPr>
          <w:sz w:val="20"/>
          <w:szCs w:val="20"/>
          <w:color w:val="auto"/>
        </w:rPr>
      </w:pPr>
      <w:r>
        <w:rPr>
          <w:rFonts w:ascii="Arial" w:cs="Arial" w:eastAsia="Arial" w:hAnsi="Arial"/>
          <w:sz w:val="18"/>
          <w:szCs w:val="18"/>
          <w:color w:val="auto"/>
        </w:rPr>
        <w:t>Company used $25,262 of cash in operating activities. Cash and cash equivalents and investments were</w:t>
      </w:r>
    </w:p>
    <w:p>
      <w:pPr>
        <w:ind w:left="60"/>
        <w:spacing w:after="0" w:line="235" w:lineRule="auto"/>
        <w:rPr>
          <w:sz w:val="20"/>
          <w:szCs w:val="20"/>
          <w:color w:val="auto"/>
        </w:rPr>
      </w:pPr>
      <w:r>
        <w:rPr>
          <w:rFonts w:ascii="Arial" w:cs="Arial" w:eastAsia="Arial" w:hAnsi="Arial"/>
          <w:sz w:val="18"/>
          <w:szCs w:val="18"/>
          <w:color w:val="auto"/>
        </w:rPr>
        <w:t>$216,972 at March 31, 2026. Management expects to incur additional losses in the future to fund its operations</w:t>
      </w:r>
    </w:p>
    <w:p>
      <w:pPr>
        <w:ind w:left="60"/>
        <w:spacing w:after="0" w:line="235" w:lineRule="auto"/>
        <w:rPr>
          <w:sz w:val="20"/>
          <w:szCs w:val="20"/>
          <w:color w:val="auto"/>
        </w:rPr>
      </w:pPr>
      <w:r>
        <w:rPr>
          <w:rFonts w:ascii="Arial" w:cs="Arial" w:eastAsia="Arial" w:hAnsi="Arial"/>
          <w:sz w:val="18"/>
          <w:szCs w:val="18"/>
          <w:color w:val="auto"/>
        </w:rPr>
        <w:t>and conduct product research and preclinical and clinical development and recognizes the need to raise</w:t>
      </w:r>
    </w:p>
    <w:p>
      <w:pPr>
        <w:ind w:left="60"/>
        <w:spacing w:after="0" w:line="235" w:lineRule="auto"/>
        <w:rPr>
          <w:sz w:val="20"/>
          <w:szCs w:val="20"/>
          <w:color w:val="auto"/>
        </w:rPr>
      </w:pPr>
      <w:r>
        <w:rPr>
          <w:rFonts w:ascii="Arial" w:cs="Arial" w:eastAsia="Arial" w:hAnsi="Arial"/>
          <w:sz w:val="18"/>
          <w:szCs w:val="18"/>
          <w:color w:val="auto"/>
        </w:rPr>
        <w:t>additional capital to fully implement its business plan. The Company believes it has adequate cash and financial</w:t>
      </w:r>
    </w:p>
    <w:p>
      <w:pPr>
        <w:ind w:left="60"/>
        <w:spacing w:after="0" w:line="235" w:lineRule="auto"/>
        <w:rPr>
          <w:sz w:val="20"/>
          <w:szCs w:val="20"/>
          <w:color w:val="auto"/>
        </w:rPr>
      </w:pPr>
      <w:r>
        <w:rPr>
          <w:rFonts w:ascii="Arial" w:cs="Arial" w:eastAsia="Arial" w:hAnsi="Arial"/>
          <w:sz w:val="18"/>
          <w:szCs w:val="18"/>
          <w:color w:val="auto"/>
        </w:rPr>
        <w:t>resources to operate for at least the next 12 months from the date of issuance of these consolidated financial</w:t>
      </w:r>
    </w:p>
    <w:p>
      <w:pPr>
        <w:ind w:left="60"/>
        <w:spacing w:after="0"/>
        <w:rPr>
          <w:sz w:val="20"/>
          <w:szCs w:val="20"/>
          <w:color w:val="auto"/>
        </w:rPr>
      </w:pPr>
      <w:r>
        <w:rPr>
          <w:rFonts w:ascii="Arial" w:cs="Arial" w:eastAsia="Arial" w:hAnsi="Arial"/>
          <w:sz w:val="18"/>
          <w:szCs w:val="18"/>
          <w:color w:val="auto"/>
        </w:rPr>
        <w:t>statements.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2—Summary of significant accounting policies and basis of presentation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169" w:lineRule="exact"/>
        <w:rPr>
          <w:sz w:val="20"/>
          <w:szCs w:val="20"/>
          <w:color w:val="auto"/>
        </w:rPr>
      </w:pPr>
    </w:p>
    <w:p>
      <w:pPr>
        <w:ind w:left="60" w:right="59"/>
        <w:spacing w:after="0" w:line="250"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(“U.S. GAAP”) for interim financial information and with the interim period reporting requirements of Form 10-Q and Article 10 of Regulation S-X. The consolidated balance sheet as of March 31, 2026, and the consolidated statements of operations, comprehensive income (loss), changes in stockholders’ equity and cash flows for the three months ended March 31, 2026 and 2025, are unaudited, but, in the opinion of management, include all adjustments, consisting only of normal recurring adjustments, which the Company considers necessary for a fair presentation of the financial position, operating results and cash flows for the periods presented. The results for any interim period are not necessarily</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indicative of results for the year ending December 31, 2026 or for any other subsequent interim period</w:t>
      </w:r>
      <w:r>
        <w:rPr>
          <w:rFonts w:ascii="Times New Roman" w:cs="Times New Roman" w:eastAsia="Times New Roman" w:hAnsi="Times New Roman"/>
          <w:sz w:val="21"/>
          <w:szCs w:val="21"/>
          <w:color w:val="auto"/>
        </w:rPr>
        <w:t>.</w:t>
      </w:r>
      <w:r>
        <w:rPr>
          <w:rFonts w:ascii="Arial" w:cs="Arial" w:eastAsia="Arial" w:hAnsi="Arial"/>
          <w:sz w:val="18"/>
          <w:szCs w:val="18"/>
          <w:color w:val="auto"/>
        </w:rPr>
        <w:t xml:space="preserve"> The</w:t>
      </w:r>
    </w:p>
    <w:p>
      <w:pPr>
        <w:ind w:left="60"/>
        <w:spacing w:after="0" w:line="238" w:lineRule="auto"/>
        <w:rPr>
          <w:sz w:val="20"/>
          <w:szCs w:val="20"/>
          <w:color w:val="auto"/>
        </w:rPr>
      </w:pPr>
      <w:r>
        <w:rPr>
          <w:rFonts w:ascii="Arial" w:cs="Arial" w:eastAsia="Arial" w:hAnsi="Arial"/>
          <w:sz w:val="18"/>
          <w:szCs w:val="18"/>
          <w:color w:val="auto"/>
        </w:rPr>
        <w:t>consolidated balance sheet at December 31, 2025 has been derived from the Company’s audited consolidated</w:t>
      </w:r>
    </w:p>
    <w:p>
      <w:pPr>
        <w:ind w:left="60"/>
        <w:spacing w:after="0" w:line="235" w:lineRule="auto"/>
        <w:rPr>
          <w:sz w:val="20"/>
          <w:szCs w:val="20"/>
          <w:color w:val="auto"/>
        </w:rPr>
      </w:pPr>
      <w:r>
        <w:rPr>
          <w:rFonts w:ascii="Arial" w:cs="Arial" w:eastAsia="Arial" w:hAnsi="Arial"/>
          <w:sz w:val="18"/>
          <w:szCs w:val="18"/>
          <w:color w:val="auto"/>
        </w:rPr>
        <w:t>financial statements.</w:t>
      </w:r>
    </w:p>
    <w:p>
      <w:pPr>
        <w:ind w:left="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169"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and intangible assets acquired in business combinations. If actual results differ from the Company’s estimates, or to the extent these estimates are adjusted in future periods, the Company’s results of operations could either benefit from, or be adversely affected by, any such change in estimate.</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1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March 31, 2026 and December 31, 2025, the Company has not experienced any losses on its deposits of cash and cash equivalents.</w:t>
      </w:r>
    </w:p>
    <w:p>
      <w:pPr>
        <w:spacing w:after="0" w:line="138"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36"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Products developed by the Company require clearances from the U.S. Food and Drug Administration (the “FDA”)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10"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58" w:lineRule="exact"/>
        <w:rPr>
          <w:sz w:val="20"/>
          <w:szCs w:val="20"/>
          <w:color w:val="auto"/>
        </w:rPr>
      </w:pPr>
    </w:p>
    <w:p>
      <w:pPr>
        <w:ind w:left="760" w:right="299" w:hanging="701"/>
        <w:spacing w:after="0" w:line="271"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113" w:lineRule="exact"/>
        <w:rPr>
          <w:sz w:val="20"/>
          <w:szCs w:val="20"/>
          <w:color w:val="auto"/>
        </w:rPr>
      </w:pPr>
    </w:p>
    <w:p>
      <w:pPr>
        <w:ind w:left="760" w:right="219" w:hanging="701"/>
        <w:spacing w:after="0" w:line="271"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113" w:lineRule="exact"/>
        <w:rPr>
          <w:sz w:val="20"/>
          <w:szCs w:val="20"/>
          <w:color w:val="auto"/>
        </w:rPr>
      </w:pPr>
    </w:p>
    <w:p>
      <w:pPr>
        <w:ind w:left="760" w:right="179" w:hanging="701"/>
        <w:spacing w:after="0" w:line="271"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13"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169"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169"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As of March 31, 2026 and December 31, 2025, the Company had $2,709 and $3,158, respectively, in cash on deposit to secure certain lease commitments. Restricted cash is recorded separately in the Company’s consolidated balance sheets.</w:t>
      </w:r>
    </w:p>
    <w:p>
      <w:pPr>
        <w:spacing w:after="0" w:line="128"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080" w:type="dxa"/>
            <w:vAlign w:val="bottom"/>
            <w:tcBorders>
              <w:top w:val="single" w:sz="8" w:color="auto"/>
            </w:tcBorders>
          </w:tcPr>
          <w:p>
            <w:pPr>
              <w:ind w:left="4920"/>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color w:val="auto"/>
              </w:rPr>
              <w:t>March 31, 2026</w:t>
            </w:r>
          </w:p>
        </w:tc>
        <w:tc>
          <w:tcPr>
            <w:tcW w:w="44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color w:val="auto"/>
              </w:rPr>
              <w:t>December 31, 2025</w:t>
            </w:r>
          </w:p>
        </w:tc>
      </w:tr>
      <w:tr>
        <w:trPr>
          <w:trHeight w:val="196"/>
        </w:trPr>
        <w:tc>
          <w:tcPr>
            <w:tcW w:w="50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51,048</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61,853</w:t>
            </w: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2,359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2,359</w:t>
            </w:r>
          </w:p>
        </w:tc>
      </w:tr>
      <w:tr>
        <w:trPr>
          <w:trHeight w:val="203"/>
        </w:trPr>
        <w:tc>
          <w:tcPr>
            <w:tcW w:w="5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Restricted cash included in prepaid and other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r>
      <w:tr>
        <w:trPr>
          <w:trHeight w:val="196"/>
        </w:trPr>
        <w:tc>
          <w:tcPr>
            <w:tcW w:w="508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53,757</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65,011</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183"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income (loss) on the consolidated statements of operations and comprehensive income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w:t>
      </w:r>
    </w:p>
    <w:p>
      <w:pPr>
        <w:spacing w:after="0" w:line="1" w:lineRule="exact"/>
        <w:rPr>
          <w:sz w:val="20"/>
          <w:szCs w:val="20"/>
          <w:color w:val="auto"/>
        </w:rPr>
      </w:pPr>
    </w:p>
    <w:p>
      <w:pPr>
        <w:ind w:left="60" w:right="899"/>
        <w:spacing w:after="0" w:line="250" w:lineRule="auto"/>
        <w:rPr>
          <w:sz w:val="20"/>
          <w:szCs w:val="20"/>
          <w:color w:val="auto"/>
        </w:rPr>
      </w:pPr>
      <w:r>
        <w:rPr>
          <w:rFonts w:ascii="Arial" w:cs="Arial" w:eastAsia="Arial" w:hAnsi="Arial"/>
          <w:sz w:val="18"/>
          <w:szCs w:val="18"/>
          <w:color w:val="auto"/>
        </w:rPr>
        <w:t>three months that mature within one year of the balance sheet date are classified as short-term, while investments with a maturity date greater than one year are classified as long-term.</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16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 the asset’s useful life or the remaining term of the lease. Computer software and equipment includes implementation costs for cloud-based software and network equipment.</w:t>
      </w:r>
    </w:p>
    <w:p>
      <w:pPr>
        <w:spacing w:after="0" w:line="180"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69"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18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18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Black Scholes requires inputs based on certain subjective assumptions, including (i) the expected stock price volatility, (ii) the expected term of the award, (iii) the risk-free interest rate and (iv) expected dividends. The historical volatility is calculated based on a period of time commensurate with expected term assumption.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10"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color w:val="auto"/>
        </w:rPr>
        <w:t>Warrants are accounted for in accordance with applicable accounting guidance provided in ASC Topic 815, Derivatives and Hedging—Contracts in Entity’s Own Equity, as either derivative liabilities or as equity instruments depending on the specific terms of the warrant agreement.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169"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The functional currency of Gadeta is the Euro. Assets and liabilities of Century Canada and Gadeta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from foreign currency transactions are reflected within the Company’s consolidated statements of operations and comprehensive income (loss). The Company has not utilized any foreign currency hedging strategies to mitigate the effect of its foreign currency exposure.</w:t>
      </w:r>
    </w:p>
    <w:p>
      <w:pPr>
        <w:spacing w:after="0" w:line="128"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Intercompany payables and receivables are considered to be long-term in nature and any change in balance due to foreign currency fluctuation is included as a component of the Company’s consolidated comprehensive income (loss) and accumulated other comprehensive income within the Company’s consolidated balance sheets.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income (loss) per common share</w:t>
      </w:r>
    </w:p>
    <w:p>
      <w:pPr>
        <w:spacing w:after="0" w:line="169"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Basic net income (loss) per common share is computed by dividing net income (loss) by the weighted-average number of common shares outstanding, including any pre-funded warrants to purchase shares of common stock that may be outstanding during the period. The Company computes diluted net income (loss) per common share by dividing the net income (loss) by the sum of the weighted-average number of common shares outstanding during the period plus the potential dilutive effects of its warrants, restricted stock and stock options to purchase common shares, but such items are excluded if their effect is anti-dilutive.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Acquisition-Related Contingent Consideration</w:t>
      </w:r>
    </w:p>
    <w:p>
      <w:pPr>
        <w:spacing w:after="0" w:line="21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Acquisition-related contingent consideration consist of our future obligation owed to shareholders of Clade and Gadeta and includes contingent milestone payments, earn out considerations, and indemnification obligations. Acquisition-related contingent consideration was recorded on the acquisition date at the estimated fair value of the obligation, in accordance with the acquisition method of accounting. The fair value measurement is based on significant inputs that are unobservable in the market and thus represents a Level 3 fair value measurement. The fair value of the acquisition-related contingent considerations are remeasured each reporting period, with changes in fair value recorded in the consolidated statements of operations and comprehensive income (loss) within general and administrative expense.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 Combinations</w:t>
      </w:r>
    </w:p>
    <w:p>
      <w:pPr>
        <w:spacing w:after="0" w:line="21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Company accounts for business combinations using the acquisition method of accounting in accordance with ASC 805, Business Combinations. Identifiable assets acquired and liabilities assumed are recorded at their acquisition date fair values. The excess of the fair value of purchase consideration over the fair values of the identifiable assets and liabilities is recorded as goodwill. Acquisition related costs are expensed as incurred. Upon acquisition, the accounts and results of operations are consolidated as of and subsequent to the acquisition date.</w:t>
      </w:r>
    </w:p>
    <w:p>
      <w:pPr>
        <w:spacing w:after="0" w:line="179"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When determining the fair values of assets acquired and liabilities assumed, management makes significant estimates and assumptions, especially with respect to intangible assets. The Company utilizes commonly accepted valuation techniques, such as the income approach in establishing the fair value of intangible assets.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Intangible Assets</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Indefinite-lived intangibles are carried at the initially recorded fair value less any recognized impairment. Indefinite-lived intangibles are tested at least annually for impairment. Impairment assessments are conducted more frequently if certain conditions exist, including a change in the competitive landscape, any internal decisions to pursue new or different technology strategies, or a significant change in the marketplace, including changes in the size of the market for the Company’s products. In performing the impairment test, the Company estimates the fair value of the indefinite-lived intangible asset and compares it to the carrying value. If the carrying value exceeds the estimated fair value, the Company records an impairment loss for the difference. For the three months ended March 31, 2026 and March 31, 2025, there were no impairment charges on the Company’s indefinite-lived intangible assets.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November 2024, the Financial Accounting Standards Board (“FASB”) issued Accounting Standards Update (“ASU”) 2024-03, Income Statement-Reporting Comprehensive Income-Expense Disaggregation Disclosures (Subtopic 220-40) (“ASU 2024-03”). The ASU includes enhanced disclosure requirements, which mandate transparency in financial statements by requiring detailed disclosures of specific expenses like inventory purchases, employee compensation, depreciation, and intangible asset amortization. In January 2025, the FASB issued ASU 2025-01, Income Statement – Reporting Comprehensive Income – Expense Disaggregation Disclosures (Subtopic 220-40) An Amendment of the FASB ASC, Clarifying the Effective Date, which clarifies that public business entities are required to adopt the ASU 2024-03 guidance in annual reporting periods beginning after December 15, 2026 and interim reporting periods within annual reporting periods beginning after December 15, 2027. Early adoption is permitted. The Company is currently evaluating the impact of adopting this pronouncement on the Company’s consolidated financial statements and disclosures.</w:t>
      </w: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3—Financial instruments and fair value measurements</w:t>
      </w:r>
    </w:p>
    <w:p>
      <w:pPr>
        <w:spacing w:after="0" w:line="173"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March 31, 2026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7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color w:val="auto"/>
              </w:rPr>
              <w:t>Level 1</w:t>
            </w:r>
          </w:p>
        </w:tc>
        <w:tc>
          <w:tcPr>
            <w:tcW w:w="46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color w:val="auto"/>
              </w:rPr>
              <w:t>Level 2</w:t>
            </w:r>
          </w:p>
        </w:tc>
        <w:tc>
          <w:tcPr>
            <w:tcW w:w="46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color w:val="auto"/>
              </w:rPr>
              <w:t>Level 3</w:t>
            </w:r>
          </w:p>
        </w:tc>
        <w:tc>
          <w:tcPr>
            <w:tcW w:w="50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Assets:</w:t>
            </w: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11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42,372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42,372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U.S. Treasury</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20,942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9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144,982</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144,982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42,372</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165,924</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208,296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tcPr>
          <w:p>
            <w:pPr>
              <w:ind w:left="20"/>
              <w:spacing w:after="0"/>
              <w:rPr>
                <w:sz w:val="20"/>
                <w:szCs w:val="20"/>
                <w:color w:val="auto"/>
              </w:rPr>
            </w:pPr>
            <w:r>
              <w:rPr>
                <w:rFonts w:ascii="Arial" w:cs="Arial" w:eastAsia="Arial" w:hAnsi="Arial"/>
                <w:sz w:val="18"/>
                <w:szCs w:val="18"/>
                <w:color w:val="auto"/>
              </w:rPr>
              <w:t>Liabilities:</w:t>
            </w: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Contingent consideration</w:t>
            </w:r>
          </w:p>
        </w:tc>
        <w:tc>
          <w:tcPr>
            <w:tcW w:w="9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1,939</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9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1,939</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2025,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660" w:type="dxa"/>
            <w:vAlign w:val="bottom"/>
            <w:tcBorders>
              <w:top w:val="single" w:sz="8" w:color="auto"/>
              <w:bottom w:val="single" w:sz="8" w:color="CCEEFF"/>
            </w:tcBorders>
          </w:tcPr>
          <w:p>
            <w:pPr>
              <w:ind w:left="3540"/>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color w:val="auto"/>
              </w:rPr>
              <w:t>Level 1</w:t>
            </w:r>
          </w:p>
        </w:tc>
        <w:tc>
          <w:tcPr>
            <w:tcW w:w="46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color w:val="auto"/>
              </w:rPr>
              <w:t>Level 2</w:t>
            </w:r>
          </w:p>
        </w:tc>
        <w:tc>
          <w:tcPr>
            <w:tcW w:w="46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color w:val="auto"/>
              </w:rPr>
              <w:t>Level 3</w:t>
            </w:r>
          </w:p>
        </w:tc>
        <w:tc>
          <w:tcPr>
            <w:tcW w:w="52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color w:val="auto"/>
              </w:rPr>
              <w:t>Total</w:t>
            </w:r>
          </w:p>
        </w:tc>
      </w:tr>
      <w:tr>
        <w:trPr>
          <w:trHeight w:val="196"/>
        </w:trPr>
        <w:tc>
          <w:tcPr>
            <w:tcW w:w="3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58,030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58,030</w:t>
            </w: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4,606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4,606</w:t>
            </w: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50,655</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50,655</w:t>
            </w:r>
          </w:p>
        </w:tc>
      </w:tr>
      <w:tr>
        <w:trPr>
          <w:trHeight w:val="236"/>
        </w:trPr>
        <w:tc>
          <w:tcPr>
            <w:tcW w:w="366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58,030</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55,261</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113,291</w:t>
            </w:r>
          </w:p>
        </w:tc>
      </w:tr>
      <w:tr>
        <w:trPr>
          <w:trHeight w:val="183"/>
        </w:trPr>
        <w:tc>
          <w:tcPr>
            <w:tcW w:w="36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3"/>
        </w:trPr>
        <w:tc>
          <w:tcPr>
            <w:tcW w:w="3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3,757</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3,757</w:t>
            </w:r>
          </w:p>
        </w:tc>
      </w:tr>
      <w:tr>
        <w:trPr>
          <w:trHeight w:val="196"/>
        </w:trPr>
        <w:tc>
          <w:tcPr>
            <w:tcW w:w="3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3,757</w:t>
            </w: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3,757</w:t>
            </w: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There were no transfers between levels during the period ended March 31, 2026. The Company uses the services of its investment manager, which uses widely accepted models for assumptions in valuing securities with inputs from major third-party data providers.</w:t>
      </w:r>
    </w:p>
    <w:p>
      <w:pPr>
        <w:spacing w:after="0" w:line="169"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54"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March 31, 2026:</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66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color w:val="auto"/>
              </w:rPr>
              <w:t>Gross</w:t>
            </w:r>
          </w:p>
        </w:tc>
        <w:tc>
          <w:tcPr>
            <w:tcW w:w="4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Gross</w:t>
            </w:r>
          </w:p>
        </w:tc>
        <w:tc>
          <w:tcPr>
            <w:tcW w:w="3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Unrealized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color w:val="auto"/>
              </w:rPr>
              <w:t>Amortized Cost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Gains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2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U.S. Treasury</w:t>
            </w:r>
          </w:p>
        </w:tc>
        <w:tc>
          <w:tcPr>
            <w:tcW w:w="1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20,995</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20,942</w:t>
            </w:r>
          </w:p>
        </w:tc>
      </w:tr>
      <w:tr>
        <w:trPr>
          <w:trHeight w:val="203"/>
        </w:trPr>
        <w:tc>
          <w:tcPr>
            <w:tcW w:w="2660" w:type="dxa"/>
            <w:vAlign w:val="bottom"/>
          </w:tcPr>
          <w:p>
            <w:pPr>
              <w:spacing w:after="0" w:line="202" w:lineRule="exact"/>
              <w:rPr>
                <w:sz w:val="20"/>
                <w:szCs w:val="20"/>
                <w:color w:val="auto"/>
              </w:rPr>
            </w:pPr>
            <w:r>
              <w:rPr>
                <w:rFonts w:ascii="Arial" w:cs="Arial" w:eastAsia="Arial" w:hAnsi="Arial"/>
                <w:sz w:val="18"/>
                <w:szCs w:val="18"/>
                <w:color w:val="auto"/>
              </w:rPr>
              <w:t>Corporate bonds</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145,462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144,982</w:t>
            </w:r>
          </w:p>
        </w:tc>
      </w:tr>
      <w:tr>
        <w:trPr>
          <w:trHeight w:val="196"/>
        </w:trPr>
        <w:tc>
          <w:tcPr>
            <w:tcW w:w="26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166,457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165,924</w:t>
            </w:r>
          </w:p>
        </w:tc>
      </w:tr>
      <w:tr>
        <w:trPr>
          <w:trHeight w:val="20"/>
        </w:trPr>
        <w:tc>
          <w:tcPr>
            <w:tcW w:w="2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2025:</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6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Gross</w:t>
            </w:r>
          </w:p>
        </w:tc>
        <w:tc>
          <w:tcPr>
            <w:tcW w:w="42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tcPr>
          <w:p>
            <w:pPr>
              <w:ind w:left="360"/>
              <w:spacing w:after="0"/>
              <w:rPr>
                <w:sz w:val="20"/>
                <w:szCs w:val="20"/>
                <w:color w:val="auto"/>
              </w:rPr>
            </w:pPr>
            <w:r>
              <w:rPr>
                <w:rFonts w:ascii="Arial" w:cs="Arial" w:eastAsia="Arial" w:hAnsi="Arial"/>
                <w:sz w:val="14"/>
                <w:szCs w:val="14"/>
                <w:color w:val="auto"/>
              </w:rPr>
              <w:t>Gross</w:t>
            </w:r>
          </w:p>
        </w:tc>
        <w:tc>
          <w:tcPr>
            <w:tcW w:w="38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Amortized Cost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Gains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26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1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4,604</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4,606</w:t>
            </w:r>
          </w:p>
        </w:tc>
      </w:tr>
      <w:tr>
        <w:trPr>
          <w:trHeight w:val="203"/>
        </w:trPr>
        <w:tc>
          <w:tcPr>
            <w:tcW w:w="266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50,578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50,655</w:t>
            </w:r>
          </w:p>
        </w:tc>
      </w:tr>
      <w:tr>
        <w:trPr>
          <w:trHeight w:val="196"/>
        </w:trPr>
        <w:tc>
          <w:tcPr>
            <w:tcW w:w="26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55,182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55,261</w:t>
            </w:r>
          </w:p>
        </w:tc>
      </w:tr>
      <w:tr>
        <w:trPr>
          <w:trHeight w:val="20"/>
        </w:trPr>
        <w:tc>
          <w:tcPr>
            <w:tcW w:w="2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maturities of our fixed maturity available-for-sale securities: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080" w:type="dxa"/>
            <w:vAlign w:val="bottom"/>
            <w:tcBorders>
              <w:top w:val="single" w:sz="8" w:color="auto"/>
            </w:tcBorders>
          </w:tcPr>
          <w:p>
            <w:pPr>
              <w:ind w:left="486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color w:val="auto"/>
              </w:rPr>
              <w:t>March 31, 2026</w:t>
            </w:r>
          </w:p>
        </w:tc>
        <w:tc>
          <w:tcPr>
            <w:tcW w:w="50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color w:val="auto"/>
              </w:rPr>
              <w:t>December 31, 2025</w:t>
            </w:r>
          </w:p>
        </w:tc>
      </w:tr>
      <w:tr>
        <w:trPr>
          <w:trHeight w:val="196"/>
        </w:trPr>
        <w:tc>
          <w:tcPr>
            <w:tcW w:w="50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Less than one year</w:t>
            </w: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83,755</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55,261</w:t>
            </w:r>
          </w:p>
        </w:tc>
      </w:tr>
      <w:tr>
        <w:trPr>
          <w:trHeight w:val="203"/>
        </w:trPr>
        <w:tc>
          <w:tcPr>
            <w:tcW w:w="50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One to five years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82,169</w:t>
            </w: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165,924</w:t>
            </w: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55,261</w:t>
            </w:r>
          </w:p>
        </w:tc>
      </w:tr>
    </w:tbl>
    <w:p>
      <w:pPr>
        <w:spacing w:after="0" w:line="18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74" w:lineRule="exact"/>
        <w:rPr>
          <w:sz w:val="20"/>
          <w:szCs w:val="20"/>
          <w:color w:val="auto"/>
        </w:rPr>
      </w:pPr>
    </w:p>
    <w:p>
      <w:pPr>
        <w:jc w:val="both"/>
        <w:ind w:left="60" w:right="259"/>
        <w:spacing w:after="0" w:line="275" w:lineRule="auto"/>
        <w:rPr>
          <w:sz w:val="20"/>
          <w:szCs w:val="20"/>
          <w:color w:val="auto"/>
        </w:rPr>
      </w:pPr>
      <w:r>
        <w:rPr>
          <w:rFonts w:ascii="Arial" w:cs="Arial" w:eastAsia="Arial" w:hAnsi="Arial"/>
          <w:sz w:val="17"/>
          <w:szCs w:val="17"/>
          <w:color w:val="auto"/>
        </w:rPr>
        <w:t>At March 31, 2026 and December 31, 2025, the Company had 157 and 17 available-for-sale investment debt securities in an unrealized loss position without an allowance for credit losses, respectively. Unrealized losses on corporate debt securities have not been recognized into income because the issuers’ bonds are of high</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credit quality (rated BBB+ or higher) and the decline in fair value is largely due to market conditions and or changes in interest rates. Management does not intend to sell and it is likely that management will not be required to sell the securities prior to the anticipated recovery of their amortized cost basis. The issuers continue to make timely payments on the bonds. The fair value is expected to recover as the bonds approach maturity.</w:t>
      </w:r>
    </w:p>
    <w:p>
      <w:pPr>
        <w:spacing w:after="0" w:line="176" w:lineRule="exact"/>
        <w:rPr>
          <w:sz w:val="20"/>
          <w:szCs w:val="20"/>
          <w:color w:val="auto"/>
        </w:rPr>
      </w:pPr>
    </w:p>
    <w:p>
      <w:pPr>
        <w:jc w:val="both"/>
        <w:ind w:left="60" w:right="439"/>
        <w:spacing w:after="0" w:line="253" w:lineRule="auto"/>
        <w:rPr>
          <w:sz w:val="20"/>
          <w:szCs w:val="20"/>
          <w:color w:val="auto"/>
        </w:rPr>
      </w:pPr>
      <w:r>
        <w:rPr>
          <w:rFonts w:ascii="Arial" w:cs="Arial" w:eastAsia="Arial" w:hAnsi="Arial"/>
          <w:sz w:val="18"/>
          <w:szCs w:val="18"/>
          <w:color w:val="auto"/>
        </w:rPr>
        <w:t>As of March 31, 2026 and December 31, 2025, accrued interest receivable on available-for-sale investment debt securities totaling $1,373 and $393, respectively, is excluded from the estimate of credit losses and is included in prepaid expenses and other current assets.</w:t>
      </w:r>
    </w:p>
    <w:p>
      <w:pPr>
        <w:spacing w:after="0" w:line="169"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following is a rollforward of the components of the Company’s contingent consideration liability (See Note 7 – Commitments and contingencies):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Milestone</w:t>
            </w: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as of December 31, 2025</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03"/>
        </w:trPr>
        <w:tc>
          <w:tcPr>
            <w:tcW w:w="30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Changes in fair value</w:t>
            </w:r>
          </w:p>
        </w:tc>
        <w:tc>
          <w:tcPr>
            <w:tcW w:w="2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as of March 31, 2026</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Gadeta</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rPr>
              <w:t>Holdback Shares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6"/>
          </w:tcPr>
          <w:p>
            <w:pPr>
              <w:ind w:left="140"/>
              <w:spacing w:after="0"/>
              <w:rPr>
                <w:sz w:val="20"/>
                <w:szCs w:val="20"/>
                <w:color w:val="auto"/>
              </w:rPr>
            </w:pPr>
            <w:r>
              <w:rPr>
                <w:rFonts w:ascii="Arial" w:cs="Arial" w:eastAsia="Arial" w:hAnsi="Arial"/>
                <w:sz w:val="18"/>
                <w:szCs w:val="18"/>
                <w:color w:val="auto"/>
              </w:rPr>
              <w:t>Milestone</w:t>
            </w:r>
          </w:p>
        </w:tc>
        <w:tc>
          <w:tcPr>
            <w:tcW w:w="540" w:type="dxa"/>
            <w:vAlign w:val="bottom"/>
          </w:tcPr>
          <w:p>
            <w:pPr>
              <w:spacing w:after="0"/>
              <w:rPr>
                <w:sz w:val="24"/>
                <w:szCs w:val="24"/>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as of December 31, 2024</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625</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7,700</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Changes in fair value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as of March 31, 2025</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7,798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900" w:type="dxa"/>
            <w:vAlign w:val="bottom"/>
            <w:gridSpan w:val="19"/>
          </w:tcPr>
          <w:p>
            <w:pPr>
              <w:ind w:left="20"/>
              <w:spacing w:after="0"/>
              <w:rPr>
                <w:sz w:val="20"/>
                <w:szCs w:val="20"/>
                <w:color w:val="auto"/>
              </w:rPr>
            </w:pPr>
            <w:r>
              <w:rPr>
                <w:rFonts w:ascii="Arial" w:cs="Arial" w:eastAsia="Arial" w:hAnsi="Arial"/>
                <w:sz w:val="18"/>
                <w:szCs w:val="18"/>
                <w:color w:val="auto"/>
              </w:rPr>
              <w:t>The change in fair value is recorded as general and administrative expense. The following table includes</w:t>
            </w:r>
          </w:p>
        </w:tc>
        <w:tc>
          <w:tcPr>
            <w:tcW w:w="0" w:type="dxa"/>
            <w:vAlign w:val="bottom"/>
          </w:tcPr>
          <w:p>
            <w:pPr>
              <w:spacing w:after="0"/>
              <w:rPr>
                <w:sz w:val="1"/>
                <w:szCs w:val="1"/>
                <w:color w:val="auto"/>
              </w:rPr>
            </w:pPr>
          </w:p>
        </w:tc>
      </w:tr>
      <w:tr>
        <w:trPr>
          <w:trHeight w:val="203"/>
        </w:trPr>
        <w:tc>
          <w:tcPr>
            <w:tcW w:w="8220" w:type="dxa"/>
            <w:vAlign w:val="bottom"/>
            <w:gridSpan w:val="18"/>
          </w:tcPr>
          <w:p>
            <w:pPr>
              <w:ind w:left="20"/>
              <w:spacing w:after="0" w:line="202" w:lineRule="exact"/>
              <w:rPr>
                <w:sz w:val="20"/>
                <w:szCs w:val="20"/>
                <w:color w:val="auto"/>
              </w:rPr>
            </w:pPr>
            <w:r>
              <w:rPr>
                <w:rFonts w:ascii="Arial" w:cs="Arial" w:eastAsia="Arial" w:hAnsi="Arial"/>
                <w:sz w:val="18"/>
                <w:szCs w:val="18"/>
                <w:color w:val="auto"/>
                <w:w w:val="99"/>
              </w:rPr>
              <w:t>quantitative information about the significant unobservable inputs for the components of the Company’s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680" w:type="dxa"/>
            <w:vAlign w:val="bottom"/>
            <w:gridSpan w:val="17"/>
          </w:tcPr>
          <w:p>
            <w:pPr>
              <w:ind w:left="20"/>
              <w:spacing w:after="0"/>
              <w:rPr>
                <w:sz w:val="20"/>
                <w:szCs w:val="20"/>
                <w:color w:val="auto"/>
              </w:rPr>
            </w:pPr>
            <w:r>
              <w:rPr>
                <w:rFonts w:ascii="Arial" w:cs="Arial" w:eastAsia="Arial" w:hAnsi="Arial"/>
                <w:sz w:val="18"/>
                <w:szCs w:val="18"/>
                <w:color w:val="auto"/>
              </w:rPr>
              <w:t>contingent consideration liability as of March 31, 2026, and December 31, 2025, respectively:</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5"/>
        </w:trPr>
        <w:tc>
          <w:tcPr>
            <w:tcW w:w="3020" w:type="dxa"/>
            <w:vAlign w:val="bottom"/>
            <w:vMerge w:val="restart"/>
          </w:tcPr>
          <w:p>
            <w:pPr>
              <w:ind w:left="20"/>
              <w:spacing w:after="0"/>
              <w:rPr>
                <w:sz w:val="20"/>
                <w:szCs w:val="20"/>
                <w:color w:val="auto"/>
              </w:rPr>
            </w:pPr>
            <w:r>
              <w:rPr>
                <w:rFonts w:ascii="Arial" w:cs="Arial" w:eastAsia="Arial" w:hAnsi="Arial"/>
                <w:sz w:val="18"/>
                <w:szCs w:val="18"/>
                <w:color w:val="auto"/>
              </w:rPr>
              <w:t>Milestone: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March 31, 2026</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color w:val="auto"/>
                <w:w w:val="99"/>
              </w:rPr>
              <w:t>December 31, 2025</w:t>
            </w:r>
          </w:p>
        </w:tc>
        <w:tc>
          <w:tcPr>
            <w:tcW w:w="0" w:type="dxa"/>
            <w:vAlign w:val="bottom"/>
          </w:tcPr>
          <w:p>
            <w:pPr>
              <w:spacing w:after="0"/>
              <w:rPr>
                <w:sz w:val="1"/>
                <w:szCs w:val="1"/>
                <w:color w:val="auto"/>
              </w:rPr>
            </w:pPr>
          </w:p>
        </w:tc>
      </w:tr>
      <w:tr>
        <w:trPr>
          <w:trHeight w:val="196"/>
        </w:trPr>
        <w:tc>
          <w:tcPr>
            <w:tcW w:w="3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Probability adjusted value of payments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center"/>
              <w:ind w:left="314"/>
              <w:spacing w:after="0" w:line="202" w:lineRule="exact"/>
              <w:rPr>
                <w:sz w:val="20"/>
                <w:szCs w:val="20"/>
                <w:color w:val="auto"/>
              </w:rPr>
            </w:pPr>
            <w:r>
              <w:rPr>
                <w:rFonts w:ascii="Arial" w:cs="Arial" w:eastAsia="Arial" w:hAnsi="Arial"/>
                <w:sz w:val="18"/>
                <w:szCs w:val="18"/>
                <w:color w:val="auto"/>
                <w:w w:val="97"/>
              </w:rPr>
              <w:t>4,000</w:t>
            </w:r>
          </w:p>
        </w:tc>
        <w:tc>
          <w:tcPr>
            <w:tcW w:w="14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4,000</w:t>
            </w: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ind w:left="20"/>
              <w:spacing w:after="0" w:line="202" w:lineRule="exact"/>
              <w:rPr>
                <w:sz w:val="20"/>
                <w:szCs w:val="20"/>
                <w:color w:val="auto"/>
              </w:rPr>
            </w:pPr>
            <w:r>
              <w:rPr>
                <w:rFonts w:ascii="Arial" w:cs="Arial" w:eastAsia="Arial" w:hAnsi="Arial"/>
                <w:sz w:val="18"/>
                <w:szCs w:val="18"/>
                <w:color w:val="auto"/>
              </w:rPr>
              <w:t>Discount rate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left="314"/>
              <w:spacing w:after="0" w:line="202" w:lineRule="exact"/>
              <w:rPr>
                <w:sz w:val="20"/>
                <w:szCs w:val="20"/>
                <w:color w:val="auto"/>
              </w:rPr>
            </w:pPr>
            <w:r>
              <w:rPr>
                <w:rFonts w:ascii="Arial" w:cs="Arial" w:eastAsia="Arial" w:hAnsi="Arial"/>
                <w:sz w:val="18"/>
                <w:szCs w:val="18"/>
                <w:color w:val="auto"/>
                <w:w w:val="93"/>
              </w:rPr>
              <w:t>11.2%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center"/>
              <w:spacing w:after="0" w:line="202" w:lineRule="exact"/>
              <w:rPr>
                <w:sz w:val="20"/>
                <w:szCs w:val="20"/>
                <w:color w:val="auto"/>
              </w:rPr>
            </w:pPr>
            <w:r>
              <w:rPr>
                <w:rFonts w:ascii="Arial" w:cs="Arial" w:eastAsia="Arial" w:hAnsi="Arial"/>
                <w:sz w:val="18"/>
                <w:szCs w:val="18"/>
                <w:color w:val="auto"/>
                <w:w w:val="97"/>
              </w:rPr>
              <w:t>11.2%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Discount period (years)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373"/>
              <w:spacing w:after="0" w:line="202" w:lineRule="exact"/>
              <w:rPr>
                <w:sz w:val="20"/>
                <w:szCs w:val="20"/>
                <w:color w:val="auto"/>
              </w:rPr>
            </w:pPr>
            <w:r>
              <w:rPr>
                <w:rFonts w:ascii="Arial" w:cs="Arial" w:eastAsia="Arial" w:hAnsi="Arial"/>
                <w:sz w:val="18"/>
                <w:szCs w:val="18"/>
                <w:color w:val="auto"/>
                <w:w w:val="95"/>
              </w:rPr>
              <w:t>0.3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0.5</w:t>
            </w: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89"/>
        </w:trPr>
        <w:tc>
          <w:tcPr>
            <w:tcW w:w="4360" w:type="dxa"/>
            <w:vAlign w:val="bottom"/>
            <w:gridSpan w:val="4"/>
          </w:tcPr>
          <w:p>
            <w:pPr>
              <w:ind w:left="20"/>
              <w:spacing w:after="0"/>
              <w:rPr>
                <w:sz w:val="20"/>
                <w:szCs w:val="20"/>
                <w:color w:val="auto"/>
              </w:rPr>
            </w:pPr>
            <w:r>
              <w:rPr>
                <w:rFonts w:ascii="Arial" w:cs="Arial" w:eastAsia="Arial" w:hAnsi="Arial"/>
                <w:sz w:val="22"/>
                <w:szCs w:val="22"/>
                <w:color w:val="auto"/>
              </w:rPr>
              <w:t>Note 4—Property and equipment, net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460" w:type="dxa"/>
            <w:vAlign w:val="bottom"/>
            <w:gridSpan w:val="7"/>
          </w:tcPr>
          <w:p>
            <w:pPr>
              <w:ind w:left="20"/>
              <w:spacing w:after="0"/>
              <w:rPr>
                <w:sz w:val="20"/>
                <w:szCs w:val="20"/>
                <w:color w:val="auto"/>
              </w:rPr>
            </w:pPr>
            <w:r>
              <w:rPr>
                <w:rFonts w:ascii="Arial" w:cs="Arial" w:eastAsia="Arial" w:hAnsi="Arial"/>
                <w:sz w:val="18"/>
                <w:szCs w:val="18"/>
                <w:color w:val="auto"/>
              </w:rPr>
              <w:t>The following is a summary of property and equipment, net:</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ind w:left="620"/>
              <w:spacing w:after="0"/>
              <w:rPr>
                <w:sz w:val="20"/>
                <w:szCs w:val="20"/>
                <w:color w:val="auto"/>
              </w:rPr>
            </w:pPr>
            <w:r>
              <w:rPr>
                <w:rFonts w:ascii="Arial" w:cs="Arial" w:eastAsia="Arial" w:hAnsi="Arial"/>
                <w:sz w:val="14"/>
                <w:szCs w:val="14"/>
                <w:b w:val="1"/>
                <w:bCs w:val="1"/>
                <w:color w:val="auto"/>
              </w:rPr>
              <w:t>​​​​</w:t>
            </w:r>
          </w:p>
        </w:tc>
        <w:tc>
          <w:tcPr>
            <w:tcW w:w="1580" w:type="dxa"/>
            <w:vAlign w:val="bottom"/>
            <w:gridSpan w:val="7"/>
          </w:tcPr>
          <w:p>
            <w:pPr>
              <w:ind w:left="280"/>
              <w:spacing w:after="0"/>
              <w:rPr>
                <w:sz w:val="20"/>
                <w:szCs w:val="20"/>
                <w:color w:val="auto"/>
              </w:rPr>
            </w:pPr>
            <w:r>
              <w:rPr>
                <w:rFonts w:ascii="Arial" w:cs="Arial" w:eastAsia="Arial" w:hAnsi="Arial"/>
                <w:sz w:val="14"/>
                <w:szCs w:val="14"/>
                <w:color w:val="auto"/>
              </w:rPr>
              <w:t>March 31, 2026</w:t>
            </w:r>
          </w:p>
        </w:tc>
        <w:tc>
          <w:tcPr>
            <w:tcW w:w="186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December 31, 2025</w:t>
            </w: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53"/>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gridSpan w:val="4"/>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33,268</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32,695</w:t>
            </w:r>
          </w:p>
        </w:tc>
        <w:tc>
          <w:tcPr>
            <w:tcW w:w="0" w:type="dxa"/>
            <w:vAlign w:val="bottom"/>
          </w:tcPr>
          <w:p>
            <w:pPr>
              <w:spacing w:after="0"/>
              <w:rPr>
                <w:sz w:val="1"/>
                <w:szCs w:val="1"/>
                <w:color w:val="auto"/>
              </w:rPr>
            </w:pPr>
          </w:p>
        </w:tc>
      </w:tr>
      <w:tr>
        <w:trPr>
          <w:trHeight w:val="203"/>
        </w:trPr>
        <w:tc>
          <w:tcPr>
            <w:tcW w:w="302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61,647</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61,647</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3020" w:type="dxa"/>
            <w:vAlign w:val="bottom"/>
          </w:tcPr>
          <w:p>
            <w:pPr>
              <w:ind w:left="20"/>
              <w:spacing w:after="0" w:line="202" w:lineRule="exact"/>
              <w:rPr>
                <w:sz w:val="20"/>
                <w:szCs w:val="20"/>
                <w:color w:val="auto"/>
              </w:rPr>
            </w:pPr>
            <w:r>
              <w:rPr>
                <w:rFonts w:ascii="Arial" w:cs="Arial" w:eastAsia="Arial" w:hAnsi="Arial"/>
                <w:sz w:val="18"/>
                <w:szCs w:val="18"/>
                <w:color w:val="auto"/>
              </w:rPr>
              <w:t>Computer software and equipment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2,958</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1,221</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196"/>
        </w:trPr>
        <w:tc>
          <w:tcPr>
            <w:tcW w:w="30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4"/>
          </w:tcPr>
          <w:p>
            <w:pPr>
              <w:jc w:val="right"/>
              <w:ind w:right="60"/>
              <w:spacing w:after="0" w:line="196" w:lineRule="exact"/>
              <w:rPr>
                <w:sz w:val="20"/>
                <w:szCs w:val="20"/>
                <w:color w:val="auto"/>
              </w:rPr>
            </w:pPr>
            <w:r>
              <w:rPr>
                <w:rFonts w:ascii="Arial" w:cs="Arial" w:eastAsia="Arial" w:hAnsi="Arial"/>
                <w:sz w:val="18"/>
                <w:szCs w:val="18"/>
                <w:color w:val="auto"/>
              </w:rPr>
              <w:t>99,210</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98,626</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(51,604)</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(48,600)</w:t>
            </w:r>
          </w:p>
        </w:tc>
        <w:tc>
          <w:tcPr>
            <w:tcW w:w="0" w:type="dxa"/>
            <w:vAlign w:val="bottom"/>
          </w:tcPr>
          <w:p>
            <w:pPr>
              <w:spacing w:after="0"/>
              <w:rPr>
                <w:sz w:val="1"/>
                <w:szCs w:val="1"/>
                <w:color w:val="auto"/>
              </w:rPr>
            </w:pPr>
          </w:p>
        </w:tc>
      </w:tr>
      <w:tr>
        <w:trPr>
          <w:trHeight w:val="196"/>
        </w:trPr>
        <w:tc>
          <w:tcPr>
            <w:tcW w:w="3020" w:type="dxa"/>
            <w:vAlign w:val="bottom"/>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53"/>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gridSpan w:val="4"/>
          </w:tcPr>
          <w:p>
            <w:pPr>
              <w:jc w:val="right"/>
              <w:ind w:right="60"/>
              <w:spacing w:after="0" w:line="196" w:lineRule="exact"/>
              <w:rPr>
                <w:sz w:val="20"/>
                <w:szCs w:val="20"/>
                <w:color w:val="auto"/>
              </w:rPr>
            </w:pPr>
            <w:r>
              <w:rPr>
                <w:rFonts w:ascii="Arial" w:cs="Arial" w:eastAsia="Arial" w:hAnsi="Arial"/>
                <w:sz w:val="18"/>
                <w:szCs w:val="18"/>
                <w:color w:val="auto"/>
              </w:rPr>
              <w:t>47,606</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50,026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939"/>
        <w:spacing w:after="0" w:line="271" w:lineRule="auto"/>
        <w:rPr>
          <w:sz w:val="20"/>
          <w:szCs w:val="20"/>
          <w:color w:val="auto"/>
        </w:rPr>
      </w:pPr>
      <w:r>
        <w:rPr>
          <w:rFonts w:ascii="Arial" w:cs="Arial" w:eastAsia="Arial" w:hAnsi="Arial"/>
          <w:sz w:val="18"/>
          <w:szCs w:val="18"/>
          <w:color w:val="auto"/>
        </w:rPr>
        <w:t>Depreciation expense was $3,004 and $3,221 for the three months ended March 31, 2026 and 2025, respectively.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5—Accrued expenses and other liabilities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6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March 31, 2026</w:t>
            </w: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December 31, 2025</w:t>
            </w:r>
          </w:p>
        </w:tc>
        <w:tc>
          <w:tcPr>
            <w:tcW w:w="0" w:type="dxa"/>
            <w:vAlign w:val="bottom"/>
          </w:tcPr>
          <w:p>
            <w:pPr>
              <w:spacing w:after="0"/>
              <w:rPr>
                <w:sz w:val="1"/>
                <w:szCs w:val="1"/>
                <w:color w:val="auto"/>
              </w:rPr>
            </w:pPr>
          </w:p>
        </w:tc>
      </w:tr>
      <w:tr>
        <w:trPr>
          <w:trHeight w:val="20"/>
        </w:trPr>
        <w:tc>
          <w:tcPr>
            <w:tcW w:w="48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Payroll and bonuses</w:t>
            </w:r>
          </w:p>
        </w:tc>
        <w:tc>
          <w:tcPr>
            <w:tcW w:w="15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1,494</w:t>
            </w:r>
          </w:p>
        </w:tc>
        <w:tc>
          <w:tcPr>
            <w:tcW w:w="540" w:type="dxa"/>
            <w:vAlign w:val="bottom"/>
            <w:gridSpan w:val="2"/>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02"/>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Accrued clinical trial related costs</w:t>
            </w: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1,038</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Professional and legal fees</w:t>
            </w:r>
          </w:p>
        </w:tc>
        <w:tc>
          <w:tcPr>
            <w:tcW w:w="1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1,862</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03"/>
        </w:trPr>
        <w:tc>
          <w:tcPr>
            <w:tcW w:w="48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Operating lease liability, current</w:t>
            </w:r>
          </w:p>
        </w:tc>
        <w:tc>
          <w:tcPr>
            <w:tcW w:w="15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4,083</w:t>
            </w: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15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right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8,477</w:t>
            </w:r>
          </w:p>
        </w:tc>
        <w:tc>
          <w:tcPr>
            <w:tcW w:w="1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11,676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6—Bristol-Myers Squibb Collaboration</w:t>
      </w:r>
    </w:p>
    <w:p>
      <w:pPr>
        <w:spacing w:after="0" w:line="214"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On January 7, 2022, the Company entered into the Collaboration Agreement with Bristol-Myers Squibb to collaborate on the research, development and commercialization of iNK and iT cell programs for hematologic malignancies and solid tumors . The Collaboration Agreement was within the scope of ASC 808, Collaborative Arrangements, as both parties were active participants in the arrangement and are exposed to significant risks and rewards. While this arrangement was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spacing w:after="0" w:line="18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Following an internal corporate portfolio prioritization process, Bristol-Myers Squibb notified the Company on December 12, 2024 that it would be terminating the Collaboration Agreement in its entirety without cause. The termination was effective on March 12, 2025. As a result of the notice of termination, the Company concluded that the research and development services being provided to Bristol-Myers Squibb were substantially complete as of December 31, 2024, and accordingly, the remaining transaction price allocated to that performance obligation was recorded in the fourth quarter of 2024. The remaining transaction price related to the license option rights, which represented a material right of $109,164 was recognized in the first quarter of 2025 when the option right expired upon the termination of the Collaboration Agreement. There will be no future collaboration revenues recognized under the Collaboration Agreement.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7—Commitments and contingencies</w:t>
      </w:r>
    </w:p>
    <w:p>
      <w:pPr>
        <w:spacing w:after="0" w:line="187"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Agreements</w:t>
      </w:r>
    </w:p>
    <w:p>
      <w:pPr>
        <w:spacing w:after="0" w:line="169"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Company owns a non-exclusive license agreement with FujiFilm Cellular Dynamics, Inc. (“FCDI”). The license provides the Company with certain patents and know-how related to the reprogramming of human somatic cells to induce pluripotent stem cells (“iPSCs”) (“Reprogramming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5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Company also owns an exclusive license agreement with FCDI (“Differentiation Licenses Agreement”). The Differentiation Licenses Agreement provides the Company with patents and know-how related to human iPSC exclusively manufactured by FCDI.</w:t>
      </w:r>
    </w:p>
    <w:p>
      <w:pPr>
        <w:spacing w:after="0" w:line="128"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In October 2019, the Company entered into the Master Collaboration Agreement with FCDI (“Collaboration Agreement”), whereby FCDI provides certain services to the Company to develop and manufacture iPSCs and immune cells derived therefrom. FCDI provides services in accordance with the approved research plan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and related research budget. The initial research plan covered the period from October 2019 through March 31, 2022. In July, 2022 the Company amended the Collaboration Agreement to extend the term through September 30, 2025, and in September 2023, the Company amended the Collaboration Agreement in connection with the Autoimmune License (as defined below).</w:t>
      </w:r>
    </w:p>
    <w:p>
      <w:pPr>
        <w:spacing w:after="0" w:line="133"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In March 2021, the Company entered into a Manufacturing Agreement with FCDI (“Manufacturing Agreement”), pursuant to which FCDI provides certain agreed upon technology transfer, process development, analytical testing and cGMP manufacturing services to the Company.</w:t>
      </w:r>
    </w:p>
    <w:p>
      <w:pPr>
        <w:spacing w:after="0" w:line="142"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 January 2022, the Company and FCDI entered into a letter agreement (the “Letter Agreement”), which amended the Reprogramming License Agreement, Differentiation License Agreement and Manufacturing Agreement (the “FCDI Agreements”) pursuant to the Company’s Research Collaboration and License Agreement with Bristol-Myers Squibb. Pursuant to the Letter Agreement, and in consideration for amending the FCDI Agreements, the Company paid to FCDI an upfront payment of $10,000 and will pay FCDI (i) a percentage of any milestone payments received by the Company under the FCDI Collaboration Agreement in respect of achievement of development or regulatory milestones specific to Japan, and (ii) a percentage of all royalties received by the Company under the FCDI Collaboration Agreement in respect of sales of products in Japan.</w:t>
      </w:r>
    </w:p>
    <w:p>
      <w:pPr>
        <w:spacing w:after="0" w:line="143"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September 2023 the Company and FCDI entered into a worldwide license agreement whereby FCDI will grant non-exclusive licenses to the Company for certain patent rights and know-how related to cell differentiation and reprogramming for the development and commercialization of iPSC-derived therapies for the treatment of inflammatory and autoimmune diseases (the “Autoimmune License”). In addition, the Company and FCDI entered into an amendment to each of the Reprogramming License and the Differentiation License to expand the licenses related to the development and commercialization of iPSC-derived cancer immunotherapeutic to also include inflammatory and autoimmune diseases. Under the terms of these agreements, FCDI will be eligible to receive certain development and regulatory milestone payments as well as low single-digit royalties related to products developed in connection with such agreements.</w:t>
      </w:r>
    </w:p>
    <w:p>
      <w:pPr>
        <w:spacing w:after="0" w:line="143"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During the three months ended March 31, 2026 and 2025 the Company made payments of $0 and $1,517 and incurred research and development expenses of $0 and $1,492, respectively, recorded within research and development expenses in its consolidated statements of operations and comprehensive income (loss).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171"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“Master Service Agreement”).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w:t>
      </w:r>
    </w:p>
    <w:p>
      <w:pPr>
        <w:spacing w:after="0" w:line="138"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The Company had $0 within accounts payable as of March 31, 2026 and December 31, 2025, in its consolidated balance sheets related to the Master Service Agreement. During the three months ended March 31, 2026 and 2025, there were $0 and $66 in research and development expenses, respectively, related to this arrangement.</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171"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receive payments of up to $4,250 in development and regulatory approval milestone payments. No milestones or royalties were due as of March 31, 2026 or March 31, 2025.</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Clade Therapeutics</w:t>
      </w:r>
    </w:p>
    <w:p>
      <w:pPr>
        <w:spacing w:after="0" w:line="212"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In connection with the acquisition of Clade Therapeutics in 2024, the Company is subject to a contingent milestone payment to the shareholders of Clade. The milestone payment is $10,000 and is payable in cash, shares of Century, or a combination thereof, at the discretion of Century.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Catalent Dusseldorf GmbH</w:t>
      </w:r>
    </w:p>
    <w:p>
      <w:pPr>
        <w:spacing w:after="0" w:line="171"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December 12, 2022, Clade entered into a non-exclusive license agreement with Catalent Dusseldorf GmbH (“Catalent”), which was subsequently amended in March 2026, pursuant to which Catalent granted Clade a worldwide, non-exclusive, non-transferrable, royalty-bearing license under all rights owned or controlled by Catalent to one of its GMP-grade iPSC cell lines derived from human cord blood CD34+ cells, to develop, have developed, make, have made, use, have used, sell, offer for sale, have sold, distribute, have distributed, import, have imported and otherwise exploit or have exploited cell therapy products. The license (as amended, the “Catalent License”), permits the genetic modification of the licensed cell line and the development and commercialization of resulting cell therapy products for any indication. We have a right to use the Catalent License as a result of our acquisition of Clade.</w:t>
      </w:r>
    </w:p>
    <w:p>
      <w:pPr>
        <w:spacing w:after="0" w:line="143"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Under the Catalent License, we may grant sublicenses to third parties to develop, manufacture and commercialize resulting products, but we may not sublicense the original cell line itself. Catalent retains ownership of the original cell line, and we own the modified cells and resulting products that we make from the original cell line, subject to certain restrictions and limited rights granted back to Catalent.</w:t>
      </w:r>
    </w:p>
    <w:p>
      <w:pPr>
        <w:spacing w:after="0" w:line="14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consideration for the rights granted, Clade paid Catalent an upfront fee. We are also required to pay certain product-by-product milestone payments upon the achievement of certain development and regulatory milestones up to an aggregate of $16.2 million or $12.15 million depending on the product. We additionally agreed to pay royalties equal to a low single digit percentage of net sales of each product during a defined royalty term, after which royalty term the license automatically becomes fully paid-up, perpetual, irrevocable and royalty-free. We also agreed to pay annual minimum fees during a defined period, with milestone payments and royalties paid in a calendar year creditable against the annual minimum fees payable for the same calendar year.</w:t>
      </w:r>
    </w:p>
    <w:p>
      <w:pPr>
        <w:spacing w:after="0" w:line="180"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The agreement remains in effect until terminated and may be terminated by us for convenience upon prior written notice or by either party for material breach, subject to specified cure periods. Certain provisions, including payment obligations, indemnification obligations and confidentiality obligations, survive termination. During the three months ended March 31, 2026 and 2025, no payments were made to Catalent.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8—Leases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commitments under operating leases for certain facilities used in its operations. The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 maintains security deposits on certain leases in the amounts of $95 and $403 within security deposits</w:t>
      </w:r>
    </w:p>
    <w:p>
      <w:pPr>
        <w:ind w:left="60"/>
        <w:spacing w:after="0" w:line="234" w:lineRule="auto"/>
        <w:rPr>
          <w:sz w:val="20"/>
          <w:szCs w:val="20"/>
          <w:color w:val="auto"/>
        </w:rPr>
      </w:pPr>
      <w:r>
        <w:rPr>
          <w:rFonts w:ascii="Arial" w:cs="Arial" w:eastAsia="Arial" w:hAnsi="Arial"/>
          <w:sz w:val="18"/>
          <w:szCs w:val="18"/>
          <w:color w:val="auto"/>
        </w:rPr>
        <w:t>and noncurrent assets in its consolidated balance sheets at March 31, 2026 and December 31, 2025,</w:t>
      </w:r>
    </w:p>
    <w:p>
      <w:pPr>
        <w:ind w:left="60"/>
        <w:spacing w:after="0" w:line="235" w:lineRule="auto"/>
        <w:rPr>
          <w:sz w:val="20"/>
          <w:szCs w:val="20"/>
          <w:color w:val="auto"/>
        </w:rPr>
      </w:pPr>
      <w:r>
        <w:rPr>
          <w:rFonts w:ascii="Arial" w:cs="Arial" w:eastAsia="Arial" w:hAnsi="Arial"/>
          <w:sz w:val="18"/>
          <w:szCs w:val="18"/>
          <w:color w:val="auto"/>
        </w:rPr>
        <w:t>respectively. In September 2025, the Company executed a series of lease modifications with the same landlord</w:t>
      </w:r>
    </w:p>
    <w:p>
      <w:pPr>
        <w:ind w:left="60"/>
        <w:spacing w:after="0" w:line="235" w:lineRule="auto"/>
        <w:rPr>
          <w:sz w:val="20"/>
          <w:szCs w:val="20"/>
          <w:color w:val="auto"/>
        </w:rPr>
      </w:pPr>
      <w:r>
        <w:rPr>
          <w:rFonts w:ascii="Arial" w:cs="Arial" w:eastAsia="Arial" w:hAnsi="Arial"/>
          <w:sz w:val="18"/>
          <w:szCs w:val="18"/>
          <w:color w:val="auto"/>
        </w:rPr>
        <w:t>that resulted in the early termination of its leases in Seattle, WA (“Seattle”) and Boston, MA (“Boston”).</w:t>
      </w:r>
    </w:p>
    <w:p>
      <w:pPr>
        <w:ind w:left="60"/>
        <w:spacing w:after="0" w:line="235" w:lineRule="auto"/>
        <w:rPr>
          <w:sz w:val="20"/>
          <w:szCs w:val="20"/>
          <w:color w:val="auto"/>
        </w:rPr>
      </w:pPr>
      <w:r>
        <w:rPr>
          <w:rFonts w:ascii="Arial" w:cs="Arial" w:eastAsia="Arial" w:hAnsi="Arial"/>
          <w:sz w:val="18"/>
          <w:szCs w:val="18"/>
          <w:color w:val="auto"/>
        </w:rPr>
        <w:t>Concurrently, the Company entered into a new lease agreement in Watertown, MA (“Watertown”), set to begin</w:t>
      </w:r>
    </w:p>
    <w:p>
      <w:pPr>
        <w:ind w:left="60"/>
        <w:spacing w:after="0" w:line="235" w:lineRule="auto"/>
        <w:rPr>
          <w:sz w:val="20"/>
          <w:szCs w:val="20"/>
          <w:color w:val="auto"/>
        </w:rPr>
      </w:pPr>
      <w:r>
        <w:rPr>
          <w:rFonts w:ascii="Arial" w:cs="Arial" w:eastAsia="Arial" w:hAnsi="Arial"/>
          <w:sz w:val="18"/>
          <w:szCs w:val="18"/>
          <w:color w:val="auto"/>
        </w:rPr>
        <w:t>upon the termination of the Boston lease. The Seattle lease is terminated on December 31, 2025, while the</w:t>
      </w:r>
    </w:p>
    <w:p>
      <w:pPr>
        <w:ind w:left="60"/>
        <w:spacing w:after="0" w:line="234" w:lineRule="auto"/>
        <w:rPr>
          <w:sz w:val="20"/>
          <w:szCs w:val="20"/>
          <w:color w:val="auto"/>
        </w:rPr>
      </w:pPr>
      <w:r>
        <w:rPr>
          <w:rFonts w:ascii="Arial" w:cs="Arial" w:eastAsia="Arial" w:hAnsi="Arial"/>
          <w:sz w:val="18"/>
          <w:szCs w:val="18"/>
          <w:color w:val="auto"/>
        </w:rPr>
        <w:t>Boston lease is terminated on January 27, 2026, aligning with the commencement date of the Watertown lease.</w:t>
      </w:r>
    </w:p>
    <w:p>
      <w:pPr>
        <w:ind w:left="60"/>
        <w:spacing w:after="0" w:line="235" w:lineRule="auto"/>
        <w:rPr>
          <w:sz w:val="20"/>
          <w:szCs w:val="20"/>
          <w:color w:val="auto"/>
        </w:rPr>
      </w:pPr>
      <w:r>
        <w:rPr>
          <w:rFonts w:ascii="Arial" w:cs="Arial" w:eastAsia="Arial" w:hAnsi="Arial"/>
          <w:sz w:val="18"/>
          <w:szCs w:val="18"/>
          <w:color w:val="auto"/>
        </w:rPr>
        <w:t>As a result of these lease modifications, the Company recorded a reduction of its right-of-use assets of</w:t>
      </w:r>
    </w:p>
    <w:p>
      <w:pPr>
        <w:ind w:left="60"/>
        <w:spacing w:after="0" w:line="235" w:lineRule="auto"/>
        <w:rPr>
          <w:sz w:val="20"/>
          <w:szCs w:val="20"/>
          <w:color w:val="auto"/>
        </w:rPr>
      </w:pPr>
      <w:r>
        <w:rPr>
          <w:rFonts w:ascii="Arial" w:cs="Arial" w:eastAsia="Arial" w:hAnsi="Arial"/>
          <w:sz w:val="18"/>
          <w:szCs w:val="18"/>
          <w:color w:val="auto"/>
        </w:rPr>
        <w:t>$6,455 and lease liabilities totaling $7,850, which resulted in the recognition of a gain of $1,395 in the third</w:t>
      </w:r>
    </w:p>
    <w:p>
      <w:pPr>
        <w:ind w:left="60"/>
        <w:spacing w:after="0"/>
        <w:rPr>
          <w:sz w:val="20"/>
          <w:szCs w:val="20"/>
          <w:color w:val="auto"/>
        </w:rPr>
      </w:pPr>
      <w:r>
        <w:rPr>
          <w:rFonts w:ascii="Arial" w:cs="Arial" w:eastAsia="Arial" w:hAnsi="Arial"/>
          <w:sz w:val="18"/>
          <w:szCs w:val="18"/>
          <w:color w:val="auto"/>
        </w:rPr>
        <w:t>quarter of 2025 related to the Seattle lease which had previously been impaired.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400"/>
        <w:spacing w:after="0" w:line="271" w:lineRule="auto"/>
        <w:rPr>
          <w:sz w:val="20"/>
          <w:szCs w:val="20"/>
          <w:color w:val="auto"/>
        </w:rPr>
      </w:pPr>
      <w:r>
        <w:rPr>
          <w:rFonts w:ascii="Arial" w:cs="Arial" w:eastAsia="Arial" w:hAnsi="Arial"/>
          <w:sz w:val="18"/>
          <w:szCs w:val="18"/>
          <w:color w:val="auto"/>
        </w:rPr>
        <w:t>The Watertown lease commenced on January 27, 2026 and the Company recognized $5,245 of right-of-use asset and lease liability, upon the commencement of the lease.</w:t>
      </w:r>
    </w:p>
    <w:p>
      <w:pPr>
        <w:spacing w:after="0" w:line="154" w:lineRule="exact"/>
        <w:rPr>
          <w:sz w:val="20"/>
          <w:szCs w:val="20"/>
          <w:color w:val="auto"/>
        </w:rPr>
      </w:pPr>
    </w:p>
    <w:p>
      <w:pPr>
        <w:ind w:left="60" w:right="180"/>
        <w:spacing w:after="0" w:line="253" w:lineRule="auto"/>
        <w:rPr>
          <w:sz w:val="20"/>
          <w:szCs w:val="20"/>
          <w:color w:val="auto"/>
        </w:rPr>
      </w:pPr>
      <w:r>
        <w:rPr>
          <w:rFonts w:ascii="Arial" w:cs="Arial" w:eastAsia="Arial" w:hAnsi="Arial"/>
          <w:sz w:val="18"/>
          <w:szCs w:val="18"/>
          <w:color w:val="auto"/>
        </w:rPr>
        <w:t>The Company’s leases have initial lease terms ranging from 5 to 16 years. Certain lease agreements contain provisions for future rent increases. Variable lease costs generally include common area maintenance and real estate taxes.</w:t>
      </w:r>
    </w:p>
    <w:p>
      <w:pPr>
        <w:spacing w:after="0" w:line="169" w:lineRule="exact"/>
        <w:rPr>
          <w:sz w:val="20"/>
          <w:szCs w:val="20"/>
          <w:color w:val="auto"/>
        </w:rPr>
      </w:pPr>
    </w:p>
    <w:p>
      <w:pPr>
        <w:ind w:left="60" w:right="200"/>
        <w:spacing w:after="0" w:line="275" w:lineRule="auto"/>
        <w:rPr>
          <w:sz w:val="20"/>
          <w:szCs w:val="20"/>
          <w:color w:val="auto"/>
        </w:rPr>
      </w:pPr>
      <w:r>
        <w:rPr>
          <w:rFonts w:ascii="Arial" w:cs="Arial" w:eastAsia="Arial" w:hAnsi="Arial"/>
          <w:sz w:val="17"/>
          <w:szCs w:val="17"/>
          <w:color w:val="auto"/>
        </w:rPr>
        <w:t>Following the reduction in force that occurred in July 2025, the Company is planning to sublease part of its Philadelphia, PA headquarters location. The Company evaluated the right-of-use asset for impairment as a result of this change in strategy and recorded an impairment charge of $6,763 during the third quarter of 2025.</w:t>
      </w: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color w:val="auto"/>
                <w:w w:val="99"/>
              </w:rPr>
              <w:t>For the</w:t>
            </w: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color w:val="auto"/>
              </w:rPr>
              <w:t>For the</w:t>
            </w:r>
          </w:p>
        </w:tc>
        <w:tc>
          <w:tcPr>
            <w:tcW w:w="2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jc w:val="center"/>
              <w:ind w:right="159"/>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color w:val="auto"/>
              </w:rPr>
              <w:t>Three Months Ended</w:t>
            </w:r>
          </w:p>
        </w:tc>
      </w:tr>
      <w:tr>
        <w:trPr>
          <w:trHeight w:val="171"/>
        </w:trPr>
        <w:tc>
          <w:tcPr>
            <w:tcW w:w="3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jc w:val="center"/>
              <w:ind w:right="159"/>
              <w:spacing w:after="0"/>
              <w:rPr>
                <w:sz w:val="20"/>
                <w:szCs w:val="20"/>
                <w:color w:val="auto"/>
              </w:rPr>
            </w:pPr>
            <w:r>
              <w:rPr>
                <w:rFonts w:ascii="Arial" w:cs="Arial" w:eastAsia="Arial" w:hAnsi="Arial"/>
                <w:sz w:val="14"/>
                <w:szCs w:val="14"/>
                <w:color w:val="auto"/>
              </w:rPr>
              <w:t>March 31, 2026</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color w:val="auto"/>
              </w:rPr>
              <w:t>March 31, 2025</w:t>
            </w:r>
          </w:p>
        </w:tc>
      </w:tr>
      <w:tr>
        <w:trPr>
          <w:trHeight w:val="196"/>
        </w:trPr>
        <w:tc>
          <w:tcPr>
            <w:tcW w:w="3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expense:</w:t>
            </w:r>
          </w:p>
        </w:tc>
        <w:tc>
          <w:tcPr>
            <w:tcW w:w="1040" w:type="dxa"/>
            <w:vAlign w:val="bottom"/>
            <w:tcBorders>
              <w:top w:val="single" w:sz="8" w:color="CCEEFF"/>
            </w:tcBorders>
            <w:shd w:val="clear" w:color="auto" w:fill="CCEEFF"/>
          </w:tcPr>
          <w:p>
            <w:pPr>
              <w:ind w:left="84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3240" w:type="dxa"/>
            <w:vAlign w:val="bottom"/>
          </w:tcPr>
          <w:p>
            <w:pPr>
              <w:ind w:left="100"/>
              <w:spacing w:after="0" w:line="202" w:lineRule="exact"/>
              <w:rPr>
                <w:sz w:val="20"/>
                <w:szCs w:val="20"/>
                <w:color w:val="auto"/>
              </w:rPr>
            </w:pPr>
            <w:r>
              <w:rPr>
                <w:rFonts w:ascii="Arial" w:cs="Arial" w:eastAsia="Arial" w:hAnsi="Arial"/>
                <w:sz w:val="18"/>
                <w:szCs w:val="18"/>
                <w:color w:val="auto"/>
              </w:rPr>
              <w:t>Fixed lease cost</w:t>
            </w:r>
          </w:p>
        </w:tc>
        <w:tc>
          <w:tcPr>
            <w:tcW w:w="1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1,628</w:t>
            </w:r>
          </w:p>
        </w:tc>
        <w:tc>
          <w:tcPr>
            <w:tcW w:w="5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1,744</w:t>
            </w:r>
          </w:p>
        </w:tc>
        <w:tc>
          <w:tcPr>
            <w:tcW w:w="20" w:type="dxa"/>
            <w:vAlign w:val="bottom"/>
          </w:tcPr>
          <w:p>
            <w:pPr>
              <w:spacing w:after="0"/>
              <w:rPr>
                <w:sz w:val="17"/>
                <w:szCs w:val="17"/>
                <w:color w:val="auto"/>
              </w:rPr>
            </w:pPr>
          </w:p>
        </w:tc>
      </w:tr>
      <w:tr>
        <w:trPr>
          <w:trHeight w:val="203"/>
        </w:trPr>
        <w:tc>
          <w:tcPr>
            <w:tcW w:w="32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Variable lease cost</w:t>
            </w:r>
          </w:p>
        </w:tc>
        <w:tc>
          <w:tcPr>
            <w:tcW w:w="10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1,121</w:t>
            </w:r>
          </w:p>
        </w:tc>
        <w:tc>
          <w:tcPr>
            <w:tcW w:w="3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20" w:type="dxa"/>
            <w:vAlign w:val="bottom"/>
            <w:shd w:val="clear" w:color="auto" w:fill="CCEEFF"/>
          </w:tcPr>
          <w:p>
            <w:pPr>
              <w:spacing w:after="0"/>
              <w:rPr>
                <w:sz w:val="17"/>
                <w:szCs w:val="17"/>
                <w:color w:val="auto"/>
              </w:rPr>
            </w:pPr>
          </w:p>
        </w:tc>
      </w:tr>
      <w:tr>
        <w:trPr>
          <w:trHeight w:val="196"/>
        </w:trPr>
        <w:tc>
          <w:tcPr>
            <w:tcW w:w="3240" w:type="dxa"/>
            <w:vAlign w:val="bottom"/>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104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2,749</w:t>
            </w:r>
          </w:p>
        </w:tc>
        <w:tc>
          <w:tcPr>
            <w:tcW w:w="3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2,408</w:t>
            </w:r>
          </w:p>
        </w:tc>
        <w:tc>
          <w:tcPr>
            <w:tcW w:w="20" w:type="dxa"/>
            <w:vAlign w:val="bottom"/>
          </w:tcPr>
          <w:p>
            <w:pPr>
              <w:spacing w:after="0"/>
              <w:rPr>
                <w:sz w:val="17"/>
                <w:szCs w:val="17"/>
                <w:color w:val="auto"/>
              </w:rPr>
            </w:pPr>
          </w:p>
        </w:tc>
      </w:tr>
      <w:tr>
        <w:trPr>
          <w:trHeight w:val="20"/>
        </w:trPr>
        <w:tc>
          <w:tcPr>
            <w:tcW w:w="3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921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242" w:lineRule="exact"/>
        <w:rPr>
          <w:sz w:val="20"/>
          <w:szCs w:val="20"/>
          <w:color w:val="auto"/>
        </w:rPr>
      </w:pPr>
    </w:p>
    <w:tbl>
      <w:tblPr>
        <w:tblLayout w:type="fixed"/>
        <w:tblInd w:w="3240" w:type="dxa"/>
        <w:tblCellMar>
          <w:top w:w="0" w:type="dxa"/>
          <w:left w:w="0" w:type="dxa"/>
          <w:bottom w:w="0" w:type="dxa"/>
          <w:right w:w="0" w:type="dxa"/>
        </w:tblCellMar>
      </w:tblPr>
      <w:tr>
        <w:trPr>
          <w:trHeight w:val="189"/>
        </w:trPr>
        <w:tc>
          <w:tcPr>
            <w:tcW w:w="2860" w:type="dxa"/>
            <w:vAlign w:val="bottom"/>
          </w:tcPr>
          <w:p>
            <w:pPr>
              <w:ind w:left="1640"/>
              <w:spacing w:after="0"/>
              <w:rPr>
                <w:sz w:val="20"/>
                <w:szCs w:val="20"/>
                <w:color w:val="auto"/>
              </w:rPr>
            </w:pPr>
            <w:r>
              <w:rPr>
                <w:rFonts w:ascii="Arial" w:cs="Arial" w:eastAsia="Arial" w:hAnsi="Arial"/>
                <w:sz w:val="14"/>
                <w:szCs w:val="14"/>
                <w:color w:val="auto"/>
              </w:rPr>
              <w:t>​​​</w:t>
            </w:r>
          </w:p>
        </w:tc>
        <w:tc>
          <w:tcPr>
            <w:tcW w:w="1500" w:type="dxa"/>
            <w:vAlign w:val="bottom"/>
          </w:tcPr>
          <w:p>
            <w:pPr>
              <w:ind w:left="880"/>
              <w:spacing w:after="0"/>
              <w:rPr>
                <w:sz w:val="20"/>
                <w:szCs w:val="20"/>
                <w:color w:val="auto"/>
              </w:rPr>
            </w:pPr>
            <w:r>
              <w:rPr>
                <w:rFonts w:ascii="Arial" w:cs="Arial" w:eastAsia="Arial" w:hAnsi="Arial"/>
                <w:sz w:val="14"/>
                <w:szCs w:val="14"/>
                <w:color w:val="auto"/>
              </w:rPr>
              <w:t>As of</w:t>
            </w:r>
          </w:p>
        </w:tc>
        <w:tc>
          <w:tcPr>
            <w:tcW w:w="1260" w:type="dxa"/>
            <w:vAlign w:val="bottom"/>
          </w:tcPr>
          <w:p>
            <w:pPr>
              <w:ind w:left="680"/>
              <w:spacing w:after="0"/>
              <w:rPr>
                <w:sz w:val="20"/>
                <w:szCs w:val="20"/>
                <w:color w:val="auto"/>
              </w:rPr>
            </w:pPr>
            <w:r>
              <w:rPr>
                <w:rFonts w:ascii="Arial" w:cs="Arial" w:eastAsia="Arial" w:hAnsi="Arial"/>
                <w:sz w:val="14"/>
                <w:szCs w:val="14"/>
                <w:color w:val="auto"/>
              </w:rPr>
              <w:t>As of</w:t>
            </w:r>
          </w:p>
        </w:tc>
      </w:tr>
      <w:tr>
        <w:trPr>
          <w:trHeight w:val="162"/>
        </w:trPr>
        <w:tc>
          <w:tcPr>
            <w:tcW w:w="2860" w:type="dxa"/>
            <w:vAlign w:val="bottom"/>
          </w:tcPr>
          <w:p>
            <w:pPr>
              <w:spacing w:after="0"/>
              <w:rPr>
                <w:sz w:val="20"/>
                <w:szCs w:val="20"/>
                <w:color w:val="auto"/>
              </w:rPr>
            </w:pPr>
            <w:r>
              <w:rPr>
                <w:rFonts w:ascii="Arial" w:cs="Arial" w:eastAsia="Arial" w:hAnsi="Arial"/>
                <w:sz w:val="14"/>
                <w:szCs w:val="14"/>
                <w:color w:val="auto"/>
              </w:rPr>
              <w:t>​​​</w:t>
            </w:r>
          </w:p>
        </w:tc>
        <w:tc>
          <w:tcPr>
            <w:tcW w:w="1500" w:type="dxa"/>
            <w:vAlign w:val="bottom"/>
          </w:tcPr>
          <w:p>
            <w:pPr>
              <w:ind w:left="4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March 31,</w:t>
            </w:r>
          </w:p>
        </w:tc>
        <w:tc>
          <w:tcPr>
            <w:tcW w:w="1260" w:type="dxa"/>
            <w:vAlign w:val="bottom"/>
          </w:tcPr>
          <w:p>
            <w:pPr>
              <w:ind w:left="1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December 31,</w:t>
            </w:r>
          </w:p>
        </w:tc>
      </w:tr>
      <w:tr>
        <w:trPr>
          <w:trHeight w:val="171"/>
        </w:trPr>
        <w:tc>
          <w:tcPr>
            <w:tcW w:w="2860" w:type="dxa"/>
            <w:vAlign w:val="bottom"/>
          </w:tcPr>
          <w:p>
            <w:pPr>
              <w:ind w:left="800"/>
              <w:spacing w:after="0"/>
              <w:rPr>
                <w:sz w:val="20"/>
                <w:szCs w:val="20"/>
                <w:color w:val="auto"/>
              </w:rPr>
            </w:pPr>
            <w:r>
              <w:rPr>
                <w:rFonts w:ascii="Arial" w:cs="Arial" w:eastAsia="Arial" w:hAnsi="Arial"/>
                <w:sz w:val="14"/>
                <w:szCs w:val="14"/>
                <w:color w:val="auto"/>
              </w:rPr>
              <w:t>Location in Balance Sheet</w:t>
            </w:r>
          </w:p>
        </w:tc>
        <w:tc>
          <w:tcPr>
            <w:tcW w:w="1500" w:type="dxa"/>
            <w:vAlign w:val="bottom"/>
          </w:tcPr>
          <w:p>
            <w:pPr>
              <w:ind w:left="880"/>
              <w:spacing w:after="0"/>
              <w:rPr>
                <w:sz w:val="20"/>
                <w:szCs w:val="20"/>
                <w:color w:val="auto"/>
              </w:rPr>
            </w:pPr>
            <w:r>
              <w:rPr>
                <w:rFonts w:ascii="Arial" w:cs="Arial" w:eastAsia="Arial" w:hAnsi="Arial"/>
                <w:sz w:val="14"/>
                <w:szCs w:val="14"/>
                <w:color w:val="auto"/>
              </w:rPr>
              <w:t>2026</w:t>
            </w:r>
          </w:p>
        </w:tc>
        <w:tc>
          <w:tcPr>
            <w:tcW w:w="1260" w:type="dxa"/>
            <w:vAlign w:val="bottom"/>
          </w:tcPr>
          <w:p>
            <w:pPr>
              <w:ind w:left="680"/>
              <w:spacing w:after="0"/>
              <w:rPr>
                <w:sz w:val="20"/>
                <w:szCs w:val="20"/>
                <w:color w:val="auto"/>
              </w:rPr>
            </w:pPr>
            <w:r>
              <w:rPr>
                <w:rFonts w:ascii="Arial" w:cs="Arial" w:eastAsia="Arial" w:hAnsi="Arial"/>
                <w:sz w:val="14"/>
                <w:szCs w:val="14"/>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570039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ectPr>
          <w:pgSz w:w="11900" w:h="16838" w:orient="portrait"/>
          <w:cols w:equalWidth="0" w:num="1">
            <w:col w:w="9020"/>
          </w:cols>
          <w:pgMar w:left="1440" w:top="512" w:right="1439" w:bottom="1440" w:gutter="0" w:footer="0" w:header="0"/>
        </w:sect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3240" w:type="dxa"/>
            <w:vAlign w:val="bottom"/>
          </w:tcPr>
          <w:p>
            <w:pPr>
              <w:spacing w:after="0" w:line="177" w:lineRule="exact"/>
              <w:rPr>
                <w:sz w:val="20"/>
                <w:szCs w:val="20"/>
                <w:color w:val="auto"/>
              </w:rPr>
            </w:pPr>
            <w:r>
              <w:rPr>
                <w:rFonts w:ascii="Arial" w:cs="Arial" w:eastAsia="Arial" w:hAnsi="Arial"/>
                <w:sz w:val="18"/>
                <w:szCs w:val="18"/>
                <w:color w:val="auto"/>
              </w:rPr>
              <w:t>Operating lease right-of-use assets</w:t>
            </w:r>
          </w:p>
        </w:tc>
        <w:tc>
          <w:tcPr>
            <w:tcW w:w="30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20,972</w:t>
            </w:r>
          </w:p>
        </w:tc>
        <w:tc>
          <w:tcPr>
            <w:tcW w:w="180" w:type="dxa"/>
            <w:vAlign w:val="bottom"/>
          </w:tcPr>
          <w:p>
            <w:pPr>
              <w:spacing w:after="0"/>
              <w:rPr>
                <w:sz w:val="15"/>
                <w:szCs w:val="15"/>
                <w:color w:val="auto"/>
              </w:rPr>
            </w:pPr>
          </w:p>
        </w:tc>
        <w:tc>
          <w:tcPr>
            <w:tcW w:w="320" w:type="dxa"/>
            <w:vAlign w:val="bottom"/>
            <w:tcBorders>
              <w:top w:val="single" w:sz="8" w:color="auto"/>
            </w:tcBorders>
          </w:tcPr>
          <w:p>
            <w:pPr>
              <w:jc w:val="right"/>
              <w:ind w:right="130"/>
              <w:spacing w:after="0" w:line="177"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16,139</w:t>
            </w:r>
          </w:p>
        </w:tc>
      </w:tr>
      <w:tr>
        <w:trPr>
          <w:trHeight w:val="202"/>
        </w:trPr>
        <w:tc>
          <w:tcPr>
            <w:tcW w:w="3240" w:type="dxa"/>
            <w:vAlign w:val="bottom"/>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4,083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3,324</w:t>
            </w:r>
          </w:p>
        </w:tc>
      </w:tr>
      <w:tr>
        <w:trPr>
          <w:trHeight w:val="221"/>
        </w:trPr>
        <w:tc>
          <w:tcPr>
            <w:tcW w:w="324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43,942</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40,241</w:t>
            </w:r>
          </w:p>
        </w:tc>
      </w:tr>
      <w:tr>
        <w:trPr>
          <w:trHeight w:val="196"/>
        </w:trPr>
        <w:tc>
          <w:tcPr>
            <w:tcW w:w="3240" w:type="dxa"/>
            <w:vAlign w:val="bottom"/>
          </w:tcPr>
          <w:p>
            <w:pPr>
              <w:ind w:left="308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48,025</w:t>
            </w: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43,565</w:t>
            </w:r>
          </w:p>
        </w:tc>
      </w:tr>
      <w:tr>
        <w:trPr>
          <w:trHeight w:val="20"/>
        </w:trPr>
        <w:tc>
          <w:tcPr>
            <w:tcW w:w="3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-290830</wp:posOffset>
            </wp:positionV>
            <wp:extent cx="570039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120" w:space="220"/>
            <w:col w:w="5680"/>
          </w:cols>
          <w:pgMar w:left="1440" w:top="512" w:right="14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060" w:type="dxa"/>
            <w:vAlign w:val="bottom"/>
            <w:tcBorders>
              <w:top w:val="single" w:sz="8" w:color="auto"/>
            </w:tcBorders>
          </w:tcPr>
          <w:p>
            <w:pPr>
              <w:spacing w:after="0"/>
              <w:rPr>
                <w:sz w:val="15"/>
                <w:szCs w:val="15"/>
                <w:color w:val="auto"/>
              </w:rPr>
            </w:pPr>
          </w:p>
        </w:tc>
        <w:tc>
          <w:tcPr>
            <w:tcW w:w="368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As of March 31, 2026</w:t>
            </w:r>
            <w:r>
              <w:rPr>
                <w:rFonts w:ascii="Arial" w:cs="Arial" w:eastAsia="Arial" w:hAnsi="Arial"/>
                <w:sz w:val="14"/>
                <w:szCs w:val="14"/>
                <w:b w:val="1"/>
                <w:bCs w:val="1"/>
                <w:color w:val="auto"/>
              </w:rPr>
              <w:t xml:space="preserve"> ​​​​ </w:t>
            </w:r>
            <w:r>
              <w:rPr>
                <w:rFonts w:ascii="Arial" w:cs="Arial" w:eastAsia="Arial" w:hAnsi="Arial"/>
                <w:sz w:val="14"/>
                <w:szCs w:val="14"/>
                <w:color w:val="auto"/>
              </w:rPr>
              <w:t>As of December 31, 2025</w:t>
            </w:r>
          </w:p>
        </w:tc>
        <w:tc>
          <w:tcPr>
            <w:tcW w:w="160" w:type="dxa"/>
            <w:vAlign w:val="bottom"/>
          </w:tcPr>
          <w:p>
            <w:pPr>
              <w:spacing w:after="0"/>
              <w:rPr>
                <w:sz w:val="15"/>
                <w:szCs w:val="15"/>
                <w:color w:val="auto"/>
              </w:rPr>
            </w:pPr>
          </w:p>
        </w:tc>
      </w:tr>
      <w:tr>
        <w:trPr>
          <w:trHeight w:val="196"/>
        </w:trPr>
        <w:tc>
          <w:tcPr>
            <w:tcW w:w="50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3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ind w:left="580"/>
              <w:spacing w:after="0" w:line="196" w:lineRule="exact"/>
              <w:rPr>
                <w:sz w:val="20"/>
                <w:szCs w:val="20"/>
                <w:color w:val="auto"/>
              </w:rPr>
            </w:pPr>
            <w:r>
              <w:rPr>
                <w:rFonts w:ascii="Arial" w:cs="Arial" w:eastAsia="Arial" w:hAnsi="Arial"/>
                <w:sz w:val="18"/>
                <w:szCs w:val="18"/>
                <w:color w:val="auto"/>
              </w:rPr>
              <w:t>7.6 years</w:t>
            </w:r>
          </w:p>
        </w:tc>
        <w:tc>
          <w:tcPr>
            <w:tcW w:w="26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1020"/>
              <w:spacing w:after="0" w:line="196" w:lineRule="exact"/>
              <w:rPr>
                <w:sz w:val="20"/>
                <w:szCs w:val="20"/>
                <w:color w:val="auto"/>
              </w:rPr>
            </w:pPr>
            <w:r>
              <w:rPr>
                <w:rFonts w:ascii="Arial" w:cs="Arial" w:eastAsia="Arial" w:hAnsi="Arial"/>
                <w:sz w:val="18"/>
                <w:szCs w:val="18"/>
                <w:color w:val="auto"/>
              </w:rPr>
              <w:t>7 years</w:t>
            </w:r>
          </w:p>
        </w:tc>
        <w:tc>
          <w:tcPr>
            <w:tcW w:w="160" w:type="dxa"/>
            <w:vAlign w:val="bottom"/>
            <w:tcBorders>
              <w:top w:val="single" w:sz="8" w:color="CCEEFF"/>
            </w:tcBorders>
            <w:shd w:val="clear" w:color="auto" w:fill="CCEEFF"/>
          </w:tcPr>
          <w:p>
            <w:pPr>
              <w:spacing w:after="0"/>
              <w:rPr>
                <w:sz w:val="17"/>
                <w:szCs w:val="17"/>
                <w:color w:val="auto"/>
              </w:rPr>
            </w:pPr>
          </w:p>
        </w:tc>
      </w:tr>
      <w:tr>
        <w:trPr>
          <w:trHeight w:val="239"/>
        </w:trPr>
        <w:tc>
          <w:tcPr>
            <w:tcW w:w="506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10.2 %</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10.2 %</w:t>
            </w:r>
          </w:p>
        </w:tc>
      </w:tr>
    </w:tbl>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9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For the Three</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22"/>
              <w:spacing w:after="0"/>
              <w:rPr>
                <w:sz w:val="20"/>
                <w:szCs w:val="20"/>
                <w:color w:val="auto"/>
              </w:rPr>
            </w:pPr>
            <w:r>
              <w:rPr>
                <w:rFonts w:ascii="Arial" w:cs="Arial" w:eastAsia="Arial" w:hAnsi="Arial"/>
                <w:sz w:val="14"/>
                <w:szCs w:val="14"/>
                <w:color w:val="auto"/>
              </w:rPr>
              <w:t>For the Three</w:t>
            </w:r>
          </w:p>
        </w:tc>
        <w:tc>
          <w:tcPr>
            <w:tcW w:w="2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color w:val="auto"/>
              </w:rPr>
              <w:t>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rPr>
              <w:t>Months Ended</w:t>
            </w:r>
          </w:p>
        </w:tc>
      </w:tr>
      <w:tr>
        <w:trPr>
          <w:trHeight w:val="171"/>
        </w:trPr>
        <w:tc>
          <w:tcPr>
            <w:tcW w:w="4980" w:type="dxa"/>
            <w:vAlign w:val="bottom"/>
          </w:tcPr>
          <w:p>
            <w:pPr>
              <w:spacing w:after="0"/>
              <w:rPr>
                <w:sz w:val="14"/>
                <w:szCs w:val="14"/>
                <w:color w:val="auto"/>
              </w:rPr>
            </w:pPr>
          </w:p>
        </w:tc>
        <w:tc>
          <w:tcPr>
            <w:tcW w:w="2680" w:type="dxa"/>
            <w:vAlign w:val="bottom"/>
            <w:gridSpan w:val="4"/>
          </w:tcPr>
          <w:p>
            <w:pPr>
              <w:ind w:left="15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March 31, 2026</w:t>
            </w: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March 31, 2025</w:t>
            </w:r>
          </w:p>
        </w:tc>
      </w:tr>
      <w:tr>
        <w:trPr>
          <w:trHeight w:val="196"/>
        </w:trPr>
        <w:tc>
          <w:tcPr>
            <w:tcW w:w="49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16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2"/>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(786)</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(1,154)</w:t>
            </w:r>
          </w:p>
        </w:tc>
        <w:tc>
          <w:tcPr>
            <w:tcW w:w="20" w:type="dxa"/>
            <w:vAlign w:val="bottom"/>
            <w:tcBorders>
              <w:top w:val="single" w:sz="8" w:color="CCEEFF"/>
            </w:tcBorders>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2" w:right="1439"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future minimum lease payments under noncancelable leases as of March 31, 2026:</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660" w:type="dxa"/>
            <w:vAlign w:val="bottom"/>
            <w:tcBorders>
              <w:top w:val="single" w:sz="8" w:color="auto"/>
            </w:tcBorders>
          </w:tcPr>
          <w:p>
            <w:pPr>
              <w:spacing w:after="0"/>
              <w:rPr>
                <w:sz w:val="15"/>
                <w:szCs w:val="15"/>
                <w:color w:val="auto"/>
              </w:rPr>
            </w:pPr>
          </w:p>
        </w:tc>
        <w:tc>
          <w:tcPr>
            <w:tcW w:w="42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Operating Leases</w:t>
            </w:r>
          </w:p>
        </w:tc>
      </w:tr>
      <w:tr>
        <w:trPr>
          <w:trHeight w:val="196"/>
        </w:trPr>
        <w:tc>
          <w:tcPr>
            <w:tcW w:w="46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2026</w:t>
            </w:r>
          </w:p>
        </w:tc>
        <w:tc>
          <w:tcPr>
            <w:tcW w:w="30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6,466</w:t>
            </w: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2027</w:t>
            </w:r>
          </w:p>
        </w:tc>
        <w:tc>
          <w:tcPr>
            <w:tcW w:w="3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8,822</w:t>
            </w:r>
          </w:p>
        </w:tc>
      </w:tr>
      <w:tr>
        <w:trPr>
          <w:trHeight w:val="203"/>
        </w:trPr>
        <w:tc>
          <w:tcPr>
            <w:tcW w:w="4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2028</w:t>
            </w:r>
          </w:p>
        </w:tc>
        <w:tc>
          <w:tcPr>
            <w:tcW w:w="3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9,052</w:t>
            </w: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2029</w:t>
            </w:r>
          </w:p>
        </w:tc>
        <w:tc>
          <w:tcPr>
            <w:tcW w:w="3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9,289</w:t>
            </w:r>
          </w:p>
        </w:tc>
      </w:tr>
      <w:tr>
        <w:trPr>
          <w:trHeight w:val="203"/>
        </w:trPr>
        <w:tc>
          <w:tcPr>
            <w:tcW w:w="4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2030</w:t>
            </w:r>
          </w:p>
        </w:tc>
        <w:tc>
          <w:tcPr>
            <w:tcW w:w="3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9,531</w:t>
            </w:r>
          </w:p>
        </w:tc>
      </w:tr>
      <w:tr>
        <w:trPr>
          <w:trHeight w:val="203"/>
        </w:trPr>
        <w:tc>
          <w:tcPr>
            <w:tcW w:w="4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30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26,087</w:t>
            </w:r>
          </w:p>
        </w:tc>
      </w:tr>
      <w:tr>
        <w:trPr>
          <w:trHeight w:val="196"/>
        </w:trPr>
        <w:tc>
          <w:tcPr>
            <w:tcW w:w="4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69,247</w:t>
            </w:r>
          </w:p>
        </w:tc>
      </w:tr>
      <w:tr>
        <w:trPr>
          <w:trHeight w:val="203"/>
        </w:trPr>
        <w:tc>
          <w:tcPr>
            <w:tcW w:w="4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30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(21,222)</w:t>
            </w:r>
          </w:p>
        </w:tc>
      </w:tr>
      <w:tr>
        <w:trPr>
          <w:trHeight w:val="196"/>
        </w:trPr>
        <w:tc>
          <w:tcPr>
            <w:tcW w:w="4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30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48,025</w:t>
            </w:r>
          </w:p>
        </w:tc>
      </w:tr>
      <w:tr>
        <w:trPr>
          <w:trHeight w:val="20"/>
        </w:trPr>
        <w:tc>
          <w:tcPr>
            <w:tcW w:w="4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9—Income taxes</w:t>
      </w:r>
    </w:p>
    <w:p>
      <w:pPr>
        <w:spacing w:after="0" w:line="214"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During the three months ended March 31, 2026 and 2025, the Company recorded no income tax benefits for the net operating losses incurred or for the research and development tax credits generated in the U.S. due to its uncertainty of realizing a benefit from those items.</w:t>
      </w:r>
    </w:p>
    <w:p>
      <w:pPr>
        <w:spacing w:after="0" w:line="155"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The Company’s tax provision and the resulting effective tax rate for interim periods is determined based upon its estimated annual effective tax rate (“AETR”), adjusted for the effect of discrete items arising in that quarter. The impact of such inclusions could result in</w:t>
      </w:r>
    </w:p>
    <w:p>
      <w:pPr>
        <w:spacing w:after="0" w:line="2" w:lineRule="exact"/>
        <w:rPr>
          <w:sz w:val="20"/>
          <w:szCs w:val="20"/>
          <w:color w:val="auto"/>
        </w:rPr>
      </w:pPr>
    </w:p>
    <w:p>
      <w:pPr>
        <w:ind w:left="60" w:right="99" w:firstLine="50"/>
        <w:spacing w:after="0" w:line="264" w:lineRule="auto"/>
        <w:rPr>
          <w:sz w:val="20"/>
          <w:szCs w:val="20"/>
          <w:color w:val="auto"/>
        </w:rPr>
      </w:pPr>
      <w:r>
        <w:rPr>
          <w:rFonts w:ascii="Arial" w:cs="Arial" w:eastAsia="Arial" w:hAnsi="Arial"/>
          <w:sz w:val="17"/>
          <w:szCs w:val="17"/>
          <w:color w:val="auto"/>
        </w:rPr>
        <w:t>a higher or lower effective tax rate during a particular quarter, based upon the mix and timing of actual earnings or losses versus annual projections. In each quarter, the Company updates its estimate of the annual effective tax rate, and if the estimated annual tax rate changes, a cumulative adjustment is made in that quarter.</w:t>
      </w:r>
    </w:p>
    <w:p>
      <w:pPr>
        <w:spacing w:after="0" w:line="147"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The Company has evaluated the positive and negative evidence bearing upon its ability to realize its deferred tax assets, which primarily consist of net operating loss carryforwards. While the Company utilized a portion of its existing net operating loss carryforwards during tax year 2023, the Company has considered its history of cumulative net losses in the U.S., estimated future taxable income and prudent and feasible tax planning strategies and has concluded that it is more likely than not that the Company will not realize the benefits of its U.S. deferred tax assets. As a result, as of March 31, 2026, the Company has recorded a full valuation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319"/>
        <w:spacing w:after="0" w:line="286" w:lineRule="auto"/>
        <w:rPr>
          <w:sz w:val="20"/>
          <w:szCs w:val="20"/>
          <w:color w:val="auto"/>
        </w:rPr>
      </w:pPr>
      <w:r>
        <w:rPr>
          <w:rFonts w:ascii="Arial" w:cs="Arial" w:eastAsia="Arial" w:hAnsi="Arial"/>
          <w:sz w:val="18"/>
          <w:szCs w:val="18"/>
          <w:color w:val="auto"/>
        </w:rPr>
        <w:t>allowance against its net deferred tax assets, exclusive of its deferred tax liability on in</w:t>
      </w:r>
      <w:r>
        <w:rPr>
          <w:rFonts w:ascii="Times New Roman" w:cs="Times New Roman" w:eastAsia="Times New Roman" w:hAnsi="Times New Roman"/>
          <w:sz w:val="18"/>
          <w:szCs w:val="18"/>
          <w:color w:val="auto"/>
        </w:rPr>
        <w:t>-</w:t>
      </w:r>
      <w:r>
        <w:rPr>
          <w:rFonts w:ascii="Arial" w:cs="Arial" w:eastAsia="Arial" w:hAnsi="Arial"/>
          <w:sz w:val="18"/>
          <w:szCs w:val="18"/>
          <w:color w:val="auto"/>
        </w:rPr>
        <w:t>process research and development (“IPR&amp;D”) in the U.S.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10—Basic and diluted net income (loss) per common share</w:t>
      </w:r>
    </w:p>
    <w:p>
      <w:pPr>
        <w:spacing w:after="0" w:line="173"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The Company’s potentially dilutive securities, which include Restricted Stock Units (“RSUs”), restricted stock, warrants, early exercised stock options and stock options to purchase shares of the Company’s common stock, have been included in the computation of dilutive net income (loss) per share as applicable. The Company excluded the following potential shares of common stock presented based on amounts outstanding at each stated period end, from the computation of diluted net income (loss) per share for the three months ended March 31, 2026 and 2025 because including them would have had an anti-dilutive effect.</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0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rPr>
              <w:t>Three Months Ended</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rPr>
              <w:t>Three Months Ended</w:t>
            </w:r>
          </w:p>
        </w:tc>
      </w:tr>
      <w:tr>
        <w:trPr>
          <w:trHeight w:val="162"/>
        </w:trPr>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35"/>
              <w:spacing w:after="0"/>
              <w:rPr>
                <w:sz w:val="20"/>
                <w:szCs w:val="20"/>
                <w:color w:val="auto"/>
              </w:rPr>
            </w:pPr>
            <w:r>
              <w:rPr>
                <w:rFonts w:ascii="Arial" w:cs="Arial" w:eastAsia="Arial" w:hAnsi="Arial"/>
                <w:sz w:val="14"/>
                <w:szCs w:val="14"/>
                <w:color w:val="auto"/>
              </w:rPr>
              <w:t>March 31,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75"/>
              <w:spacing w:after="0"/>
              <w:rPr>
                <w:sz w:val="20"/>
                <w:szCs w:val="20"/>
                <w:color w:val="auto"/>
              </w:rPr>
            </w:pPr>
            <w:r>
              <w:rPr>
                <w:rFonts w:ascii="Arial" w:cs="Arial" w:eastAsia="Arial" w:hAnsi="Arial"/>
                <w:sz w:val="14"/>
                <w:szCs w:val="14"/>
                <w:color w:val="auto"/>
              </w:rPr>
              <w:t>March 31,</w:t>
            </w:r>
          </w:p>
        </w:tc>
      </w:tr>
      <w:tr>
        <w:trPr>
          <w:trHeight w:val="171"/>
        </w:trPr>
        <w:tc>
          <w:tcPr>
            <w:tcW w:w="6180" w:type="dxa"/>
            <w:vAlign w:val="bottom"/>
            <w:gridSpan w:val="2"/>
          </w:tcPr>
          <w:p>
            <w:pPr>
              <w:ind w:left="59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center"/>
              <w:ind w:right="95"/>
              <w:spacing w:after="0"/>
              <w:rPr>
                <w:sz w:val="20"/>
                <w:szCs w:val="20"/>
                <w:color w:val="auto"/>
              </w:rPr>
            </w:pPr>
            <w:r>
              <w:rPr>
                <w:rFonts w:ascii="Arial" w:cs="Arial" w:eastAsia="Arial" w:hAnsi="Arial"/>
                <w:sz w:val="14"/>
                <w:szCs w:val="14"/>
                <w:color w:val="auto"/>
              </w:rPr>
              <w:t>2026</w:t>
            </w:r>
          </w:p>
        </w:tc>
        <w:tc>
          <w:tcPr>
            <w:tcW w:w="3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center"/>
              <w:ind w:right="135"/>
              <w:spacing w:after="0"/>
              <w:rPr>
                <w:sz w:val="20"/>
                <w:szCs w:val="20"/>
                <w:color w:val="auto"/>
              </w:rPr>
            </w:pPr>
            <w:r>
              <w:rPr>
                <w:rFonts w:ascii="Arial" w:cs="Arial" w:eastAsia="Arial" w:hAnsi="Arial"/>
                <w:sz w:val="14"/>
                <w:szCs w:val="14"/>
                <w:color w:val="auto"/>
              </w:rPr>
              <w:t>2025</w:t>
            </w:r>
          </w:p>
        </w:tc>
      </w:tr>
      <w:tr>
        <w:trPr>
          <w:trHeight w:val="196"/>
        </w:trPr>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11,576,602</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6,556,371</w:t>
            </w: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Early exercised stock options subject to future vesting</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7,731</w:t>
            </w:r>
          </w:p>
        </w:tc>
      </w:tr>
      <w:tr>
        <w:trPr>
          <w:trHeight w:val="203"/>
        </w:trPr>
        <w:tc>
          <w:tcPr>
            <w:tcW w:w="6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Unvested restricted stock units</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7,191,524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4,676,785</w:t>
            </w: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Warrants</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58,727,657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32,009</w:t>
            </w:r>
          </w:p>
        </w:tc>
      </w:tr>
      <w:tr>
        <w:trPr>
          <w:trHeight w:val="196"/>
        </w:trPr>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77,495,783</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11,272,896</w:t>
            </w:r>
          </w:p>
        </w:tc>
      </w:tr>
    </w:tbl>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11—Defined contribution plan</w:t>
      </w:r>
    </w:p>
    <w:p>
      <w:pPr>
        <w:spacing w:after="0" w:line="200"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 has a 401(k) Employee Savings Plan (“401(k) Plan”) that is available to all employees of the Company. The Company has elected a Safe-Harbor provision for the 401(k) Plan in which participants are always fully vested in their employer contributions. The Company matches 100% of the first 3% of participating employee contributions and 50% of the next 2% of participating employee contributions. Contributions are made in cash. Contributions were approximately $240 and $397 for the three months ended March 31, 2026 and 2025 respectively. Such contribution expense has been recognized in the consolidated statement of operations for each period.</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12—Stock-based compensation</w:t>
      </w:r>
    </w:p>
    <w:p>
      <w:pPr>
        <w:spacing w:after="0" w:line="187"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On June 17, 2021, the Company adopted the Century Therapeutics, Inc. 2021 Equity Incentive Plan (the “2021 Incentive Plan”) which superseded the 2018 Incentive Plan and from that date forward all issuances of incentive awards will be governed by the 2021 Incentive Plan.</w:t>
      </w:r>
    </w:p>
    <w:p>
      <w:pPr>
        <w:spacing w:after="0" w:line="128"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The 2021 Incentive Plan provides for the Company to sell or issue common stock or restricted common stock, RSUs, or to grant incentive stock options or nonqualified stock options for the purchase of common stock, to employees, members of the Board of Directors, and consultants of the Company under terms and provisions established by the Board of Directors. Under the terms of the 2021 Incentive Plan, options may be granted at an exercise price not less than fair market value.</w:t>
      </w:r>
    </w:p>
    <w:p>
      <w:pPr>
        <w:spacing w:after="0" w:line="13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 The number of shares of common stock initially reserved for issuance under the 2021 Incentive Plan shall be increased, upon approval by the Board of Directors, on January 1, 2022 and each January 1 thereafter, in an amount equal to the least of (i) five percent (5%) of the outstanding common stock on the immediately preceding December 31, or (ii) such number of common stock determined by the Board of Directors no later than the immediately preceding December 31. For 2026, the 2021 Incentive Plan reserved shares were increased under clause (i) by 4,375,955 shares, effective as of January 1, 2026. As of March 31, 2026, there were 3,950,926 shares available for issuance under the 2021 Incentive Plan.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Company’s stock-based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The Company may also issue awards with performance-based vesting conditions. For performance-based awards, the Company would reassess at each reporting date whether achievement of the performance condition is probable and accrue compensation expense if and when the achievement of the performance condition is probable.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recognizes the costs of the stock-based compensation as the employees vest in the awards.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2026, the Company had reserved shares of common stock for issuance as follows: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560" w:type="dxa"/>
            <w:vAlign w:val="bottom"/>
            <w:gridSpan w:val="2"/>
          </w:tcPr>
          <w:p>
            <w:pPr>
              <w:ind w:left="7120"/>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514"/>
              <w:spacing w:after="0"/>
              <w:rPr>
                <w:sz w:val="20"/>
                <w:szCs w:val="20"/>
                <w:color w:val="auto"/>
              </w:rPr>
            </w:pPr>
            <w:r>
              <w:rPr>
                <w:rFonts w:ascii="Arial" w:cs="Arial" w:eastAsia="Arial" w:hAnsi="Arial"/>
                <w:sz w:val="14"/>
                <w:szCs w:val="14"/>
                <w:color w:val="auto"/>
              </w:rPr>
              <w:t>Shares</w:t>
            </w:r>
          </w:p>
        </w:tc>
      </w:tr>
      <w:tr>
        <w:trPr>
          <w:trHeight w:val="196"/>
        </w:trPr>
        <w:tc>
          <w:tcPr>
            <w:tcW w:w="7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and RSUs issued and outstanding</w:t>
            </w:r>
          </w:p>
        </w:tc>
        <w:tc>
          <w:tcPr>
            <w:tcW w:w="3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11,576,602</w:t>
            </w:r>
          </w:p>
        </w:tc>
      </w:tr>
      <w:tr>
        <w:trPr>
          <w:trHeight w:val="203"/>
        </w:trPr>
        <w:tc>
          <w:tcPr>
            <w:tcW w:w="7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Shares available for future stock option and RSU grants</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3,950,926</w:t>
            </w:r>
          </w:p>
        </w:tc>
      </w:tr>
      <w:tr>
        <w:trPr>
          <w:trHeight w:val="203"/>
        </w:trPr>
        <w:tc>
          <w:tcPr>
            <w:tcW w:w="75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available for employee stock purchase plan</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579,499</w:t>
            </w: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16,107,027</w:t>
            </w:r>
          </w:p>
        </w:tc>
      </w:tr>
      <w:tr>
        <w:trPr>
          <w:trHeight w:val="20"/>
        </w:trPr>
        <w:tc>
          <w:tcPr>
            <w:tcW w:w="7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shares of Common Stock available under the 2021 Incentive Plan as of March 31, 2026 are as follows: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540" w:type="dxa"/>
            <w:vAlign w:val="bottom"/>
            <w:gridSpan w:val="2"/>
          </w:tcPr>
          <w:p>
            <w:pPr>
              <w:ind w:left="7100"/>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533"/>
              <w:spacing w:after="0"/>
              <w:rPr>
                <w:sz w:val="20"/>
                <w:szCs w:val="20"/>
                <w:color w:val="auto"/>
              </w:rPr>
            </w:pPr>
            <w:r>
              <w:rPr>
                <w:rFonts w:ascii="Arial" w:cs="Arial" w:eastAsia="Arial" w:hAnsi="Arial"/>
                <w:sz w:val="14"/>
                <w:szCs w:val="14"/>
                <w:color w:val="auto"/>
              </w:rPr>
              <w:t>Shares</w:t>
            </w:r>
          </w:p>
        </w:tc>
      </w:tr>
      <w:tr>
        <w:trPr>
          <w:trHeight w:val="196"/>
        </w:trPr>
        <w:tc>
          <w:tcPr>
            <w:tcW w:w="7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December 31, 2025</w:t>
            </w:r>
          </w:p>
        </w:tc>
        <w:tc>
          <w:tcPr>
            <w:tcW w:w="3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4,175,446</w:t>
            </w:r>
          </w:p>
        </w:tc>
      </w:tr>
      <w:tr>
        <w:trPr>
          <w:trHeight w:val="203"/>
        </w:trPr>
        <w:tc>
          <w:tcPr>
            <w:tcW w:w="7540" w:type="dxa"/>
            <w:vAlign w:val="bottom"/>
            <w:gridSpan w:val="2"/>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4,375,955</w:t>
            </w:r>
          </w:p>
        </w:tc>
      </w:tr>
      <w:tr>
        <w:trPr>
          <w:trHeight w:val="203"/>
        </w:trPr>
        <w:tc>
          <w:tcPr>
            <w:tcW w:w="7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(2,987,881)</w:t>
            </w:r>
          </w:p>
        </w:tc>
      </w:tr>
      <w:tr>
        <w:trPr>
          <w:trHeight w:val="203"/>
        </w:trPr>
        <w:tc>
          <w:tcPr>
            <w:tcW w:w="7540" w:type="dxa"/>
            <w:vAlign w:val="bottom"/>
            <w:gridSpan w:val="2"/>
          </w:tcPr>
          <w:p>
            <w:pPr>
              <w:spacing w:after="0" w:line="202" w:lineRule="exact"/>
              <w:rPr>
                <w:sz w:val="20"/>
                <w:szCs w:val="20"/>
                <w:color w:val="auto"/>
              </w:rPr>
            </w:pPr>
            <w:r>
              <w:rPr>
                <w:rFonts w:ascii="Arial" w:cs="Arial" w:eastAsia="Arial" w:hAnsi="Arial"/>
                <w:sz w:val="18"/>
                <w:szCs w:val="18"/>
                <w:color w:val="auto"/>
              </w:rPr>
              <w:t>RSU’s granted</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(2,083,973)</w:t>
            </w:r>
          </w:p>
        </w:tc>
      </w:tr>
      <w:tr>
        <w:trPr>
          <w:trHeight w:val="203"/>
        </w:trPr>
        <w:tc>
          <w:tcPr>
            <w:tcW w:w="7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Options and RSUs forfeited / cancelled</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471,379</w:t>
            </w:r>
          </w:p>
        </w:tc>
      </w:tr>
      <w:tr>
        <w:trPr>
          <w:trHeight w:val="196"/>
        </w:trPr>
        <w:tc>
          <w:tcPr>
            <w:tcW w:w="7220" w:type="dxa"/>
            <w:vAlign w:val="bottom"/>
          </w:tcPr>
          <w:p>
            <w:pPr>
              <w:spacing w:after="0" w:line="196" w:lineRule="exact"/>
              <w:rPr>
                <w:sz w:val="20"/>
                <w:szCs w:val="20"/>
                <w:color w:val="auto"/>
              </w:rPr>
            </w:pPr>
            <w:r>
              <w:rPr>
                <w:rFonts w:ascii="Arial" w:cs="Arial" w:eastAsia="Arial" w:hAnsi="Arial"/>
                <w:sz w:val="18"/>
                <w:szCs w:val="18"/>
                <w:b w:val="1"/>
                <w:bCs w:val="1"/>
                <w:color w:val="auto"/>
              </w:rPr>
              <w:t>Balance March 31, 2026</w:t>
            </w:r>
          </w:p>
        </w:tc>
        <w:tc>
          <w:tcPr>
            <w:tcW w:w="3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3,950,926</w:t>
            </w:r>
          </w:p>
        </w:tc>
      </w:tr>
      <w:tr>
        <w:trPr>
          <w:trHeight w:val="20"/>
        </w:trPr>
        <w:tc>
          <w:tcPr>
            <w:tcW w:w="7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three month period ended March 31, 2026:</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9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gridSpan w:val="3"/>
          </w:tcPr>
          <w:p>
            <w:pPr>
              <w:jc w:val="right"/>
              <w:ind w:right="255"/>
              <w:spacing w:after="0"/>
              <w:rPr>
                <w:sz w:val="20"/>
                <w:szCs w:val="20"/>
                <w:color w:val="auto"/>
              </w:rPr>
            </w:pPr>
            <w:r>
              <w:rPr>
                <w:rFonts w:ascii="Arial" w:cs="Arial" w:eastAsia="Arial" w:hAnsi="Arial"/>
                <w:sz w:val="14"/>
                <w:szCs w:val="14"/>
                <w:color w:val="auto"/>
              </w:rPr>
              <w:t>Weighted Average</w:t>
            </w:r>
          </w:p>
        </w:tc>
        <w:tc>
          <w:tcPr>
            <w:tcW w:w="1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color w:val="auto"/>
              </w:rPr>
              <w:t>Remaining</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Contractual</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7"/>
              </w:rPr>
              <w:t>Term</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1"/>
        </w:trPr>
        <w:tc>
          <w:tcPr>
            <w:tcW w:w="4900" w:type="dxa"/>
            <w:vAlign w:val="bottom"/>
          </w:tcPr>
          <w:p>
            <w:pPr>
              <w:ind w:left="47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​​​Exercise Price</w:t>
            </w:r>
          </w:p>
        </w:tc>
        <w:tc>
          <w:tcPr>
            <w:tcW w:w="900" w:type="dxa"/>
            <w:vAlign w:val="bottom"/>
            <w:gridSpan w:val="2"/>
          </w:tcPr>
          <w:p>
            <w:pPr>
              <w:jc w:val="right"/>
              <w:ind w:right="55"/>
              <w:spacing w:after="0"/>
              <w:rPr>
                <w:sz w:val="20"/>
                <w:szCs w:val="20"/>
                <w:color w:val="auto"/>
              </w:rPr>
            </w:pPr>
            <w:r>
              <w:rPr>
                <w:rFonts w:ascii="Arial" w:cs="Arial" w:eastAsia="Arial" w:hAnsi="Arial"/>
                <w:sz w:val="14"/>
                <w:szCs w:val="14"/>
                <w:color w:val="auto"/>
              </w:rPr>
              <w:t>​​​  (years)</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right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January 1, 2026</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9,105,976</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4.30</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5.75</w:t>
            </w:r>
          </w:p>
        </w:tc>
        <w:tc>
          <w:tcPr>
            <w:tcW w:w="1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2,987,881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03"/>
        </w:trPr>
        <w:tc>
          <w:tcPr>
            <w:tcW w:w="4900" w:type="dxa"/>
            <w:vAlign w:val="bottom"/>
            <w:tcBorders>
              <w:right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(142,317)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(145,137)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4900" w:type="dxa"/>
            <w:vAlign w:val="bottom"/>
            <w:tcBorders>
              <w:right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Cancelled</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(229,801)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Outstanding, March 31, 2026</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11,576,602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4.52</w:t>
            </w:r>
          </w:p>
        </w:tc>
        <w:tc>
          <w:tcPr>
            <w:tcW w:w="1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6.69</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right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Exercisable at March 31, 2026</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6,282,361</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6.24</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0"/>
        </w:trPr>
        <w:tc>
          <w:tcPr>
            <w:tcW w:w="490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auto"/>
        </w:rPr>
        <w:t>The weighted average grant date fair value of awards for options granted during the three months ended March 31, 2026 was $1.36. As of March 31, 2026, there was $6,540 of total unrecognized compensation expense related to unvested stock options with time-based vesting terms, which is expected to be recognized over a weighted average period of 3.10 years. The aggregate intrinsic value of options vested and exercisable as of March 31, 2026 and 2025 is calculated based on the difference between the exercise price and the fair value of our common stock. The intrinsic value of options exercised in 2026 and 2025 was $120 and $32, respectively.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Starting in June of 2023, the Company had sufficient historical information regarding stock trading history, and started to use the Company’s own stock volatility.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expected term of the option are based on the U.S. Treasury securities with a maturity date commensurate with the expected term of the associated award. The Company will account for actual forfeitures as they occur.</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March 31, 2026</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December 31, 2025</w:t>
            </w:r>
          </w:p>
        </w:tc>
      </w:tr>
      <w:tr>
        <w:trPr>
          <w:trHeight w:val="196"/>
        </w:trPr>
        <w:tc>
          <w:tcPr>
            <w:tcW w:w="61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dividend rate</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Expected option term (years)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180" w:type="dxa"/>
            <w:vAlign w:val="bottom"/>
          </w:tcPr>
          <w:p>
            <w:pPr>
              <w:spacing w:after="0"/>
              <w:rPr>
                <w:sz w:val="17"/>
                <w:szCs w:val="17"/>
                <w:color w:val="auto"/>
              </w:rPr>
            </w:pP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82.84 %</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79.28 %</w:t>
            </w:r>
          </w:p>
        </w:tc>
      </w:tr>
      <w:tr>
        <w:trPr>
          <w:trHeight w:val="239"/>
        </w:trPr>
        <w:tc>
          <w:tcPr>
            <w:tcW w:w="61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3.74 %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3.96 %</w:t>
            </w:r>
          </w:p>
        </w:tc>
      </w:tr>
    </w:tbl>
    <w:p>
      <w:pPr>
        <w:spacing w:after="0" w:line="147"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Stock-based compensation expense recorded under ASC 718 related to stock options granted and common stock issued under the 2021 Employee Stock Purchase Plan (the “ESPP”) were allocated to research and development and general and administrative expense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740" w:type="dxa"/>
            <w:vAlign w:val="bottom"/>
            <w:gridSpan w:val="5"/>
          </w:tcPr>
          <w:p>
            <w:pPr>
              <w:spacing w:after="0"/>
              <w:rPr>
                <w:sz w:val="20"/>
                <w:szCs w:val="20"/>
                <w:color w:val="auto"/>
              </w:rPr>
            </w:pPr>
            <w:r>
              <w:rPr>
                <w:rFonts w:ascii="Arial" w:cs="Arial" w:eastAsia="Arial" w:hAnsi="Arial"/>
                <w:sz w:val="14"/>
                <w:szCs w:val="14"/>
                <w:color w:val="auto"/>
              </w:rPr>
              <w:t>Three Months EndedThree Months Ended</w:t>
            </w:r>
          </w:p>
        </w:tc>
      </w:tr>
      <w:tr>
        <w:trPr>
          <w:trHeight w:val="203"/>
        </w:trPr>
        <w:tc>
          <w:tcPr>
            <w:tcW w:w="6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337"/>
              <w:spacing w:after="0"/>
              <w:rPr>
                <w:sz w:val="20"/>
                <w:szCs w:val="20"/>
                <w:color w:val="auto"/>
              </w:rPr>
            </w:pPr>
            <w:r>
              <w:rPr>
                <w:rFonts w:ascii="Arial" w:cs="Arial" w:eastAsia="Arial" w:hAnsi="Arial"/>
                <w:sz w:val="14"/>
                <w:szCs w:val="14"/>
                <w:color w:val="auto"/>
              </w:rPr>
              <w:t>March 31,</w:t>
            </w:r>
          </w:p>
        </w:tc>
        <w:tc>
          <w:tcPr>
            <w:tcW w:w="2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color w:val="auto"/>
              </w:rPr>
              <w:t>March 31,</w:t>
            </w:r>
          </w:p>
        </w:tc>
      </w:tr>
      <w:tr>
        <w:trPr>
          <w:trHeight w:val="207"/>
        </w:trPr>
        <w:tc>
          <w:tcPr>
            <w:tcW w:w="6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color w:val="auto"/>
              </w:rPr>
              <w:t>2026</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2025</w:t>
            </w:r>
          </w:p>
        </w:tc>
        <w:tc>
          <w:tcPr>
            <w:tcW w:w="20" w:type="dxa"/>
            <w:vAlign w:val="bottom"/>
            <w:tcBorders>
              <w:bottom w:val="single" w:sz="8" w:color="CCEEFF"/>
            </w:tcBorders>
          </w:tcPr>
          <w:p>
            <w:pPr>
              <w:spacing w:after="0"/>
              <w:rPr>
                <w:sz w:val="17"/>
                <w:szCs w:val="17"/>
                <w:color w:val="auto"/>
              </w:rPr>
            </w:pPr>
          </w:p>
        </w:tc>
      </w:tr>
      <w:tr>
        <w:trPr>
          <w:trHeight w:val="200"/>
        </w:trPr>
        <w:tc>
          <w:tcPr>
            <w:tcW w:w="6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
              <w:spacing w:after="0" w:line="200" w:lineRule="exact"/>
              <w:rPr>
                <w:sz w:val="20"/>
                <w:szCs w:val="20"/>
                <w:color w:val="auto"/>
              </w:rPr>
            </w:pPr>
            <w:r>
              <w:rPr>
                <w:rFonts w:ascii="Arial" w:cs="Arial" w:eastAsia="Arial" w:hAnsi="Arial"/>
                <w:sz w:val="18"/>
                <w:szCs w:val="18"/>
                <w:color w:val="auto"/>
              </w:rPr>
              <w:t>838</w:t>
            </w:r>
          </w:p>
        </w:tc>
        <w:tc>
          <w:tcPr>
            <w:tcW w:w="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1,580</w:t>
            </w:r>
          </w:p>
        </w:tc>
        <w:tc>
          <w:tcPr>
            <w:tcW w:w="20" w:type="dxa"/>
            <w:vAlign w:val="bottom"/>
            <w:shd w:val="clear" w:color="auto" w:fill="CCEEFF"/>
          </w:tcPr>
          <w:p>
            <w:pPr>
              <w:spacing w:after="0"/>
              <w:rPr>
                <w:sz w:val="17"/>
                <w:szCs w:val="17"/>
                <w:color w:val="auto"/>
              </w:rPr>
            </w:pPr>
          </w:p>
        </w:tc>
      </w:tr>
      <w:tr>
        <w:trPr>
          <w:trHeight w:val="203"/>
        </w:trPr>
        <w:tc>
          <w:tcPr>
            <w:tcW w:w="61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607</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846</w:t>
            </w:r>
          </w:p>
        </w:tc>
        <w:tc>
          <w:tcPr>
            <w:tcW w:w="20" w:type="dxa"/>
            <w:vAlign w:val="bottom"/>
            <w:tcBorders>
              <w:bottom w:val="single" w:sz="8" w:color="CCEEFF"/>
            </w:tcBorders>
          </w:tcPr>
          <w:p>
            <w:pPr>
              <w:spacing w:after="0"/>
              <w:rPr>
                <w:sz w:val="17"/>
                <w:szCs w:val="17"/>
                <w:color w:val="auto"/>
              </w:rPr>
            </w:pPr>
          </w:p>
        </w:tc>
      </w:tr>
      <w:tr>
        <w:trPr>
          <w:trHeight w:val="196"/>
        </w:trPr>
        <w:tc>
          <w:tcPr>
            <w:tcW w:w="61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stock-based compensation</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1,445</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2,426</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6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Stock-based compensation expense by award type included within the condensed consolidated statements of operations is as follows: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options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stock units</w:t>
      </w:r>
    </w:p>
    <w:p>
      <w:pPr>
        <w:ind w:left="60"/>
        <w:spacing w:after="0" w:line="234" w:lineRule="auto"/>
        <w:rPr>
          <w:sz w:val="20"/>
          <w:szCs w:val="20"/>
          <w:color w:val="auto"/>
        </w:rPr>
      </w:pPr>
      <w:r>
        <w:rPr>
          <w:rFonts w:ascii="Arial" w:cs="Arial" w:eastAsia="Arial" w:hAnsi="Arial"/>
          <w:sz w:val="18"/>
          <w:szCs w:val="18"/>
          <w:color w:val="auto"/>
        </w:rPr>
        <w:t>Restricted stock awards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Employee stock purchase plan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Total stock-based compensation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Three Months Ended Three Months Ended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1120" w:type="dxa"/>
            <w:vAlign w:val="bottom"/>
          </w:tcPr>
          <w:p>
            <w:pPr>
              <w:jc w:val="right"/>
              <w:ind w:right="275"/>
              <w:spacing w:after="0"/>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6"/>
                <w:szCs w:val="16"/>
                <w:color w:val="auto"/>
              </w:rPr>
            </w:pPr>
          </w:p>
        </w:tc>
        <w:tc>
          <w:tcPr>
            <w:tcW w:w="1140" w:type="dxa"/>
            <w:vAlign w:val="bottom"/>
          </w:tcPr>
          <w:p>
            <w:pPr>
              <w:jc w:val="right"/>
              <w:ind w:right="295"/>
              <w:spacing w:after="0"/>
              <w:rPr>
                <w:sz w:val="20"/>
                <w:szCs w:val="20"/>
                <w:color w:val="auto"/>
              </w:rPr>
            </w:pPr>
            <w:r>
              <w:rPr>
                <w:rFonts w:ascii="Arial" w:cs="Arial" w:eastAsia="Arial" w:hAnsi="Arial"/>
                <w:sz w:val="14"/>
                <w:szCs w:val="14"/>
                <w:color w:val="auto"/>
              </w:rPr>
              <w:t>March 31,</w:t>
            </w:r>
          </w:p>
        </w:tc>
      </w:tr>
      <w:tr>
        <w:trPr>
          <w:trHeight w:val="207"/>
        </w:trPr>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2026</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2025</w:t>
            </w:r>
          </w:p>
        </w:tc>
      </w:tr>
      <w:tr>
        <w:trPr>
          <w:trHeight w:val="181"/>
        </w:trPr>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721</w:t>
            </w:r>
          </w:p>
        </w:tc>
        <w:tc>
          <w:tcPr>
            <w:tcW w:w="2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1,858</w:t>
            </w:r>
          </w:p>
        </w:tc>
      </w:tr>
      <w:tr>
        <w:trPr>
          <w:trHeight w:val="203"/>
        </w:trPr>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712</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r>
      <w:tr>
        <w:trPr>
          <w:trHeight w:val="203"/>
        </w:trPr>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21"/>
        </w:trPr>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196"/>
        </w:trPr>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1,445</w:t>
            </w:r>
          </w:p>
        </w:tc>
        <w:tc>
          <w:tcPr>
            <w:tcW w:w="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-685165</wp:posOffset>
            </wp:positionV>
            <wp:extent cx="564896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-419100</wp:posOffset>
            </wp:positionV>
            <wp:extent cx="564896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-161925</wp:posOffset>
            </wp:positionV>
            <wp:extent cx="564896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20"/>
            <w:col w:w="2819"/>
          </w:cols>
          <w:pgMar w:left="1440" w:top="512"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RSU activity for the three months ended March 31, 2026:</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4540" w:type="dxa"/>
            <w:vAlign w:val="bottom"/>
          </w:tcPr>
          <w:p>
            <w:pPr>
              <w:spacing w:after="0"/>
              <w:rPr>
                <w:sz w:val="19"/>
                <w:szCs w:val="19"/>
                <w:color w:val="auto"/>
              </w:rPr>
            </w:pPr>
          </w:p>
        </w:tc>
        <w:tc>
          <w:tcPr>
            <w:tcW w:w="280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4"/>
                <w:szCs w:val="14"/>
                <w:color w:val="auto"/>
              </w:rPr>
              <w:t>Weighted Average</w:t>
            </w:r>
          </w:p>
        </w:tc>
      </w:tr>
      <w:tr>
        <w:trPr>
          <w:trHeight w:val="198"/>
        </w:trPr>
        <w:tc>
          <w:tcPr>
            <w:tcW w:w="4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Grant Date Fair Value</w:t>
            </w: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Unvested December 31, 2025</w:t>
            </w:r>
          </w:p>
        </w:tc>
        <w:tc>
          <w:tcPr>
            <w:tcW w:w="1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5,645,957</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0.85</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2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2,083,973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28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(96,441)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28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(441,965)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0.94</w:t>
            </w:r>
          </w:p>
        </w:tc>
      </w:tr>
      <w:tr>
        <w:trPr>
          <w:trHeight w:val="196"/>
        </w:trPr>
        <w:tc>
          <w:tcPr>
            <w:tcW w:w="45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Unvested March 31, 2026</w:t>
            </w:r>
          </w:p>
        </w:tc>
        <w:tc>
          <w:tcPr>
            <w:tcW w:w="18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7,191,524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4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As of March 31, 2026, there was $6,782 of total unrecognized compensation expense related to the unvested restricted stock with time-based vesting terms, which is expected to be recognized over a weighted average period of 3.02 years.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Employee Stock Purchase Plan</w:t>
      </w:r>
    </w:p>
    <w:p>
      <w:pPr>
        <w:spacing w:after="0" w:line="16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ESPP was adopted by the Board of Directors in May 2021. A total of 564,071 shares of common stock were initially reserved for issuance under this plan, which shall be increased, upon approval by the Board of Directors, on January 1, 2022 and each January 1 thereafter, to the lesser of (i) one percent (1%) of the outstanding shares of common stock on the last day of the immediately preceding fiscal year, or (ii) an amount determined by the Board of Directors no later than the last day of the immediately preceding fiscal year. For 2022, the ESPP reserved shares were increased under clause (i) by 550,055 shares, effective as of January 1, 2022. For 2023, 2024, 2025 and 2026, the board waived the annual increase to the shares reserved under the ESPP. As of March 31, 2026, there were 579,499 shares available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w:t>
      </w:r>
      <w:r>
        <w:rPr>
          <w:rFonts w:ascii="Arial" w:cs="Arial" w:eastAsia="Arial" w:hAnsi="Arial"/>
          <w:sz w:val="17"/>
          <w:szCs w:val="17"/>
          <w:color w:val="auto"/>
        </w:rPr>
        <w:t>—</w:t>
      </w:r>
      <w:r>
        <w:rPr>
          <w:rFonts w:ascii="Arial" w:cs="Arial" w:eastAsia="Arial" w:hAnsi="Arial"/>
          <w:sz w:val="22"/>
          <w:szCs w:val="22"/>
          <w:color w:val="auto"/>
        </w:rPr>
        <w:t>Common Stock</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At-The-Market</w:t>
      </w:r>
    </w:p>
    <w:p>
      <w:pPr>
        <w:spacing w:after="0" w:line="185" w:lineRule="exact"/>
        <w:rPr>
          <w:sz w:val="20"/>
          <w:szCs w:val="20"/>
          <w:color w:val="auto"/>
        </w:rPr>
      </w:pPr>
    </w:p>
    <w:p>
      <w:pPr>
        <w:ind w:left="60" w:right="279"/>
        <w:spacing w:after="0" w:line="239" w:lineRule="auto"/>
        <w:rPr>
          <w:sz w:val="20"/>
          <w:szCs w:val="20"/>
          <w:color w:val="auto"/>
        </w:rPr>
      </w:pPr>
      <w:r>
        <w:rPr>
          <w:rFonts w:ascii="Arial" w:cs="Arial" w:eastAsia="Arial" w:hAnsi="Arial"/>
          <w:sz w:val="18"/>
          <w:szCs w:val="18"/>
          <w:color w:val="auto"/>
        </w:rPr>
        <w:t>The Company has a Sales Agreement (“Sales Agreement”), with Cowen and Company, LLC, or (“Cowen”) to provide for the offering, issuance and sale of up to an aggregate amount of $150,000 of common stock from time to time in “at-the-market” offerings (the “ATM Program”). Shares of common stock pursuant to the ATM program were previously made pursuant to the Company’s shelf registration statement on Form S-3 (File No.333-265975) (the “Prior Shelf”). Upon the expiration of the Prior Shelf, the Company filed a new shelf registration statement on Form S-3 (No. 333-288616) (the “New Shelf”), which became effective in January 2026. The Company filed a prospectus supplement to the New Shelf for the ATM Program in March 2026. During the three months ended March 31, 2025, and March 31, 2026, the Company did not have any sales in the ATM Program.</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Private Placement Offering</w:t>
      </w:r>
    </w:p>
    <w:p>
      <w:pPr>
        <w:spacing w:after="0" w:line="17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On January 7, 2026, the Company entered into a securities purchase agreement with certain institutional accredited investors (the “2026 Investors”), pursuant to which the Company issued and sold to the 2026 Investors in a private placement (the “2026 Private Placement”) (i) 92,030,595 shares of its common stock and accompanying warrants to purchase an aggregate of 58,695,648 shares of common stock (or pre-funded warrants in lieu thereof) and (ii) in lieu of common stock, to certain investors, pre-funded warrants to purchase an aggregate of up to 25,360,704 shares of its common stock and accompanying warrants to purchase 12,680,352 shares of common stock (or pre-funded warrants in lieu thereof), at an exercise price of $0.0001 per pre-funded warrant. The combined offering price of each share of common stock and accompanying common stock warrant was $1.15. The combined offering price of each pre-funded warrant and accompanying common stock warrant was $1.1499. The pre-funded warrants are exercisable immediately. Each common stock warrant has an exercise price per share of $2.60. The common stock warrants are exercisable from the date of issuance and will expire 30 days following the public announcement of initial Phase 1 clinical data for CNTY-813 or, if earlier, on the third anniversary of closing.</w:t>
      </w:r>
    </w:p>
    <w:p>
      <w:pPr>
        <w:spacing w:after="0" w:line="153"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The 2026 Private Placement closed on January 9, 2026. The net proceeds received by the Company was approximately $126,400. The Company intends to use the net proceeds from the 2026 Private Placement to fund development of its lead product candidate, CNTY-813, and for working capital and other general corporate purposes.</w:t>
      </w:r>
    </w:p>
    <w:p>
      <w:pPr>
        <w:spacing w:after="0" w:line="133" w:lineRule="exact"/>
        <w:rPr>
          <w:sz w:val="20"/>
          <w:szCs w:val="20"/>
          <w:color w:val="auto"/>
        </w:rPr>
      </w:pPr>
    </w:p>
    <w:p>
      <w:pPr>
        <w:jc w:val="both"/>
        <w:ind w:left="60" w:right="279"/>
        <w:spacing w:after="0" w:line="253" w:lineRule="auto"/>
        <w:rPr>
          <w:sz w:val="20"/>
          <w:szCs w:val="20"/>
          <w:color w:val="auto"/>
        </w:rPr>
      </w:pPr>
      <w:r>
        <w:rPr>
          <w:rFonts w:ascii="Arial" w:cs="Arial" w:eastAsia="Arial" w:hAnsi="Arial"/>
          <w:sz w:val="18"/>
          <w:szCs w:val="18"/>
          <w:color w:val="auto"/>
        </w:rPr>
        <w:t>The Company determined that each of the pre-funded warrants and common stock warrants are freestanding financial instruments that are legally detachable and separately exercisable from the common stock and from each other.</w:t>
      </w:r>
    </w:p>
    <w:p>
      <w:pPr>
        <w:spacing w:after="0" w:line="128"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 xml:space="preserve">The Company evaluated both instruments under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and concluded that neither represents an ASC 480 liability. Neither instrument (i) embodies an unconditional obligation to redeem by transferring assets, (ii) embodies an obligation to repurchase the Company's shares by transferring assets, or (iii) embodies an obligation settleable in a variable number of shares with a monetary value based predominantly on a fixed amount, variations in something other than the fair value of the Company's shares, or variations inversely related to the Company's share price.</w:t>
      </w:r>
    </w:p>
    <w:p>
      <w:pPr>
        <w:spacing w:after="0" w:line="152"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Company further evaluated whether the instruments meet the definition of a derivative under ASC 815. Both instruments meet the definition of a derivative; however, the Company concluded that they qualify for the scope exception in ASC 815-10-15-74(a) for contracts that are both indexed to the Company's own stock and classified in stockholders' equity. Under the two-step indexation framework in ASC 815-40-15, neither the exercise contingencies nor the settlement provisions preclude indexation. Under the equity classification guidance in ASC 815-40-25, both instruments meet all applicable conditions, including that settlement is in the Company's shares, the Company has sufficient authorized and unissued shares, and settlement is within the Company's control.</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auto"/>
        </w:rPr>
        <w:t>Accordingly, both the pre -funded warrants and common stock warrants were classified as a component of permanent stockholders' equity within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14—Segment Reporting</w:t>
      </w:r>
    </w:p>
    <w:p>
      <w:pPr>
        <w:spacing w:after="0" w:line="173"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 maker (“CODM”) in making decisions on how to allocate resources and assess performance. The Company views its operations and manages the business as one operating segment. The Company’s CODM is its Chief Executive Officer. The CODM uses research and development expenses, general and administrative expenses, and net loss as measures of profit or loss to assess performance and allocate resources, all of which are presented on the face of the financial statements. The CODM also uses a further breakdown of research and development expenses to assess performance and allocate resources as presented below:</w:t>
      </w:r>
    </w:p>
    <w:p>
      <w:pPr>
        <w:spacing w:after="0" w:line="200" w:lineRule="exact"/>
        <w:rPr>
          <w:sz w:val="20"/>
          <w:szCs w:val="20"/>
          <w:color w:val="auto"/>
        </w:rPr>
      </w:pP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right"/>
              <w:ind w:right="540"/>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14"/>
                <w:szCs w:val="14"/>
                <w:color w:val="auto"/>
              </w:rPr>
            </w:pPr>
          </w:p>
        </w:tc>
        <w:tc>
          <w:tcPr>
            <w:tcW w:w="1920" w:type="dxa"/>
            <w:vAlign w:val="bottom"/>
            <w:gridSpan w:val="2"/>
          </w:tcPr>
          <w:p>
            <w:pPr>
              <w:jc w:val="right"/>
              <w:ind w:right="520"/>
              <w:spacing w:after="0"/>
              <w:rPr>
                <w:sz w:val="20"/>
                <w:szCs w:val="20"/>
                <w:color w:val="auto"/>
              </w:rPr>
            </w:pPr>
            <w:r>
              <w:rPr>
                <w:rFonts w:ascii="Arial" w:cs="Arial" w:eastAsia="Arial" w:hAnsi="Arial"/>
                <w:sz w:val="14"/>
                <w:szCs w:val="14"/>
                <w:color w:val="auto"/>
              </w:rPr>
              <w:t>Three Months Ended</w:t>
            </w:r>
          </w:p>
        </w:tc>
      </w:tr>
      <w:tr>
        <w:trPr>
          <w:trHeight w:val="17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4"/>
                <w:szCs w:val="14"/>
                <w:color w:val="auto"/>
              </w:rPr>
              <w:t>March 31, 2026</w:t>
            </w:r>
          </w:p>
        </w:tc>
        <w:tc>
          <w:tcPr>
            <w:tcW w:w="160" w:type="dxa"/>
            <w:vAlign w:val="bottom"/>
          </w:tcPr>
          <w:p>
            <w:pPr>
              <w:spacing w:after="0"/>
              <w:rPr>
                <w:sz w:val="14"/>
                <w:szCs w:val="14"/>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4"/>
                <w:szCs w:val="14"/>
                <w:color w:val="auto"/>
              </w:rPr>
              <w:t>March 31, 2025</w:t>
            </w:r>
          </w:p>
        </w:tc>
      </w:tr>
      <w:tr>
        <w:trPr>
          <w:trHeight w:val="196"/>
        </w:trPr>
        <w:tc>
          <w:tcPr>
            <w:tcW w:w="47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Collaboration revenue</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109,164</w:t>
            </w:r>
          </w:p>
        </w:tc>
        <w:tc>
          <w:tcPr>
            <w:tcW w:w="320" w:type="dxa"/>
            <w:vAlign w:val="bottom"/>
            <w:tcBorders>
              <w:top w:val="single" w:sz="8" w:color="CCEEFF"/>
            </w:tcBorders>
            <w:shd w:val="clear" w:color="auto" w:fill="CCEEFF"/>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Less cost and expense:</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4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3"/>
        </w:trPr>
        <w:tc>
          <w:tcPr>
            <w:tcW w:w="4740" w:type="dxa"/>
            <w:vAlign w:val="bottom"/>
          </w:tcPr>
          <w:p>
            <w:pPr>
              <w:ind w:left="160"/>
              <w:spacing w:after="0" w:line="202" w:lineRule="exact"/>
              <w:rPr>
                <w:sz w:val="20"/>
                <w:szCs w:val="20"/>
                <w:color w:val="auto"/>
              </w:rPr>
            </w:pPr>
            <w:r>
              <w:rPr>
                <w:rFonts w:ascii="Arial" w:cs="Arial" w:eastAsia="Arial" w:hAnsi="Arial"/>
                <w:sz w:val="18"/>
                <w:szCs w:val="18"/>
                <w:color w:val="auto"/>
              </w:rPr>
              <w:t>Personnel and related costs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5,596</w:t>
            </w:r>
          </w:p>
        </w:tc>
        <w:tc>
          <w:tcPr>
            <w:tcW w:w="3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9,984</w:t>
            </w:r>
          </w:p>
        </w:tc>
        <w:tc>
          <w:tcPr>
            <w:tcW w:w="320" w:type="dxa"/>
            <w:vAlign w:val="bottom"/>
          </w:tcPr>
          <w:p>
            <w:pPr>
              <w:spacing w:after="0"/>
              <w:rPr>
                <w:sz w:val="17"/>
                <w:szCs w:val="17"/>
                <w:color w:val="auto"/>
              </w:rPr>
            </w:pPr>
          </w:p>
        </w:tc>
      </w:tr>
      <w:tr>
        <w:trPr>
          <w:trHeight w:val="203"/>
        </w:trPr>
        <w:tc>
          <w:tcPr>
            <w:tcW w:w="4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Facility and other allocated costs</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3,468</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5,322</w:t>
            </w:r>
          </w:p>
        </w:tc>
        <w:tc>
          <w:tcPr>
            <w:tcW w:w="320" w:type="dxa"/>
            <w:vAlign w:val="bottom"/>
            <w:shd w:val="clear" w:color="auto" w:fill="CCEEFF"/>
          </w:tcPr>
          <w:p>
            <w:pPr>
              <w:spacing w:after="0"/>
              <w:rPr>
                <w:sz w:val="17"/>
                <w:szCs w:val="17"/>
                <w:color w:val="auto"/>
              </w:rPr>
            </w:pPr>
          </w:p>
        </w:tc>
      </w:tr>
      <w:tr>
        <w:trPr>
          <w:trHeight w:val="203"/>
        </w:trPr>
        <w:tc>
          <w:tcPr>
            <w:tcW w:w="4740" w:type="dxa"/>
            <w:vAlign w:val="bottom"/>
          </w:tcPr>
          <w:p>
            <w:pPr>
              <w:ind w:left="160"/>
              <w:spacing w:after="0" w:line="202" w:lineRule="exact"/>
              <w:rPr>
                <w:sz w:val="20"/>
                <w:szCs w:val="20"/>
                <w:color w:val="auto"/>
              </w:rPr>
            </w:pPr>
            <w:r>
              <w:rPr>
                <w:rFonts w:ascii="Arial" w:cs="Arial" w:eastAsia="Arial" w:hAnsi="Arial"/>
                <w:sz w:val="18"/>
                <w:szCs w:val="18"/>
                <w:color w:val="auto"/>
              </w:rPr>
              <w:t>Research and laboratory</w:t>
            </w:r>
          </w:p>
        </w:tc>
        <w:tc>
          <w:tcPr>
            <w:tcW w:w="1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7,468</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9,475</w:t>
            </w:r>
          </w:p>
        </w:tc>
        <w:tc>
          <w:tcPr>
            <w:tcW w:w="320" w:type="dxa"/>
            <w:vAlign w:val="bottom"/>
          </w:tcPr>
          <w:p>
            <w:pPr>
              <w:spacing w:after="0"/>
              <w:rPr>
                <w:sz w:val="17"/>
                <w:szCs w:val="17"/>
                <w:color w:val="auto"/>
              </w:rPr>
            </w:pPr>
          </w:p>
        </w:tc>
      </w:tr>
      <w:tr>
        <w:trPr>
          <w:trHeight w:val="203"/>
        </w:trPr>
        <w:tc>
          <w:tcPr>
            <w:tcW w:w="4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research and development</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1,799</w:t>
            </w:r>
          </w:p>
        </w:tc>
        <w:tc>
          <w:tcPr>
            <w:tcW w:w="320" w:type="dxa"/>
            <w:vAlign w:val="bottom"/>
            <w:shd w:val="clear" w:color="auto" w:fill="CCEEFF"/>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6,579</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8,408</w:t>
            </w:r>
          </w:p>
        </w:tc>
        <w:tc>
          <w:tcPr>
            <w:tcW w:w="320" w:type="dxa"/>
            <w:vAlign w:val="bottom"/>
          </w:tcPr>
          <w:p>
            <w:pPr>
              <w:spacing w:after="0"/>
              <w:rPr>
                <w:sz w:val="17"/>
                <w:szCs w:val="17"/>
                <w:color w:val="auto"/>
              </w:rPr>
            </w:pPr>
          </w:p>
        </w:tc>
      </w:tr>
      <w:tr>
        <w:trPr>
          <w:trHeight w:val="203"/>
        </w:trPr>
        <w:tc>
          <w:tcPr>
            <w:tcW w:w="4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Impairment of long-lived assets</w:t>
            </w: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Other segment (income) expense</w:t>
            </w:r>
          </w:p>
        </w:tc>
        <w:tc>
          <w:tcPr>
            <w:tcW w:w="140" w:type="dxa"/>
            <w:vAlign w:val="bottom"/>
          </w:tcPr>
          <w:p>
            <w:pPr>
              <w:spacing w:after="0"/>
              <w:rPr>
                <w:sz w:val="17"/>
                <w:szCs w:val="17"/>
                <w:color w:val="auto"/>
              </w:rPr>
            </w:pPr>
          </w:p>
        </w:tc>
        <w:tc>
          <w:tcPr>
            <w:tcW w:w="1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(2,039)</w:t>
            </w:r>
          </w:p>
        </w:tc>
        <w:tc>
          <w:tcPr>
            <w:tcW w:w="160" w:type="dxa"/>
            <w:vAlign w:val="bottom"/>
          </w:tcPr>
          <w:p>
            <w:pPr>
              <w:spacing w:after="0"/>
              <w:rPr>
                <w:sz w:val="17"/>
                <w:szCs w:val="17"/>
                <w:color w:val="auto"/>
              </w:rPr>
            </w:pPr>
          </w:p>
        </w:tc>
        <w:tc>
          <w:tcPr>
            <w:tcW w:w="19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(2,384)</w:t>
            </w:r>
          </w:p>
        </w:tc>
      </w:tr>
      <w:tr>
        <w:trPr>
          <w:trHeight w:val="196"/>
        </w:trPr>
        <w:tc>
          <w:tcPr>
            <w:tcW w:w="4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(21,645)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76,560</w:t>
            </w:r>
          </w:p>
        </w:tc>
        <w:tc>
          <w:tcPr>
            <w:tcW w:w="32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segment (income)/expense includes interest income, and other income (expense).</w:t>
      </w: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 Subsequent Events</w:t>
      </w:r>
    </w:p>
    <w:p>
      <w:pPr>
        <w:spacing w:after="0" w:line="200"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The Company has evaluated subsequent events through the filing of this Quarterly Report on Form 10-Q, and determined that there have been no events that have occurred that would require adjustments to our disclosures in the consolidated financial statements.</w:t>
      </w: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6" w:lineRule="exact"/>
        <w:rPr>
          <w:sz w:val="20"/>
          <w:szCs w:val="20"/>
          <w:color w:val="auto"/>
        </w:rPr>
      </w:pPr>
    </w:p>
    <w:p>
      <w:pPr>
        <w:ind w:left="60" w:right="279"/>
        <w:spacing w:after="0"/>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2025 and the related Management’s Discussion and Analysis of Financial Condition and Results of Operations, which are contained in our Annual Report on Form 10-K filed with the Securities and Exchange Commission (the “SEC”) on March 12, 2026 (the “Annual Report”). This Quarterly Report on Form 10-Q contains “forward-looking statements” within the meaning of Section 27A of the Securities Act and Section 21E of the Exchange Act. Such forward-looking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i w:val="1"/>
          <w:iCs w:val="1"/>
          <w:color w:val="auto"/>
        </w:rPr>
        <w:t>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in our Annual Report. Except as required by law, we undertake no obligation to update these forward-looking statements to reflect events or circumstances after the date of this report or to reflect actual outcomes.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are a biotechnology company harnessing the power of allogeneic pluripotent stem cell therapies to develop potentially curative cell therapy products for autoimmune diseases, including type 1 diabetes, or T1D, and cancer. Our islet, T cell and NK cell programs are allogeneic, meaning they are derived from healthy donors for use in any patient, rather than being sourced from an individual for their own specific use, as is the case with autologous T cells. As a result, we believe such “off-the-shelf" therapies have the potential to overcome the limitations of first-generation cell therapies by providing readily available treatments more quickly, reliably, at greater scale, and to a broader patient population. What we believe further sets us apart from other allogeneic approaches is our focus on induced pluripotent stem cells, or iPSCs, which possess the unique ability to self-renew indefinitely and differentiate into any cell type, enabling virtually unlimited genetic editing, consistent reproducibility, and scalable manufacturing. We have created a comprehensive, genetically engineered allogeneic cell therapy platform that includes:</w:t>
      </w:r>
    </w:p>
    <w:p>
      <w:pPr>
        <w:spacing w:after="0" w:line="375" w:lineRule="exact"/>
        <w:rPr>
          <w:sz w:val="20"/>
          <w:szCs w:val="20"/>
          <w:color w:val="auto"/>
        </w:rPr>
      </w:pPr>
    </w:p>
    <w:p>
      <w:pPr>
        <w:ind w:left="720" w:right="53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Industry-leading iPSCs and differentiation know-how to generate fully functional mature cells from iPSCs, or iPSC-derived cells;</w:t>
      </w:r>
    </w:p>
    <w:p>
      <w:pPr>
        <w:spacing w:after="0" w:line="73"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Clustered regularly interspaced short palindromic repeats, or CRISPR mediated precision gene editing that allows us to incorporate multiple transgenes and disrupt target genes intended to optimize cell product performance;</w:t>
      </w:r>
    </w:p>
    <w:p>
      <w:pPr>
        <w:spacing w:after="0" w:line="103" w:lineRule="exact"/>
        <w:rPr>
          <w:rFonts w:ascii="Times New Roman" w:cs="Times New Roman" w:eastAsia="Times New Roman" w:hAnsi="Times New Roman"/>
          <w:sz w:val="18"/>
          <w:szCs w:val="18"/>
          <w:color w:val="auto"/>
        </w:rPr>
      </w:pPr>
    </w:p>
    <w:p>
      <w:pPr>
        <w:ind w:left="720" w:right="11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proprietary Allo-Evasion™ technology intended to prevent rejection of our cell products by the host immune system, enabling the potential for persistence and re-dosing of therapy; and</w:t>
      </w:r>
    </w:p>
    <w:p>
      <w:pPr>
        <w:spacing w:after="0" w:line="86"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Cutting-edge manufacturing capabilities intended to drive scale advantages and reduce cost of goods sold, or COGs, while minimizing product development and supply risk.</w:t>
      </w:r>
    </w:p>
    <w:p>
      <w:pPr>
        <w:spacing w:after="0" w:line="73"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We are leveraging our expertise in cellular reprogramming, differentiation, genetic engineering, and manufacturing to develop therapies with the potential to provide enhanced clinical outcomes compared to existing cell therapy technologies and available therapeutic options. We are unique in the breadth of cell types we can generate from iPSCs, including iPSC-derived islet cells, iPSC-derived CD4+ and CD8+</w:t>
      </w:r>
    </w:p>
    <w:p>
      <w:pPr>
        <w:ind w:left="60" w:right="339"/>
        <w:spacing w:after="0" w:line="279" w:lineRule="auto"/>
        <w:rPr>
          <w:sz w:val="20"/>
          <w:szCs w:val="20"/>
          <w:color w:val="auto"/>
        </w:rPr>
      </w:pPr>
      <w:r>
        <w:rPr>
          <w:rFonts w:ascii="Arial" w:cs="Arial" w:eastAsia="Arial" w:hAnsi="Arial"/>
          <w:sz w:val="17"/>
          <w:szCs w:val="17"/>
          <w:color w:val="auto"/>
        </w:rPr>
        <w:t>ab T cells,or ab iT cells, and iPSC- natural killer cells, or iNK cells. We believe this capability enables optimal matching of cell characteristics to disease indication, ensuring we target the right cell for the right indication.</w:t>
      </w:r>
    </w:p>
    <w:p>
      <w:pPr>
        <w:spacing w:after="0" w:line="135"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Our vision is to become a premier, fully integrated biotechnology company by developing and ultimately commercializing off-the-shelf allogeneic cell therapies that dramatically and positively transform the lives of patients suffering from life-threatening autoimmune diseases and cancers. To achieve our vision, our world-class team is applying its decades of collective experience in cell therapy and drug development, manufacturing, and commercialization.</w:t>
      </w:r>
    </w:p>
    <w:p>
      <w:pPr>
        <w:spacing w:after="0" w:line="163"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In November 2025, we announced our plans to develop an iPSC-derived islet program, CNTY-813, for T1D. We are leveraging our deep expertise in selective iPSC differentiation to advance this program, engineered with Allo -Evasion™ 5.0, toward clinical evaluation subject to regulatory clearance. We have advanced CNTY-813 into IND-enabling studies and expect to submit an IND in the fourth quarter of 2026.</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also continue to make progress with IND-enabling studies for CNTY-308, a CD19-targeted CD4+/CD8+ ab CAR-iT cell therapy functionally comparable to primary T cells and engineered with Allo-Evasion™ 5.0. CNTY-308 is being developed as a potential treatment for B-cell-mediated diseases. Following successful completion of these IND-enabling studies, and the receipt of requisite regulatory approval, we expect to initiate clinical studies in 2026.</w:t>
      </w:r>
    </w:p>
    <w:p>
      <w:pPr>
        <w:spacing w:after="0" w:line="163"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In November 2025, we announced that we will prioritize clinical development activities for CNTY-101, a CAR-iNK cell therapy with six precision gene edits, in CARAMEL, a Phase 1/2 investigator sponsored trial, or IST, which is currently enrolling and dosing patients living with B-cell-mediated autoimmune diseases, led by Professors Georg Schett and Andreas Mackensen and is sponsored by the Friedrich-Alexander University Erlangen-Nürnberg. Accordingly, we discontinued our company-sponsored clinical activities under the CALiPSO-1 trial and will redirect these resources to other programs. Investigators of the CARAMEL IST presented initial data in December 2025.</w:t>
      </w:r>
    </w:p>
    <w:p>
      <w:pPr>
        <w:spacing w:after="0" w:line="171"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In January 2026, we entered into a securities purchase agreement with the 2026 Investors in connection with the 2026 Private Placement.</w:t>
      </w:r>
    </w:p>
    <w:p>
      <w:pPr>
        <w:spacing w:after="0" w:line="140"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Based on our current business plans, we believe our cash, cash equivalents and investments as of March 31, 2026 of $217.0 million will be sufficient for us to fund our operating expenses and capital expenditures requirements into the first quarter of 2029.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p>
      <w:pPr>
        <w:spacing w:after="0" w:line="138" w:lineRule="exact"/>
        <w:rPr>
          <w:sz w:val="20"/>
          <w:szCs w:val="20"/>
          <w:color w:val="auto"/>
        </w:rPr>
      </w:pPr>
    </w:p>
    <w:p>
      <w:pPr>
        <w:ind w:left="780" w:hanging="379"/>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our iPSC cell therapy platforms;</w:t>
      </w:r>
    </w:p>
    <w:p>
      <w:pPr>
        <w:spacing w:after="0" w:line="197" w:lineRule="exact"/>
        <w:rPr>
          <w:rFonts w:ascii="Times New Roman" w:cs="Times New Roman" w:eastAsia="Times New Roman" w:hAnsi="Times New Roman"/>
          <w:sz w:val="18"/>
          <w:szCs w:val="18"/>
          <w:color w:val="auto"/>
        </w:rPr>
      </w:pPr>
    </w:p>
    <w:p>
      <w:pPr>
        <w:ind w:left="780" w:hanging="379"/>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progress preclinical and clinical development of our product candidates;</w:t>
      </w:r>
    </w:p>
    <w:p>
      <w:pPr>
        <w:spacing w:after="0" w:line="183" w:lineRule="exact"/>
        <w:rPr>
          <w:rFonts w:ascii="Times New Roman" w:cs="Times New Roman" w:eastAsia="Times New Roman" w:hAnsi="Times New Roman"/>
          <w:sz w:val="18"/>
          <w:szCs w:val="18"/>
          <w:color w:val="auto"/>
        </w:rPr>
      </w:pPr>
    </w:p>
    <w:p>
      <w:pPr>
        <w:ind w:left="780" w:hanging="379"/>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additional product candidates;</w:t>
      </w:r>
    </w:p>
    <w:p>
      <w:pPr>
        <w:spacing w:after="0" w:line="183" w:lineRule="exact"/>
        <w:rPr>
          <w:rFonts w:ascii="Times New Roman" w:cs="Times New Roman" w:eastAsia="Times New Roman" w:hAnsi="Times New Roman"/>
          <w:sz w:val="18"/>
          <w:szCs w:val="18"/>
          <w:color w:val="auto"/>
        </w:rPr>
      </w:pPr>
    </w:p>
    <w:p>
      <w:pPr>
        <w:ind w:left="780" w:hanging="379"/>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expand and validate our own clinical-scale cGMP facilities;</w:t>
      </w:r>
    </w:p>
    <w:p>
      <w:pPr>
        <w:spacing w:after="0" w:line="197" w:lineRule="exact"/>
        <w:rPr>
          <w:rFonts w:ascii="Times New Roman" w:cs="Times New Roman" w:eastAsia="Times New Roman" w:hAnsi="Times New Roman"/>
          <w:sz w:val="18"/>
          <w:szCs w:val="18"/>
          <w:color w:val="auto"/>
        </w:rPr>
      </w:pPr>
    </w:p>
    <w:p>
      <w:pPr>
        <w:ind w:left="780" w:hanging="379"/>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183" w:lineRule="exact"/>
        <w:rPr>
          <w:rFonts w:ascii="Times New Roman" w:cs="Times New Roman" w:eastAsia="Times New Roman" w:hAnsi="Times New Roman"/>
          <w:sz w:val="18"/>
          <w:szCs w:val="18"/>
          <w:color w:val="auto"/>
        </w:rPr>
      </w:pPr>
    </w:p>
    <w:p>
      <w:pPr>
        <w:ind w:left="780" w:hanging="379"/>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83" w:lineRule="exact"/>
        <w:rPr>
          <w:rFonts w:ascii="Times New Roman" w:cs="Times New Roman" w:eastAsia="Times New Roman" w:hAnsi="Times New Roman"/>
          <w:sz w:val="18"/>
          <w:szCs w:val="18"/>
          <w:color w:val="auto"/>
        </w:rPr>
      </w:pPr>
    </w:p>
    <w:p>
      <w:pPr>
        <w:ind w:left="780" w:hanging="379"/>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incur costs associated with operating as a public company;</w:t>
      </w:r>
    </w:p>
    <w:p>
      <w:pPr>
        <w:spacing w:after="0" w:line="197" w:lineRule="exact"/>
        <w:rPr>
          <w:rFonts w:ascii="Times New Roman" w:cs="Times New Roman" w:eastAsia="Times New Roman" w:hAnsi="Times New Roman"/>
          <w:sz w:val="18"/>
          <w:szCs w:val="18"/>
          <w:color w:val="auto"/>
        </w:rPr>
      </w:pPr>
    </w:p>
    <w:p>
      <w:pPr>
        <w:ind w:left="780" w:hanging="379"/>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183" w:lineRule="exact"/>
        <w:rPr>
          <w:rFonts w:ascii="Times New Roman" w:cs="Times New Roman" w:eastAsia="Times New Roman" w:hAnsi="Times New Roman"/>
          <w:sz w:val="18"/>
          <w:szCs w:val="18"/>
          <w:color w:val="auto"/>
        </w:rPr>
      </w:pPr>
    </w:p>
    <w:p>
      <w:pPr>
        <w:ind w:left="780" w:right="439" w:hanging="379"/>
        <w:spacing w:after="0" w:line="252" w:lineRule="auto"/>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associated with operating as a public company, which will require us to add operational, financial and management information systems and personnel, including personnel to support our drug development and any future commercialization efforts; and</w:t>
      </w:r>
    </w:p>
    <w:p>
      <w:pPr>
        <w:spacing w:after="0" w:line="130" w:lineRule="exact"/>
        <w:rPr>
          <w:rFonts w:ascii="Times New Roman" w:cs="Times New Roman" w:eastAsia="Times New Roman" w:hAnsi="Times New Roman"/>
          <w:sz w:val="18"/>
          <w:szCs w:val="18"/>
          <w:color w:val="auto"/>
        </w:rPr>
      </w:pPr>
    </w:p>
    <w:p>
      <w:pPr>
        <w:ind w:left="780" w:hanging="379"/>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are also investing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3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Until such time, if ever, as we can generate significant product revenue, we expect to finance our operations with our existing cash, cash equivalents, and investments, any future equity or debt financings, and upfront and milestone and royalty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License and collaboration agreements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Bristol-Myers Squibb</w:t>
      </w:r>
    </w:p>
    <w:p>
      <w:pPr>
        <w:spacing w:after="0" w:line="171" w:lineRule="exact"/>
        <w:rPr>
          <w:sz w:val="20"/>
          <w:szCs w:val="20"/>
          <w:color w:val="auto"/>
        </w:rPr>
      </w:pPr>
    </w:p>
    <w:p>
      <w:pPr>
        <w:jc w:val="both"/>
        <w:ind w:left="60" w:right="219"/>
        <w:spacing w:after="0" w:line="247" w:lineRule="auto"/>
        <w:rPr>
          <w:sz w:val="20"/>
          <w:szCs w:val="20"/>
          <w:color w:val="auto"/>
        </w:rPr>
      </w:pPr>
      <w:r>
        <w:rPr>
          <w:rFonts w:ascii="Arial" w:cs="Arial" w:eastAsia="Arial" w:hAnsi="Arial"/>
          <w:sz w:val="18"/>
          <w:szCs w:val="18"/>
          <w:color w:val="auto"/>
        </w:rPr>
        <w:t>On January 7, 2022, we entered into the Collaboration Agreement with Bristol-Myers Squibb to collaborate on the research, development and commercialization of induced pluripotent stem cell derived, engineered natural killer cell and/or gamma delta T cell programs for hematologic malignancies, initially focused on acute myeloid leukemia, and multiple myeloma.</w:t>
      </w:r>
    </w:p>
    <w:p>
      <w:pPr>
        <w:spacing w:after="0" w:line="147"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$100.0 million and purchased 2,160,760 shares of our common stock at a price per share of $23.14, for an aggregate purchase price of $50.0 million.</w:t>
      </w:r>
    </w:p>
    <w:p>
      <w:pPr>
        <w:spacing w:after="0" w:line="128"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Following an internal corporate portfolio prioritization process, Bristol-Myers Squibb notified the Company on December 12, 2024 that it would be terminating the Collaboration Agreement in its entirety without cause. The termination was effective as of March 12, 2025.</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Fujifilm Cellular Dynamics, Inc.</w:t>
      </w:r>
    </w:p>
    <w:p>
      <w:pPr>
        <w:spacing w:after="0" w:line="185"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On September 18, 2018, we entered into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FCDI received 2,980,803 shares of common stock.</w:t>
      </w:r>
    </w:p>
    <w:p>
      <w:pPr>
        <w:spacing w:after="0" w:line="13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Also on September 18, 2018, we entered into the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In connection with the Reprogramming License, we entered into the FCDI Collaboration Agreement with FCDI on October 21, 2019, pursuant to which we agreed to fund research and development work at FCDI pursuant to a research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399"/>
        <w:spacing w:after="0" w:line="242" w:lineRule="auto"/>
        <w:rPr>
          <w:sz w:val="20"/>
          <w:szCs w:val="20"/>
          <w:color w:val="auto"/>
        </w:rPr>
      </w:pPr>
      <w:r>
        <w:rPr>
          <w:rFonts w:ascii="Arial" w:cs="Arial" w:eastAsia="Arial" w:hAnsi="Arial"/>
          <w:sz w:val="18"/>
          <w:szCs w:val="18"/>
          <w:color w:val="auto"/>
        </w:rPr>
        <w:t>Under the FCDI Collaboration Agreement, FCDI provides certain services to us to develop and manufacture iPSCs and immune cells derived therefrom. Under the terms of the FCDI Collaboration Agreement, as amended, FCDI will provide services in accordance with the approved research plan and related research budget. The initial research plan covers the period from the date of execution of the FCDI Collaboration Agreement through March 31, 2022. On July 29, 2022 we amended the FCDI Collaboration Agreement to extend the term through September 30, 2025.</w:t>
      </w:r>
    </w:p>
    <w:p>
      <w:pPr>
        <w:spacing w:after="0" w:line="138"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auto"/>
        </w:rPr>
        <w:t>On January 7, 2022, we and FCDI entered into the Letter Agreement, which amends each of the FCDI Agreements. Pursuant to the Letter Agreement, and in consideration for amending the FCDI Agreements, we agreed to pay to FCDI (i) an upfront payment of $10.0 million, (ii) a percentage of any milestone payments received by us under the FCDI Collaboration Agreement, in respect of achievement of development or regulatory milestones specific to Japan, and (iii) a percentage of all royalties received by us under the FCDI Collaboration Agreement in respect of sales of products in Japan.</w:t>
      </w:r>
    </w:p>
    <w:p>
      <w:pPr>
        <w:spacing w:after="0" w:line="15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On September 22, 2023, we entered into the Autoimmune License with FCDI, whereby FCDI will grant non-exclusive licenses to us for certain patent rights and know-how related to cell differentiation and reprogramming for the development and commercialization of iPSC-derived therapies for the treatment of inflammatory and autoimmune diseases. Under the terms of the Autoimmune License, FCDI will be eligible to receive certain development and regulatory milestone payments as well as low single-digit royalties related to products developed in connection with the Autoimmune License. In addition, on September 22, 2023, we and FCDI amended the Reprogramming License, Differentiation License and the FCDI Collaboration Agreement to expand our existing license related to the development and commercialization of iPSC-derived cancer immunotherapeutic to also include inflammatory and autoimmune diseases.</w:t>
      </w:r>
    </w:p>
    <w:p>
      <w:pPr>
        <w:spacing w:after="0" w:line="143"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During the three months ended March 31, 2026 and 2025, we made payments of $0 and $1.5 million and incurred research and development expenses of $0 and $1.5 million, in-process research and development expenses of $0 and $0.5 million and legal fees of $0 million and $0.1 million, respectively, related to the FCDI Agreements. The legal fees are recorded within general and administrative expenses in the consolidated statements of operations and comprehensive loss.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and Distributed Bio, Inc.</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also have entered into a sublicense agreement with iCELL and a master services agreement with DBio.</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Note 7—Commitments and contingencies</w:t>
      </w:r>
      <w:r>
        <w:rPr>
          <w:rFonts w:ascii="Arial" w:cs="Arial" w:eastAsia="Arial" w:hAnsi="Arial"/>
          <w:sz w:val="18"/>
          <w:szCs w:val="18"/>
          <w:color w:val="auto"/>
        </w:rPr>
        <w:t>” to our consolidated financial statements.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Catalent Dusseldorf GmbH</w:t>
      </w:r>
    </w:p>
    <w:p>
      <w:pPr>
        <w:spacing w:after="0" w:line="171"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December 12, 2022, Clade entered into a non-exclusive license agreement with Catalent, which was subsequently amended in March 2026, pursuant to which Catalent granted Clade a worldwide, non -exclusive, non-transferrable, royalty-bearing license under all rights owned or controlled by Catalent to one of its GMP-grade iPSC cell lines derived from human cord blood CD34+ cells, to develop, have developed, make, have made, use, have used, sell, offer for sale, have sold, distribute, have distributed, import, have imported and otherwise exploit or have exploited cell therapy products. The license (as amended, the “Catalent License”), permits the genetic modification of the licensed cell line and the development and commercialization of resulting cell therapy products for any indication. We have a right to use the Catalent License as a result of our acquisition of Clade.</w:t>
      </w:r>
    </w:p>
    <w:p>
      <w:pPr>
        <w:spacing w:after="0" w:line="156"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Under the Catalent License, we may grant sublicenses to third parties to develop, manufacture and commercialize resulting products, but we may not sublicense the original cell line itself. Catalent retains ownership of the original cell line, and we own the modified cells and resulting products that we make from the original cell line, subject to certain restrictions and limited rights granted back to Catalent.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consideration for the rights granted, Clade paid Catalent an upfront fee. We are also required to pay certain product-by-product milestone payments upon the achievement of certain development and regulatory milestones up to an aggregate of $16.2 million or $12.15 million depending on the product. We additionally agreed to pay royalties equal to a low single digit percentage of net sales of each product during a defined royalty term, after which royalty term the license automatically becomes fully paid-up, perpetual, irrevocable and royalty-free. We also agreed to pay annual minimum fees during a defined period, with milestone payments and royalties paid in a calendar year creditable against the annual minimum fees payable for the same calendar year.</w:t>
      </w:r>
    </w:p>
    <w:p>
      <w:pPr>
        <w:spacing w:after="0" w:line="140"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color w:val="auto"/>
        </w:rPr>
        <w:t>The agreement remains in effect until terminated and may be terminated by us for convenience upon prior written notice or by either party for material breach, subject to specified cure periods. Certain provisions, including payment obligations, indemnification obligations and confidentiality obligations, survive termination.</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69"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revenues to date were generated through our collaboration, option and license agreement with Bristol-Myers Squibb, which was terminated in March 2025. We recognized revenue over the expected performance period under this agreement. We expect that our revenue for the next several years will be derived primarily from any collaborations that we may enter into in the future. To date, we have not received any royalties under any of our existing and former collaboration agreements.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169"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To date, research and development expenses have related primarily to the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49"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19" w:lineRule="exact"/>
        <w:rPr>
          <w:sz w:val="20"/>
          <w:szCs w:val="20"/>
          <w:color w:val="auto"/>
        </w:rPr>
      </w:pPr>
    </w:p>
    <w:p>
      <w:pPr>
        <w:ind w:left="60" w:right="199"/>
        <w:spacing w:after="0" w:line="261"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25"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including for our first clinical product candidate CNTY-101,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of long-lived assets</w:t>
      </w:r>
    </w:p>
    <w:p>
      <w:pPr>
        <w:spacing w:after="0" w:line="169"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review our amortizable long lived assets, consisting primarily of our lease related right of use assets and property and equipment, when impairment indicators are present by comparing the carrying values of the assets with their estimated future undiscounted cash flows. Should the carrying value of the long lived assets exceed the undiscounted cash flows, the Company calculates the fair value of the underlying long lived assets, utilizing a discounted cash flow approach, which is considered a level three fair value estimate.</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incurred no impairment expense during the three months ended March 31, 2026 and 2025.</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consists of interest earned on our cash, cash equivalents and investment balances.</w:t>
      </w: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169"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Due to historical losses, we maintain a full valuation allowance against the unrealizable portion of our deferred tax assets.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March 31, 2026 and 2025.</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3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Three Months Ended</w:t>
            </w: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color w:val="auto"/>
              </w:rPr>
              <w:t>March 31, 2026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color w:val="auto"/>
              </w:rPr>
              <w:t>March 31, 2025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gridSpan w:val="2"/>
          </w:tcPr>
          <w:p>
            <w:pPr>
              <w:jc w:val="right"/>
              <w:ind w:right="332"/>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1660" w:type="dxa"/>
            <w:vAlign w:val="bottom"/>
            <w:gridSpan w:val="2"/>
            <w:shd w:val="clear" w:color="auto" w:fill="CCEEFF"/>
          </w:tcPr>
          <w:p>
            <w:pPr>
              <w:ind w:left="15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109,164</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(109,164)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660" w:type="dxa"/>
            <w:vAlign w:val="bottom"/>
            <w:gridSpan w:val="2"/>
            <w:shd w:val="clear" w:color="auto" w:fill="CCEEFF"/>
          </w:tcPr>
          <w:p>
            <w:pPr>
              <w:ind w:left="14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17,105</w:t>
            </w: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26,580</w:t>
            </w:r>
          </w:p>
        </w:tc>
        <w:tc>
          <w:tcPr>
            <w:tcW w:w="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6,579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8,408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operating expenses</w:t>
            </w:r>
          </w:p>
        </w:tc>
        <w:tc>
          <w:tcPr>
            <w:tcW w:w="15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23,684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34,988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Income (loss) from operations</w:t>
            </w:r>
          </w:p>
        </w:tc>
        <w:tc>
          <w:tcPr>
            <w:tcW w:w="15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(23,684)</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74,176</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(97,860)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income:</w:t>
            </w:r>
          </w:p>
        </w:tc>
        <w:tc>
          <w:tcPr>
            <w:tcW w:w="1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2,019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2,422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CCEEFF"/>
            </w:tcBorders>
          </w:tcPr>
          <w:p>
            <w:pPr>
              <w:ind w:left="160"/>
              <w:spacing w:after="0" w:line="196" w:lineRule="exact"/>
              <w:rPr>
                <w:sz w:val="20"/>
                <w:szCs w:val="20"/>
                <w:color w:val="auto"/>
              </w:rPr>
            </w:pPr>
            <w:r>
              <w:rPr>
                <w:rFonts w:ascii="Arial" w:cs="Arial" w:eastAsia="Arial" w:hAnsi="Arial"/>
                <w:sz w:val="18"/>
                <w:szCs w:val="18"/>
                <w:color w:val="auto"/>
              </w:rPr>
              <w:t>Total other income</w:t>
            </w:r>
          </w:p>
        </w:tc>
        <w:tc>
          <w:tcPr>
            <w:tcW w:w="15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2,039</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2,384</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1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(21,645)</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76,560</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(98,205)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520" w:type="dxa"/>
            <w:vAlign w:val="bottom"/>
            <w:vMerge w:val="restart"/>
          </w:tcPr>
          <w:p>
            <w:pPr>
              <w:jc w:val="right"/>
              <w:ind w:right="256"/>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3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69"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During the three months ended March 31, 2026 and 2025, we recognized revenue of $ 0 million and $109.2 million under our collaboration agreement with Bristol-Myers Squibb, respectively. See “</w:t>
      </w:r>
      <w:r>
        <w:rPr>
          <w:rFonts w:ascii="Arial" w:cs="Arial" w:eastAsia="Arial" w:hAnsi="Arial"/>
          <w:sz w:val="18"/>
          <w:szCs w:val="18"/>
          <w:i w:val="1"/>
          <w:iCs w:val="1"/>
          <w:color w:val="auto"/>
        </w:rPr>
        <w:t>Note 6—Bristol-Myers</w:t>
      </w:r>
      <w:r>
        <w:rPr>
          <w:rFonts w:ascii="Arial" w:cs="Arial" w:eastAsia="Arial" w:hAnsi="Arial"/>
          <w:sz w:val="18"/>
          <w:szCs w:val="18"/>
          <w:color w:val="auto"/>
        </w:rPr>
        <w:t xml:space="preserve"> </w:t>
      </w:r>
      <w:r>
        <w:rPr>
          <w:rFonts w:ascii="Arial" w:cs="Arial" w:eastAsia="Arial" w:hAnsi="Arial"/>
          <w:sz w:val="18"/>
          <w:szCs w:val="18"/>
          <w:i w:val="1"/>
          <w:iCs w:val="1"/>
          <w:color w:val="auto"/>
        </w:rPr>
        <w:t>Squibb collaboration</w:t>
      </w:r>
      <w:r>
        <w:rPr>
          <w:rFonts w:ascii="Arial" w:cs="Arial" w:eastAsia="Arial" w:hAnsi="Arial"/>
          <w:sz w:val="18"/>
          <w:szCs w:val="18"/>
          <w:color w:val="auto"/>
        </w:rPr>
        <w:t>” to our consolidated financial statements for additional information. The Collaboration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was terminated, effective as of March 12, 2025. As such, we recognized the remaining transaction price of $ 109.2 million as collaboration revenue during the three months ended March 31, 2025. There will be no future collaboration revenues recognized under this collaboration agreement.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3"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Three Months Ended</w:t>
            </w: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r>
      <w:tr>
        <w:trPr>
          <w:trHeight w:val="171"/>
        </w:trPr>
        <w:tc>
          <w:tcPr>
            <w:tcW w:w="4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March 31, 2026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March 31, 2025</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4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03"/>
        </w:trPr>
        <w:tc>
          <w:tcPr>
            <w:tcW w:w="4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Personnel and related costs</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5,596</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9,984</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(4,388)</w:t>
            </w: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Facility and other allocated costs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3,468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5,322</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(1,854)</w:t>
            </w:r>
          </w:p>
        </w:tc>
      </w:tr>
      <w:tr>
        <w:trPr>
          <w:trHeight w:val="203"/>
        </w:trPr>
        <w:tc>
          <w:tcPr>
            <w:tcW w:w="4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laboratory</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7,468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9,475</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(2,007)</w:t>
            </w: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573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1,799</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(1,226)</w:t>
            </w:r>
          </w:p>
        </w:tc>
      </w:tr>
      <w:tr>
        <w:trPr>
          <w:trHeight w:val="196"/>
        </w:trPr>
        <w:tc>
          <w:tcPr>
            <w:tcW w:w="418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17,105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26,580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(9,475)</w:t>
            </w:r>
          </w:p>
        </w:tc>
      </w:tr>
      <w:tr>
        <w:trPr>
          <w:trHeight w:val="20"/>
        </w:trPr>
        <w:tc>
          <w:tcPr>
            <w:tcW w:w="4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Research and development expenses were $17.1 million and $26.6 million for the three months ended March 31, 2026 and 2025, respectively. The decrease of $9.5 million was primarily due to:</w:t>
      </w:r>
    </w:p>
    <w:p>
      <w:pPr>
        <w:spacing w:after="0" w:line="113" w:lineRule="exact"/>
        <w:rPr>
          <w:sz w:val="20"/>
          <w:szCs w:val="20"/>
          <w:color w:val="auto"/>
        </w:rPr>
      </w:pPr>
    </w:p>
    <w:p>
      <w:pPr>
        <w:ind w:left="720" w:right="1019" w:hanging="319"/>
        <w:spacing w:after="0" w:line="270"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personnel and related costs of $4.4 million due to a reduction in research and development staff.</w:t>
      </w:r>
    </w:p>
    <w:p>
      <w:pPr>
        <w:spacing w:after="0" w:line="113" w:lineRule="exact"/>
        <w:rPr>
          <w:rFonts w:ascii="Times New Roman" w:cs="Times New Roman" w:eastAsia="Times New Roman" w:hAnsi="Times New Roman"/>
          <w:sz w:val="18"/>
          <w:szCs w:val="18"/>
          <w:color w:val="auto"/>
        </w:rPr>
      </w:pPr>
    </w:p>
    <w:p>
      <w:pPr>
        <w:ind w:left="720" w:right="139" w:hanging="319"/>
        <w:spacing w:after="0" w:line="270"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facility and other allocated costs of $1.9 million primarily due to a decrease in facility and other allocated costs due to the portfolio prioritization announced in the third quarter of 2025.</w:t>
      </w:r>
    </w:p>
    <w:p>
      <w:pPr>
        <w:spacing w:after="0" w:line="127"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research and laboratory expenses of $2 million primarily due to reduced spending on clinical trial related expenses for CNTY-101.</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General and administrative expenses were $6.6 million and $8.4 million for the three months ended March 31, 2026 and 2025, respectively. This decrease was primarily due to a reduction in personnel, and remeasurement of the contingent consideration liability offset by an increase in facility and other allocated costs due to the portfolio prioritization announced in the third quarter of 2025.</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ind w:left="60" w:right="739"/>
        <w:spacing w:after="0" w:line="301" w:lineRule="auto"/>
        <w:rPr>
          <w:sz w:val="20"/>
          <w:szCs w:val="20"/>
          <w:color w:val="auto"/>
        </w:rPr>
      </w:pPr>
      <w:r>
        <w:rPr>
          <w:rFonts w:ascii="Arial" w:cs="Arial" w:eastAsia="Arial" w:hAnsi="Arial"/>
          <w:sz w:val="17"/>
          <w:szCs w:val="17"/>
          <w:color w:val="auto"/>
        </w:rPr>
        <w:t>Interest income was $2.0 million and $2.4 million for the three months ended March 31, 2026 and 2025, respectively, which related to interest earned on our cash, cash equivalents, and investment balances.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4419"/>
        <w:spacing w:after="0" w:line="446"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ind w:left="60" w:right="79"/>
        <w:spacing w:after="0" w:line="239" w:lineRule="auto"/>
        <w:rPr>
          <w:sz w:val="20"/>
          <w:szCs w:val="20"/>
          <w:color w:val="auto"/>
        </w:rPr>
      </w:pPr>
      <w:r>
        <w:rPr>
          <w:rFonts w:ascii="Arial" w:cs="Arial" w:eastAsia="Arial" w:hAnsi="Arial"/>
          <w:sz w:val="18"/>
          <w:szCs w:val="18"/>
          <w:color w:val="auto"/>
        </w:rPr>
        <w:t>To date, we have funded our operations from the issuance and sale of our equity securities, debt financing and collaboration revenues. Since our inception, we have raised approximately $792 million in net proceeds from the sales of our equity securities. As of March 31, 2026, we had cash, and cash equivalents of $51.0 million and investments of $165.9 million. Based on our research and development plans, we believe our existing cash, cash equivalents and investments, will be sufficient to fund our operating expenses and capital expenditures requirements into the first quarter of 2029. Since our inception, we have incurred significant operating losses. We have not yet commercialized any products and we do not expect to generate revenue from sales of any product candidates for a number of years, if ever. We had an accumulated deficit of $813.6 million as of March 31, 2026.</w:t>
      </w:r>
    </w:p>
    <w:p>
      <w:pPr>
        <w:spacing w:after="0" w:line="143"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July 2022, we entered into a Sales Agreement with Cowen under which we may offer and sell, from time to time in our sole discretion, shares of our common stock, having an aggregate offering price of up to $ 150 million through Cowen as sales agent. In February of 2024, 4,084,502 shares of common stock were issued and sold pursuant to the Sales Agreement at a weighted-average price of $4.50 per share, resulting in approximately $18.4 million in gross proceeds.</w:t>
      </w:r>
    </w:p>
    <w:p>
      <w:pPr>
        <w:spacing w:after="0" w:line="13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April 2024, we entered into a securities purchase agreement or, the Securities Purchase Agreement, with certain institutional accredited investors, or the Investors, pursuant to which we agreed to issue and sell to the Investors in a private placement an aggregate of 15,873,011 shares of common stock, or the Private Placement Shares, at a price of $ 3.78 per share, or the Private Placement. We received aggregate gross proceeds from the Private Placement of approximately $60 million, before deducting placement agent fees and offering expenses.</w:t>
      </w:r>
    </w:p>
    <w:p>
      <w:pPr>
        <w:spacing w:after="0" w:line="16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In January 2026, we entered into a securities purchase agreement with certain institutional accredited investors (the “2026 Investors”), pursuant to which we issued and sold to the 2026 Investors in a private placement (the “2026 Private Placement”) (i) 92,030,595 shares of its common stock and accompanying warrants to purchase an aggregate of 58,695,648 shares of common stock (or pre-funded warrants in lieu thereof) and (ii) in lieu of common stock, to certain investors, pre-funded warrants to purchase an aggregate of up to 25,360,704 shares of its common stock and accompanying warrants to purchase 12,680,352 shares of common stock (or pre-funded warrants in lieu thereof), at an exercise price of $0.0001 per pre-funded warrant. The combined offering price of each share of common stock and accompanying common stock warrant was $1.15. The combined offering price of each pre-funded warrant and accompanying common stock warrant was $1.1499. The pre-funded warrants are exercisable immediately. Each common stock warrant has an exercise price per share of $2.60. The common stock warrants are exercisable from the date of issuance and will expire 30 days following the public announcement of initial Phase 1 clinical data for CNTY-813 or, if earlier, on the third anniversary of closing. Aggregate gross proceeds were $135.0 million before deducting placement agent fees and offering expenses.</w:t>
      </w: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83"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71" w:lineRule="exact"/>
        <w:rPr>
          <w:sz w:val="20"/>
          <w:szCs w:val="20"/>
          <w:color w:val="auto"/>
        </w:rPr>
      </w:pPr>
    </w:p>
    <w:p>
      <w:pPr>
        <w:ind w:left="720" w:right="239" w:hanging="319"/>
        <w:spacing w:after="0" w:line="270"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27" w:lineRule="exact"/>
        <w:rPr>
          <w:rFonts w:ascii="Times New Roman" w:cs="Times New Roman" w:eastAsia="Times New Roman" w:hAnsi="Times New Roman"/>
          <w:sz w:val="18"/>
          <w:szCs w:val="18"/>
          <w:color w:val="auto"/>
        </w:rPr>
      </w:pPr>
    </w:p>
    <w:p>
      <w:pPr>
        <w:ind w:left="720" w:right="979" w:hanging="319"/>
        <w:spacing w:after="0" w:line="270"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any of our current and future product candidates;</w:t>
      </w:r>
    </w:p>
    <w:p>
      <w:pPr>
        <w:spacing w:after="0" w:line="195" w:lineRule="exact"/>
        <w:rPr>
          <w:rFonts w:ascii="Times New Roman" w:cs="Times New Roman" w:eastAsia="Times New Roman" w:hAnsi="Times New Roman"/>
          <w:sz w:val="17"/>
          <w:szCs w:val="17"/>
          <w:color w:val="auto"/>
        </w:rPr>
      </w:pPr>
    </w:p>
    <w:p>
      <w:pPr>
        <w:ind w:left="720" w:right="1019" w:hanging="319"/>
        <w:spacing w:after="0" w:line="270"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27" w:lineRule="exact"/>
        <w:rPr>
          <w:rFonts w:ascii="Times New Roman" w:cs="Times New Roman" w:eastAsia="Times New Roman" w:hAnsi="Times New Roman"/>
          <w:sz w:val="18"/>
          <w:szCs w:val="18"/>
          <w:color w:val="auto"/>
        </w:rPr>
      </w:pPr>
    </w:p>
    <w:p>
      <w:pPr>
        <w:ind w:left="720" w:right="299" w:hanging="319"/>
        <w:spacing w:after="0" w:line="270"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13" w:lineRule="exact"/>
        <w:rPr>
          <w:rFonts w:ascii="Times New Roman" w:cs="Times New Roman" w:eastAsia="Times New Roman" w:hAnsi="Times New Roman"/>
          <w:sz w:val="18"/>
          <w:szCs w:val="18"/>
          <w:color w:val="auto"/>
        </w:rPr>
      </w:pPr>
    </w:p>
    <w:p>
      <w:pPr>
        <w:ind w:left="720" w:right="99" w:hanging="319"/>
        <w:spacing w:after="0" w:line="246"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136" w:lineRule="exact"/>
        <w:rPr>
          <w:rFonts w:ascii="Times New Roman" w:cs="Times New Roman" w:eastAsia="Times New Roman" w:hAnsi="Times New Roman"/>
          <w:sz w:val="18"/>
          <w:szCs w:val="18"/>
          <w:color w:val="auto"/>
        </w:rPr>
      </w:pPr>
    </w:p>
    <w:p>
      <w:pPr>
        <w:ind w:left="720" w:right="179" w:hanging="319"/>
        <w:spacing w:after="0" w:line="252"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43" w:lineRule="exact"/>
        <w:rPr>
          <w:rFonts w:ascii="Times New Roman" w:cs="Times New Roman" w:eastAsia="Times New Roman" w:hAnsi="Times New Roman"/>
          <w:sz w:val="18"/>
          <w:szCs w:val="18"/>
          <w:color w:val="auto"/>
        </w:rPr>
      </w:pPr>
    </w:p>
    <w:p>
      <w:pPr>
        <w:ind w:left="720" w:right="439" w:hanging="319"/>
        <w:spacing w:after="0" w:line="270"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costs of operating as a public company;</w:t>
      </w:r>
    </w:p>
    <w:p>
      <w:pPr>
        <w:spacing w:after="0" w:line="197" w:lineRule="exact"/>
        <w:rPr>
          <w:rFonts w:ascii="Times New Roman" w:cs="Times New Roman" w:eastAsia="Times New Roman" w:hAnsi="Times New Roman"/>
          <w:sz w:val="18"/>
          <w:szCs w:val="18"/>
          <w:color w:val="auto"/>
        </w:rPr>
      </w:pPr>
    </w:p>
    <w:p>
      <w:pPr>
        <w:ind w:left="720" w:right="439" w:hanging="319"/>
        <w:spacing w:after="0" w:line="270"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 and</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effects of pandemics, inflationary pressures, disruptions of financial institutions,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480" w:type="dxa"/>
            <w:vAlign w:val="bottom"/>
            <w:gridSpan w:val="2"/>
          </w:tcPr>
          <w:p>
            <w:pPr>
              <w:jc w:val="right"/>
              <w:ind w:right="16"/>
              <w:spacing w:after="0"/>
              <w:rPr>
                <w:sz w:val="20"/>
                <w:szCs w:val="20"/>
                <w:color w:val="auto"/>
              </w:rPr>
            </w:pPr>
            <w:r>
              <w:rPr>
                <w:rFonts w:ascii="Arial" w:cs="Arial" w:eastAsia="Arial" w:hAnsi="Arial"/>
                <w:sz w:val="14"/>
                <w:szCs w:val="14"/>
                <w:color w:val="auto"/>
              </w:rPr>
              <w:t>Three months ended</w:t>
            </w:r>
          </w:p>
        </w:tc>
        <w:tc>
          <w:tcPr>
            <w:tcW w:w="2200" w:type="dxa"/>
            <w:vAlign w:val="bottom"/>
            <w:gridSpan w:val="3"/>
          </w:tcPr>
          <w:p>
            <w:pPr>
              <w:jc w:val="center"/>
              <w:ind w:right="360"/>
              <w:spacing w:after="0"/>
              <w:rPr>
                <w:sz w:val="20"/>
                <w:szCs w:val="20"/>
                <w:color w:val="auto"/>
              </w:rPr>
            </w:pPr>
            <w:r>
              <w:rPr>
                <w:rFonts w:ascii="Arial" w:cs="Arial" w:eastAsia="Arial" w:hAnsi="Arial"/>
                <w:sz w:val="14"/>
                <w:szCs w:val="14"/>
                <w:color w:val="auto"/>
              </w:rPr>
              <w:t>Three months ended</w:t>
            </w:r>
          </w:p>
        </w:tc>
      </w:tr>
      <w:tr>
        <w:trPr>
          <w:trHeight w:val="171"/>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176"/>
              <w:spacing w:after="0"/>
              <w:rPr>
                <w:sz w:val="20"/>
                <w:szCs w:val="20"/>
                <w:color w:val="auto"/>
              </w:rPr>
            </w:pPr>
            <w:r>
              <w:rPr>
                <w:rFonts w:ascii="Arial" w:cs="Arial" w:eastAsia="Arial" w:hAnsi="Arial"/>
                <w:sz w:val="14"/>
                <w:szCs w:val="14"/>
                <w:color w:val="auto"/>
              </w:rPr>
              <w:t>March 31, 2026</w:t>
            </w:r>
          </w:p>
        </w:tc>
        <w:tc>
          <w:tcPr>
            <w:tcW w:w="360" w:type="dxa"/>
            <w:vAlign w:val="bottom"/>
          </w:tcPr>
          <w:p>
            <w:pPr>
              <w:jc w:val="right"/>
              <w:ind w:right="59"/>
              <w:spacing w:after="0"/>
              <w:rPr>
                <w:sz w:val="20"/>
                <w:szCs w:val="20"/>
                <w:color w:val="auto"/>
              </w:rPr>
            </w:pPr>
            <w:r>
              <w:rPr>
                <w:rFonts w:ascii="Arial" w:cs="Arial" w:eastAsia="Arial" w:hAnsi="Arial"/>
                <w:sz w:val="14"/>
                <w:szCs w:val="14"/>
                <w:color w:val="auto"/>
              </w:rPr>
              <w:t>​​​​</w:t>
            </w:r>
          </w:p>
        </w:tc>
        <w:tc>
          <w:tcPr>
            <w:tcW w:w="1840" w:type="dxa"/>
            <w:vAlign w:val="bottom"/>
            <w:gridSpan w:val="2"/>
          </w:tcPr>
          <w:p>
            <w:pPr>
              <w:jc w:val="center"/>
              <w:ind w:right="720"/>
              <w:spacing w:after="0"/>
              <w:rPr>
                <w:sz w:val="20"/>
                <w:szCs w:val="20"/>
                <w:color w:val="auto"/>
              </w:rPr>
            </w:pPr>
            <w:r>
              <w:rPr>
                <w:rFonts w:ascii="Arial" w:cs="Arial" w:eastAsia="Arial" w:hAnsi="Arial"/>
                <w:sz w:val="14"/>
                <w:szCs w:val="14"/>
                <w:color w:val="auto"/>
              </w:rPr>
              <w:t>March 31, 2025</w:t>
            </w:r>
          </w:p>
        </w:tc>
      </w:tr>
      <w:tr>
        <w:trPr>
          <w:trHeight w:val="155"/>
        </w:trPr>
        <w:tc>
          <w:tcPr>
            <w:tcW w:w="5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220" w:type="dxa"/>
            <w:vAlign w:val="bottom"/>
            <w:tcBorders>
              <w:top w:val="single" w:sz="8" w:color="auto"/>
            </w:tcBorders>
            <w:gridSpan w:val="3"/>
          </w:tcPr>
          <w:p>
            <w:pPr>
              <w:jc w:val="right"/>
              <w:ind w:right="1154"/>
              <w:spacing w:after="0" w:line="155" w:lineRule="exact"/>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3"/>
                <w:szCs w:val="13"/>
                <w:color w:val="auto"/>
              </w:rPr>
            </w:pPr>
          </w:p>
        </w:tc>
      </w:tr>
      <w:tr>
        <w:trPr>
          <w:trHeight w:val="203"/>
        </w:trPr>
        <w:tc>
          <w:tcPr>
            <w:tcW w:w="5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03"/>
        </w:trPr>
        <w:tc>
          <w:tcPr>
            <w:tcW w:w="5220" w:type="dxa"/>
            <w:vAlign w:val="bottom"/>
          </w:tcPr>
          <w:p>
            <w:pPr>
              <w:ind w:left="20"/>
              <w:spacing w:after="0" w:line="202" w:lineRule="exact"/>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(25,262)</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(34,623) ​​​</w:t>
            </w:r>
          </w:p>
        </w:tc>
      </w:tr>
      <w:tr>
        <w:trPr>
          <w:trHeight w:val="203"/>
        </w:trPr>
        <w:tc>
          <w:tcPr>
            <w:tcW w:w="5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(112,615)</w:t>
            </w:r>
          </w:p>
        </w:tc>
        <w:tc>
          <w:tcPr>
            <w:tcW w:w="3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27,930</w:t>
            </w:r>
          </w:p>
        </w:tc>
        <w:tc>
          <w:tcPr>
            <w:tcW w:w="300" w:type="dxa"/>
            <w:vAlign w:val="bottom"/>
            <w:shd w:val="clear" w:color="auto" w:fill="CCEEFF"/>
          </w:tcPr>
          <w:p>
            <w:pPr>
              <w:spacing w:after="0"/>
              <w:rPr>
                <w:sz w:val="17"/>
                <w:szCs w:val="17"/>
                <w:color w:val="auto"/>
              </w:rPr>
            </w:pPr>
          </w:p>
        </w:tc>
      </w:tr>
      <w:tr>
        <w:trPr>
          <w:trHeight w:val="203"/>
        </w:trPr>
        <w:tc>
          <w:tcPr>
            <w:tcW w:w="52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126,623</w:t>
            </w: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34"/>
              <w:spacing w:after="0" w:line="202" w:lineRule="exact"/>
              <w:rPr>
                <w:sz w:val="20"/>
                <w:szCs w:val="20"/>
                <w:color w:val="auto"/>
              </w:rPr>
            </w:pPr>
            <w:r>
              <w:rPr>
                <w:rFonts w:ascii="Arial" w:cs="Arial" w:eastAsia="Arial" w:hAnsi="Arial"/>
                <w:sz w:val="18"/>
                <w:szCs w:val="18"/>
                <w:color w:val="auto"/>
              </w:rPr>
              <w:t>120</w:t>
            </w:r>
          </w:p>
        </w:tc>
        <w:tc>
          <w:tcPr>
            <w:tcW w:w="300" w:type="dxa"/>
            <w:vAlign w:val="bottom"/>
            <w:tcBorders>
              <w:bottom w:val="single" w:sz="8" w:color="CCEEFF"/>
            </w:tcBorders>
          </w:tcPr>
          <w:p>
            <w:pPr>
              <w:spacing w:after="0"/>
              <w:rPr>
                <w:sz w:val="17"/>
                <w:szCs w:val="17"/>
                <w:color w:val="auto"/>
              </w:rPr>
            </w:pPr>
          </w:p>
        </w:tc>
      </w:tr>
      <w:tr>
        <w:trPr>
          <w:trHeight w:val="196"/>
        </w:trPr>
        <w:tc>
          <w:tcPr>
            <w:tcW w:w="5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(11,254)</w:t>
            </w:r>
          </w:p>
        </w:tc>
        <w:tc>
          <w:tcPr>
            <w:tcW w:w="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74"/>
              <w:spacing w:after="0" w:line="196" w:lineRule="exact"/>
              <w:rPr>
                <w:sz w:val="20"/>
                <w:szCs w:val="20"/>
                <w:color w:val="auto"/>
              </w:rPr>
            </w:pPr>
            <w:r>
              <w:rPr>
                <w:rFonts w:ascii="Arial" w:cs="Arial" w:eastAsia="Arial" w:hAnsi="Arial"/>
                <w:sz w:val="18"/>
                <w:szCs w:val="18"/>
                <w:color w:val="auto"/>
              </w:rPr>
              <w:t>(6,573)</w:t>
            </w:r>
          </w:p>
        </w:tc>
        <w:tc>
          <w:tcPr>
            <w:tcW w:w="300" w:type="dxa"/>
            <w:vAlign w:val="bottom"/>
            <w:shd w:val="clear" w:color="auto" w:fill="CCEEFF"/>
          </w:tcPr>
          <w:p>
            <w:pPr>
              <w:spacing w:after="0"/>
              <w:rPr>
                <w:sz w:val="17"/>
                <w:szCs w:val="17"/>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Net cash used in operating activities was $25.3 million and $</w:t>
      </w:r>
      <w:r>
        <w:rPr>
          <w:rFonts w:ascii="Arial" w:cs="Arial" w:eastAsia="Arial" w:hAnsi="Arial"/>
          <w:sz w:val="18"/>
          <w:szCs w:val="18"/>
          <w:color w:val="212529"/>
        </w:rPr>
        <w:t>34.6</w:t>
      </w:r>
      <w:r>
        <w:rPr>
          <w:rFonts w:ascii="Arial" w:cs="Arial" w:eastAsia="Arial" w:hAnsi="Arial"/>
          <w:sz w:val="18"/>
          <w:szCs w:val="18"/>
          <w:color w:val="auto"/>
        </w:rPr>
        <w:t xml:space="preserve"> million for the three months ended March 31, 2026 and 2025, respectively. Net cash used in operating activities during the three months ended March 31, 2026 consisted primarily of our net loss of $21.6 million offset by non-cash charges of $2.8 million and a decrease of $6.4 million in our net operating assets and liabilities. The non-cash charges of $ 2.8 million consisted primarily of $3 million for depreciation expense, non-cash operating lease expense of $0.4 million, and stock-based compensation expense of $1.4 million, partially offset by gain on remeasurement of contingent consideration liability of $1.8 million, and amortization of marketable securities of $0.2 million. The change in operating assets and liabilities was primarily due to a $ 0.8 million decrease in operating lease liability, a $1.6 million decrease in accounts payable, and a $4 million decrease in accrued expenses.</w:t>
      </w:r>
    </w:p>
    <w:p>
      <w:pPr>
        <w:spacing w:after="0" w:line="17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Net cash used in operating activities during the three months ended March 31, 2025 consisted primarily of our net income of $76.5 million and a decrease of $116.2 million in our net operating assets and liabilities, partially offset by non-cash charges of $5.0 million. The non-cash charges of $5.0 million consisted primarily of $3.2 million for depreciation expense, non-cash operating lease benefit of $ 0.5 million, a decrease in lease liability due to a lease termination, and stock-based compensation expense of $2.4 million, partially offset by amortization of marketable securities of $0.9 million and gain on contingent consideration liability of $0.2 million. The change in operating assets and liabilities was primarily due to a $1.2 million decrease in operating lease liability, a $109.2 million decrease in deferred revenue due to the termination of the Collaboration Agreement with Bristol-Myers Squibb, and a $6.5 million decrease in accrued expenses.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Net cash used in investing activities was $112.6 million for the three months ended March 31, 2026 and net cash provided by investing activities was $27.9 million for the three months ended March 31, 2025. Cash used in investing activities for the three months ended March 31, 2026 consisted primarily of the acquisition of property and equipment for $0.6 million, and acquisition of fixed maturity securities for $140.7 million which was partially offset by sale of fixed maturity securities of $28.7 million.</w:t>
      </w:r>
    </w:p>
    <w:p>
      <w:pPr>
        <w:spacing w:after="0" w:line="149"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212529"/>
        </w:rPr>
        <w:t>Net cash provided by investing activities was $27.9 million for the three months ended March 31, 2025. Cash provided by investing activities for the three months ended March 31, 2025 consisted primarily of the sale of fixed maturity securities of $43.3 million, which was partially offset by purchases of fixed maturity securities of $14.9 million</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42"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Net cash provided by financing activities was $126.6 million and $0.1 million for the three months ended March 31, 2026 and 2025, respectively. Cash provided by financing activities consisted of $0.2 million from issuance of our common stock from equity incentive plans pursuant to the exercise of employee stock options, and $126.4 million of proceeds from the 2026 Private Placement.</w:t>
      </w:r>
    </w:p>
    <w:p>
      <w:pPr>
        <w:spacing w:after="0" w:line="160"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212529"/>
        </w:rPr>
        <w:t>Net cash provided by financing activities was $0.1 million for the three months ended March 31, 2025. Cash provided by financing activities consisted of $0.1 million from issuance of our common stock from equity incentive plans pursuant to the exercise of employee stock options.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significant contractual obligations and commitments as of March 31, 2026:</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6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2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Payments Due by Period</w:t>
            </w:r>
          </w:p>
        </w:tc>
      </w:tr>
      <w:tr>
        <w:trPr>
          <w:trHeight w:val="155"/>
        </w:trPr>
        <w:tc>
          <w:tcPr>
            <w:tcW w:w="2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1 Year</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 to 3 Years</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 to 5 Years</w:t>
            </w: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More than 5 Years</w:t>
            </w:r>
          </w:p>
        </w:tc>
        <w:tc>
          <w:tcPr>
            <w:tcW w:w="98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color w:val="auto"/>
              </w:rPr>
              <w:t>Total</w:t>
            </w:r>
          </w:p>
        </w:tc>
      </w:tr>
      <w:tr>
        <w:trPr>
          <w:trHeight w:val="155"/>
        </w:trPr>
        <w:tc>
          <w:tcPr>
            <w:tcW w:w="26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196"/>
        </w:trPr>
        <w:tc>
          <w:tcPr>
            <w:tcW w:w="2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leases</w:t>
            </w:r>
          </w:p>
        </w:tc>
        <w:tc>
          <w:tcPr>
            <w:tcW w:w="2160" w:type="dxa"/>
            <w:vAlign w:val="bottom"/>
            <w:gridSpan w:val="2"/>
            <w:shd w:val="clear" w:color="auto" w:fill="CCEEFF"/>
          </w:tcPr>
          <w:p>
            <w:pPr>
              <w:ind w:left="1280"/>
              <w:spacing w:after="0" w:line="196" w:lineRule="exact"/>
              <w:rPr>
                <w:sz w:val="20"/>
                <w:szCs w:val="20"/>
                <w:color w:val="auto"/>
              </w:rPr>
            </w:pPr>
            <w:r>
              <w:rPr>
                <w:rFonts w:ascii="Arial" w:cs="Arial" w:eastAsia="Arial" w:hAnsi="Arial"/>
                <w:sz w:val="18"/>
                <w:szCs w:val="18"/>
                <w:color w:val="auto"/>
              </w:rPr>
              <w:t>​​​$  8,653</w:t>
            </w:r>
          </w:p>
        </w:tc>
        <w:tc>
          <w:tcPr>
            <w:tcW w:w="94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rPr>
              <w:t>17,990</w:t>
            </w:r>
          </w:p>
        </w:tc>
        <w:tc>
          <w:tcPr>
            <w:tcW w:w="88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rPr>
              <w:t>18,670</w:t>
            </w:r>
          </w:p>
        </w:tc>
        <w:tc>
          <w:tcPr>
            <w:tcW w:w="1280" w:type="dxa"/>
            <w:vAlign w:val="bottom"/>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23,934</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​​​$ 69,247</w:t>
            </w:r>
          </w:p>
        </w:tc>
      </w:tr>
    </w:tbl>
    <w:p>
      <w:pPr>
        <w:spacing w:after="0" w:line="184"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Payment obligations under our license, collaboration, and acquisition and merger agreements as of March 31, 2026 are contingent upon future events such as our achievement of pre-specified development, regulatory, and commercial milestones, or royalties on net product sales. As of March 31, 2026, the timing and likelihood of achieving the milestones and success payments and generating future product sales are uncertain and therefore, any related payments are not included in the table above. 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7 “Commitments and contingencies” for additional information.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commitments under operating leases for certain facilities used in our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71"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49" w:lineRule="exact"/>
        <w:rPr>
          <w:sz w:val="20"/>
          <w:szCs w:val="20"/>
          <w:color w:val="auto"/>
        </w:rPr>
      </w:pPr>
    </w:p>
    <w:p>
      <w:pPr>
        <w:ind w:left="720" w:right="299" w:hanging="319"/>
        <w:spacing w:after="0" w:line="270"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presenting reduced disclosure about our executive compensation arrangements;</w:t>
      </w:r>
    </w:p>
    <w:p>
      <w:pPr>
        <w:spacing w:after="0" w:line="183" w:lineRule="exact"/>
        <w:rPr>
          <w:rFonts w:ascii="Times New Roman" w:cs="Times New Roman" w:eastAsia="Times New Roman" w:hAnsi="Times New Roman"/>
          <w:sz w:val="18"/>
          <w:szCs w:val="18"/>
          <w:color w:val="auto"/>
        </w:rPr>
      </w:pPr>
    </w:p>
    <w:p>
      <w:pPr>
        <w:ind w:left="720" w:right="359" w:hanging="319"/>
        <w:spacing w:after="0" w:line="252"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43" w:lineRule="exact"/>
        <w:rPr>
          <w:rFonts w:ascii="Times New Roman" w:cs="Times New Roman" w:eastAsia="Times New Roman" w:hAnsi="Times New Roman"/>
          <w:sz w:val="18"/>
          <w:szCs w:val="18"/>
          <w:color w:val="auto"/>
        </w:rPr>
      </w:pPr>
    </w:p>
    <w:p>
      <w:pPr>
        <w:ind w:left="720" w:right="179" w:hanging="319"/>
        <w:spacing w:after="0" w:line="270"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8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53"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3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5"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Refer to Note 2, Summary of Significant Accounting Policies, included in Part I, Item 1 of this Quarterly Report on Form 10-Q for a discussion of our critical accounting policies.</w:t>
      </w:r>
    </w:p>
    <w:p>
      <w:pPr>
        <w:spacing w:after="0" w:line="113" w:lineRule="exact"/>
        <w:rPr>
          <w:sz w:val="20"/>
          <w:szCs w:val="20"/>
          <w:color w:val="auto"/>
        </w:rPr>
      </w:pPr>
    </w:p>
    <w:p>
      <w:pPr>
        <w:ind w:left="60" w:right="459"/>
        <w:spacing w:after="0" w:line="275" w:lineRule="auto"/>
        <w:rPr>
          <w:sz w:val="20"/>
          <w:szCs w:val="20"/>
          <w:color w:val="auto"/>
        </w:rPr>
      </w:pPr>
      <w:r>
        <w:rPr>
          <w:rFonts w:ascii="Arial" w:cs="Arial" w:eastAsia="Arial" w:hAnsi="Arial"/>
          <w:sz w:val="17"/>
          <w:szCs w:val="17"/>
          <w:color w:val="auto"/>
        </w:rPr>
        <w:t>During the three months ended March 31, 2026, there were no material changes to our critical accounting policies from those described in our audited financial statements for the year ended December 31, 2025 included in our Annual Report on Form 10-K filed with the SEC on March 12, 2026, except as noted above.</w:t>
      </w: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9"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We had cash, cash equivalents, and restricted cash of $53.8 million as of March 31, 2026, which consisted of bank deposits and money market funds. We also had investments of $165.9 million as of March 31, 2026.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Instability</w:t>
      </w:r>
    </w:p>
    <w:p>
      <w:pPr>
        <w:spacing w:after="0" w:line="169" w:lineRule="exact"/>
        <w:rPr>
          <w:sz w:val="20"/>
          <w:szCs w:val="20"/>
          <w:color w:val="auto"/>
        </w:rPr>
      </w:pPr>
    </w:p>
    <w:p>
      <w:pPr>
        <w:ind w:left="60" w:right="79"/>
        <w:spacing w:after="0" w:line="301" w:lineRule="auto"/>
        <w:rPr>
          <w:sz w:val="20"/>
          <w:szCs w:val="20"/>
          <w:color w:val="auto"/>
        </w:rPr>
      </w:pPr>
      <w:r>
        <w:rPr>
          <w:rFonts w:ascii="Arial" w:cs="Arial" w:eastAsia="Arial" w:hAnsi="Arial"/>
          <w:sz w:val="17"/>
          <w:szCs w:val="17"/>
          <w:color w:val="auto"/>
        </w:rPr>
        <w:t>Future disruptions of financial institutions where we bank or have credit arrangements, or disruptions of the financial services industry in general, could adversely affect our ability to access our cash and cash equivalents.</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83"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Inflation generally affects us by increasing our cost of labor and laboratory consumables. We believe that inflation has not had a material effect on our financial statements.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56" w:lineRule="exact"/>
        <w:rPr>
          <w:sz w:val="20"/>
          <w:szCs w:val="20"/>
          <w:color w:val="auto"/>
        </w:rPr>
      </w:pPr>
    </w:p>
    <w:p>
      <w:pPr>
        <w:ind w:left="60" w:right="59"/>
        <w:spacing w:after="0" w:line="24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disclosures controls and procedures, as defined in Rules 13a-15(e) and 15d-</w:t>
      </w:r>
    </w:p>
    <w:p>
      <w:pPr>
        <w:ind w:left="60" w:right="79"/>
        <w:spacing w:after="0" w:line="236" w:lineRule="auto"/>
        <w:rPr>
          <w:sz w:val="20"/>
          <w:szCs w:val="20"/>
          <w:color w:val="auto"/>
        </w:rPr>
      </w:pPr>
      <w:r>
        <w:rPr>
          <w:rFonts w:ascii="Arial" w:cs="Arial" w:eastAsia="Arial" w:hAnsi="Arial"/>
          <w:sz w:val="18"/>
          <w:szCs w:val="18"/>
          <w:color w:val="auto"/>
        </w:rPr>
        <w:t>15(e) under the Exchange Act,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principal executive officer and principal financial officer concluded that, as of such date, our disclosure controls and procedures were effective at a reasonable assurance level.</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jc w:val="both"/>
        <w:ind w:left="60" w:right="679"/>
        <w:spacing w:after="0" w:line="253" w:lineRule="auto"/>
        <w:rPr>
          <w:sz w:val="20"/>
          <w:szCs w:val="20"/>
          <w:color w:val="auto"/>
        </w:rPr>
      </w:pPr>
      <w:r>
        <w:rPr>
          <w:rFonts w:ascii="Arial" w:cs="Arial" w:eastAsia="Arial" w:hAnsi="Arial"/>
          <w:sz w:val="18"/>
          <w:szCs w:val="18"/>
          <w:color w:val="auto"/>
        </w:rPr>
        <w:t>Management determined that, as of March 31, 2026, there were no changes in our internal control over financial reporting that occurred during the three months then ended that have materially affected, or are reasonably likely to materially affect, our internal control over financial reporting.</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year ended December 31, 2025.</w:t>
      </w:r>
    </w:p>
    <w:p>
      <w:pPr>
        <w:spacing w:after="0" w:line="113" w:lineRule="exact"/>
        <w:rPr>
          <w:sz w:val="20"/>
          <w:szCs w:val="20"/>
          <w:color w:val="auto"/>
        </w:rPr>
      </w:pPr>
    </w:p>
    <w:p>
      <w:pPr>
        <w:ind w:left="60" w:right="699"/>
        <w:spacing w:after="0" w:line="281" w:lineRule="auto"/>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Rule 10b5-1 Trading Plans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right="659" w:hanging="319"/>
        <w:spacing w:after="0" w:line="253"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table shows the “Rule 10b5-1 trading arrangements” or “non-Rule 10b5-1 trading arrangements” (as each term is defined in Item 408(a) of Regulation S-K) adopted, amended, or terminated by our directors and officers during the three months ended March 31, 2026:</w:t>
      </w:r>
    </w:p>
    <w:p>
      <w:pPr>
        <w:spacing w:after="0" w:line="200" w:lineRule="exact"/>
        <w:rPr>
          <w:sz w:val="20"/>
          <w:szCs w:val="20"/>
          <w:color w:val="auto"/>
        </w:rPr>
      </w:pPr>
    </w:p>
    <w:p>
      <w:pPr>
        <w:spacing w:after="0" w:line="32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Trading</w:t>
      </w:r>
    </w:p>
    <w:p>
      <w:pPr>
        <w:spacing w:after="0" w:line="1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Arrangement</w:t>
      </w:r>
    </w:p>
    <w:tbl>
      <w:tblPr>
        <w:tblLayout w:type="fixed"/>
        <w:tblInd w:w="70" w:type="dxa"/>
        <w:tblCellMar>
          <w:top w:w="0" w:type="dxa"/>
          <w:left w:w="0" w:type="dxa"/>
          <w:bottom w:w="0" w:type="dxa"/>
          <w:right w:w="0" w:type="dxa"/>
        </w:tblCellMar>
      </w:tblPr>
      <w:tr>
        <w:trPr>
          <w:trHeight w:val="146"/>
        </w:trPr>
        <w:tc>
          <w:tcPr>
            <w:tcW w:w="900" w:type="dxa"/>
            <w:vAlign w:val="bottom"/>
            <w:tcBorders>
              <w:top w:val="single" w:sz="8" w:color="auto"/>
              <w:left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Maximum</w:t>
            </w:r>
          </w:p>
        </w:tc>
        <w:tc>
          <w:tcPr>
            <w:tcW w:w="980" w:type="dxa"/>
            <w:vAlign w:val="bottom"/>
            <w:tcBorders>
              <w:top w:val="single" w:sz="8" w:color="auto"/>
              <w:right w:val="single" w:sz="8" w:color="auto"/>
            </w:tcBorders>
          </w:tcPr>
          <w:p>
            <w:pPr>
              <w:spacing w:after="0"/>
              <w:rPr>
                <w:sz w:val="12"/>
                <w:szCs w:val="12"/>
                <w:color w:val="auto"/>
              </w:rPr>
            </w:pPr>
          </w:p>
        </w:tc>
      </w:tr>
      <w:tr>
        <w:trPr>
          <w:trHeight w:val="162"/>
        </w:trPr>
        <w:tc>
          <w:tcPr>
            <w:tcW w:w="900" w:type="dxa"/>
            <w:vAlign w:val="bottom"/>
            <w:tcBorders>
              <w:left w:val="single" w:sz="8" w:color="auto"/>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Scheduled</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980" w:type="dxa"/>
            <w:vAlign w:val="bottom"/>
            <w:tcBorders>
              <w:right w:val="single" w:sz="8" w:color="auto"/>
            </w:tcBorders>
          </w:tcPr>
          <w:p>
            <w:pPr>
              <w:spacing w:after="0"/>
              <w:rPr>
                <w:sz w:val="14"/>
                <w:szCs w:val="14"/>
                <w:color w:val="auto"/>
              </w:rPr>
            </w:pPr>
          </w:p>
        </w:tc>
      </w:tr>
      <w:tr>
        <w:trPr>
          <w:trHeight w:val="162"/>
        </w:trPr>
        <w:tc>
          <w:tcPr>
            <w:tcW w:w="900" w:type="dxa"/>
            <w:vAlign w:val="bottom"/>
            <w:tcBorders>
              <w:left w:val="single" w:sz="8" w:color="auto"/>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Non-</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Subject to</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w:t>
            </w:r>
          </w:p>
        </w:tc>
      </w:tr>
      <w:tr>
        <w:trPr>
          <w:trHeight w:val="144"/>
        </w:trPr>
        <w:tc>
          <w:tcPr>
            <w:tcW w:w="900" w:type="dxa"/>
            <w:vAlign w:val="bottom"/>
            <w:tcBorders>
              <w:left w:val="single" w:sz="8" w:color="auto"/>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Rule 10b5-</w:t>
            </w:r>
          </w:p>
        </w:tc>
        <w:tc>
          <w:tcPr>
            <w:tcW w:w="7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Rule 10b5-</w:t>
            </w:r>
          </w:p>
        </w:tc>
        <w:tc>
          <w:tcPr>
            <w:tcW w:w="12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of Trading</w:t>
            </w:r>
          </w:p>
        </w:tc>
        <w:tc>
          <w:tcPr>
            <w:tcW w:w="7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Trading</w:t>
            </w:r>
          </w:p>
        </w:tc>
        <w:tc>
          <w:tcPr>
            <w:tcW w:w="9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of Trading</w:t>
            </w:r>
          </w:p>
        </w:tc>
      </w:tr>
      <w:tr>
        <w:trPr>
          <w:trHeight w:val="294"/>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Action</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Date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Plan </w:t>
            </w:r>
            <w:r>
              <w:rPr>
                <w:rFonts w:ascii="Arial" w:cs="Arial" w:eastAsia="Arial" w:hAnsi="Arial"/>
                <w:sz w:val="21"/>
                <w:szCs w:val="21"/>
                <w:b w:val="1"/>
                <w:bCs w:val="1"/>
                <w:color w:val="auto"/>
                <w:w w:val="94"/>
                <w:vertAlign w:val="superscript"/>
              </w:rPr>
              <w:t>(1)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Arrangement</w:t>
            </w:r>
          </w:p>
        </w:tc>
      </w:tr>
      <w:tr>
        <w:trPr>
          <w:trHeight w:val="70"/>
        </w:trPr>
        <w:tc>
          <w:tcPr>
            <w:tcW w:w="90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r>
      <w:tr>
        <w:trPr>
          <w:trHeight w:val="177"/>
        </w:trPr>
        <w:tc>
          <w:tcPr>
            <w:tcW w:w="900" w:type="dxa"/>
            <w:vAlign w:val="bottom"/>
            <w:tcBorders>
              <w:left w:val="single" w:sz="8" w:color="auto"/>
              <w:right w:val="single" w:sz="8" w:color="auto"/>
            </w:tcBorders>
            <w:shd w:val="clear" w:color="auto" w:fill="CCEEFF"/>
          </w:tcPr>
          <w:p>
            <w:pPr>
              <w:spacing w:after="0"/>
              <w:rPr>
                <w:sz w:val="15"/>
                <w:szCs w:val="15"/>
                <w:color w:val="auto"/>
              </w:rPr>
            </w:pPr>
          </w:p>
        </w:tc>
        <w:tc>
          <w:tcPr>
            <w:tcW w:w="1220" w:type="dxa"/>
            <w:vAlign w:val="bottom"/>
            <w:tcBorders>
              <w:right w:val="single" w:sz="8" w:color="auto"/>
            </w:tcBorders>
            <w:shd w:val="clear" w:color="auto" w:fill="CCEEFF"/>
          </w:tcPr>
          <w:p>
            <w:pPr>
              <w:spacing w:after="0"/>
              <w:rPr>
                <w:sz w:val="15"/>
                <w:szCs w:val="15"/>
                <w:color w:val="auto"/>
              </w:rPr>
            </w:pPr>
          </w:p>
        </w:tc>
        <w:tc>
          <w:tcPr>
            <w:tcW w:w="1000" w:type="dxa"/>
            <w:vAlign w:val="bottom"/>
            <w:tcBorders>
              <w:right w:val="single" w:sz="8" w:color="auto"/>
            </w:tcBorders>
            <w:shd w:val="clear" w:color="auto" w:fill="CCEEFF"/>
          </w:tcPr>
          <w:p>
            <w:pPr>
              <w:spacing w:after="0"/>
              <w:rPr>
                <w:sz w:val="15"/>
                <w:szCs w:val="15"/>
                <w:color w:val="auto"/>
              </w:rPr>
            </w:pPr>
          </w:p>
        </w:tc>
        <w:tc>
          <w:tcPr>
            <w:tcW w:w="138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122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jc w:val="center"/>
              <w:spacing w:after="0" w:line="177" w:lineRule="exact"/>
              <w:rPr>
                <w:sz w:val="20"/>
                <w:szCs w:val="20"/>
                <w:color w:val="auto"/>
              </w:rPr>
            </w:pPr>
            <w:r>
              <w:rPr>
                <w:rFonts w:ascii="Arial" w:cs="Arial" w:eastAsia="Arial" w:hAnsi="Arial"/>
                <w:sz w:val="18"/>
                <w:szCs w:val="18"/>
                <w:color w:val="auto"/>
              </w:rPr>
              <w:t>Sales of</w:t>
            </w:r>
          </w:p>
        </w:tc>
      </w:tr>
      <w:tr>
        <w:trPr>
          <w:trHeight w:val="203"/>
        </w:trPr>
        <w:tc>
          <w:tcPr>
            <w:tcW w:w="900" w:type="dxa"/>
            <w:vAlign w:val="bottom"/>
            <w:tcBorders>
              <w:left w:val="single" w:sz="8" w:color="auto"/>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shares of</w:t>
            </w:r>
          </w:p>
        </w:tc>
      </w:tr>
      <w:tr>
        <w:trPr>
          <w:trHeight w:val="203"/>
        </w:trPr>
        <w:tc>
          <w:tcPr>
            <w:tcW w:w="900" w:type="dxa"/>
            <w:vAlign w:val="bottom"/>
            <w:tcBorders>
              <w:left w:val="single" w:sz="8" w:color="auto"/>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the</w:t>
            </w:r>
          </w:p>
        </w:tc>
      </w:tr>
      <w:tr>
        <w:trPr>
          <w:trHeight w:val="203"/>
        </w:trPr>
        <w:tc>
          <w:tcPr>
            <w:tcW w:w="900" w:type="dxa"/>
            <w:vAlign w:val="bottom"/>
            <w:tcBorders>
              <w:left w:val="single" w:sz="8" w:color="auto"/>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Company’s</w:t>
            </w:r>
          </w:p>
        </w:tc>
      </w:tr>
      <w:tr>
        <w:trPr>
          <w:trHeight w:val="203"/>
        </w:trPr>
        <w:tc>
          <w:tcPr>
            <w:tcW w:w="900" w:type="dxa"/>
            <w:vAlign w:val="bottom"/>
            <w:tcBorders>
              <w:left w:val="single" w:sz="8" w:color="auto"/>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common</w:t>
            </w:r>
          </w:p>
        </w:tc>
      </w:tr>
      <w:tr>
        <w:trPr>
          <w:trHeight w:val="203"/>
        </w:trPr>
        <w:tc>
          <w:tcPr>
            <w:tcW w:w="900" w:type="dxa"/>
            <w:vAlign w:val="bottom"/>
            <w:tcBorders>
              <w:left w:val="single" w:sz="8" w:color="auto"/>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Chief</w:t>
            </w:r>
          </w:p>
        </w:tc>
        <w:tc>
          <w:tcPr>
            <w:tcW w:w="100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stock</w:t>
            </w:r>
          </w:p>
        </w:tc>
      </w:tr>
      <w:tr>
        <w:trPr>
          <w:trHeight w:val="203"/>
        </w:trPr>
        <w:tc>
          <w:tcPr>
            <w:tcW w:w="900" w:type="dxa"/>
            <w:vAlign w:val="bottom"/>
            <w:tcBorders>
              <w:left w:val="single" w:sz="8" w:color="auto"/>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Technology</w:t>
            </w:r>
          </w:p>
        </w:tc>
        <w:tc>
          <w:tcPr>
            <w:tcW w:w="100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pursuant to</w:t>
            </w:r>
          </w:p>
        </w:tc>
      </w:tr>
      <w:tr>
        <w:trPr>
          <w:trHeight w:val="203"/>
        </w:trPr>
        <w:tc>
          <w:tcPr>
            <w:tcW w:w="900" w:type="dxa"/>
            <w:vAlign w:val="bottom"/>
            <w:tcBorders>
              <w:left w:val="single" w:sz="8" w:color="auto"/>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and</w:t>
            </w:r>
          </w:p>
        </w:tc>
        <w:tc>
          <w:tcPr>
            <w:tcW w:w="100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the terms of</w:t>
            </w:r>
          </w:p>
        </w:tc>
      </w:tr>
      <w:tr>
        <w:trPr>
          <w:trHeight w:val="203"/>
        </w:trPr>
        <w:tc>
          <w:tcPr>
            <w:tcW w:w="900" w:type="dxa"/>
            <w:vAlign w:val="bottom"/>
            <w:tcBorders>
              <w:left w:val="single" w:sz="8" w:color="auto"/>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Gregory</w:t>
            </w:r>
          </w:p>
        </w:tc>
        <w:tc>
          <w:tcPr>
            <w:tcW w:w="122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Manufacturing</w:t>
            </w:r>
          </w:p>
        </w:tc>
        <w:tc>
          <w:tcPr>
            <w:tcW w:w="1000" w:type="dxa"/>
            <w:vAlign w:val="bottom"/>
            <w:tcBorders>
              <w:right w:val="single" w:sz="8" w:color="auto"/>
            </w:tcBorders>
            <w:shd w:val="clear" w:color="auto" w:fill="CCEEFF"/>
          </w:tcPr>
          <w:p>
            <w:pPr>
              <w:spacing w:after="0"/>
              <w:rPr>
                <w:sz w:val="17"/>
                <w:szCs w:val="17"/>
                <w:color w:val="auto"/>
              </w:rPr>
            </w:pPr>
          </w:p>
        </w:tc>
        <w:tc>
          <w:tcPr>
            <w:tcW w:w="138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February 10,</w:t>
            </w:r>
          </w:p>
        </w:tc>
        <w:tc>
          <w:tcPr>
            <w:tcW w:w="74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September 30,</w:t>
            </w:r>
          </w:p>
        </w:tc>
        <w:tc>
          <w:tcPr>
            <w:tcW w:w="74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the trading</w:t>
            </w:r>
          </w:p>
        </w:tc>
      </w:tr>
      <w:tr>
        <w:trPr>
          <w:trHeight w:val="239"/>
        </w:trPr>
        <w:tc>
          <w:tcPr>
            <w:tcW w:w="9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Russotti</w:t>
            </w:r>
          </w:p>
        </w:tc>
        <w:tc>
          <w:tcPr>
            <w:tcW w:w="12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Officer</w:t>
            </w:r>
          </w:p>
        </w:tc>
        <w:tc>
          <w:tcPr>
            <w:tcW w:w="10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Terminated</w:t>
            </w:r>
          </w:p>
        </w:tc>
        <w:tc>
          <w:tcPr>
            <w:tcW w:w="13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7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740" w:type="dxa"/>
            <w:vAlign w:val="bottom"/>
            <w:tcBorders>
              <w:right w:val="single" w:sz="8" w:color="auto"/>
            </w:tcBorders>
            <w:shd w:val="clear" w:color="auto" w:fill="CCEEFF"/>
          </w:tcPr>
          <w:p>
            <w:pPr>
              <w:spacing w:after="0"/>
              <w:rPr>
                <w:sz w:val="20"/>
                <w:szCs w:val="20"/>
                <w:color w:val="auto"/>
              </w:rPr>
            </w:pPr>
          </w:p>
        </w:tc>
        <w:tc>
          <w:tcPr>
            <w:tcW w:w="12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7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160,000</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plan.</w:t>
            </w:r>
          </w:p>
        </w:tc>
      </w:tr>
      <w:tr>
        <w:trPr>
          <w:trHeight w:val="158"/>
        </w:trPr>
        <w:tc>
          <w:tcPr>
            <w:tcW w:w="90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20" w:type="dxa"/>
            <w:vAlign w:val="bottom"/>
            <w:tcBorders>
              <w:bottom w:val="single" w:sz="8" w:color="auto"/>
              <w:right w:val="single" w:sz="8" w:color="auto"/>
            </w:tcBorders>
            <w:shd w:val="clear" w:color="auto" w:fill="CCEEFF"/>
          </w:tcPr>
          <w:p>
            <w:pPr>
              <w:spacing w:after="0"/>
              <w:rPr>
                <w:sz w:val="13"/>
                <w:szCs w:val="13"/>
                <w:color w:val="auto"/>
              </w:rPr>
            </w:pPr>
          </w:p>
        </w:tc>
        <w:tc>
          <w:tcPr>
            <w:tcW w:w="1000" w:type="dxa"/>
            <w:vAlign w:val="bottom"/>
            <w:tcBorders>
              <w:bottom w:val="single" w:sz="8" w:color="auto"/>
              <w:right w:val="single" w:sz="8" w:color="auto"/>
            </w:tcBorders>
            <w:shd w:val="clear" w:color="auto" w:fill="CCEEFF"/>
          </w:tcPr>
          <w:p>
            <w:pPr>
              <w:spacing w:after="0"/>
              <w:rPr>
                <w:sz w:val="13"/>
                <w:szCs w:val="13"/>
                <w:color w:val="auto"/>
              </w:rPr>
            </w:pPr>
          </w:p>
        </w:tc>
        <w:tc>
          <w:tcPr>
            <w:tcW w:w="1380" w:type="dxa"/>
            <w:vAlign w:val="bottom"/>
            <w:tcBorders>
              <w:bottom w:val="single" w:sz="8" w:color="auto"/>
              <w:right w:val="single" w:sz="8" w:color="auto"/>
            </w:tcBorders>
            <w:shd w:val="clear" w:color="auto" w:fill="CCEEFF"/>
          </w:tcPr>
          <w:p>
            <w:pPr>
              <w:spacing w:after="0"/>
              <w:rPr>
                <w:sz w:val="13"/>
                <w:szCs w:val="13"/>
                <w:color w:val="auto"/>
              </w:rPr>
            </w:pPr>
          </w:p>
        </w:tc>
        <w:tc>
          <w:tcPr>
            <w:tcW w:w="740" w:type="dxa"/>
            <w:vAlign w:val="bottom"/>
            <w:tcBorders>
              <w:bottom w:val="single" w:sz="8" w:color="auto"/>
              <w:right w:val="single" w:sz="8" w:color="auto"/>
            </w:tcBorders>
            <w:shd w:val="clear" w:color="auto" w:fill="CCEEFF"/>
          </w:tcPr>
          <w:p>
            <w:pPr>
              <w:spacing w:after="0"/>
              <w:rPr>
                <w:sz w:val="13"/>
                <w:szCs w:val="13"/>
                <w:color w:val="auto"/>
              </w:rPr>
            </w:pPr>
          </w:p>
        </w:tc>
        <w:tc>
          <w:tcPr>
            <w:tcW w:w="740" w:type="dxa"/>
            <w:vAlign w:val="bottom"/>
            <w:tcBorders>
              <w:bottom w:val="single" w:sz="8" w:color="auto"/>
              <w:right w:val="single" w:sz="8" w:color="auto"/>
            </w:tcBorders>
            <w:shd w:val="clear" w:color="auto" w:fill="CCEEFF"/>
          </w:tcPr>
          <w:p>
            <w:pPr>
              <w:spacing w:after="0"/>
              <w:rPr>
                <w:sz w:val="13"/>
                <w:szCs w:val="13"/>
                <w:color w:val="auto"/>
              </w:rPr>
            </w:pPr>
          </w:p>
        </w:tc>
        <w:tc>
          <w:tcPr>
            <w:tcW w:w="1220" w:type="dxa"/>
            <w:vAlign w:val="bottom"/>
            <w:tcBorders>
              <w:bottom w:val="single" w:sz="8" w:color="auto"/>
              <w:right w:val="single" w:sz="8" w:color="auto"/>
            </w:tcBorders>
            <w:shd w:val="clear" w:color="auto" w:fill="CCEEFF"/>
          </w:tcPr>
          <w:p>
            <w:pPr>
              <w:spacing w:after="0"/>
              <w:rPr>
                <w:sz w:val="13"/>
                <w:szCs w:val="13"/>
                <w:color w:val="auto"/>
              </w:rPr>
            </w:pPr>
          </w:p>
        </w:tc>
        <w:tc>
          <w:tcPr>
            <w:tcW w:w="740" w:type="dxa"/>
            <w:vAlign w:val="bottom"/>
            <w:tcBorders>
              <w:bottom w:val="single" w:sz="8" w:color="auto"/>
              <w:right w:val="single" w:sz="8" w:color="auto"/>
            </w:tcBorders>
            <w:shd w:val="clear" w:color="auto" w:fill="CCEEFF"/>
          </w:tcPr>
          <w:p>
            <w:pPr>
              <w:spacing w:after="0"/>
              <w:rPr>
                <w:sz w:val="13"/>
                <w:szCs w:val="13"/>
                <w:color w:val="auto"/>
              </w:rPr>
            </w:pPr>
          </w:p>
        </w:tc>
        <w:tc>
          <w:tcPr>
            <w:tcW w:w="98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77"/>
        </w:trPr>
        <w:tc>
          <w:tcPr>
            <w:tcW w:w="900" w:type="dxa"/>
            <w:vAlign w:val="bottom"/>
            <w:tcBorders>
              <w:left w:val="single" w:sz="8" w:color="auto"/>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rPr>
              <w:t>Sales of</w:t>
            </w: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shares of</w:t>
            </w:r>
          </w:p>
        </w:tc>
      </w:tr>
      <w:tr>
        <w:trPr>
          <w:trHeight w:val="202"/>
        </w:trPr>
        <w:tc>
          <w:tcPr>
            <w:tcW w:w="90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the</w:t>
            </w: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Company’s</w:t>
            </w: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common</w:t>
            </w: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Chief</w:t>
            </w:r>
          </w:p>
        </w:tc>
        <w:tc>
          <w:tcPr>
            <w:tcW w:w="10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stock</w:t>
            </w: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Technology</w:t>
            </w:r>
          </w:p>
        </w:tc>
        <w:tc>
          <w:tcPr>
            <w:tcW w:w="10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pursuant to</w:t>
            </w: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and</w:t>
            </w:r>
          </w:p>
        </w:tc>
        <w:tc>
          <w:tcPr>
            <w:tcW w:w="10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the terms of</w:t>
            </w:r>
          </w:p>
        </w:tc>
      </w:tr>
      <w:tr>
        <w:trPr>
          <w:trHeight w:val="203"/>
        </w:trPr>
        <w:tc>
          <w:tcPr>
            <w:tcW w:w="90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Gregory</w:t>
            </w: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Manufacturing</w:t>
            </w:r>
          </w:p>
        </w:tc>
        <w:tc>
          <w:tcPr>
            <w:tcW w:w="10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February 18,</w:t>
            </w:r>
          </w:p>
        </w:tc>
        <w:tc>
          <w:tcPr>
            <w:tcW w:w="7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February 12,</w:t>
            </w:r>
          </w:p>
        </w:tc>
        <w:tc>
          <w:tcPr>
            <w:tcW w:w="74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the trading</w:t>
            </w:r>
          </w:p>
        </w:tc>
      </w:tr>
      <w:tr>
        <w:trPr>
          <w:trHeight w:val="239"/>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Russotti</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Officer</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Adoption</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7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200,000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plan.</w:t>
            </w:r>
          </w:p>
        </w:tc>
      </w:tr>
      <w:tr>
        <w:trPr>
          <w:trHeight w:val="158"/>
        </w:trPr>
        <w:tc>
          <w:tcPr>
            <w:tcW w:w="900" w:type="dxa"/>
            <w:vAlign w:val="bottom"/>
            <w:tcBorders>
              <w:left w:val="single" w:sz="8" w:color="auto"/>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r>
    </w:tbl>
    <w:p>
      <w:pPr>
        <w:spacing w:after="0" w:line="386" w:lineRule="exact"/>
        <w:rPr>
          <w:sz w:val="20"/>
          <w:szCs w:val="20"/>
          <w:color w:val="auto"/>
        </w:rPr>
      </w:pPr>
    </w:p>
    <w:p>
      <w:pPr>
        <w:ind w:left="60" w:right="439" w:hanging="10"/>
        <w:spacing w:after="0" w:line="253" w:lineRule="auto"/>
        <w:tabs>
          <w:tab w:leader="none" w:pos="7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trading arrangement may expire on an earlier date if all contemplated transactions are completed before such trading arrangement’s expiration date, upon termination by broker or the holder of the trading arrangement, or as otherwise provided in the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8100" w:type="dxa"/>
            <w:vAlign w:val="bottom"/>
            <w:gridSpan w:val="19"/>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8"/>
        </w:trPr>
        <w:tc>
          <w:tcPr>
            <w:tcW w:w="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7920" w:type="dxa"/>
            <w:vAlign w:val="bottom"/>
            <w:tcBorders>
              <w:top w:val="single" w:sz="8" w:color="auto"/>
            </w:tcBorders>
            <w:gridSpan w:val="18"/>
          </w:tcPr>
          <w:p>
            <w:pPr>
              <w:spacing w:after="0"/>
              <w:rPr>
                <w:rFonts w:ascii="Arial" w:cs="Arial" w:eastAsia="Arial" w:hAnsi="Arial"/>
                <w:sz w:val="18"/>
                <w:szCs w:val="18"/>
                <w:color w:val="0000EE"/>
              </w:rPr>
            </w:pPr>
            <w:hyperlink r:id="rId64">
              <w:r>
                <w:rPr>
                  <w:rFonts w:ascii="Arial" w:cs="Arial" w:eastAsia="Arial" w:hAnsi="Arial"/>
                  <w:sz w:val="18"/>
                  <w:szCs w:val="18"/>
                  <w:color w:val="0000EE"/>
                </w:rPr>
                <w:t>Form of Pre-Funded Warrant (incorporated by reference to Exhibit 4.1 of the Company’s Current</w:t>
              </w:r>
            </w:hyperlink>
          </w:p>
        </w:tc>
        <w:tc>
          <w:tcPr>
            <w:tcW w:w="0" w:type="dxa"/>
            <w:vAlign w:val="bottom"/>
          </w:tcPr>
          <w:p>
            <w:pPr>
              <w:spacing w:after="0"/>
              <w:rPr>
                <w:sz w:val="1"/>
                <w:szCs w:val="1"/>
                <w:color w:val="auto"/>
              </w:rPr>
            </w:pPr>
          </w:p>
        </w:tc>
      </w:tr>
      <w:tr>
        <w:trPr>
          <w:trHeight w:val="183"/>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5"/>
                <w:szCs w:val="15"/>
                <w:color w:val="auto"/>
              </w:rPr>
            </w:pPr>
          </w:p>
        </w:tc>
        <w:tc>
          <w:tcPr>
            <w:tcW w:w="53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64">
              <w:r>
                <w:rPr>
                  <w:rFonts w:ascii="Arial" w:cs="Arial" w:eastAsia="Arial" w:hAnsi="Arial"/>
                  <w:sz w:val="18"/>
                  <w:szCs w:val="18"/>
                  <w:color w:val="0000EE"/>
                  <w:w w:val="99"/>
                </w:rPr>
                <w:t>Report on Form 8-K (File No. 001-40498) filed on January 8, 2026).</w:t>
              </w:r>
            </w:hyperlink>
          </w:p>
        </w:tc>
        <w:tc>
          <w:tcPr>
            <w:tcW w:w="2280" w:type="dxa"/>
            <w:vAlign w:val="bottom"/>
            <w:tcBorders>
              <w:top w:val="single" w:sz="8" w:color="0000EE"/>
            </w:tcBorders>
            <w:gridSpan w:val="5"/>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920" w:type="dxa"/>
            <w:vAlign w:val="bottom"/>
            <w:gridSpan w:val="18"/>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Form of Common Warrant (incorporated by reference to Exhibit 4.2 of the Company’s Current</w:t>
              </w:r>
            </w:hyperlink>
          </w:p>
        </w:tc>
        <w:tc>
          <w:tcPr>
            <w:tcW w:w="0" w:type="dxa"/>
            <w:vAlign w:val="bottom"/>
          </w:tcPr>
          <w:p>
            <w:pPr>
              <w:spacing w:after="0"/>
              <w:rPr>
                <w:sz w:val="1"/>
                <w:szCs w:val="1"/>
                <w:color w:val="auto"/>
              </w:rPr>
            </w:pPr>
          </w:p>
        </w:tc>
      </w:tr>
      <w:tr>
        <w:trPr>
          <w:trHeight w:val="183"/>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5"/>
                <w:szCs w:val="15"/>
                <w:color w:val="auto"/>
              </w:rPr>
            </w:pPr>
          </w:p>
        </w:tc>
        <w:tc>
          <w:tcPr>
            <w:tcW w:w="53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65">
              <w:r>
                <w:rPr>
                  <w:rFonts w:ascii="Arial" w:cs="Arial" w:eastAsia="Arial" w:hAnsi="Arial"/>
                  <w:sz w:val="18"/>
                  <w:szCs w:val="18"/>
                  <w:color w:val="0000EE"/>
                  <w:w w:val="99"/>
                </w:rPr>
                <w:t>Report on Form 8-K (File No. 001-40498) filed on January 8, 2026).</w:t>
              </w:r>
            </w:hyperlink>
          </w:p>
        </w:tc>
        <w:tc>
          <w:tcPr>
            <w:tcW w:w="206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920" w:type="dxa"/>
            <w:vAlign w:val="bottom"/>
            <w:gridSpan w:val="18"/>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Securities Purchase Agreement, dated January 7, 2026, by and among the Company and the other</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parties thereto (incorporated by reference to Exhibit 10.1 of the Company’s Current Report 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5"/>
                <w:szCs w:val="15"/>
                <w:color w:val="auto"/>
              </w:rPr>
            </w:pPr>
          </w:p>
        </w:tc>
        <w:tc>
          <w:tcPr>
            <w:tcW w:w="45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66">
              <w:r>
                <w:rPr>
                  <w:rFonts w:ascii="Arial" w:cs="Arial" w:eastAsia="Arial" w:hAnsi="Arial"/>
                  <w:sz w:val="18"/>
                  <w:szCs w:val="18"/>
                  <w:color w:val="0000EE"/>
                  <w:w w:val="99"/>
                </w:rPr>
                <w:t>Form 8-K (File No. 001-40498) filed on January 8, 2026).</w:t>
              </w:r>
            </w:hyperlink>
          </w:p>
        </w:tc>
        <w:tc>
          <w:tcPr>
            <w:tcW w:w="2920" w:type="dxa"/>
            <w:vAlign w:val="bottom"/>
            <w:tcBorders>
              <w:top w:val="single" w:sz="8" w:color="0000EE"/>
            </w:tcBorders>
            <w:gridSpan w:val="5"/>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920" w:type="dxa"/>
            <w:vAlign w:val="bottom"/>
            <w:gridSpan w:val="18"/>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Registration Rights Agreement, dated January 7, 2026, by and among the Company and the other</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67">
              <w:r>
                <w:rPr>
                  <w:rFonts w:ascii="Arial" w:cs="Arial" w:eastAsia="Arial" w:hAnsi="Arial"/>
                  <w:sz w:val="18"/>
                  <w:szCs w:val="18"/>
                  <w:color w:val="0000EE"/>
                </w:rPr>
                <w:t>parties thereto (incorporated by reference to Exhibit 10.2 of the Company’s Current Report 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5"/>
                <w:szCs w:val="15"/>
                <w:color w:val="auto"/>
              </w:rPr>
            </w:pPr>
          </w:p>
        </w:tc>
        <w:tc>
          <w:tcPr>
            <w:tcW w:w="45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67">
              <w:r>
                <w:rPr>
                  <w:rFonts w:ascii="Arial" w:cs="Arial" w:eastAsia="Arial" w:hAnsi="Arial"/>
                  <w:sz w:val="18"/>
                  <w:szCs w:val="18"/>
                  <w:color w:val="0000EE"/>
                  <w:w w:val="99"/>
                </w:rPr>
                <w:t>Form 8-K (File No. 001-40498) filed on January 8, 2026).</w:t>
              </w:r>
            </w:hyperlink>
          </w:p>
        </w:tc>
        <w:tc>
          <w:tcPr>
            <w:tcW w:w="2920" w:type="dxa"/>
            <w:vAlign w:val="bottom"/>
            <w:tcBorders>
              <w:top w:val="single" w:sz="8" w:color="0000EE"/>
            </w:tcBorders>
            <w:gridSpan w:val="5"/>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920" w:type="dxa"/>
            <w:vAlign w:val="bottom"/>
            <w:gridSpan w:val="18"/>
          </w:tcPr>
          <w:p>
            <w:pPr>
              <w:spacing w:after="0" w:line="196" w:lineRule="exact"/>
              <w:rPr>
                <w:sz w:val="20"/>
                <w:szCs w:val="20"/>
                <w:color w:val="auto"/>
              </w:rPr>
            </w:pPr>
            <w:r>
              <w:rPr>
                <w:rFonts w:ascii="Arial" w:cs="Arial" w:eastAsia="Arial" w:hAnsi="Arial"/>
                <w:sz w:val="18"/>
                <w:szCs w:val="18"/>
                <w:color w:val="0000EE"/>
              </w:rPr>
              <w:t>First Amendment to the Catalent License Agreement for Use of Catalent IPSC Lines in Pre-Clinical</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6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and Clinical Development, and Commercialisation of Cell Therapies, dated March 25, 2026 by and</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5"/>
                <w:szCs w:val="15"/>
                <w:color w:val="auto"/>
              </w:rPr>
            </w:pPr>
          </w:p>
        </w:tc>
        <w:tc>
          <w:tcPr>
            <w:tcW w:w="28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between the Company and Catalent</w:t>
            </w:r>
          </w:p>
        </w:tc>
        <w:tc>
          <w:tcPr>
            <w:tcW w:w="4960" w:type="dxa"/>
            <w:vAlign w:val="bottom"/>
            <w:tcBorders>
              <w:top w:val="single" w:sz="8" w:color="0000EE"/>
            </w:tcBorders>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920" w:type="dxa"/>
            <w:vAlign w:val="bottom"/>
            <w:gridSpan w:val="18"/>
          </w:tcPr>
          <w:p>
            <w:pPr>
              <w:spacing w:after="0" w:line="196" w:lineRule="exact"/>
              <w:rPr>
                <w:sz w:val="20"/>
                <w:szCs w:val="20"/>
                <w:color w:val="auto"/>
              </w:rPr>
            </w:pPr>
            <w:r>
              <w:rPr>
                <w:rFonts w:ascii="Arial" w:cs="Arial" w:eastAsia="Arial" w:hAnsi="Arial"/>
                <w:sz w:val="18"/>
                <w:szCs w:val="18"/>
                <w:color w:val="0000EE"/>
              </w:rPr>
              <w:t>Certification of Principal Executive Officer Pursuant to Rules 13a-14(a) and 15d-14(a) under the</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20" w:type="dxa"/>
            <w:vAlign w:val="bottom"/>
            <w:gridSpan w:val="18"/>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3"/>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5"/>
                <w:szCs w:val="15"/>
                <w:color w:val="auto"/>
              </w:rPr>
            </w:pPr>
          </w:p>
        </w:tc>
        <w:tc>
          <w:tcPr>
            <w:tcW w:w="77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of 2002</w:t>
            </w:r>
          </w:p>
        </w:tc>
        <w:tc>
          <w:tcPr>
            <w:tcW w:w="14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920" w:type="dxa"/>
            <w:vAlign w:val="bottom"/>
            <w:gridSpan w:val="18"/>
          </w:tcPr>
          <w:p>
            <w:pPr>
              <w:spacing w:after="0" w:line="196" w:lineRule="exact"/>
              <w:rPr>
                <w:sz w:val="20"/>
                <w:szCs w:val="20"/>
                <w:color w:val="auto"/>
              </w:rPr>
            </w:pPr>
            <w:r>
              <w:rPr>
                <w:rFonts w:ascii="Arial" w:cs="Arial" w:eastAsia="Arial" w:hAnsi="Arial"/>
                <w:sz w:val="18"/>
                <w:szCs w:val="18"/>
                <w:color w:val="0000EE"/>
              </w:rPr>
              <w:t>Certification of Principal Financial Officer Pursuant to Rules 13a-14(a) and 15d-14(a) under the</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20" w:type="dxa"/>
            <w:vAlign w:val="bottom"/>
            <w:gridSpan w:val="18"/>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3"/>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5"/>
                <w:szCs w:val="15"/>
                <w:color w:val="auto"/>
              </w:rPr>
            </w:pPr>
          </w:p>
        </w:tc>
        <w:tc>
          <w:tcPr>
            <w:tcW w:w="77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of 2002</w:t>
            </w:r>
          </w:p>
        </w:tc>
        <w:tc>
          <w:tcPr>
            <w:tcW w:w="14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920" w:type="dxa"/>
            <w:vAlign w:val="bottom"/>
            <w:gridSpan w:val="18"/>
          </w:tcPr>
          <w:p>
            <w:pPr>
              <w:spacing w:after="0" w:line="196" w:lineRule="exact"/>
              <w:rPr>
                <w:sz w:val="20"/>
                <w:szCs w:val="20"/>
                <w:color w:val="auto"/>
              </w:rPr>
            </w:pPr>
            <w:r>
              <w:rPr>
                <w:rFonts w:ascii="Arial" w:cs="Arial" w:eastAsia="Arial" w:hAnsi="Arial"/>
                <w:sz w:val="18"/>
                <w:szCs w:val="18"/>
                <w:color w:val="0000EE"/>
              </w:rPr>
              <w:t>Certification of Principal Executive Officer pursuant to 18 U.S.C. Section 1350, as adopted</w:t>
            </w:r>
          </w:p>
        </w:tc>
        <w:tc>
          <w:tcPr>
            <w:tcW w:w="0" w:type="dxa"/>
            <w:vAlign w:val="bottom"/>
          </w:tcPr>
          <w:p>
            <w:pPr>
              <w:spacing w:after="0"/>
              <w:rPr>
                <w:sz w:val="1"/>
                <w:szCs w:val="1"/>
                <w:color w:val="auto"/>
              </w:rPr>
            </w:pPr>
          </w:p>
        </w:tc>
      </w:tr>
      <w:tr>
        <w:trPr>
          <w:trHeight w:val="183"/>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5"/>
                <w:szCs w:val="15"/>
                <w:color w:val="auto"/>
              </w:rPr>
            </w:pPr>
          </w:p>
        </w:tc>
        <w:tc>
          <w:tcPr>
            <w:tcW w:w="71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pursuant to Section 906 of the Sarbanes-Oxley Act of 2002</w:t>
            </w:r>
          </w:p>
        </w:tc>
        <w:tc>
          <w:tcPr>
            <w:tcW w:w="700" w:type="dxa"/>
            <w:vAlign w:val="bottom"/>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18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920" w:type="dxa"/>
            <w:vAlign w:val="bottom"/>
            <w:gridSpan w:val="18"/>
          </w:tcPr>
          <w:p>
            <w:pPr>
              <w:spacing w:after="0" w:line="196" w:lineRule="exact"/>
              <w:rPr>
                <w:sz w:val="20"/>
                <w:szCs w:val="20"/>
                <w:color w:val="auto"/>
              </w:rPr>
            </w:pPr>
            <w:r>
              <w:rPr>
                <w:rFonts w:ascii="Arial" w:cs="Arial" w:eastAsia="Arial" w:hAnsi="Arial"/>
                <w:sz w:val="18"/>
                <w:szCs w:val="18"/>
                <w:color w:val="0000EE"/>
              </w:rPr>
              <w:t>Certification of Principal Financial Officer pursuant to 18 U.S.C. Section 1350, as adopted pursuant</w:t>
            </w:r>
          </w:p>
        </w:tc>
        <w:tc>
          <w:tcPr>
            <w:tcW w:w="0" w:type="dxa"/>
            <w:vAlign w:val="bottom"/>
          </w:tcPr>
          <w:p>
            <w:pPr>
              <w:spacing w:after="0"/>
              <w:rPr>
                <w:sz w:val="1"/>
                <w:szCs w:val="1"/>
                <w:color w:val="auto"/>
              </w:rPr>
            </w:pPr>
          </w:p>
        </w:tc>
      </w:tr>
      <w:tr>
        <w:trPr>
          <w:trHeight w:val="183"/>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15"/>
                <w:szCs w:val="15"/>
                <w:color w:val="auto"/>
              </w:rPr>
            </w:pPr>
          </w:p>
        </w:tc>
        <w:tc>
          <w:tcPr>
            <w:tcW w:w="39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to Section 906 of the Sarbanes-Oxley Act of 2002</w:t>
            </w:r>
          </w:p>
        </w:tc>
        <w:tc>
          <w:tcPr>
            <w:tcW w:w="3920" w:type="dxa"/>
            <w:vAlign w:val="bottom"/>
            <w:tcBorders>
              <w:top w:val="single" w:sz="8" w:color="0000EE"/>
            </w:tcBorders>
            <w:gridSpan w:val="1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920" w:type="dxa"/>
            <w:vAlign w:val="bottom"/>
            <w:gridSpan w:val="18"/>
          </w:tcPr>
          <w:p>
            <w:pPr>
              <w:spacing w:after="0" w:line="204" w:lineRule="exact"/>
              <w:rPr>
                <w:sz w:val="20"/>
                <w:szCs w:val="20"/>
                <w:color w:val="auto"/>
              </w:rPr>
            </w:pPr>
            <w:r>
              <w:rPr>
                <w:rFonts w:ascii="Arial" w:cs="Arial" w:eastAsia="Arial" w:hAnsi="Arial"/>
                <w:sz w:val="18"/>
                <w:szCs w:val="18"/>
                <w:color w:val="auto"/>
              </w:rPr>
              <w:t>Inline XBRL Instance Document (the instance document does not appear in the Interactive Data</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20" w:type="dxa"/>
            <w:vAlign w:val="bottom"/>
            <w:gridSpan w:val="18"/>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18"/>
                <w:szCs w:val="18"/>
                <w:color w:val="auto"/>
              </w:rPr>
            </w:pPr>
          </w:p>
        </w:tc>
        <w:tc>
          <w:tcPr>
            <w:tcW w:w="792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18"/>
                <w:szCs w:val="18"/>
                <w:color w:val="auto"/>
              </w:rPr>
            </w:pPr>
          </w:p>
        </w:tc>
        <w:tc>
          <w:tcPr>
            <w:tcW w:w="792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18"/>
                <w:szCs w:val="18"/>
                <w:color w:val="auto"/>
              </w:rPr>
            </w:pPr>
          </w:p>
        </w:tc>
        <w:tc>
          <w:tcPr>
            <w:tcW w:w="792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18"/>
                <w:szCs w:val="18"/>
                <w:color w:val="auto"/>
              </w:rPr>
            </w:pPr>
          </w:p>
        </w:tc>
        <w:tc>
          <w:tcPr>
            <w:tcW w:w="792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34"/>
        </w:trPr>
        <w:tc>
          <w:tcPr>
            <w:tcW w:w="800" w:type="dxa"/>
            <w:vAlign w:val="bottom"/>
          </w:tcPr>
          <w:p>
            <w:pPr>
              <w:ind w:left="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0"/>
                <w:szCs w:val="20"/>
                <w:color w:val="auto"/>
              </w:rPr>
            </w:pPr>
          </w:p>
        </w:tc>
        <w:tc>
          <w:tcPr>
            <w:tcW w:w="792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ind w:left="1020" w:right="439" w:hanging="965"/>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cover page from Century Therapeutics, Inc. Quarterly Report on Form 10-Q for the quarter ended March 31, 2026,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52705</wp:posOffset>
            </wp:positionV>
            <wp:extent cx="14141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5" w:lineRule="exact"/>
        <w:rPr>
          <w:sz w:val="20"/>
          <w:szCs w:val="20"/>
          <w:color w:val="auto"/>
        </w:rPr>
      </w:pPr>
    </w:p>
    <w:p>
      <w:pPr>
        <w:ind w:left="60"/>
        <w:spacing w:after="0"/>
        <w:tabs>
          <w:tab w:leader="none" w:pos="4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This certification is being furnished solely to accompany</w:t>
      </w:r>
    </w:p>
    <w:p>
      <w:pPr>
        <w:spacing w:after="0" w:line="14" w:lineRule="exact"/>
        <w:rPr>
          <w:sz w:val="20"/>
          <w:szCs w:val="20"/>
          <w:color w:val="auto"/>
        </w:rPr>
      </w:pPr>
    </w:p>
    <w:p>
      <w:pPr>
        <w:ind w:left="4380" w:right="99"/>
        <w:spacing w:after="0" w:line="236" w:lineRule="auto"/>
        <w:rPr>
          <w:sz w:val="20"/>
          <w:szCs w:val="20"/>
          <w:color w:val="auto"/>
        </w:rPr>
      </w:pPr>
      <w:r>
        <w:rPr>
          <w:rFonts w:ascii="Arial" w:cs="Arial" w:eastAsia="Arial" w:hAnsi="Arial"/>
          <w:sz w:val="18"/>
          <w:szCs w:val="18"/>
          <w:color w:val="auto"/>
        </w:rPr>
        <w:t>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377" w:lineRule="exact"/>
        <w:rPr>
          <w:sz w:val="20"/>
          <w:szCs w:val="20"/>
          <w:color w:val="auto"/>
        </w:rPr>
      </w:pPr>
    </w:p>
    <w:p>
      <w:pPr>
        <w:ind w:left="440" w:hanging="385"/>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identified information in the exhibit has been omitted because it is the type of information that</w:t>
      </w:r>
    </w:p>
    <w:p>
      <w:pPr>
        <w:spacing w:after="0" w:line="1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 the Company customarily and actually treats as private and confidential, and (ii) is not material.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3000" w:type="dxa"/>
            <w:vAlign w:val="bottom"/>
          </w:tcPr>
          <w:p>
            <w:pPr>
              <w:spacing w:after="0"/>
              <w:rPr>
                <w:sz w:val="20"/>
                <w:szCs w:val="20"/>
                <w:color w:val="auto"/>
              </w:rPr>
            </w:pPr>
          </w:p>
        </w:tc>
        <w:tc>
          <w:tcPr>
            <w:tcW w:w="5900" w:type="dxa"/>
            <w:vAlign w:val="bottom"/>
            <w:gridSpan w:val="2"/>
          </w:tcPr>
          <w:p>
            <w:pPr>
              <w:ind w:left="1460"/>
              <w:spacing w:after="0"/>
              <w:rPr>
                <w:sz w:val="20"/>
                <w:szCs w:val="20"/>
                <w:color w:val="auto"/>
              </w:rPr>
            </w:pPr>
            <w:r>
              <w:rPr>
                <w:rFonts w:ascii="Arial" w:cs="Arial" w:eastAsia="Arial" w:hAnsi="Arial"/>
                <w:sz w:val="18"/>
                <w:szCs w:val="18"/>
                <w:color w:val="auto"/>
              </w:rPr>
              <w:t>Century Therapeutics, Inc.</w:t>
            </w:r>
          </w:p>
        </w:tc>
      </w:tr>
      <w:tr>
        <w:trPr>
          <w:trHeight w:val="388"/>
        </w:trPr>
        <w:tc>
          <w:tcPr>
            <w:tcW w:w="3000" w:type="dxa"/>
            <w:vAlign w:val="bottom"/>
          </w:tcPr>
          <w:p>
            <w:pPr>
              <w:spacing w:after="0"/>
              <w:rPr>
                <w:sz w:val="20"/>
                <w:szCs w:val="20"/>
                <w:color w:val="auto"/>
              </w:rPr>
            </w:pPr>
            <w:r>
              <w:rPr>
                <w:rFonts w:ascii="Arial" w:cs="Arial" w:eastAsia="Arial" w:hAnsi="Arial"/>
                <w:sz w:val="18"/>
                <w:szCs w:val="18"/>
                <w:color w:val="auto"/>
              </w:rPr>
              <w:t>Date: May 13, 2026</w:t>
            </w:r>
          </w:p>
        </w:tc>
        <w:tc>
          <w:tcPr>
            <w:tcW w:w="1780" w:type="dxa"/>
            <w:vAlign w:val="bottom"/>
          </w:tcPr>
          <w:p>
            <w:pPr>
              <w:ind w:left="146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Brent Pfeiffenberger, PharmD, MBA</w:t>
            </w:r>
          </w:p>
        </w:tc>
      </w:tr>
      <w:tr>
        <w:trPr>
          <w:trHeight w:val="177"/>
        </w:trPr>
        <w:tc>
          <w:tcPr>
            <w:tcW w:w="30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120" w:type="dxa"/>
            <w:vAlign w:val="bottom"/>
          </w:tcPr>
          <w:p>
            <w:pPr>
              <w:jc w:val="center"/>
              <w:spacing w:after="0" w:line="177" w:lineRule="exact"/>
              <w:rPr>
                <w:sz w:val="20"/>
                <w:szCs w:val="20"/>
                <w:color w:val="auto"/>
              </w:rPr>
            </w:pPr>
            <w:r>
              <w:rPr>
                <w:rFonts w:ascii="Arial" w:cs="Arial" w:eastAsia="Arial" w:hAnsi="Arial"/>
                <w:sz w:val="18"/>
                <w:szCs w:val="18"/>
                <w:color w:val="auto"/>
                <w:w w:val="99"/>
              </w:rPr>
              <w:t>Brent Pfeiffenberger, PharmD, MBA</w:t>
            </w:r>
          </w:p>
        </w:tc>
      </w:tr>
      <w:tr>
        <w:trPr>
          <w:trHeight w:val="203"/>
        </w:trPr>
        <w:tc>
          <w:tcPr>
            <w:tcW w:w="3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w w:val="99"/>
              </w:rPr>
              <w:t>Chief Executive Officer</w:t>
            </w:r>
          </w:p>
        </w:tc>
      </w:tr>
      <w:tr>
        <w:trPr>
          <w:trHeight w:val="239"/>
        </w:trPr>
        <w:tc>
          <w:tcPr>
            <w:tcW w:w="30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400"/>
        </w:trPr>
        <w:tc>
          <w:tcPr>
            <w:tcW w:w="3000" w:type="dxa"/>
            <w:vAlign w:val="bottom"/>
          </w:tcPr>
          <w:p>
            <w:pPr>
              <w:spacing w:after="0"/>
              <w:rPr>
                <w:sz w:val="20"/>
                <w:szCs w:val="20"/>
                <w:color w:val="auto"/>
              </w:rPr>
            </w:pPr>
            <w:r>
              <w:rPr>
                <w:rFonts w:ascii="Arial" w:cs="Arial" w:eastAsia="Arial" w:hAnsi="Arial"/>
                <w:sz w:val="18"/>
                <w:szCs w:val="18"/>
                <w:color w:val="auto"/>
              </w:rPr>
              <w:t>Date: May 13, 2026</w:t>
            </w:r>
          </w:p>
        </w:tc>
        <w:tc>
          <w:tcPr>
            <w:tcW w:w="1780" w:type="dxa"/>
            <w:vAlign w:val="bottom"/>
          </w:tcPr>
          <w:p>
            <w:pPr>
              <w:ind w:left="1460"/>
              <w:spacing w:after="0"/>
              <w:rPr>
                <w:sz w:val="20"/>
                <w:szCs w:val="20"/>
                <w:color w:val="auto"/>
              </w:rPr>
            </w:pPr>
            <w:r>
              <w:rPr>
                <w:rFonts w:ascii="Arial" w:cs="Arial" w:eastAsia="Arial" w:hAnsi="Arial"/>
                <w:sz w:val="18"/>
                <w:szCs w:val="18"/>
                <w:color w:val="auto"/>
              </w:rPr>
              <w:t>By:</w:t>
            </w:r>
          </w:p>
        </w:tc>
        <w:tc>
          <w:tcPr>
            <w:tcW w:w="4120" w:type="dxa"/>
            <w:vAlign w:val="bottom"/>
          </w:tcPr>
          <w:p>
            <w:pPr>
              <w:jc w:val="center"/>
              <w:spacing w:after="0"/>
              <w:rPr>
                <w:sz w:val="20"/>
                <w:szCs w:val="20"/>
                <w:color w:val="auto"/>
              </w:rPr>
            </w:pPr>
            <w:r>
              <w:rPr>
                <w:rFonts w:ascii="Arial" w:cs="Arial" w:eastAsia="Arial" w:hAnsi="Arial"/>
                <w:sz w:val="18"/>
                <w:szCs w:val="18"/>
                <w:color w:val="auto"/>
                <w:w w:val="98"/>
              </w:rPr>
              <w:t>/s/ Douglas Carr, CPA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-7620</wp:posOffset>
            </wp:positionV>
            <wp:extent cx="26149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jc w:val="center"/>
        <w:ind w:left="4760"/>
        <w:spacing w:after="0" w:line="234" w:lineRule="auto"/>
        <w:rPr>
          <w:sz w:val="20"/>
          <w:szCs w:val="20"/>
          <w:color w:val="auto"/>
        </w:rPr>
      </w:pPr>
      <w:r>
        <w:rPr>
          <w:rFonts w:ascii="Arial" w:cs="Arial" w:eastAsia="Arial" w:hAnsi="Arial"/>
          <w:sz w:val="18"/>
          <w:szCs w:val="18"/>
          <w:color w:val="auto"/>
        </w:rPr>
        <w:t>Douglas Carr, CPA</w:t>
      </w:r>
    </w:p>
    <w:p>
      <w:pPr>
        <w:jc w:val="center"/>
        <w:ind w:left="4760"/>
        <w:spacing w:after="0" w:line="235" w:lineRule="auto"/>
        <w:rPr>
          <w:sz w:val="20"/>
          <w:szCs w:val="20"/>
          <w:color w:val="auto"/>
        </w:rPr>
      </w:pPr>
      <w:r>
        <w:rPr>
          <w:rFonts w:ascii="Arial" w:cs="Arial" w:eastAsia="Arial" w:hAnsi="Arial"/>
          <w:sz w:val="18"/>
          <w:szCs w:val="18"/>
          <w:color w:val="auto"/>
        </w:rPr>
        <w:t>Senior Vice President, Finance</w:t>
      </w:r>
    </w:p>
    <w:p>
      <w:pPr>
        <w:jc w:val="center"/>
        <w:ind w:left="4760"/>
        <w:spacing w:after="0" w:line="235" w:lineRule="auto"/>
        <w:rPr>
          <w:sz w:val="20"/>
          <w:szCs w:val="20"/>
          <w:color w:val="auto"/>
        </w:rPr>
      </w:pPr>
      <w:r>
        <w:rPr>
          <w:rFonts w:ascii="Arial" w:cs="Arial" w:eastAsia="Arial" w:hAnsi="Arial"/>
          <w:sz w:val="18"/>
          <w:szCs w:val="18"/>
          <w:color w:val="auto"/>
        </w:rPr>
        <w:t>(Principal Financial Officer and Principal</w:t>
      </w:r>
    </w:p>
    <w:p>
      <w:pPr>
        <w:jc w:val="center"/>
        <w:ind w:left="476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8820"/>
        <w:spacing w:after="0"/>
        <w:rPr>
          <w:sz w:val="20"/>
          <w:szCs w:val="20"/>
          <w:color w:val="auto"/>
        </w:rPr>
      </w:pPr>
      <w:r>
        <w:rPr>
          <w:rFonts w:ascii="Arial" w:cs="Arial" w:eastAsia="Arial" w:hAnsi="Arial"/>
          <w:sz w:val="19"/>
          <w:szCs w:val="19"/>
          <w:b w:val="1"/>
          <w:bCs w:val="1"/>
          <w:color w:val="auto"/>
        </w:rPr>
        <w:t>Exhibit 10.3</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0"/>
          <w:szCs w:val="20"/>
          <w:b w:val="1"/>
          <w:b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the</w:t>
      </w:r>
    </w:p>
    <w:p>
      <w:pPr>
        <w:spacing w:after="0" w:line="6" w:lineRule="exact"/>
        <w:rPr>
          <w:sz w:val="20"/>
          <w:szCs w:val="20"/>
          <w:color w:val="auto"/>
        </w:rPr>
      </w:pPr>
    </w:p>
    <w:p>
      <w:pPr>
        <w:ind w:left="1320" w:right="1040" w:hanging="316"/>
        <w:spacing w:after="0" w:line="275" w:lineRule="auto"/>
        <w:rPr>
          <w:sz w:val="20"/>
          <w:szCs w:val="20"/>
          <w:color w:val="auto"/>
        </w:rPr>
      </w:pPr>
      <w:r>
        <w:rPr>
          <w:rFonts w:ascii="Arial" w:cs="Arial" w:eastAsia="Arial" w:hAnsi="Arial"/>
          <w:sz w:val="19"/>
          <w:szCs w:val="19"/>
          <w:b w:val="1"/>
          <w:bCs w:val="1"/>
          <w:color w:val="auto"/>
        </w:rPr>
        <w:t>LICENSE AGREEMENT FOR USE OF CATALENT IPSC LINES IN PRE-CLINICAL AND CLINICAL DEVELOPMENT, AND COMMERCIALISATION OF CELL THERAPIES</w:t>
      </w:r>
    </w:p>
    <w:p>
      <w:pPr>
        <w:spacing w:after="0" w:line="129"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 xml:space="preserve">This First Amendment to the License Agreement for Use of Catalent IPSC Lines in Pre-Clinical and Clinical Development, and Commercialisation of Cell Therapies (this “Amendment”), made and entered into as of March </w:t>
      </w:r>
      <w:r>
        <w:rPr>
          <w:rFonts w:ascii="Arial" w:cs="Arial" w:eastAsia="Arial" w:hAnsi="Arial"/>
          <w:sz w:val="20"/>
          <w:szCs w:val="20"/>
          <w:b w:val="1"/>
          <w:bCs w:val="1"/>
          <w:color w:val="auto"/>
        </w:rPr>
        <w:t>[•]</w:t>
      </w:r>
      <w:r>
        <w:rPr>
          <w:rFonts w:ascii="Arial" w:cs="Arial" w:eastAsia="Arial" w:hAnsi="Arial"/>
          <w:sz w:val="20"/>
          <w:szCs w:val="20"/>
          <w:color w:val="auto"/>
        </w:rPr>
        <w:t>, 2026 (this “Amendment”), is made by and between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Catalent Düsseldorf GmbH, </w:t>
      </w:r>
      <w:r>
        <w:rPr>
          <w:rFonts w:ascii="Arial" w:cs="Arial" w:eastAsia="Arial" w:hAnsi="Arial"/>
          <w:sz w:val="20"/>
          <w:szCs w:val="20"/>
          <w:color w:val="auto"/>
        </w:rPr>
        <w:t>[***]</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(hereinafter “Catalent”)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Clade Therapeutics, Inc.</w:t>
      </w:r>
      <w:r>
        <w:rPr>
          <w:rFonts w:ascii="Arial" w:cs="Arial" w:eastAsia="Arial" w:hAnsi="Arial"/>
          <w:sz w:val="20"/>
          <w:szCs w:val="20"/>
          <w:color w:val="auto"/>
        </w:rPr>
        <w:t>, [***]</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(hereinafter “Customer”)</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(Catalent and Customer hereinafter jointly the “Parties” or each being a “Party”)</w:t>
      </w:r>
    </w:p>
    <w:p>
      <w:pPr>
        <w:spacing w:after="0" w:line="200"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Preamble</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Clade, a wholly-owned subsidiary of Century Therapeutics, Inc., a Delaware corporation,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Catalent are the parties to the License Agreement for Use of Catalent IPSC Lines in Pre-Clinical and Clinical Development, and Commercialisation of Cell Therapies effective as of December 12, 2022 (the “License Agreement”), in order for Customer to use Catalent’s GMP iPSC [***] to perform pre-clinical research, clinical trials and file one or more marketing authorization(s) with regard to developing iPSC derived cell therapies, under the terms set forth in the License Agreement;</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Customer has indicated that it wishes to amend several sections of the License Agreement as</w:t>
      </w:r>
      <w:r>
        <w:rPr>
          <w:rFonts w:ascii="Arial" w:cs="Arial" w:eastAsia="Arial" w:hAnsi="Arial"/>
          <w:sz w:val="20"/>
          <w:szCs w:val="20"/>
          <w:b w:val="1"/>
          <w:bCs w:val="1"/>
          <w:color w:val="auto"/>
        </w:rPr>
        <w:t xml:space="preserve"> </w:t>
      </w:r>
      <w:r>
        <w:rPr>
          <w:rFonts w:ascii="Arial" w:cs="Arial" w:eastAsia="Arial" w:hAnsi="Arial"/>
          <w:sz w:val="20"/>
          <w:szCs w:val="20"/>
          <w:color w:val="auto"/>
        </w:rPr>
        <w:t>outlined in this Amendment;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Catalent is willing to amend the License Agreement to the extent set forth below:</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NOW</w:t>
      </w:r>
      <w:r>
        <w:rPr>
          <w:rFonts w:ascii="Arial" w:cs="Arial" w:eastAsia="Arial" w:hAnsi="Arial"/>
          <w:sz w:val="20"/>
          <w:szCs w:val="20"/>
          <w:color w:val="auto"/>
        </w:rPr>
        <w:t>,</w:t>
      </w:r>
      <w:r>
        <w:rPr>
          <w:rFonts w:ascii="Arial" w:cs="Arial" w:eastAsia="Arial" w:hAnsi="Arial"/>
          <w:sz w:val="20"/>
          <w:szCs w:val="20"/>
          <w:b w:val="1"/>
          <w:bCs w:val="1"/>
          <w:color w:val="auto"/>
        </w:rPr>
        <w:t xml:space="preserve"> THEREFORE</w:t>
      </w:r>
      <w:r>
        <w:rPr>
          <w:rFonts w:ascii="Arial" w:cs="Arial" w:eastAsia="Arial" w:hAnsi="Arial"/>
          <w:sz w:val="20"/>
          <w:szCs w:val="20"/>
          <w:color w:val="auto"/>
        </w:rPr>
        <w:t>, in consideration of the foregoing premises, the mutual covenants set forth below and</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provisions of the License Agreement to the contrary, the Parties hereby agree as follows:</w:t>
      </w:r>
    </w:p>
    <w:p>
      <w:pPr>
        <w:spacing w:after="0" w:line="152"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expressions used in this Amendment shall have the meaning as further defined in the License Agreement, unless different or new definitions are provided in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866775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2" w:right="999" w:bottom="1440" w:gutter="0" w:footer="0" w:header="0"/>
        </w:sectPr>
      </w:pPr>
    </w:p>
    <w:bookmarkStart w:id="45" w:name="page46"/>
    <w:bookmarkEnd w:id="45"/>
    <w:p>
      <w:pPr>
        <w:ind w:left="500" w:hanging="492"/>
        <w:spacing w:after="0"/>
        <w:tabs>
          <w:tab w:leader="none" w:pos="5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certain sections of the License Agreement</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2.1 The following definitions are inserted into Section 1 of the License Agreement in the correct alphabetical order, and all Section numbers in Section 1 are hereby updated to be in the correct numerical order (i.e. 1.1, 1.2,</w:t>
      </w:r>
    </w:p>
    <w:p>
      <w:pPr>
        <w:spacing w:after="0"/>
        <w:rPr>
          <w:sz w:val="20"/>
          <w:szCs w:val="20"/>
          <w:color w:val="auto"/>
        </w:rPr>
      </w:pPr>
      <w:r>
        <w:rPr>
          <w:rFonts w:ascii="Arial" w:cs="Arial" w:eastAsia="Arial" w:hAnsi="Arial"/>
          <w:sz w:val="20"/>
          <w:szCs w:val="20"/>
          <w:color w:val="auto"/>
        </w:rPr>
        <w:t>1.3, etc.) that corresponds to each alphabetically-ordered definition in Section 1:</w:t>
      </w:r>
    </w:p>
    <w:p>
      <w:pPr>
        <w:spacing w:after="0" w:line="184"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20"/>
          <w:szCs w:val="20"/>
          <w:color w:val="auto"/>
        </w:rPr>
        <w:t>“Asia Pacific Market” means any of Australia, Japan, Republic of Korea and the People’s Republic of China.</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9"/>
          <w:szCs w:val="19"/>
          <w:color w:val="auto"/>
        </w:rPr>
        <w:t>“Primary European Market” means any of the United Kingdom, France, Germany, Italy, or Spain.</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9"/>
          <w:szCs w:val="19"/>
          <w:color w:val="auto"/>
        </w:rPr>
        <w:t>“Primary Product” means [***].</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9"/>
          <w:szCs w:val="19"/>
          <w:color w:val="auto"/>
        </w:rPr>
        <w:t>“Subsequent Product” means any product that [***].</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2.2 All cross-references to numbered subsections of Section 1 of the License Agreement are hereby updated to the updated subsection number of Section 1 after giving effect to Section 2.1 of this Amendment. For example, the cross-references to Section 1.6 in the License Agreement as in effect prior to giving to effect to Section 2.1 of this Amendment (i.e. a cross-reference to the definition of Clinical Trial) are, by virtue of this Section 2.2, now cross-references to Section 1.7 of the License Agreement.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2.3 The definition of Product at Section 1.27 (after giving effect to Section 2.1 of this Amendment) is hereby removed in its entirety and replaced with the following:</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9"/>
          <w:szCs w:val="19"/>
          <w:color w:val="auto"/>
        </w:rPr>
        <w:t>“Product” means the Primary Product or Subsequent Product.</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2.4 Section 10.3 of the License Agreement is hereby removed in its entirety and replaced with the following terms:</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9"/>
          <w:szCs w:val="19"/>
          <w:color w:val="auto"/>
        </w:rPr>
        <w:t>Milestone Payments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2.5 Section 10.4 (a) of the License Agreement is hereby removed in its entirety and replaced with the following terms:</w:t>
      </w:r>
    </w:p>
    <w:p>
      <w:pPr>
        <w:spacing w:after="0" w:line="158" w:lineRule="exact"/>
        <w:rPr>
          <w:sz w:val="20"/>
          <w:szCs w:val="20"/>
          <w:color w:val="auto"/>
        </w:rPr>
      </w:pPr>
    </w:p>
    <w:p>
      <w:pPr>
        <w:ind w:left="1120" w:hanging="464"/>
        <w:spacing w:after="0"/>
        <w:tabs>
          <w:tab w:leader="none" w:pos="11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As of the Effective Date [***].</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2.6 Section 10.8 of the License Agreement is hereby removed in its entirety and replaced with the following terms:</w:t>
      </w:r>
    </w:p>
    <w:p>
      <w:pPr>
        <w:spacing w:after="0" w:line="15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20"/>
          <w:szCs w:val="20"/>
          <w:color w:val="auto"/>
        </w:rPr>
        <w:t>10.8</w:t>
        <w:tab/>
        <w:t>Invoices shall be sent to Customer to the following address or such other address as Customer may notify Catalent from time to time: [***]. Billing-related questions shall be sent to Customer at [***].</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2.7 Customer’s mailing address for purposes of notices under Section 14 of the License Agreement shall be the address set forth in the introductory paragraph of this Amendment until such time as Customer provides written notice of a different address. Notices addressed to Customer shall be made to the attention of Legal Department along with a copy (which shall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2" w:right="999" w:bottom="1440" w:gutter="0" w:footer="0" w:header="0"/>
        </w:sectPr>
      </w:pPr>
    </w:p>
    <w:bookmarkStart w:id="46" w:name="page47"/>
    <w:bookmarkEnd w:id="46"/>
    <w:p>
      <w:pPr>
        <w:spacing w:after="0"/>
        <w:rPr>
          <w:sz w:val="20"/>
          <w:szCs w:val="20"/>
          <w:color w:val="auto"/>
        </w:rPr>
      </w:pPr>
      <w:r>
        <w:rPr>
          <w:rFonts w:ascii="Arial" w:cs="Arial" w:eastAsia="Arial" w:hAnsi="Arial"/>
          <w:sz w:val="20"/>
          <w:szCs w:val="20"/>
          <w:color w:val="auto"/>
        </w:rPr>
        <w:t>not constitute notice) to [***] unless Customer provides written notice of a different email address.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2.8 Article 15 of the License Agreement is hereby updated to add the following sentence at the end of the existing paragraph:</w:t>
      </w:r>
    </w:p>
    <w:p>
      <w:pPr>
        <w:spacing w:after="0" w:line="155" w:lineRule="exact"/>
        <w:rPr>
          <w:sz w:val="20"/>
          <w:szCs w:val="20"/>
          <w:color w:val="auto"/>
        </w:rPr>
      </w:pPr>
    </w:p>
    <w:p>
      <w:pPr>
        <w:jc w:val="both"/>
        <w:ind w:left="500"/>
        <w:spacing w:after="0" w:line="241" w:lineRule="auto"/>
        <w:rPr>
          <w:sz w:val="20"/>
          <w:szCs w:val="20"/>
          <w:color w:val="auto"/>
        </w:rPr>
      </w:pPr>
      <w:r>
        <w:rPr>
          <w:rFonts w:ascii="Arial" w:cs="Arial" w:eastAsia="Arial" w:hAnsi="Arial"/>
          <w:sz w:val="20"/>
          <w:szCs w:val="20"/>
          <w:color w:val="auto"/>
        </w:rPr>
        <w:t>Catalent and Customer hereby agree to discuss in good faith a joint press release upon achievement of key milestones, including: (1) [***] and (2) [***]; provided that the foregoing shall not be construed as an obligation of either party to permit or issue any such joint press release.</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9"/>
          <w:szCs w:val="19"/>
          <w:color w:val="auto"/>
        </w:rPr>
        <w:t>[***]</w:t>
      </w:r>
    </w:p>
    <w:p>
      <w:pPr>
        <w:spacing w:after="0" w:line="200"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Except as amended hereinabove, the License Agreement will remain unchanged and in full force and effect.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0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4"/>
        </w:trPr>
        <w:tc>
          <w:tcPr>
            <w:tcW w:w="4840" w:type="dxa"/>
            <w:vAlign w:val="bottom"/>
            <w:gridSpan w:val="2"/>
          </w:tcPr>
          <w:p>
            <w:pPr>
              <w:spacing w:after="0" w:line="214" w:lineRule="exact"/>
              <w:rPr>
                <w:sz w:val="20"/>
                <w:szCs w:val="20"/>
                <w:color w:val="auto"/>
              </w:rPr>
            </w:pPr>
            <w:r>
              <w:rPr>
                <w:rFonts w:ascii="Arial" w:cs="Arial" w:eastAsia="Arial" w:hAnsi="Arial"/>
                <w:sz w:val="20"/>
                <w:szCs w:val="20"/>
                <w:color w:val="auto"/>
              </w:rPr>
              <w:t>On Behalf of</w:t>
            </w:r>
          </w:p>
        </w:tc>
        <w:tc>
          <w:tcPr>
            <w:tcW w:w="5080" w:type="dxa"/>
            <w:vAlign w:val="bottom"/>
            <w:gridSpan w:val="2"/>
          </w:tcPr>
          <w:p>
            <w:pPr>
              <w:ind w:left="60"/>
              <w:spacing w:after="0" w:line="214" w:lineRule="exact"/>
              <w:rPr>
                <w:sz w:val="20"/>
                <w:szCs w:val="20"/>
                <w:color w:val="auto"/>
              </w:rPr>
            </w:pPr>
            <w:r>
              <w:rPr>
                <w:rFonts w:ascii="Arial" w:cs="Arial" w:eastAsia="Arial" w:hAnsi="Arial"/>
                <w:sz w:val="20"/>
                <w:szCs w:val="20"/>
                <w:color w:val="auto"/>
              </w:rPr>
              <w:t>​ On Behalf of</w:t>
            </w:r>
          </w:p>
        </w:tc>
        <w:tc>
          <w:tcPr>
            <w:tcW w:w="0" w:type="dxa"/>
            <w:vAlign w:val="bottom"/>
          </w:tcPr>
          <w:p>
            <w:pPr>
              <w:spacing w:after="0"/>
              <w:rPr>
                <w:sz w:val="1"/>
                <w:szCs w:val="1"/>
                <w:color w:val="auto"/>
              </w:rPr>
            </w:pPr>
          </w:p>
        </w:tc>
      </w:tr>
      <w:tr>
        <w:trPr>
          <w:trHeight w:val="273"/>
        </w:trPr>
        <w:tc>
          <w:tcPr>
            <w:tcW w:w="4840" w:type="dxa"/>
            <w:vAlign w:val="bottom"/>
            <w:gridSpan w:val="2"/>
          </w:tcPr>
          <w:p>
            <w:pPr>
              <w:spacing w:after="0"/>
              <w:rPr>
                <w:sz w:val="20"/>
                <w:szCs w:val="20"/>
                <w:color w:val="auto"/>
              </w:rPr>
            </w:pPr>
            <w:r>
              <w:rPr>
                <w:rFonts w:ascii="Arial" w:cs="Arial" w:eastAsia="Arial" w:hAnsi="Arial"/>
                <w:sz w:val="20"/>
                <w:szCs w:val="20"/>
                <w:b w:val="1"/>
                <w:bCs w:val="1"/>
                <w:color w:val="auto"/>
              </w:rPr>
              <w:t>Catalent Düsseldorf GmbH</w:t>
            </w:r>
          </w:p>
        </w:tc>
        <w:tc>
          <w:tcPr>
            <w:tcW w:w="22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20"/>
                <w:szCs w:val="20"/>
                <w:b w:val="1"/>
                <w:bCs w:val="1"/>
                <w:color w:val="auto"/>
              </w:rPr>
              <w:t>Clade Therapeutics, Inc.</w:t>
            </w:r>
          </w:p>
        </w:tc>
        <w:tc>
          <w:tcPr>
            <w:tcW w:w="0" w:type="dxa"/>
            <w:vAlign w:val="bottom"/>
          </w:tcPr>
          <w:p>
            <w:pPr>
              <w:spacing w:after="0"/>
              <w:rPr>
                <w:sz w:val="1"/>
                <w:szCs w:val="1"/>
                <w:color w:val="auto"/>
              </w:rPr>
            </w:pPr>
          </w:p>
        </w:tc>
      </w:tr>
      <w:tr>
        <w:trPr>
          <w:trHeight w:val="614"/>
        </w:trPr>
        <w:tc>
          <w:tcPr>
            <w:tcW w:w="20" w:type="dxa"/>
            <w:vAlign w:val="bottom"/>
            <w:vMerge w:val="restart"/>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820" w:type="dxa"/>
            <w:vAlign w:val="bottom"/>
          </w:tcPr>
          <w:p>
            <w:pPr>
              <w:spacing w:after="0" w:line="188" w:lineRule="exact"/>
              <w:rPr>
                <w:sz w:val="20"/>
                <w:szCs w:val="20"/>
                <w:color w:val="auto"/>
              </w:rPr>
            </w:pPr>
            <w:r>
              <w:rPr>
                <w:rFonts w:ascii="Arial" w:cs="Arial" w:eastAsia="Arial" w:hAnsi="Arial"/>
                <w:sz w:val="20"/>
                <w:szCs w:val="20"/>
                <w:color w:val="auto"/>
              </w:rPr>
              <w:t>NAME: [***]</w:t>
            </w:r>
          </w:p>
        </w:tc>
        <w:tc>
          <w:tcPr>
            <w:tcW w:w="220" w:type="dxa"/>
            <w:vAlign w:val="bottom"/>
          </w:tcPr>
          <w:p>
            <w:pPr>
              <w:spacing w:after="0"/>
              <w:rPr>
                <w:sz w:val="16"/>
                <w:szCs w:val="16"/>
                <w:color w:val="auto"/>
              </w:rPr>
            </w:pPr>
          </w:p>
        </w:tc>
        <w:tc>
          <w:tcPr>
            <w:tcW w:w="4860" w:type="dxa"/>
            <w:vAlign w:val="bottom"/>
          </w:tcPr>
          <w:p>
            <w:pPr>
              <w:spacing w:after="0" w:line="188" w:lineRule="exact"/>
              <w:rPr>
                <w:sz w:val="20"/>
                <w:szCs w:val="20"/>
                <w:color w:val="auto"/>
              </w:rPr>
            </w:pPr>
            <w:r>
              <w:rPr>
                <w:rFonts w:ascii="Arial" w:cs="Arial" w:eastAsia="Arial" w:hAnsi="Arial"/>
                <w:sz w:val="20"/>
                <w:szCs w:val="20"/>
                <w:color w:val="auto"/>
              </w:rPr>
              <w:t>NAME:</w:t>
            </w:r>
          </w:p>
        </w:tc>
        <w:tc>
          <w:tcPr>
            <w:tcW w:w="0" w:type="dxa"/>
            <w:vAlign w:val="bottom"/>
          </w:tcPr>
          <w:p>
            <w:pPr>
              <w:spacing w:after="0"/>
              <w:rPr>
                <w:sz w:val="1"/>
                <w:szCs w:val="1"/>
                <w:color w:val="auto"/>
              </w:rPr>
            </w:pPr>
          </w:p>
        </w:tc>
      </w:tr>
      <w:tr>
        <w:trPr>
          <w:trHeight w:val="261"/>
        </w:trPr>
        <w:tc>
          <w:tcPr>
            <w:tcW w:w="4840" w:type="dxa"/>
            <w:vAlign w:val="bottom"/>
            <w:gridSpan w:val="2"/>
          </w:tcPr>
          <w:p>
            <w:pPr>
              <w:spacing w:after="0"/>
              <w:rPr>
                <w:sz w:val="20"/>
                <w:szCs w:val="20"/>
                <w:color w:val="auto"/>
              </w:rPr>
            </w:pPr>
            <w:r>
              <w:rPr>
                <w:rFonts w:ascii="Arial" w:cs="Arial" w:eastAsia="Arial" w:hAnsi="Arial"/>
                <w:sz w:val="20"/>
                <w:szCs w:val="20"/>
                <w:color w:val="auto"/>
              </w:rPr>
              <w:t>FUNCTION:</w:t>
            </w:r>
          </w:p>
        </w:tc>
        <w:tc>
          <w:tcPr>
            <w:tcW w:w="22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FUNCTION:</w:t>
            </w: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20"/>
                <w:szCs w:val="20"/>
                <w:color w:val="auto"/>
              </w:rPr>
              <w:t>3</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874"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Pfeiffenberger, certify that:</w:t>
      </w:r>
    </w:p>
    <w:p>
      <w:pPr>
        <w:spacing w:after="0" w:line="117" w:lineRule="exact"/>
        <w:rPr>
          <w:sz w:val="20"/>
          <w:szCs w:val="20"/>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right="20" w:hanging="440"/>
        <w:spacing w:after="0" w:line="26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Carr, certify that:</w:t>
      </w:r>
    </w:p>
    <w:p>
      <w:pPr>
        <w:spacing w:after="0" w:line="117" w:lineRule="exact"/>
        <w:rPr>
          <w:sz w:val="20"/>
          <w:szCs w:val="20"/>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right="20" w:hanging="440"/>
        <w:spacing w:after="0" w:line="266"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Douglas Carr,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Douglas Carr. CPA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Finance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March 31,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March 31,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Douglas Carr,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Douglas Carr, CPA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Finance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04"/>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3"/>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64" Type="http://schemas.openxmlformats.org/officeDocument/2006/relationships/hyperlink" Target="https://www.sec.gov/Archives/edgar/data/1850119/000110465926001952/tm262422d2_ex4-1.htm" TargetMode="External"/><Relationship Id="rId65" Type="http://schemas.openxmlformats.org/officeDocument/2006/relationships/hyperlink" Target="https://www.sec.gov/Archives/edgar/data/1850119/000110465926001952/tm262422d2_ex4-2.htm" TargetMode="External"/><Relationship Id="rId66" Type="http://schemas.openxmlformats.org/officeDocument/2006/relationships/hyperlink" Target="https://www.sec.gov/Archives/edgar/data/1850119/000110465926001952/tm262422d2_ex10-1.htm" TargetMode="External"/><Relationship Id="rId67" Type="http://schemas.openxmlformats.org/officeDocument/2006/relationships/hyperlink" Target="https://www.sec.gov/Archives/edgar/data/1850119/000110465926001952/tm262422d2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2026-05-13T07:04:32Z</dcterms:created>
  <dcterms:modified xsi:type="dcterms:W3CDTF">2026-05-13T07:04:32Z</dcterms:modified>
</cp:coreProperties>
</file>