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57801dsc13g.htm"/>
      <w:bookmarkStart w:id="1" w:name="ksd757801dsc13g"/>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13G </w:t>
      </w:r>
    </w:p>
    <w:p>
      <w:pPr>
        <w:pStyle w:val="TextBody"/>
        <w:bidi w:val="0"/>
        <w:spacing w:before="0" w:after="0"/>
        <w:jc w:val="center"/>
        <w:rPr>
          <w:rFonts w:ascii="Times New Roman" w:hAnsi="Times New Roman"/>
          <w:b/>
          <w:sz w:val="24"/>
        </w:rPr>
      </w:pPr>
      <w:r>
        <w:rPr>
          <w:rFonts w:ascii="Times New Roman" w:hAnsi="Times New Roman"/>
          <w:b/>
          <w:sz w:val="24"/>
        </w:rPr>
        <w:t xml:space="preserve">(Rule 13d-102) </w:t>
      </w:r>
    </w:p>
    <w:p>
      <w:pPr>
        <w:pStyle w:val="TextBody"/>
        <w:bidi w:val="0"/>
        <w:spacing w:before="240" w:after="0"/>
        <w:jc w:val="center"/>
        <w:rPr>
          <w:rFonts w:ascii="Times New Roman" w:hAnsi="Times New Roman"/>
          <w:b/>
          <w:sz w:val="24"/>
        </w:rPr>
      </w:pPr>
      <w:r>
        <w:rPr>
          <w:rFonts w:ascii="Times New Roman" w:hAnsi="Times New Roman"/>
          <w:b/>
          <w:sz w:val="24"/>
        </w:rPr>
        <w:t xml:space="preserve">Information to be Included in Statements Filed Pursuant </w:t>
      </w:r>
    </w:p>
    <w:p>
      <w:pPr>
        <w:pStyle w:val="TextBody"/>
        <w:bidi w:val="0"/>
        <w:spacing w:before="0" w:after="0"/>
        <w:jc w:val="center"/>
        <w:rPr>
          <w:rFonts w:ascii="Times New Roman" w:hAnsi="Times New Roman"/>
          <w:b/>
          <w:sz w:val="24"/>
        </w:rPr>
      </w:pPr>
      <w:r>
        <w:rPr>
          <w:rFonts w:ascii="Times New Roman" w:hAnsi="Times New Roman"/>
          <w:b/>
          <w:sz w:val="24"/>
        </w:rPr>
        <w:t xml:space="preserve">to § 240.13d-1(b), (c) and (d) and Amendments Thereto Filed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 240.13d-2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CENTURY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$0.0001 </w:t>
      </w:r>
    </w:p>
    <w:p>
      <w:pPr>
        <w:pStyle w:val="TextBody"/>
        <w:bidi w:val="0"/>
        <w:spacing w:before="0" w:after="0"/>
        <w:jc w:val="center"/>
        <w:rPr>
          <w:rFonts w:ascii="Times New Roman" w:hAnsi="Times New Roman"/>
          <w:b/>
          <w:sz w:val="20"/>
        </w:rPr>
      </w:pPr>
      <w:r>
        <w:rPr>
          <w:rFonts w:ascii="Times New Roman" w:hAnsi="Times New Roman"/>
          <w:b/>
          <w:sz w:val="20"/>
        </w:rPr>
        <w:t xml:space="preserve">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15673T100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April 15, 2024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bidi w:val="0"/>
        <w:spacing w:before="240" w:after="0"/>
        <w:jc w:val="left"/>
        <w:rPr/>
      </w:pPr>
      <w:r>
        <w:rPr/>
        <w:t xml:space="preserve">☐ </w:t>
      </w:r>
      <w:r>
        <w:rPr>
          <w:rFonts w:ascii="Times New Roman" w:hAnsi="Times New Roman"/>
          <w:sz w:val="20"/>
        </w:rPr>
        <w:t xml:space="preserve">Rule 13d-1(b) </w:t>
      </w:r>
    </w:p>
    <w:p>
      <w:pPr>
        <w:pStyle w:val="TextBody"/>
        <w:bidi w:val="0"/>
        <w:spacing w:before="240" w:after="0"/>
        <w:jc w:val="left"/>
        <w:rPr/>
      </w:pPr>
      <w:r>
        <w:rPr/>
        <w:t xml:space="preserve">☒ </w:t>
      </w:r>
      <w:r>
        <w:rPr>
          <w:rFonts w:ascii="Times New Roman" w:hAnsi="Times New Roman"/>
          <w:sz w:val="20"/>
        </w:rPr>
        <w:t xml:space="preserve">Rule 13d-1(c) </w:t>
      </w:r>
    </w:p>
    <w:p>
      <w:pPr>
        <w:pStyle w:val="TextBody"/>
        <w:bidi w:val="0"/>
        <w:spacing w:before="240" w:after="0"/>
        <w:jc w:val="left"/>
        <w:rPr/>
      </w:pPr>
      <w:r>
        <w:rPr/>
        <w:t xml:space="preserve">☐ </w:t>
      </w:r>
      <w:r>
        <w:rPr>
          <w:rFonts w:ascii="Times New Roman" w:hAnsi="Times New Roman"/>
          <w:sz w:val="20"/>
        </w:rPr>
        <w:t xml:space="preserve">Rule 13d-1(d)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29"/>
        <w:gridCol w:w="120"/>
        <w:gridCol w:w="3198"/>
        <w:gridCol w:w="120"/>
        <w:gridCol w:w="3138"/>
      </w:tblGrid>
      <w:tr>
        <w:trPr/>
        <w:tc>
          <w:tcPr>
            <w:tcW w:w="36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3629" w:type="dxa"/>
            <w:tcBorders/>
          </w:tcPr>
          <w:p>
            <w:pPr>
              <w:pStyle w:val="TableContents"/>
              <w:bidi w:val="0"/>
              <w:spacing w:before="0" w:after="283"/>
              <w:jc w:val="left"/>
              <w:rPr>
                <w:b/>
              </w:rPr>
            </w:pPr>
            <w:r>
              <w:rPr>
                <w:b/>
              </w:rPr>
              <w:t>CUSIP No. 15673T100</w:t>
            </w:r>
          </w:p>
        </w:tc>
        <w:tc>
          <w:tcPr>
            <w:tcW w:w="120" w:type="dxa"/>
            <w:tcBorders/>
            <w:vAlign w:val="bottom"/>
          </w:tcPr>
          <w:p>
            <w:pPr>
              <w:pStyle w:val="TableContents"/>
              <w:bidi w:val="0"/>
              <w:spacing w:before="0" w:after="283"/>
              <w:jc w:val="left"/>
              <w:rPr/>
            </w:pPr>
            <w:r>
              <w:rPr/>
              <w:t>  </w:t>
            </w:r>
          </w:p>
        </w:tc>
        <w:tc>
          <w:tcPr>
            <w:tcW w:w="3198" w:type="dxa"/>
            <w:tcBorders/>
          </w:tcPr>
          <w:p>
            <w:pPr>
              <w:pStyle w:val="TableContents"/>
              <w:bidi w:val="0"/>
              <w:spacing w:before="0" w:after="283"/>
              <w:jc w:val="center"/>
              <w:rPr>
                <w:b/>
              </w:rPr>
            </w:pPr>
            <w:r>
              <w:rPr>
                <w:b/>
              </w:rPr>
              <w:t>13G</w:t>
            </w:r>
          </w:p>
        </w:tc>
        <w:tc>
          <w:tcPr>
            <w:tcW w:w="120"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right"/>
              <w:rPr>
                <w:b/>
              </w:rPr>
            </w:pPr>
            <w:r>
              <w:rPr>
                <w:b/>
              </w:rPr>
              <w:t>Page 2 of 6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27"/>
        <w:gridCol w:w="128"/>
        <w:gridCol w:w="695"/>
        <w:gridCol w:w="242"/>
        <w:gridCol w:w="238"/>
        <w:gridCol w:w="242"/>
        <w:gridCol w:w="8030"/>
      </w:tblGrid>
      <w:tr>
        <w:trPr/>
        <w:tc>
          <w:tcPr>
            <w:tcW w:w="527"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8030" w:type="dxa"/>
            <w:tcBorders/>
            <w:vAlign w:val="center"/>
          </w:tcPr>
          <w:p>
            <w:pPr>
              <w:pStyle w:val="TableContents"/>
              <w:bidi w:val="0"/>
              <w:spacing w:before="0" w:after="283"/>
              <w:jc w:val="left"/>
              <w:rPr>
                <w:sz w:val="4"/>
                <w:szCs w:val="4"/>
              </w:rPr>
            </w:pPr>
            <w:r>
              <w:rPr>
                <w:sz w:val="4"/>
                <w:szCs w:val="4"/>
              </w:rPr>
            </w:r>
          </w:p>
        </w:tc>
      </w:tr>
      <w:tr>
        <w:trPr/>
        <w:tc>
          <w:tcPr>
            <w:tcW w:w="52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Bain Capital Life Sciences Opportunities III, LP</w:t>
            </w:r>
          </w:p>
        </w:tc>
      </w:tr>
      <w:tr>
        <w:trPr/>
        <w:tc>
          <w:tcPr>
            <w:tcW w:w="52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2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2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Delaware</w:t>
            </w:r>
          </w:p>
        </w:tc>
      </w:tr>
    </w:tbl>
    <w:tbl>
      <w:tblPr>
        <w:tblW w:w="4950" w:type="pct"/>
        <w:jc w:val="left"/>
        <w:tblInd w:w="0" w:type="dxa"/>
        <w:tblLayout w:type="fixed"/>
        <w:tblCellMar>
          <w:top w:w="0" w:type="dxa"/>
          <w:left w:w="0" w:type="dxa"/>
          <w:bottom w:w="0" w:type="dxa"/>
          <w:right w:w="0" w:type="dxa"/>
        </w:tblCellMar>
      </w:tblPr>
      <w:tblGrid>
        <w:gridCol w:w="444"/>
        <w:gridCol w:w="363"/>
        <w:gridCol w:w="777"/>
        <w:gridCol w:w="177"/>
        <w:gridCol w:w="275"/>
        <w:gridCol w:w="129"/>
        <w:gridCol w:w="7937"/>
      </w:tblGrid>
      <w:tr>
        <w:trPr/>
        <w:tc>
          <w:tcPr>
            <w:tcW w:w="444"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937" w:type="dxa"/>
            <w:tcBorders/>
            <w:vAlign w:val="center"/>
          </w:tcPr>
          <w:p>
            <w:pPr>
              <w:pStyle w:val="TableContents"/>
              <w:bidi w:val="0"/>
              <w:spacing w:before="0" w:after="283"/>
              <w:jc w:val="left"/>
              <w:rPr>
                <w:sz w:val="4"/>
                <w:szCs w:val="4"/>
              </w:rPr>
            </w:pPr>
            <w:r>
              <w:rPr>
                <w:sz w:val="4"/>
                <w:szCs w:val="4"/>
              </w:rPr>
            </w:r>
          </w:p>
        </w:tc>
      </w:tr>
      <w:tr>
        <w:trPr/>
        <w:tc>
          <w:tcPr>
            <w:tcW w:w="158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5 </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0 shares of Common Stock</w:t>
            </w:r>
          </w:p>
        </w:tc>
      </w:tr>
      <w:tr>
        <w:trPr/>
        <w:tc>
          <w:tcPr>
            <w:tcW w:w="1584"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6</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5,320,331 shares of Common Stock</w:t>
            </w:r>
          </w:p>
        </w:tc>
      </w:tr>
      <w:tr>
        <w:trPr/>
        <w:tc>
          <w:tcPr>
            <w:tcW w:w="1584"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7</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0</w:t>
            </w:r>
            <w:r>
              <w:rPr>
                <w:rFonts w:ascii="Times New Roman" w:hAnsi="Times New Roman"/>
                <w:sz w:val="20"/>
              </w:rPr>
              <w:t xml:space="preserve"> </w:t>
            </w:r>
            <w:r>
              <w:rPr>
                <w:rFonts w:ascii="Times New Roman" w:hAnsi="Times New Roman"/>
                <w:b/>
                <w:sz w:val="20"/>
              </w:rPr>
              <w:t>shares of Common Stock</w:t>
            </w:r>
          </w:p>
        </w:tc>
      </w:tr>
      <w:tr>
        <w:trPr/>
        <w:tc>
          <w:tcPr>
            <w:tcW w:w="1584"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5" w:type="dxa"/>
            <w:tcBorders/>
          </w:tcPr>
          <w:p>
            <w:pPr>
              <w:pStyle w:val="TableContents"/>
              <w:bidi w:val="0"/>
              <w:spacing w:before="0" w:after="283"/>
              <w:jc w:val="left"/>
              <w:rPr/>
            </w:pPr>
            <w:r>
              <w:rPr/>
              <w:t>8</w:t>
            </w:r>
          </w:p>
        </w:tc>
        <w:tc>
          <w:tcPr>
            <w:tcW w:w="129" w:type="dxa"/>
            <w:tcBorders>
              <w:left w:val="single" w:sz="2" w:space="0" w:color="000000"/>
            </w:tcBorders>
            <w:tcMar>
              <w:left w:w="28" w:type="dxa"/>
            </w:tcMar>
            <w:vAlign w:val="bottom"/>
          </w:tcPr>
          <w:p>
            <w:pPr>
              <w:pStyle w:val="TableContents"/>
              <w:bidi w:val="0"/>
              <w:spacing w:before="0" w:after="283"/>
              <w:jc w:val="left"/>
              <w:rPr/>
            </w:pPr>
            <w:r>
              <w:rPr/>
              <w:t> </w:t>
            </w:r>
          </w:p>
        </w:tc>
        <w:tc>
          <w:tcPr>
            <w:tcW w:w="7937"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5,320,331 shares of Common Stock</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5,320,331</w:t>
            </w:r>
            <w:r>
              <w:rPr>
                <w:rFonts w:ascii="Times New Roman" w:hAnsi="Times New Roman"/>
                <w:sz w:val="20"/>
              </w:rPr>
              <w:t xml:space="preserve"> </w:t>
            </w:r>
            <w:r>
              <w:rPr>
                <w:rFonts w:ascii="Times New Roman" w:hAnsi="Times New Roman"/>
                <w:b/>
                <w:sz w:val="20"/>
              </w:rPr>
              <w:t>shares of Common Stock</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6.6%</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PN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29"/>
        <w:gridCol w:w="120"/>
        <w:gridCol w:w="3198"/>
        <w:gridCol w:w="120"/>
        <w:gridCol w:w="3138"/>
      </w:tblGrid>
      <w:tr>
        <w:trPr/>
        <w:tc>
          <w:tcPr>
            <w:tcW w:w="36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3629" w:type="dxa"/>
            <w:tcBorders/>
          </w:tcPr>
          <w:p>
            <w:pPr>
              <w:pStyle w:val="TableContents"/>
              <w:bidi w:val="0"/>
              <w:spacing w:before="0" w:after="283"/>
              <w:jc w:val="left"/>
              <w:rPr>
                <w:b/>
              </w:rPr>
            </w:pPr>
            <w:r>
              <w:rPr>
                <w:b/>
              </w:rPr>
              <w:t>CUSIP No. 15673T100</w:t>
            </w:r>
          </w:p>
        </w:tc>
        <w:tc>
          <w:tcPr>
            <w:tcW w:w="120" w:type="dxa"/>
            <w:tcBorders/>
            <w:vAlign w:val="bottom"/>
          </w:tcPr>
          <w:p>
            <w:pPr>
              <w:pStyle w:val="TableContents"/>
              <w:bidi w:val="0"/>
              <w:spacing w:before="0" w:after="283"/>
              <w:jc w:val="left"/>
              <w:rPr/>
            </w:pPr>
            <w:r>
              <w:rPr/>
              <w:t>  </w:t>
            </w:r>
          </w:p>
        </w:tc>
        <w:tc>
          <w:tcPr>
            <w:tcW w:w="3198" w:type="dxa"/>
            <w:tcBorders/>
          </w:tcPr>
          <w:p>
            <w:pPr>
              <w:pStyle w:val="TableContents"/>
              <w:bidi w:val="0"/>
              <w:spacing w:before="0" w:after="283"/>
              <w:jc w:val="center"/>
              <w:rPr>
                <w:b/>
              </w:rPr>
            </w:pPr>
            <w:r>
              <w:rPr>
                <w:b/>
              </w:rPr>
              <w:t>13G</w:t>
            </w:r>
          </w:p>
        </w:tc>
        <w:tc>
          <w:tcPr>
            <w:tcW w:w="120"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right"/>
              <w:rPr>
                <w:b/>
              </w:rPr>
            </w:pPr>
            <w:r>
              <w:rPr>
                <w:b/>
              </w:rPr>
              <w:t>Page 3 of 6 Pages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1(a)</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of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name of the issuer to which this filing on Schedule 13G relates is Century Therapeutics, Inc. (the Issuer).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1(b)</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Issuers Principal Executive Offices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principal executive offices of the Issuer are located at 25 North 38th Street, 11th Floor, Philadelphia, Pennsylvania 19104.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2(a)</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of Person Filing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Schedule 13G is being filed by Bain Capital Life Sciences Opportunities III, LP, a Delaware limited partnership (the Reporting Person). </w:t>
      </w:r>
    </w:p>
    <w:p>
      <w:pPr>
        <w:pStyle w:val="TextBody"/>
        <w:bidi w:val="0"/>
        <w:spacing w:before="240" w:after="0"/>
        <w:jc w:val="left"/>
        <w:rPr>
          <w:rFonts w:ascii="Times New Roman" w:hAnsi="Times New Roman"/>
          <w:sz w:val="20"/>
        </w:rPr>
      </w:pPr>
      <w:r>
        <w:rPr>
          <w:rFonts w:ascii="Times New Roman" w:hAnsi="Times New Roman"/>
          <w:sz w:val="20"/>
        </w:rPr>
        <w:t xml:space="preserve">Bain Capital Life Sciences Investors, LLC, a Delaware limited liability company (BCLSI), is the manager of Bain Capital Life Sciences III General Partner, LLC, a Delaware limited liability company (BCLS Fund III GP), which is the general partner of Bain Capital Life Sciences Fund III, L.P., a Delaware limited partnership (BCLS Fund III), which is the sole member of Bain Capital Life Sciences Opportunities III GP, LLC, a Delaware limited liability company (together with the Reporting Person, BCLSI, BCLS Fund III GP and BCLS Fund III, the Bain Capital Life Sciences Entities), which is the general partner of the Reporting Person. As a result, BCLSI may be deemed to share voting and dispositive power with respect to the securities held by the Reporting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2(b)</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Principal Business Office or, if None, Residence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principal business address for each of the Bain Capital Life Sciences Entities is 200 Clarendon Street, Boston, Massachusetts 02116.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2(c)</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Citizenship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of the Bain Capital Life Sciences Entities is organized under the laws of the State of Delaware.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2(d)</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Title of Class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class of securities of the Issuer to which this Schedule 13G relates is Common Stock, $0.0001 par value per share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2(e)</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CUSIP Number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CUSIP number of the Common Stock is 15673T100.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3</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this statement is filed pursuant to §§ 240.13d-1(b), or 240.13d-2(b) or (c), check whether the person filing is a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0"/>
        <w:gridCol w:w="168"/>
        <w:gridCol w:w="240"/>
        <w:gridCol w:w="168"/>
        <w:gridCol w:w="9129"/>
      </w:tblGrid>
      <w:tr>
        <w:trPr/>
        <w:tc>
          <w:tcPr>
            <w:tcW w:w="50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9129" w:type="dxa"/>
            <w:tcBorders/>
            <w:vAlign w:val="center"/>
          </w:tcPr>
          <w:p>
            <w:pPr>
              <w:pStyle w:val="TableContents"/>
              <w:bidi w:val="0"/>
              <w:spacing w:before="0" w:after="283"/>
              <w:jc w:val="left"/>
              <w:rPr>
                <w:sz w:val="4"/>
                <w:szCs w:val="4"/>
              </w:rPr>
            </w:pPr>
            <w:r>
              <w:rPr>
                <w:sz w:val="4"/>
                <w:szCs w:val="4"/>
              </w:rPr>
            </w:r>
          </w:p>
        </w:tc>
      </w:tr>
      <w:tr>
        <w:trPr/>
        <w:tc>
          <w:tcPr>
            <w:tcW w:w="500" w:type="dxa"/>
            <w:tcBorders/>
          </w:tcPr>
          <w:p>
            <w:pPr>
              <w:pStyle w:val="TableContents"/>
              <w:bidi w:val="0"/>
              <w:spacing w:before="0" w:after="283"/>
              <w:jc w:val="center"/>
              <w:rPr/>
            </w:pPr>
            <w:r>
              <w:rPr/>
              <w:t>(a)</w:t>
            </w:r>
          </w:p>
        </w:tc>
        <w:tc>
          <w:tcPr>
            <w:tcW w:w="168"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center"/>
              <w:rPr/>
            </w:pPr>
            <w:r>
              <w:rPr/>
              <w:t>☐</w:t>
            </w:r>
          </w:p>
        </w:tc>
        <w:tc>
          <w:tcPr>
            <w:tcW w:w="168" w:type="dxa"/>
            <w:tcBorders/>
            <w:vAlign w:val="bottom"/>
          </w:tcPr>
          <w:p>
            <w:pPr>
              <w:pStyle w:val="TableContents"/>
              <w:bidi w:val="0"/>
              <w:spacing w:before="0" w:after="283"/>
              <w:jc w:val="left"/>
              <w:rPr/>
            </w:pPr>
            <w:r>
              <w:rPr/>
              <w:t>  </w:t>
            </w:r>
          </w:p>
        </w:tc>
        <w:tc>
          <w:tcPr>
            <w:tcW w:w="9129" w:type="dxa"/>
            <w:tcBorders/>
          </w:tcPr>
          <w:p>
            <w:pPr>
              <w:pStyle w:val="TableContents"/>
              <w:bidi w:val="0"/>
              <w:spacing w:before="0" w:after="283"/>
              <w:jc w:val="left"/>
              <w:rPr/>
            </w:pPr>
            <w:r>
              <w:rPr/>
              <w:t>Broker or dealer registered under section 15 of the Act (15 U.S.C. 78o);</w:t>
            </w:r>
          </w:p>
        </w:tc>
      </w:tr>
      <w:tr>
        <w:trPr/>
        <w:tc>
          <w:tcPr>
            <w:tcW w:w="500" w:type="dxa"/>
            <w:tcBorders/>
          </w:tcPr>
          <w:p>
            <w:pPr>
              <w:pStyle w:val="TableContents"/>
              <w:bidi w:val="0"/>
              <w:spacing w:before="0" w:after="283"/>
              <w:jc w:val="center"/>
              <w:rPr/>
            </w:pPr>
            <w:r>
              <w:rPr/>
              <w:t>(b)</w:t>
            </w:r>
          </w:p>
        </w:tc>
        <w:tc>
          <w:tcPr>
            <w:tcW w:w="168"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center"/>
              <w:rPr/>
            </w:pPr>
            <w:r>
              <w:rPr/>
              <w:t>☐</w:t>
            </w:r>
          </w:p>
        </w:tc>
        <w:tc>
          <w:tcPr>
            <w:tcW w:w="168" w:type="dxa"/>
            <w:tcBorders/>
            <w:vAlign w:val="bottom"/>
          </w:tcPr>
          <w:p>
            <w:pPr>
              <w:pStyle w:val="TableContents"/>
              <w:bidi w:val="0"/>
              <w:spacing w:before="0" w:after="283"/>
              <w:jc w:val="left"/>
              <w:rPr/>
            </w:pPr>
            <w:r>
              <w:rPr/>
              <w:t>  </w:t>
            </w:r>
          </w:p>
        </w:tc>
        <w:tc>
          <w:tcPr>
            <w:tcW w:w="9129" w:type="dxa"/>
            <w:tcBorders/>
          </w:tcPr>
          <w:p>
            <w:pPr>
              <w:pStyle w:val="TableContents"/>
              <w:bidi w:val="0"/>
              <w:spacing w:before="0" w:after="283"/>
              <w:jc w:val="left"/>
              <w:rPr/>
            </w:pPr>
            <w:r>
              <w:rPr/>
              <w:t>Bank as defined in section 3(a)(6) of the Act (15 U.S.C. 78c);</w:t>
            </w:r>
          </w:p>
        </w:tc>
      </w:tr>
      <w:tr>
        <w:trPr/>
        <w:tc>
          <w:tcPr>
            <w:tcW w:w="500" w:type="dxa"/>
            <w:tcBorders/>
          </w:tcPr>
          <w:p>
            <w:pPr>
              <w:pStyle w:val="TableContents"/>
              <w:bidi w:val="0"/>
              <w:spacing w:before="0" w:after="283"/>
              <w:jc w:val="center"/>
              <w:rPr/>
            </w:pPr>
            <w:r>
              <w:rPr/>
              <w:t>(c)</w:t>
            </w:r>
          </w:p>
        </w:tc>
        <w:tc>
          <w:tcPr>
            <w:tcW w:w="168"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center"/>
              <w:rPr/>
            </w:pPr>
            <w:r>
              <w:rPr/>
              <w:t>☐</w:t>
            </w:r>
          </w:p>
        </w:tc>
        <w:tc>
          <w:tcPr>
            <w:tcW w:w="168" w:type="dxa"/>
            <w:tcBorders/>
            <w:vAlign w:val="bottom"/>
          </w:tcPr>
          <w:p>
            <w:pPr>
              <w:pStyle w:val="TableContents"/>
              <w:bidi w:val="0"/>
              <w:spacing w:before="0" w:after="283"/>
              <w:jc w:val="left"/>
              <w:rPr/>
            </w:pPr>
            <w:r>
              <w:rPr/>
              <w:t>  </w:t>
            </w:r>
          </w:p>
        </w:tc>
        <w:tc>
          <w:tcPr>
            <w:tcW w:w="9129" w:type="dxa"/>
            <w:tcBorders/>
          </w:tcPr>
          <w:p>
            <w:pPr>
              <w:pStyle w:val="TableContents"/>
              <w:bidi w:val="0"/>
              <w:spacing w:before="0" w:after="283"/>
              <w:jc w:val="left"/>
              <w:rPr/>
            </w:pPr>
            <w:r>
              <w:rPr/>
              <w:t>Insurance company as defined in section 3(a)(19) of the Act (15 U.S.C. 78c);</w:t>
            </w:r>
          </w:p>
        </w:tc>
      </w:tr>
      <w:tr>
        <w:trPr/>
        <w:tc>
          <w:tcPr>
            <w:tcW w:w="500" w:type="dxa"/>
            <w:tcBorders/>
          </w:tcPr>
          <w:p>
            <w:pPr>
              <w:pStyle w:val="TableContents"/>
              <w:bidi w:val="0"/>
              <w:spacing w:before="0" w:after="283"/>
              <w:jc w:val="center"/>
              <w:rPr/>
            </w:pPr>
            <w:r>
              <w:rPr/>
              <w:t>(d)</w:t>
            </w:r>
          </w:p>
        </w:tc>
        <w:tc>
          <w:tcPr>
            <w:tcW w:w="168"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center"/>
              <w:rPr/>
            </w:pPr>
            <w:r>
              <w:rPr/>
              <w:t>☐</w:t>
            </w:r>
          </w:p>
        </w:tc>
        <w:tc>
          <w:tcPr>
            <w:tcW w:w="168" w:type="dxa"/>
            <w:tcBorders/>
            <w:vAlign w:val="bottom"/>
          </w:tcPr>
          <w:p>
            <w:pPr>
              <w:pStyle w:val="TableContents"/>
              <w:bidi w:val="0"/>
              <w:spacing w:before="0" w:after="283"/>
              <w:jc w:val="left"/>
              <w:rPr/>
            </w:pPr>
            <w:r>
              <w:rPr/>
              <w:t>  </w:t>
            </w:r>
          </w:p>
        </w:tc>
        <w:tc>
          <w:tcPr>
            <w:tcW w:w="9129" w:type="dxa"/>
            <w:tcBorders/>
          </w:tcPr>
          <w:p>
            <w:pPr>
              <w:pStyle w:val="TableContents"/>
              <w:bidi w:val="0"/>
              <w:spacing w:before="0" w:after="283"/>
              <w:jc w:val="left"/>
              <w:rPr/>
            </w:pPr>
            <w:r>
              <w:rPr/>
              <w:t>Investment company registered under Section 8 of the Investment Company Act of 1940 (15 U.S.C. 80a-8);</w:t>
            </w:r>
          </w:p>
        </w:tc>
      </w:tr>
      <w:tr>
        <w:trPr/>
        <w:tc>
          <w:tcPr>
            <w:tcW w:w="500" w:type="dxa"/>
            <w:tcBorders/>
          </w:tcPr>
          <w:p>
            <w:pPr>
              <w:pStyle w:val="TableContents"/>
              <w:bidi w:val="0"/>
              <w:spacing w:before="0" w:after="283"/>
              <w:jc w:val="center"/>
              <w:rPr/>
            </w:pPr>
            <w:r>
              <w:rPr/>
              <w:t>(e)</w:t>
            </w:r>
          </w:p>
        </w:tc>
        <w:tc>
          <w:tcPr>
            <w:tcW w:w="168"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center"/>
              <w:rPr/>
            </w:pPr>
            <w:r>
              <w:rPr/>
              <w:t>☐</w:t>
            </w:r>
          </w:p>
        </w:tc>
        <w:tc>
          <w:tcPr>
            <w:tcW w:w="168" w:type="dxa"/>
            <w:tcBorders/>
            <w:vAlign w:val="bottom"/>
          </w:tcPr>
          <w:p>
            <w:pPr>
              <w:pStyle w:val="TableContents"/>
              <w:bidi w:val="0"/>
              <w:spacing w:before="0" w:after="283"/>
              <w:jc w:val="left"/>
              <w:rPr/>
            </w:pPr>
            <w:r>
              <w:rPr/>
              <w:t>  </w:t>
            </w:r>
          </w:p>
        </w:tc>
        <w:tc>
          <w:tcPr>
            <w:tcW w:w="9129" w:type="dxa"/>
            <w:tcBorders/>
          </w:tcPr>
          <w:p>
            <w:pPr>
              <w:pStyle w:val="TableContents"/>
              <w:bidi w:val="0"/>
              <w:spacing w:before="0" w:after="283"/>
              <w:jc w:val="left"/>
              <w:rPr/>
            </w:pPr>
            <w:r>
              <w:rPr/>
              <w:t>An investment adviser in accordance with § 240.13d-1(b)(1)(ii)(E);</w:t>
            </w:r>
          </w:p>
        </w:tc>
      </w:tr>
      <w:tr>
        <w:trPr/>
        <w:tc>
          <w:tcPr>
            <w:tcW w:w="500" w:type="dxa"/>
            <w:tcBorders/>
          </w:tcPr>
          <w:p>
            <w:pPr>
              <w:pStyle w:val="TableContents"/>
              <w:bidi w:val="0"/>
              <w:spacing w:before="0" w:after="283"/>
              <w:jc w:val="center"/>
              <w:rPr/>
            </w:pPr>
            <w:r>
              <w:rPr/>
              <w:t>(f)</w:t>
            </w:r>
          </w:p>
        </w:tc>
        <w:tc>
          <w:tcPr>
            <w:tcW w:w="168" w:type="dxa"/>
            <w:tcBorders/>
            <w:vAlign w:val="bottom"/>
          </w:tcPr>
          <w:p>
            <w:pPr>
              <w:pStyle w:val="TableContents"/>
              <w:bidi w:val="0"/>
              <w:spacing w:before="0" w:after="283"/>
              <w:jc w:val="left"/>
              <w:rPr/>
            </w:pPr>
            <w:r>
              <w:rPr/>
              <w:t>  </w:t>
            </w:r>
          </w:p>
        </w:tc>
        <w:tc>
          <w:tcPr>
            <w:tcW w:w="240" w:type="dxa"/>
            <w:tcBorders/>
          </w:tcPr>
          <w:p>
            <w:pPr>
              <w:pStyle w:val="TableContents"/>
              <w:bidi w:val="0"/>
              <w:spacing w:before="0" w:after="283"/>
              <w:jc w:val="center"/>
              <w:rPr/>
            </w:pPr>
            <w:r>
              <w:rPr/>
              <w:t>☐</w:t>
            </w:r>
          </w:p>
        </w:tc>
        <w:tc>
          <w:tcPr>
            <w:tcW w:w="168" w:type="dxa"/>
            <w:tcBorders/>
            <w:vAlign w:val="bottom"/>
          </w:tcPr>
          <w:p>
            <w:pPr>
              <w:pStyle w:val="TableContents"/>
              <w:bidi w:val="0"/>
              <w:spacing w:before="0" w:after="283"/>
              <w:jc w:val="left"/>
              <w:rPr/>
            </w:pPr>
            <w:r>
              <w:rPr/>
              <w:t>  </w:t>
            </w:r>
          </w:p>
        </w:tc>
        <w:tc>
          <w:tcPr>
            <w:tcW w:w="9129" w:type="dxa"/>
            <w:tcBorders/>
          </w:tcPr>
          <w:p>
            <w:pPr>
              <w:pStyle w:val="TableContents"/>
              <w:bidi w:val="0"/>
              <w:spacing w:before="0" w:after="283"/>
              <w:jc w:val="left"/>
              <w:rPr/>
            </w:pPr>
            <w:r>
              <w:rPr/>
              <w:t>An employee benefit plan or endowment fund in accordance with § 240.13d-1(b)(1)(ii)(F);</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29"/>
        <w:gridCol w:w="120"/>
        <w:gridCol w:w="3198"/>
        <w:gridCol w:w="120"/>
        <w:gridCol w:w="3138"/>
      </w:tblGrid>
      <w:tr>
        <w:trPr/>
        <w:tc>
          <w:tcPr>
            <w:tcW w:w="36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3629" w:type="dxa"/>
            <w:tcBorders/>
          </w:tcPr>
          <w:p>
            <w:pPr>
              <w:pStyle w:val="TableContents"/>
              <w:bidi w:val="0"/>
              <w:spacing w:before="0" w:after="283"/>
              <w:jc w:val="left"/>
              <w:rPr>
                <w:b/>
              </w:rPr>
            </w:pPr>
            <w:r>
              <w:rPr>
                <w:b/>
              </w:rPr>
              <w:t>CUSIP No. 15673T100</w:t>
            </w:r>
          </w:p>
        </w:tc>
        <w:tc>
          <w:tcPr>
            <w:tcW w:w="120" w:type="dxa"/>
            <w:tcBorders/>
            <w:vAlign w:val="bottom"/>
          </w:tcPr>
          <w:p>
            <w:pPr>
              <w:pStyle w:val="TableContents"/>
              <w:bidi w:val="0"/>
              <w:spacing w:before="0" w:after="283"/>
              <w:jc w:val="left"/>
              <w:rPr/>
            </w:pPr>
            <w:r>
              <w:rPr/>
              <w:t>  </w:t>
            </w:r>
          </w:p>
        </w:tc>
        <w:tc>
          <w:tcPr>
            <w:tcW w:w="3198" w:type="dxa"/>
            <w:tcBorders/>
          </w:tcPr>
          <w:p>
            <w:pPr>
              <w:pStyle w:val="TableContents"/>
              <w:bidi w:val="0"/>
              <w:spacing w:before="0" w:after="283"/>
              <w:jc w:val="center"/>
              <w:rPr>
                <w:b/>
              </w:rPr>
            </w:pPr>
            <w:r>
              <w:rPr>
                <w:b/>
              </w:rPr>
              <w:t>13G</w:t>
            </w:r>
          </w:p>
        </w:tc>
        <w:tc>
          <w:tcPr>
            <w:tcW w:w="120"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right"/>
              <w:rPr>
                <w:b/>
              </w:rPr>
            </w:pPr>
            <w:r>
              <w:rPr>
                <w:b/>
              </w:rPr>
              <w:t>Page 4 of 6 Pages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9"/>
        <w:gridCol w:w="167"/>
        <w:gridCol w:w="237"/>
        <w:gridCol w:w="167"/>
        <w:gridCol w:w="9135"/>
      </w:tblGrid>
      <w:tr>
        <w:trPr/>
        <w:tc>
          <w:tcPr>
            <w:tcW w:w="499"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9135" w:type="dxa"/>
            <w:tcBorders/>
            <w:vAlign w:val="center"/>
          </w:tcPr>
          <w:p>
            <w:pPr>
              <w:pStyle w:val="TableContents"/>
              <w:bidi w:val="0"/>
              <w:spacing w:before="0" w:after="283"/>
              <w:jc w:val="left"/>
              <w:rPr>
                <w:sz w:val="4"/>
                <w:szCs w:val="4"/>
              </w:rPr>
            </w:pPr>
            <w:r>
              <w:rPr>
                <w:sz w:val="4"/>
                <w:szCs w:val="4"/>
              </w:rPr>
            </w:r>
          </w:p>
        </w:tc>
      </w:tr>
      <w:tr>
        <w:trPr/>
        <w:tc>
          <w:tcPr>
            <w:tcW w:w="499" w:type="dxa"/>
            <w:tcBorders/>
          </w:tcPr>
          <w:p>
            <w:pPr>
              <w:pStyle w:val="TableContents"/>
              <w:bidi w:val="0"/>
              <w:spacing w:before="0" w:after="283"/>
              <w:jc w:val="center"/>
              <w:rPr/>
            </w:pPr>
            <w:r>
              <w:rPr/>
              <w:t>(g)</w:t>
            </w:r>
          </w:p>
        </w:tc>
        <w:tc>
          <w:tcPr>
            <w:tcW w:w="167" w:type="dxa"/>
            <w:tcBorders/>
            <w:vAlign w:val="bottom"/>
          </w:tcPr>
          <w:p>
            <w:pPr>
              <w:pStyle w:val="TableContents"/>
              <w:bidi w:val="0"/>
              <w:spacing w:before="0" w:after="283"/>
              <w:jc w:val="left"/>
              <w:rPr/>
            </w:pPr>
            <w:r>
              <w:rPr/>
              <w:t>  </w:t>
            </w:r>
          </w:p>
        </w:tc>
        <w:tc>
          <w:tcPr>
            <w:tcW w:w="237" w:type="dxa"/>
            <w:tcBorders/>
          </w:tcPr>
          <w:p>
            <w:pPr>
              <w:pStyle w:val="TableContents"/>
              <w:bidi w:val="0"/>
              <w:spacing w:before="0" w:after="283"/>
              <w:jc w:val="center"/>
              <w:rPr/>
            </w:pPr>
            <w:r>
              <w:rPr/>
              <w:t>☐</w:t>
            </w:r>
          </w:p>
        </w:tc>
        <w:tc>
          <w:tcPr>
            <w:tcW w:w="167" w:type="dxa"/>
            <w:tcBorders/>
            <w:vAlign w:val="bottom"/>
          </w:tcPr>
          <w:p>
            <w:pPr>
              <w:pStyle w:val="TableContents"/>
              <w:bidi w:val="0"/>
              <w:spacing w:before="0" w:after="283"/>
              <w:jc w:val="left"/>
              <w:rPr/>
            </w:pPr>
            <w:r>
              <w:rPr/>
              <w:t>  </w:t>
            </w:r>
          </w:p>
        </w:tc>
        <w:tc>
          <w:tcPr>
            <w:tcW w:w="9135" w:type="dxa"/>
            <w:tcBorders/>
          </w:tcPr>
          <w:p>
            <w:pPr>
              <w:pStyle w:val="TableContents"/>
              <w:bidi w:val="0"/>
              <w:spacing w:before="0" w:after="283"/>
              <w:jc w:val="left"/>
              <w:rPr/>
            </w:pPr>
            <w:r>
              <w:rPr/>
              <w:t>A parent holding company or control person in accordance with § 240.13d-1(b)(1)(ii)(G);</w:t>
            </w:r>
          </w:p>
        </w:tc>
      </w:tr>
      <w:tr>
        <w:trPr/>
        <w:tc>
          <w:tcPr>
            <w:tcW w:w="499" w:type="dxa"/>
            <w:tcBorders/>
          </w:tcPr>
          <w:p>
            <w:pPr>
              <w:pStyle w:val="TableContents"/>
              <w:bidi w:val="0"/>
              <w:spacing w:before="0" w:after="283"/>
              <w:jc w:val="center"/>
              <w:rPr/>
            </w:pPr>
            <w:r>
              <w:rPr/>
              <w:t>(h)</w:t>
            </w:r>
          </w:p>
        </w:tc>
        <w:tc>
          <w:tcPr>
            <w:tcW w:w="167" w:type="dxa"/>
            <w:tcBorders/>
            <w:vAlign w:val="bottom"/>
          </w:tcPr>
          <w:p>
            <w:pPr>
              <w:pStyle w:val="TableContents"/>
              <w:bidi w:val="0"/>
              <w:spacing w:before="0" w:after="283"/>
              <w:jc w:val="left"/>
              <w:rPr/>
            </w:pPr>
            <w:r>
              <w:rPr/>
              <w:t>  </w:t>
            </w:r>
          </w:p>
        </w:tc>
        <w:tc>
          <w:tcPr>
            <w:tcW w:w="237" w:type="dxa"/>
            <w:tcBorders/>
          </w:tcPr>
          <w:p>
            <w:pPr>
              <w:pStyle w:val="TableContents"/>
              <w:bidi w:val="0"/>
              <w:spacing w:before="0" w:after="283"/>
              <w:jc w:val="center"/>
              <w:rPr/>
            </w:pPr>
            <w:r>
              <w:rPr/>
              <w:t>☐</w:t>
            </w:r>
          </w:p>
        </w:tc>
        <w:tc>
          <w:tcPr>
            <w:tcW w:w="167" w:type="dxa"/>
            <w:tcBorders/>
            <w:vAlign w:val="bottom"/>
          </w:tcPr>
          <w:p>
            <w:pPr>
              <w:pStyle w:val="TableContents"/>
              <w:bidi w:val="0"/>
              <w:spacing w:before="0" w:after="283"/>
              <w:jc w:val="left"/>
              <w:rPr/>
            </w:pPr>
            <w:r>
              <w:rPr/>
              <w:t>  </w:t>
            </w:r>
          </w:p>
        </w:tc>
        <w:tc>
          <w:tcPr>
            <w:tcW w:w="9135" w:type="dxa"/>
            <w:tcBorders/>
          </w:tcPr>
          <w:p>
            <w:pPr>
              <w:pStyle w:val="TableContents"/>
              <w:bidi w:val="0"/>
              <w:spacing w:before="0" w:after="283"/>
              <w:jc w:val="left"/>
              <w:rPr/>
            </w:pPr>
            <w:r>
              <w:rPr/>
              <w:t>A savings association as defined in Section 3(b) of the Federal Deposit Insurance Act (12 U.S.C. 1813);</w:t>
            </w:r>
          </w:p>
        </w:tc>
      </w:tr>
      <w:tr>
        <w:trPr/>
        <w:tc>
          <w:tcPr>
            <w:tcW w:w="499" w:type="dxa"/>
            <w:tcBorders/>
          </w:tcPr>
          <w:p>
            <w:pPr>
              <w:pStyle w:val="TableContents"/>
              <w:bidi w:val="0"/>
              <w:spacing w:before="0" w:after="283"/>
              <w:jc w:val="center"/>
              <w:rPr/>
            </w:pPr>
            <w:r>
              <w:rPr/>
              <w:t>(i)</w:t>
            </w:r>
          </w:p>
        </w:tc>
        <w:tc>
          <w:tcPr>
            <w:tcW w:w="167" w:type="dxa"/>
            <w:tcBorders/>
            <w:vAlign w:val="bottom"/>
          </w:tcPr>
          <w:p>
            <w:pPr>
              <w:pStyle w:val="TableContents"/>
              <w:bidi w:val="0"/>
              <w:spacing w:before="0" w:after="283"/>
              <w:jc w:val="left"/>
              <w:rPr/>
            </w:pPr>
            <w:r>
              <w:rPr/>
              <w:t>  </w:t>
            </w:r>
          </w:p>
        </w:tc>
        <w:tc>
          <w:tcPr>
            <w:tcW w:w="237" w:type="dxa"/>
            <w:tcBorders/>
          </w:tcPr>
          <w:p>
            <w:pPr>
              <w:pStyle w:val="TableContents"/>
              <w:bidi w:val="0"/>
              <w:spacing w:before="0" w:after="283"/>
              <w:jc w:val="center"/>
              <w:rPr/>
            </w:pPr>
            <w:r>
              <w:rPr/>
              <w:t>☐</w:t>
            </w:r>
          </w:p>
        </w:tc>
        <w:tc>
          <w:tcPr>
            <w:tcW w:w="167" w:type="dxa"/>
            <w:tcBorders/>
            <w:vAlign w:val="bottom"/>
          </w:tcPr>
          <w:p>
            <w:pPr>
              <w:pStyle w:val="TableContents"/>
              <w:bidi w:val="0"/>
              <w:spacing w:before="0" w:after="283"/>
              <w:jc w:val="left"/>
              <w:rPr/>
            </w:pPr>
            <w:r>
              <w:rPr/>
              <w:t>  </w:t>
            </w:r>
          </w:p>
        </w:tc>
        <w:tc>
          <w:tcPr>
            <w:tcW w:w="9135" w:type="dxa"/>
            <w:tcBorders/>
          </w:tcPr>
          <w:p>
            <w:pPr>
              <w:pStyle w:val="TableContents"/>
              <w:bidi w:val="0"/>
              <w:spacing w:before="0" w:after="283"/>
              <w:jc w:val="left"/>
              <w:rPr/>
            </w:pPr>
            <w:r>
              <w:rPr/>
              <w:t>A church plan that is excluded from the definition of an investment company under section 3(c)(14) of the Investment Company Act (15 U.S.C. 80a-3);</w:t>
            </w:r>
          </w:p>
        </w:tc>
      </w:tr>
      <w:tr>
        <w:trPr/>
        <w:tc>
          <w:tcPr>
            <w:tcW w:w="499" w:type="dxa"/>
            <w:tcBorders/>
          </w:tcPr>
          <w:p>
            <w:pPr>
              <w:pStyle w:val="TableContents"/>
              <w:bidi w:val="0"/>
              <w:spacing w:before="0" w:after="283"/>
              <w:jc w:val="center"/>
              <w:rPr/>
            </w:pPr>
            <w:r>
              <w:rPr/>
              <w:t>(j)</w:t>
            </w:r>
          </w:p>
        </w:tc>
        <w:tc>
          <w:tcPr>
            <w:tcW w:w="167" w:type="dxa"/>
            <w:tcBorders/>
            <w:vAlign w:val="bottom"/>
          </w:tcPr>
          <w:p>
            <w:pPr>
              <w:pStyle w:val="TableContents"/>
              <w:bidi w:val="0"/>
              <w:spacing w:before="0" w:after="283"/>
              <w:jc w:val="left"/>
              <w:rPr/>
            </w:pPr>
            <w:r>
              <w:rPr/>
              <w:t>  </w:t>
            </w:r>
          </w:p>
        </w:tc>
        <w:tc>
          <w:tcPr>
            <w:tcW w:w="237" w:type="dxa"/>
            <w:tcBorders/>
          </w:tcPr>
          <w:p>
            <w:pPr>
              <w:pStyle w:val="TableContents"/>
              <w:bidi w:val="0"/>
              <w:spacing w:before="0" w:after="283"/>
              <w:jc w:val="center"/>
              <w:rPr/>
            </w:pPr>
            <w:r>
              <w:rPr/>
              <w:t>☐</w:t>
            </w:r>
          </w:p>
        </w:tc>
        <w:tc>
          <w:tcPr>
            <w:tcW w:w="167" w:type="dxa"/>
            <w:tcBorders/>
            <w:vAlign w:val="bottom"/>
          </w:tcPr>
          <w:p>
            <w:pPr>
              <w:pStyle w:val="TableContents"/>
              <w:bidi w:val="0"/>
              <w:spacing w:before="0" w:after="283"/>
              <w:jc w:val="left"/>
              <w:rPr/>
            </w:pPr>
            <w:r>
              <w:rPr/>
              <w:t>  </w:t>
            </w:r>
          </w:p>
        </w:tc>
        <w:tc>
          <w:tcPr>
            <w:tcW w:w="9135" w:type="dxa"/>
            <w:tcBorders/>
          </w:tcPr>
          <w:p>
            <w:pPr>
              <w:pStyle w:val="TableContents"/>
              <w:bidi w:val="0"/>
              <w:spacing w:before="0" w:after="283"/>
              <w:jc w:val="left"/>
              <w:rPr/>
            </w:pPr>
            <w:r>
              <w:rPr/>
              <w:t>A non-U.S. institution in accordance with § 240.13d-1(b)(1)(ii)(J);</w:t>
            </w:r>
          </w:p>
        </w:tc>
      </w:tr>
      <w:tr>
        <w:trPr/>
        <w:tc>
          <w:tcPr>
            <w:tcW w:w="499" w:type="dxa"/>
            <w:tcBorders/>
          </w:tcPr>
          <w:p>
            <w:pPr>
              <w:pStyle w:val="TableContents"/>
              <w:bidi w:val="0"/>
              <w:spacing w:before="0" w:after="283"/>
              <w:jc w:val="center"/>
              <w:rPr/>
            </w:pPr>
            <w:r>
              <w:rPr/>
              <w:t>(k)</w:t>
            </w:r>
          </w:p>
        </w:tc>
        <w:tc>
          <w:tcPr>
            <w:tcW w:w="167" w:type="dxa"/>
            <w:tcBorders/>
            <w:vAlign w:val="bottom"/>
          </w:tcPr>
          <w:p>
            <w:pPr>
              <w:pStyle w:val="TableContents"/>
              <w:bidi w:val="0"/>
              <w:spacing w:before="0" w:after="283"/>
              <w:jc w:val="left"/>
              <w:rPr/>
            </w:pPr>
            <w:r>
              <w:rPr/>
              <w:t>  </w:t>
            </w:r>
          </w:p>
        </w:tc>
        <w:tc>
          <w:tcPr>
            <w:tcW w:w="237" w:type="dxa"/>
            <w:tcBorders/>
          </w:tcPr>
          <w:p>
            <w:pPr>
              <w:pStyle w:val="TableContents"/>
              <w:bidi w:val="0"/>
              <w:spacing w:before="0" w:after="283"/>
              <w:jc w:val="center"/>
              <w:rPr/>
            </w:pPr>
            <w:r>
              <w:rPr/>
              <w:t>☐</w:t>
            </w:r>
          </w:p>
        </w:tc>
        <w:tc>
          <w:tcPr>
            <w:tcW w:w="167" w:type="dxa"/>
            <w:tcBorders/>
            <w:vAlign w:val="bottom"/>
          </w:tcPr>
          <w:p>
            <w:pPr>
              <w:pStyle w:val="TableContents"/>
              <w:bidi w:val="0"/>
              <w:spacing w:before="0" w:after="283"/>
              <w:jc w:val="left"/>
              <w:rPr/>
            </w:pPr>
            <w:r>
              <w:rPr/>
              <w:t>  </w:t>
            </w:r>
          </w:p>
        </w:tc>
        <w:tc>
          <w:tcPr>
            <w:tcW w:w="9135" w:type="dxa"/>
            <w:tcBorders/>
          </w:tcPr>
          <w:p>
            <w:pPr>
              <w:pStyle w:val="TableContents"/>
              <w:bidi w:val="0"/>
              <w:spacing w:before="0" w:after="283"/>
              <w:jc w:val="left"/>
              <w:rPr/>
            </w:pPr>
            <w:r>
              <w:rPr/>
              <w:t>Group, in accordance with § 240.13d-1(b)(1)(ii)(K).</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filing as a non-U.S. institution in accordance with § 240.13d-1(b)(1)(ii)(J), please specify the type of institution: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4</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Amount beneficially owned: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hereof, the Reporting Person holds 5,320,331 shares of Common Stock, representing approximately 6.6% of the outstanding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of the outstanding shares of Common Stock held by the Reporting Person is based on (i) 64,817,863 shares of Common Stock issued and outstanding as of February 29, 2024, as reported by the Issuer in its Annual Report on Form 10-K for the year ended December 31, 2023, filed with the Securities and Exchange Commission (SEC) on March 14, 2024 and (ii) the issuance of 15,873,011 shares of Common Stock on April 15, 2024 to certain institutional accredited investors, including the Reporting Person, as reported by the Issuer in its Current Report on Form 8-K filed with the SEC on April 11, 2024. </w:t>
      </w:r>
    </w:p>
    <w:p>
      <w:pPr>
        <w:pStyle w:val="TextBody"/>
        <w:bidi w:val="0"/>
        <w:spacing w:before="360" w:after="0"/>
        <w:jc w:val="left"/>
        <w:rPr>
          <w:rFonts w:ascii="Times New Roman" w:hAnsi="Times New Roman"/>
          <w:b/>
          <w:sz w:val="20"/>
        </w:rPr>
      </w:pPr>
      <w:r>
        <w:rPr>
          <w:rFonts w:ascii="Times New Roman" w:hAnsi="Times New Roman"/>
          <w:b/>
          <w:sz w:val="20"/>
        </w:rPr>
        <w:t xml:space="preserve">(b) Percent of class: </w:t>
      </w:r>
    </w:p>
    <w:p>
      <w:pPr>
        <w:pStyle w:val="TextBody"/>
        <w:bidi w:val="0"/>
        <w:spacing w:before="120" w:after="0"/>
        <w:jc w:val="left"/>
        <w:rPr>
          <w:rFonts w:ascii="Times New Roman" w:hAnsi="Times New Roman"/>
          <w:sz w:val="20"/>
        </w:rPr>
      </w:pPr>
      <w:r>
        <w:rPr>
          <w:rFonts w:ascii="Times New Roman" w:hAnsi="Times New Roman"/>
          <w:sz w:val="20"/>
        </w:rPr>
        <w:t xml:space="preserve">See Item 4(a) hereof. </w:t>
      </w:r>
    </w:p>
    <w:p>
      <w:pPr>
        <w:pStyle w:val="TextBody"/>
        <w:bidi w:val="0"/>
        <w:spacing w:before="360" w:after="0"/>
        <w:jc w:val="left"/>
        <w:rPr>
          <w:rFonts w:ascii="Times New Roman" w:hAnsi="Times New Roman"/>
          <w:b/>
          <w:sz w:val="20"/>
        </w:rPr>
      </w:pPr>
      <w:r>
        <w:rPr>
          <w:rFonts w:ascii="Times New Roman" w:hAnsi="Times New Roman"/>
          <w:b/>
          <w:sz w:val="20"/>
        </w:rPr>
        <w:t xml:space="preserve">(c) Number of shares as to which the person has: </w:t>
      </w:r>
    </w:p>
    <w:p>
      <w:pPr>
        <w:pStyle w:val="TextBody"/>
        <w:bidi w:val="0"/>
        <w:spacing w:before="120" w:after="0"/>
        <w:jc w:val="left"/>
        <w:rPr>
          <w:rFonts w:ascii="Times New Roman" w:hAnsi="Times New Roman"/>
          <w:sz w:val="20"/>
        </w:rPr>
      </w:pPr>
      <w:r>
        <w:rPr>
          <w:rFonts w:ascii="Times New Roman" w:hAnsi="Times New Roman"/>
          <w:sz w:val="20"/>
        </w:rPr>
        <w:t xml:space="preserve">(i) Sole power to vote or to direct the vote: </w:t>
      </w:r>
    </w:p>
    <w:p>
      <w:pPr>
        <w:pStyle w:val="TextBody"/>
        <w:bidi w:val="0"/>
        <w:spacing w:before="120" w:after="0"/>
        <w:jc w:val="left"/>
        <w:rPr>
          <w:rFonts w:ascii="Times New Roman" w:hAnsi="Times New Roman"/>
          <w:sz w:val="20"/>
        </w:rPr>
      </w:pPr>
      <w:r>
        <w:rPr>
          <w:rFonts w:ascii="Times New Roman" w:hAnsi="Times New Roman"/>
          <w:sz w:val="20"/>
        </w:rPr>
        <w:t xml:space="preserve">0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(ii) Shared power to vote or to direct the vote: </w:t>
      </w:r>
    </w:p>
    <w:p>
      <w:pPr>
        <w:pStyle w:val="TextBody"/>
        <w:bidi w:val="0"/>
        <w:spacing w:before="120" w:after="0"/>
        <w:jc w:val="left"/>
        <w:rPr>
          <w:rFonts w:ascii="Times New Roman" w:hAnsi="Times New Roman"/>
          <w:sz w:val="20"/>
        </w:rPr>
      </w:pPr>
      <w:r>
        <w:rPr>
          <w:rFonts w:ascii="Times New Roman" w:hAnsi="Times New Roman"/>
          <w:sz w:val="20"/>
        </w:rPr>
        <w:t xml:space="preserve">5,320,331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(iii) Sole power to dispose or to direct the disposition of: </w:t>
      </w:r>
    </w:p>
    <w:p>
      <w:pPr>
        <w:pStyle w:val="TextBody"/>
        <w:bidi w:val="0"/>
        <w:spacing w:before="120" w:after="0"/>
        <w:jc w:val="left"/>
        <w:rPr>
          <w:rFonts w:ascii="Times New Roman" w:hAnsi="Times New Roman"/>
          <w:sz w:val="20"/>
        </w:rPr>
      </w:pPr>
      <w:r>
        <w:rPr>
          <w:rFonts w:ascii="Times New Roman" w:hAnsi="Times New Roman"/>
          <w:sz w:val="20"/>
        </w:rPr>
        <w:t xml:space="preserve">0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(iv) Shared power to dispose or to direct the disposition of: </w:t>
      </w:r>
    </w:p>
    <w:p>
      <w:pPr>
        <w:pStyle w:val="TextBody"/>
        <w:bidi w:val="0"/>
        <w:spacing w:before="120" w:after="0"/>
        <w:jc w:val="left"/>
        <w:rPr>
          <w:rFonts w:ascii="Times New Roman" w:hAnsi="Times New Roman"/>
          <w:sz w:val="20"/>
        </w:rPr>
      </w:pPr>
      <w:r>
        <w:rPr>
          <w:rFonts w:ascii="Times New Roman" w:hAnsi="Times New Roman"/>
          <w:sz w:val="20"/>
        </w:rPr>
        <w:t xml:space="preserve">5,320,331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5</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Five Percent or Less of a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More Than Five Percent on Behalf of Another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29"/>
        <w:gridCol w:w="120"/>
        <w:gridCol w:w="3198"/>
        <w:gridCol w:w="120"/>
        <w:gridCol w:w="3138"/>
      </w:tblGrid>
      <w:tr>
        <w:trPr/>
        <w:tc>
          <w:tcPr>
            <w:tcW w:w="36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3629" w:type="dxa"/>
            <w:tcBorders/>
          </w:tcPr>
          <w:p>
            <w:pPr>
              <w:pStyle w:val="TableContents"/>
              <w:bidi w:val="0"/>
              <w:spacing w:before="0" w:after="283"/>
              <w:jc w:val="left"/>
              <w:rPr>
                <w:b/>
              </w:rPr>
            </w:pPr>
            <w:r>
              <w:rPr>
                <w:b/>
              </w:rPr>
              <w:t>CUSIP No. 15673T100</w:t>
            </w:r>
          </w:p>
        </w:tc>
        <w:tc>
          <w:tcPr>
            <w:tcW w:w="120" w:type="dxa"/>
            <w:tcBorders/>
            <w:vAlign w:val="bottom"/>
          </w:tcPr>
          <w:p>
            <w:pPr>
              <w:pStyle w:val="TableContents"/>
              <w:bidi w:val="0"/>
              <w:spacing w:before="0" w:after="283"/>
              <w:jc w:val="left"/>
              <w:rPr/>
            </w:pPr>
            <w:r>
              <w:rPr/>
              <w:t>  </w:t>
            </w:r>
          </w:p>
        </w:tc>
        <w:tc>
          <w:tcPr>
            <w:tcW w:w="3198" w:type="dxa"/>
            <w:tcBorders/>
          </w:tcPr>
          <w:p>
            <w:pPr>
              <w:pStyle w:val="TableContents"/>
              <w:bidi w:val="0"/>
              <w:spacing w:before="0" w:after="283"/>
              <w:jc w:val="center"/>
              <w:rPr>
                <w:b/>
              </w:rPr>
            </w:pPr>
            <w:r>
              <w:rPr>
                <w:b/>
              </w:rPr>
              <w:t>13G</w:t>
            </w:r>
          </w:p>
        </w:tc>
        <w:tc>
          <w:tcPr>
            <w:tcW w:w="120"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right"/>
              <w:rPr>
                <w:b/>
              </w:rPr>
            </w:pPr>
            <w:r>
              <w:rPr>
                <w:b/>
              </w:rPr>
              <w:t>Page 5 of 6 Pages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7</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the Subsidiary Which Acquired the Security Being Reported on By the Parent Holding Company or Control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8</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Members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9</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Dissolution of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10</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Certifications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29"/>
        <w:gridCol w:w="120"/>
        <w:gridCol w:w="3198"/>
        <w:gridCol w:w="120"/>
        <w:gridCol w:w="3138"/>
      </w:tblGrid>
      <w:tr>
        <w:trPr/>
        <w:tc>
          <w:tcPr>
            <w:tcW w:w="36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3629" w:type="dxa"/>
            <w:tcBorders/>
          </w:tcPr>
          <w:p>
            <w:pPr>
              <w:pStyle w:val="TableContents"/>
              <w:bidi w:val="0"/>
              <w:spacing w:before="0" w:after="283"/>
              <w:jc w:val="left"/>
              <w:rPr>
                <w:b/>
              </w:rPr>
            </w:pPr>
            <w:r>
              <w:rPr>
                <w:b/>
              </w:rPr>
              <w:t>CUSIP No. 15673T100</w:t>
            </w:r>
          </w:p>
        </w:tc>
        <w:tc>
          <w:tcPr>
            <w:tcW w:w="120" w:type="dxa"/>
            <w:tcBorders/>
            <w:vAlign w:val="bottom"/>
          </w:tcPr>
          <w:p>
            <w:pPr>
              <w:pStyle w:val="TableContents"/>
              <w:bidi w:val="0"/>
              <w:spacing w:before="0" w:after="283"/>
              <w:jc w:val="left"/>
              <w:rPr/>
            </w:pPr>
            <w:r>
              <w:rPr/>
              <w:t>  </w:t>
            </w:r>
          </w:p>
        </w:tc>
        <w:tc>
          <w:tcPr>
            <w:tcW w:w="3198" w:type="dxa"/>
            <w:tcBorders/>
          </w:tcPr>
          <w:p>
            <w:pPr>
              <w:pStyle w:val="TableContents"/>
              <w:bidi w:val="0"/>
              <w:spacing w:before="0" w:after="283"/>
              <w:jc w:val="center"/>
              <w:rPr>
                <w:b/>
              </w:rPr>
            </w:pPr>
            <w:r>
              <w:rPr>
                <w:b/>
              </w:rPr>
              <w:t>13G</w:t>
            </w:r>
          </w:p>
        </w:tc>
        <w:tc>
          <w:tcPr>
            <w:tcW w:w="120"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right"/>
              <w:rPr>
                <w:b/>
              </w:rPr>
            </w:pPr>
            <w:r>
              <w:rPr>
                <w:b/>
              </w:rPr>
              <w:t>Page 6 of 6 Pages</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its knowledge and belief, the undersigned certifies that the information in this statement is true, complete and correct.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8"/>
        <w:gridCol w:w="101"/>
        <w:gridCol w:w="407"/>
        <w:gridCol w:w="101"/>
        <w:gridCol w:w="307"/>
        <w:gridCol w:w="101"/>
        <w:gridCol w:w="4600"/>
      </w:tblGrid>
      <w:tr>
        <w:trPr/>
        <w:tc>
          <w:tcPr>
            <w:tcW w:w="45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00" w:type="dxa"/>
            <w:tcBorders/>
            <w:vAlign w:val="center"/>
          </w:tcPr>
          <w:p>
            <w:pPr>
              <w:pStyle w:val="TableContents"/>
              <w:bidi w:val="0"/>
              <w:spacing w:before="0" w:after="283"/>
              <w:jc w:val="left"/>
              <w:rPr>
                <w:sz w:val="4"/>
                <w:szCs w:val="4"/>
              </w:rPr>
            </w:pPr>
            <w:r>
              <w:rPr>
                <w:sz w:val="4"/>
                <w:szCs w:val="4"/>
              </w:rPr>
            </w:r>
          </w:p>
        </w:tc>
      </w:tr>
      <w:tr>
        <w:trPr/>
        <w:tc>
          <w:tcPr>
            <w:tcW w:w="4588" w:type="dxa"/>
            <w:tcBorders/>
          </w:tcPr>
          <w:p>
            <w:pPr>
              <w:pStyle w:val="TableContents"/>
              <w:bidi w:val="0"/>
              <w:spacing w:before="0" w:after="283"/>
              <w:jc w:val="left"/>
              <w:rPr/>
            </w:pPr>
            <w:r>
              <w:rPr/>
              <w:t>Dated: April 25, 2024</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8" w:type="dxa"/>
            <w:gridSpan w:val="3"/>
            <w:tcBorders/>
          </w:tcPr>
          <w:p>
            <w:pPr>
              <w:pStyle w:val="TableContents"/>
              <w:bidi w:val="0"/>
              <w:spacing w:before="0" w:after="283"/>
              <w:jc w:val="left"/>
              <w:rPr>
                <w:b/>
              </w:rPr>
            </w:pPr>
            <w:r>
              <w:rPr>
                <w:b/>
              </w:rPr>
              <w:t>Bain Capital Life Sciences Opportunities III, LP</w:t>
            </w:r>
          </w:p>
        </w:tc>
      </w:tr>
      <w:tr>
        <w:trPr>
          <w:trHeight w:val="240" w:hRule="atLeast"/>
        </w:trPr>
        <w:tc>
          <w:tcPr>
            <w:tcW w:w="458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r>
      <w:tr>
        <w:trPr/>
        <w:tc>
          <w:tcPr>
            <w:tcW w:w="458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600" w:type="dxa"/>
            <w:tcBorders/>
          </w:tcPr>
          <w:p>
            <w:pPr>
              <w:pStyle w:val="TableContents"/>
              <w:bidi w:val="0"/>
              <w:spacing w:before="0" w:after="283"/>
              <w:jc w:val="left"/>
              <w:rPr/>
            </w:pPr>
            <w:r>
              <w:rPr/>
              <w:t>Bain Capital Life Sciences Opportunities III GP, LLC,</w:t>
            </w:r>
          </w:p>
        </w:tc>
      </w:tr>
      <w:tr>
        <w:trPr/>
        <w:tc>
          <w:tcPr>
            <w:tcW w:w="458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0" w:type="dxa"/>
            <w:tcBorders/>
          </w:tcPr>
          <w:p>
            <w:pPr>
              <w:pStyle w:val="TableContents"/>
              <w:bidi w:val="0"/>
              <w:spacing w:before="0" w:after="283"/>
              <w:jc w:val="left"/>
              <w:rPr/>
            </w:pPr>
            <w:r>
              <w:rPr/>
              <w:t>its general partner</w:t>
            </w:r>
          </w:p>
        </w:tc>
      </w:tr>
      <w:tr>
        <w:trPr>
          <w:trHeight w:val="240" w:hRule="atLeast"/>
        </w:trPr>
        <w:tc>
          <w:tcPr>
            <w:tcW w:w="458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r>
      <w:tr>
        <w:trPr/>
        <w:tc>
          <w:tcPr>
            <w:tcW w:w="458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600" w:type="dxa"/>
            <w:tcBorders/>
          </w:tcPr>
          <w:p>
            <w:pPr>
              <w:pStyle w:val="TableContents"/>
              <w:bidi w:val="0"/>
              <w:spacing w:before="0" w:after="283"/>
              <w:jc w:val="left"/>
              <w:rPr/>
            </w:pPr>
            <w:r>
              <w:rPr/>
              <w:t>Bain Capital Life Sciences Fund III, L.P.,</w:t>
            </w:r>
          </w:p>
        </w:tc>
      </w:tr>
      <w:tr>
        <w:trPr/>
        <w:tc>
          <w:tcPr>
            <w:tcW w:w="458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0" w:type="dxa"/>
            <w:tcBorders/>
          </w:tcPr>
          <w:p>
            <w:pPr>
              <w:pStyle w:val="TableContents"/>
              <w:bidi w:val="0"/>
              <w:spacing w:before="0" w:after="283"/>
              <w:jc w:val="left"/>
              <w:rPr/>
            </w:pPr>
            <w:r>
              <w:rPr/>
              <w:t>its sole member</w:t>
            </w:r>
          </w:p>
        </w:tc>
      </w:tr>
      <w:tr>
        <w:trPr>
          <w:trHeight w:val="240" w:hRule="atLeast"/>
        </w:trPr>
        <w:tc>
          <w:tcPr>
            <w:tcW w:w="458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r>
      <w:tr>
        <w:trPr/>
        <w:tc>
          <w:tcPr>
            <w:tcW w:w="458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600" w:type="dxa"/>
            <w:tcBorders/>
          </w:tcPr>
          <w:p>
            <w:pPr>
              <w:pStyle w:val="TableContents"/>
              <w:bidi w:val="0"/>
              <w:spacing w:before="0" w:after="283"/>
              <w:jc w:val="left"/>
              <w:rPr/>
            </w:pPr>
            <w:r>
              <w:rPr/>
              <w:t>Bain Capital Life Sciences III General Partner, LLC,</w:t>
            </w:r>
          </w:p>
        </w:tc>
      </w:tr>
      <w:tr>
        <w:trPr/>
        <w:tc>
          <w:tcPr>
            <w:tcW w:w="458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0" w:type="dxa"/>
            <w:tcBorders/>
          </w:tcPr>
          <w:p>
            <w:pPr>
              <w:pStyle w:val="TableContents"/>
              <w:bidi w:val="0"/>
              <w:spacing w:before="0" w:after="283"/>
              <w:jc w:val="left"/>
              <w:rPr/>
            </w:pPr>
            <w:r>
              <w:rPr/>
              <w:t>its general partner</w:t>
            </w:r>
          </w:p>
        </w:tc>
      </w:tr>
      <w:tr>
        <w:trPr>
          <w:trHeight w:val="240" w:hRule="atLeast"/>
        </w:trPr>
        <w:tc>
          <w:tcPr>
            <w:tcW w:w="458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r>
      <w:tr>
        <w:trPr/>
        <w:tc>
          <w:tcPr>
            <w:tcW w:w="458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600" w:type="dxa"/>
            <w:tcBorders/>
          </w:tcPr>
          <w:p>
            <w:pPr>
              <w:pStyle w:val="TableContents"/>
              <w:bidi w:val="0"/>
              <w:spacing w:before="0" w:after="283"/>
              <w:jc w:val="left"/>
              <w:rPr/>
            </w:pPr>
            <w:r>
              <w:rPr/>
              <w:t>Bain Capital Life Sciences Investors, LLC,</w:t>
            </w:r>
          </w:p>
        </w:tc>
      </w:tr>
      <w:tr>
        <w:trPr/>
        <w:tc>
          <w:tcPr>
            <w:tcW w:w="458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0" w:type="dxa"/>
            <w:tcBorders/>
          </w:tcPr>
          <w:p>
            <w:pPr>
              <w:pStyle w:val="TableContents"/>
              <w:bidi w:val="0"/>
              <w:spacing w:before="0" w:after="283"/>
              <w:jc w:val="left"/>
              <w:rPr/>
            </w:pPr>
            <w:r>
              <w:rPr/>
              <w:t>its manager</w:t>
            </w:r>
          </w:p>
        </w:tc>
      </w:tr>
      <w:tr>
        <w:trPr>
          <w:trHeight w:val="240" w:hRule="atLeast"/>
        </w:trPr>
        <w:tc>
          <w:tcPr>
            <w:tcW w:w="458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r>
      <w:tr>
        <w:trPr/>
        <w:tc>
          <w:tcPr>
            <w:tcW w:w="458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600" w:type="dxa"/>
            <w:tcBorders>
              <w:bottom w:val="single" w:sz="2" w:space="0" w:color="000000"/>
            </w:tcBorders>
            <w:tcMar>
              <w:bottom w:w="28" w:type="dxa"/>
            </w:tcMar>
          </w:tcPr>
          <w:p>
            <w:pPr>
              <w:pStyle w:val="TableContents"/>
              <w:bidi w:val="0"/>
              <w:spacing w:before="0" w:after="283"/>
              <w:jc w:val="left"/>
              <w:rPr/>
            </w:pPr>
            <w:r>
              <w:rPr/>
              <w:t>/s/ Ricky Sun</w:t>
            </w:r>
          </w:p>
        </w:tc>
      </w:tr>
      <w:tr>
        <w:trPr/>
        <w:tc>
          <w:tcPr>
            <w:tcW w:w="458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0" w:type="dxa"/>
            <w:tcBorders/>
          </w:tcPr>
          <w:p>
            <w:pPr>
              <w:pStyle w:val="TableContents"/>
              <w:bidi w:val="0"/>
              <w:spacing w:before="0" w:after="283"/>
              <w:jc w:val="left"/>
              <w:rPr/>
            </w:pPr>
            <w:r>
              <w:rPr/>
              <w:t>Name: Ricky Sun</w:t>
            </w:r>
          </w:p>
        </w:tc>
      </w:tr>
      <w:tr>
        <w:trPr/>
        <w:tc>
          <w:tcPr>
            <w:tcW w:w="458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0" w:type="dxa"/>
            <w:tcBorders/>
          </w:tcPr>
          <w:p>
            <w:pPr>
              <w:pStyle w:val="TableContents"/>
              <w:bidi w:val="0"/>
              <w:spacing w:before="0" w:after="283"/>
              <w:jc w:val="left"/>
              <w:rPr/>
            </w:pPr>
            <w:r>
              <w:rPr/>
              <w:t>Title: Partner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1384</Words>
  <Characters>6718</Characters>
  <CharactersWithSpaces>8138</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13G</dc:title>
</cp:coreProperties>
</file>