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8,877,215.00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These securities are held of record by TCG Crossover II (as defined in Item 2(a)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(i) 8,514,089 shares of Common Stock subject to Pre-Funded Warrants and (ii) 8,695,652 shares of Common Stock subject to Common Stock Warrants (together with the Pre-Funded Warrants, the Warrants) which are not exercisable within 60 days of this Statement because the Warrants may not be exercised to the extent that doing so would result in the holder of the Warrants and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Based on 179,337,686 shares of Common Stock outstanding as of January 9, 2026, as provided to the Reporting Persons by the Issuer (as defined in Item 1(a)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8,877,215.00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1440" w:right="804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8,877,215.00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8,877,215.00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 TCG Crossover GP II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(i) 8,514,089 shares of Common Stock subject to Pre-Funded Warrants and (ii) 8,695,652 shares of Common Stock subject to Common Stock Warrants held by TCG Crossover II which are not exercisable within 60 days of this Statement due to the Beneficial Ownership Limitation. Based on 179,337,686 shares of Common Stock outstanding as of January 9, 2026, as provided to the Reporting Persons by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8,877,215.00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60"/>
          </w:cols>
          <w:pgMar w:left="320" w:top="111" w:right="459" w:bottom="0" w:gutter="0" w:footer="0" w:header="0"/>
          <w:type w:val="continuous"/>
        </w:sectPr>
      </w:pPr>
    </w:p>
    <w:bookmarkStart w:id="3" w:name="page4"/>
    <w:bookmarkEnd w:id="3"/>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III (as defined in Item 2(a)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This total excludes (i) 8,514,089 shares of Common Stock subject to Pre-Funded Warrants and (ii) 8,695,652 shares of Common Stock subject to Common Stock Warrants held by TCG Crossover III which are not exercisable within 60 days of this Statement due to the Beneficial Ownership Limitation. Based on 179,337,686 shares of Common Stock outstanding as of January 9, 2026, as provided to the Reporting Persons by the Issuer.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2"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8,877,215.00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8,877,215.00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2"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These securities are held of record by TCG Crossover III. TCG Crossover GP III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This total excludes (i) 8,514,089 shares of Common Stock subject to Pre-Funded Warrants and (ii) 8,695,652 shares of Common Stock subject to Common Stock Warrants held by TCG Crossover III</w:t>
      </w:r>
    </w:p>
    <w:p>
      <w:pPr>
        <w:sectPr>
          <w:pgSz w:w="11900" w:h="16912" w:orient="portrait"/>
          <w:cols w:equalWidth="0" w:num="1">
            <w:col w:w="11220"/>
          </w:cols>
          <w:pgMar w:left="320" w:top="355" w:right="359" w:bottom="0" w:gutter="0" w:footer="0" w:header="0"/>
          <w:type w:val="continuous"/>
        </w:sectPr>
      </w:pPr>
    </w:p>
    <w:bookmarkStart w:id="4" w:name="page5"/>
    <w:bookmarkEnd w:id="4"/>
    <w:p>
      <w:pPr>
        <w:ind w:right="320"/>
        <w:spacing w:after="0" w:line="282" w:lineRule="auto"/>
        <w:rPr>
          <w:sz w:val="20"/>
          <w:szCs w:val="20"/>
          <w:color w:val="auto"/>
        </w:rPr>
      </w:pPr>
      <w:r>
        <w:rPr>
          <w:rFonts w:ascii="Times New Roman" w:cs="Times New Roman" w:eastAsia="Times New Roman" w:hAnsi="Times New Roman"/>
          <w:sz w:val="21"/>
          <w:szCs w:val="21"/>
          <w:color w:val="auto"/>
        </w:rPr>
        <w:t>which are not exercisable within 60 days of this Statement due to the Beneficial Ownership Limitation. Based on 179,337,686 shares of Common Stock outstanding as of January 9, 2026, as provided to the Reporting Persons by the Issuer.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17,754,430.00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17,754,430.00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17,754,430.00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(i) 8,877,215 shares of Common Stock held of record by TCG Crossover</w:t>
      </w:r>
    </w:p>
    <w:p>
      <w:pPr>
        <w:spacing w:after="0" w:line="30" w:lineRule="exact"/>
        <w:rPr>
          <w:sz w:val="20"/>
          <w:szCs w:val="20"/>
          <w:color w:val="auto"/>
        </w:rPr>
      </w:pPr>
    </w:p>
    <w:p>
      <w:pPr>
        <w:ind w:right="80" w:firstLine="8"/>
        <w:spacing w:after="0" w:line="231" w:lineRule="auto"/>
        <w:tabs>
          <w:tab w:leader="none" w:pos="1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8,877,215 shares of Common Stock held of record by TCG Crossover III.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This total excludes (i) 8,514,089 shares of Common Stock subject to Pre-Funded Warrants held by TCG Crossover II, (ii) 8,695,652 shares of Common Stock subject to Common Stock Warrants held by TCG Crossover II, (iii) 8,514,089 shares of Common Stock subject to Pre-Funded Warrants held by TCG Crossover III and (iv) 8,695,652 shares of Common Stock subject to Common Stock Warrants held by TCG Crossover III which are not exercisable within 60 days of this Statement due to the Beneficial Ownership Limitation. Based on 179,337,686 shares of Common Stock outstanding as of January 9, 2026, as provided to the Reporting Persons by the Issuer.</w:t>
      </w:r>
    </w:p>
    <w:p>
      <w:pPr>
        <w:sectPr>
          <w:pgSz w:w="11900" w:h="16838" w:orient="portrait"/>
          <w:cols w:equalWidth="0" w:num="1">
            <w:col w:w="11220"/>
          </w:cols>
          <w:pgMar w:left="320" w:top="112"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20"/>
          </w:cols>
          <w:pgMar w:left="320" w:top="112" w:right="3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joint statement on Schedule 13G is being filed by TCG Crossover Fund II, L.P. (TCG Crossover II), TCG Crossover GP II, LLC (TCG Crossover GP II), TCG Crossover Fund III, L.P. (TCG Crossover III) and TCG Crossover GP III, LLC (TCG Crossover GP III and together with TCG Crossover II, TCG Crossover GP II and TCG</w:t>
      </w:r>
    </w:p>
    <w:p>
      <w:pPr>
        <w:spacing w:after="0" w:line="1" w:lineRule="exact"/>
        <w:rPr>
          <w:sz w:val="20"/>
          <w:szCs w:val="20"/>
          <w:color w:val="auto"/>
        </w:rPr>
      </w:pPr>
    </w:p>
    <w:p>
      <w:pPr>
        <w:ind w:left="920" w:right="20" w:hanging="912"/>
        <w:spacing w:after="0" w:line="204"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Crossover III,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00" w:hanging="912"/>
        <w:spacing w:after="0"/>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245 Lytton Ave., Suite 350, Palo Alto, CA 94301.</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 and TCG Crossover GP II are each a limited liability company organized under the laws of the State of Delaware. TCG Crossover II and TCG Crossover III are each a limited partnership organized under the laws of the State of Delaware. The Reporting Individual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 and the corresponding comments.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and the corresponding comments.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40"/>
          </w:cols>
          <w:pgMar w:left="360" w:top="193" w:right="49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comments.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Chen Yu</w:t>
      </w:r>
    </w:p>
    <w:p>
      <w:pPr>
        <w:spacing w:after="0" w:line="152"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Name/Title: Craig Skaling, as Attorney-in-Fact for Chen Yu</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4300"/>
        <w:spacing w:after="0"/>
        <w:tabs>
          <w:tab w:leader="none" w:pos="53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01/15/2026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8"/>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upperLetter"/>
      <w:start w:val="3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2026-01-15T15:36:20Z</dcterms:created>
  <dcterms:modified xsi:type="dcterms:W3CDTF">2026-01-15T15:36:20Z</dcterms:modified>
</cp:coreProperties>
</file>