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Borges Luis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Century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IPSC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3675 MARKET STREET</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2080" w:type="dxa"/>
            <w:vAlign w:val="bottom"/>
            <w:gridSpan w:val="2"/>
          </w:tcPr>
          <w:p>
            <w:pPr>
              <w:ind w:left="40"/>
              <w:spacing w:after="0"/>
              <w:rPr>
                <w:sz w:val="20"/>
                <w:szCs w:val="20"/>
                <w:color w:val="auto"/>
              </w:rPr>
            </w:pPr>
            <w:r>
              <w:rPr>
                <w:rFonts w:ascii="Arial" w:cs="Arial" w:eastAsia="Arial" w:hAnsi="Arial"/>
                <w:sz w:val="20"/>
                <w:szCs w:val="20"/>
                <w:color w:val="0000FF"/>
              </w:rPr>
              <w:t>PHILADELPHIA PA</w:t>
            </w:r>
          </w:p>
        </w:tc>
        <w:tc>
          <w:tcPr>
            <w:tcW w:w="1020" w:type="dxa"/>
            <w:vAlign w:val="bottom"/>
          </w:tcPr>
          <w:p>
            <w:pPr>
              <w:jc w:val="right"/>
              <w:ind w:right="277"/>
              <w:spacing w:after="0"/>
              <w:rPr>
                <w:sz w:val="20"/>
                <w:szCs w:val="20"/>
                <w:color w:val="auto"/>
              </w:rPr>
            </w:pPr>
            <w:r>
              <w:rPr>
                <w:rFonts w:ascii="Arial" w:cs="Arial" w:eastAsia="Arial" w:hAnsi="Arial"/>
                <w:sz w:val="20"/>
                <w:szCs w:val="20"/>
                <w:color w:val="0000FF"/>
              </w:rPr>
              <w:t>19104</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07/17/2029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357,696</w:t>
            </w:r>
          </w:p>
        </w:tc>
        <w:tc>
          <w:tcPr>
            <w:tcW w:w="1000" w:type="dxa"/>
            <w:vAlign w:val="bottom"/>
          </w:tcPr>
          <w:p>
            <w:pPr>
              <w:ind w:left="340"/>
              <w:spacing w:after="0"/>
              <w:rPr>
                <w:sz w:val="20"/>
                <w:szCs w:val="20"/>
                <w:color w:val="auto"/>
              </w:rPr>
            </w:pPr>
            <w:r>
              <w:rPr>
                <w:rFonts w:ascii="Arial" w:cs="Arial" w:eastAsia="Arial" w:hAnsi="Arial"/>
                <w:sz w:val="20"/>
                <w:szCs w:val="20"/>
                <w:color w:val="0000FF"/>
              </w:rPr>
              <w:t>1.03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04/15/2031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146,826</w:t>
            </w:r>
          </w:p>
        </w:tc>
        <w:tc>
          <w:tcPr>
            <w:tcW w:w="1000" w:type="dxa"/>
            <w:vAlign w:val="bottom"/>
          </w:tcPr>
          <w:p>
            <w:pPr>
              <w:ind w:left="340"/>
              <w:spacing w:after="0"/>
              <w:rPr>
                <w:sz w:val="20"/>
                <w:szCs w:val="20"/>
                <w:color w:val="auto"/>
              </w:rPr>
            </w:pPr>
            <w:r>
              <w:rPr>
                <w:rFonts w:ascii="Arial" w:cs="Arial" w:eastAsia="Arial" w:hAnsi="Arial"/>
                <w:sz w:val="20"/>
                <w:szCs w:val="20"/>
                <w:color w:val="0000FF"/>
              </w:rPr>
              <w:t>7.27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vests 25% on April 1, 2020, with the remaining 75% vesting in 36 equal monthly installments, subject to the Reporting Person's continued service with the Issuer.</w:t>
      </w:r>
    </w:p>
    <w:p>
      <w:pPr>
        <w:spacing w:after="0" w:line="64" w:lineRule="exact"/>
        <w:rPr>
          <w:rFonts w:ascii="Arial" w:cs="Arial" w:eastAsia="Arial" w:hAnsi="Arial"/>
          <w:sz w:val="14"/>
          <w:szCs w:val="14"/>
          <w:color w:val="008000"/>
        </w:rPr>
      </w:pPr>
    </w:p>
    <w:p>
      <w:pPr>
        <w:ind w:left="40" w:right="1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vests 25% on the first anniversary of the closing of the Issuer's initial public offering, with the remaining 75% vesting in 36 equal monthly installments, subject to the Reporting Person's continued service with the Issuer.</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Michael Diem,</w:t>
            </w:r>
          </w:p>
        </w:tc>
        <w:tc>
          <w:tcPr>
            <w:tcW w:w="7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Know all by these presents, that the undersigned hereby constitutes and appoints the Chief Business Officer of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Century Therapeutics, Inc. (the "Company"), as the undersigned's true and lawful attorney-in-fact to:</w:t>
      </w:r>
    </w:p>
    <w:p>
      <w:pPr>
        <w:spacing w:after="0" w:line="234" w:lineRule="exact"/>
        <w:rPr>
          <w:sz w:val="20"/>
          <w:szCs w:val="20"/>
          <w:color w:val="auto"/>
        </w:rPr>
      </w:pPr>
    </w:p>
    <w:p>
      <w:pPr>
        <w:ind w:left="720" w:hanging="360"/>
        <w:spacing w:after="0" w:line="305" w:lineRule="auto"/>
        <w:tabs>
          <w:tab w:leader="none" w:pos="72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165" w:lineRule="exact"/>
        <w:rPr>
          <w:rFonts w:ascii="Arial" w:cs="Arial" w:eastAsia="Arial" w:hAnsi="Arial"/>
          <w:sz w:val="19"/>
          <w:szCs w:val="19"/>
          <w:color w:val="auto"/>
        </w:rPr>
      </w:pPr>
    </w:p>
    <w:p>
      <w:pPr>
        <w:jc w:val="both"/>
        <w:ind w:left="720" w:hanging="360"/>
        <w:spacing w:after="0" w:line="306"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jc w:val="both"/>
        <w:ind w:left="720" w:hanging="360"/>
        <w:spacing w:after="0" w:line="29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100" w:firstLine="1441"/>
        <w:spacing w:after="0" w:line="274" w:lineRule="auto"/>
        <w:rPr>
          <w:sz w:val="20"/>
          <w:szCs w:val="20"/>
          <w:color w:val="auto"/>
        </w:rPr>
      </w:pPr>
      <w:r>
        <w:rPr>
          <w:rFonts w:ascii="Arial" w:cs="Arial" w:eastAsia="Arial" w:hAnsi="Arial"/>
          <w:sz w:val="19"/>
          <w:szCs w:val="19"/>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3" w:lineRule="exact"/>
        <w:rPr>
          <w:sz w:val="20"/>
          <w:szCs w:val="20"/>
          <w:color w:val="auto"/>
        </w:rPr>
      </w:pPr>
    </w:p>
    <w:p>
      <w:pPr>
        <w:ind w:right="160" w:firstLine="1441"/>
        <w:spacing w:after="0" w:line="264" w:lineRule="auto"/>
        <w:rPr>
          <w:sz w:val="20"/>
          <w:szCs w:val="20"/>
          <w:color w:val="auto"/>
        </w:rPr>
      </w:pPr>
      <w:r>
        <w:rPr>
          <w:rFonts w:ascii="Arial" w:cs="Arial" w:eastAsia="Arial" w:hAnsi="Arial"/>
          <w:sz w:val="20"/>
          <w:szCs w:val="20"/>
          <w:color w:val="auto"/>
        </w:rPr>
        <w:t>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02"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Power of Attorney to be executed as of this 27</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p>
    <w:p>
      <w:pPr>
        <w:spacing w:after="0"/>
        <w:rPr>
          <w:sz w:val="20"/>
          <w:szCs w:val="20"/>
          <w:color w:val="auto"/>
        </w:rPr>
      </w:pPr>
      <w:r>
        <w:rPr>
          <w:rFonts w:ascii="Arial" w:cs="Arial" w:eastAsia="Arial" w:hAnsi="Arial"/>
          <w:sz w:val="20"/>
          <w:szCs w:val="20"/>
          <w:color w:val="auto"/>
        </w:rPr>
        <w:t>April, 2021.</w:t>
      </w:r>
    </w:p>
    <w:p>
      <w:pPr>
        <w:spacing w:after="0" w:line="26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Luis Borges,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Luis Borges,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493395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84015" TargetMode="External"/><Relationship Id="rId11"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2021-06-17T16:06:31Z</dcterms:created>
  <dcterms:modified xsi:type="dcterms:W3CDTF">2021-06-17T16:06:31Z</dcterms:modified>
</cp:coreProperties>
</file>