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001-40498</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40" w:space="720"/>
            <w:col w:w="3300" w:space="720"/>
            <w:col w:w="2460"/>
          </w:cols>
          <w:pgMar w:left="320" w:top="706" w:right="339" w:bottom="1440" w:gutter="0" w:footer="0" w:header="0"/>
          <w:type w:val="continuous"/>
        </w:sectPr>
      </w:pPr>
    </w:p>
    <w:p>
      <w:pPr>
        <w:spacing w:after="0" w:line="18"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Philadelphia, Pennsylvania</w:t>
      </w:r>
    </w:p>
    <w:p>
      <w:pPr>
        <w:spacing w:after="0" w:line="9"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19104</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660" w:space="720"/>
            <w:col w:w="2860"/>
          </w:cols>
          <w:pgMar w:left="320" w:top="7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Title of Each Class</w:t>
            </w:r>
          </w:p>
        </w:tc>
        <w:tc>
          <w:tcPr>
            <w:tcW w:w="30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IPSC</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ind w:left="60"/>
        <w:spacing w:after="0"/>
        <w:tabs>
          <w:tab w:leader="none" w:pos="11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u w:val="single" w:color="auto"/>
          <w:color w:val="auto"/>
        </w:rPr>
        <w:t>Results of Operations and Financial Condition</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On March 17, 2022, Century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issued a press release announcing its financial results for the year ended December 31, 2021. A copy of the press release is furnished as Exhibit 99.1 to this Current Report on Form 8-K and is incorporated herein by reference.</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information contained in this Item 2.02 (including Exhibit 99.1) is being furnished and shall not be deemed “filed” for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5"/>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2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34"/>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7400" w:type="dxa"/>
            <w:vAlign w:val="bottom"/>
            <w:tcBorders>
              <w:bottom w:val="single" w:sz="8" w:color="auto"/>
            </w:tcBorders>
            <w:gridSpan w:val="2"/>
          </w:tcPr>
          <w:p>
            <w:pPr>
              <w:ind w:left="2020"/>
              <w:spacing w:after="0"/>
              <w:rPr>
                <w:sz w:val="20"/>
                <w:szCs w:val="20"/>
                <w:color w:val="auto"/>
              </w:rPr>
            </w:pPr>
            <w:r>
              <w:rPr>
                <w:rFonts w:ascii="Arial" w:cs="Arial" w:eastAsia="Arial" w:hAnsi="Arial"/>
                <w:sz w:val="18"/>
                <w:szCs w:val="18"/>
                <w:b w:val="1"/>
                <w:bCs w:val="1"/>
                <w:color w:val="auto"/>
              </w:rPr>
              <w:t>Document</w:t>
            </w:r>
          </w:p>
        </w:tc>
      </w:tr>
      <w:tr>
        <w:trPr>
          <w:trHeight w:val="169"/>
        </w:trPr>
        <w:tc>
          <w:tcPr>
            <w:tcW w:w="1140" w:type="dxa"/>
            <w:vAlign w:val="bottom"/>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0" w:type="dxa"/>
            <w:vAlign w:val="bottom"/>
            <w:gridSpan w:val="3"/>
          </w:tcPr>
          <w:p>
            <w:pPr>
              <w:ind w:left="20"/>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of Century Therapeutics, Inc., dated March 17,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Osvaldo Flores, Ph.D.</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ind w:left="20"/>
              <w:spacing w:after="0" w:line="195" w:lineRule="exact"/>
              <w:rPr>
                <w:sz w:val="20"/>
                <w:szCs w:val="20"/>
                <w:color w:val="auto"/>
              </w:rPr>
            </w:pPr>
            <w:r>
              <w:rPr>
                <w:rFonts w:ascii="Arial" w:cs="Arial" w:eastAsia="Arial" w:hAnsi="Arial"/>
                <w:sz w:val="18"/>
                <w:szCs w:val="18"/>
                <w:color w:val="auto"/>
              </w:rPr>
              <w:t>Osvaldo Flores,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348865"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88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Reports Fourth Quarter and Year-end 2021 Financial Results and Provides Business Updates</w:t>
      </w:r>
    </w:p>
    <w:p>
      <w:pPr>
        <w:spacing w:after="0" w:line="229" w:lineRule="exact"/>
        <w:rPr>
          <w:sz w:val="20"/>
          <w:szCs w:val="20"/>
          <w:color w:val="auto"/>
        </w:rPr>
      </w:pPr>
    </w:p>
    <w:p>
      <w:pPr>
        <w:jc w:val="center"/>
        <w:ind w:left="340" w:right="160"/>
        <w:spacing w:after="0" w:line="277" w:lineRule="auto"/>
        <w:rPr>
          <w:sz w:val="20"/>
          <w:szCs w:val="20"/>
          <w:color w:val="auto"/>
        </w:rPr>
      </w:pPr>
      <w:r>
        <w:rPr>
          <w:rFonts w:ascii="Arial" w:cs="Arial" w:eastAsia="Arial" w:hAnsi="Arial"/>
          <w:sz w:val="18"/>
          <w:szCs w:val="18"/>
          <w:i w:val="1"/>
          <w:iCs w:val="1"/>
          <w:color w:val="auto"/>
        </w:rPr>
        <w:t>IND submission for lead program CNTY-101 on track for mid 2022; Phase 1 ELiPSE-1 trial of CNTY-101 in relapsed/refractory lymphoma expected to commence after IND submission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Entered into a strategic collaboration with Bristol Myers Squibb to develop iPSC-derived allogeneic cell therapies</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Ended 2021 with cash, cash equivalents, and marketable securities of $358.8M; Cash runway into 2025, including proceeds received from Bristol Myers Squibb in connection with the Collaboration Agreement</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PHILADELPHIA, March 17, 2022 (GLOBE NEWSWIRE) -- </w:t>
      </w:r>
      <w:r>
        <w:rPr>
          <w:rFonts w:ascii="Arial" w:cs="Arial" w:eastAsia="Arial" w:hAnsi="Arial"/>
          <w:sz w:val="18"/>
          <w:szCs w:val="18"/>
          <w:u w:val="single" w:color="auto"/>
          <w:color w:val="auto"/>
        </w:rPr>
        <w:t>Century Therapeutics, Inc.</w:t>
      </w:r>
      <w:r>
        <w:rPr>
          <w:rFonts w:ascii="Arial" w:cs="Arial" w:eastAsia="Arial" w:hAnsi="Arial"/>
          <w:sz w:val="18"/>
          <w:szCs w:val="18"/>
          <w:color w:val="auto"/>
        </w:rPr>
        <w:t>, (NASDAQ: IPSC), an innovative biotechnology company developing induced pluripotent stem cell (iPSC)-derived cell therapies in immuno-oncology, today reported financial results and business highlights for the fourth quarter and year ended December 31, 2021.</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“Throughout 2021, we continued to make steady progress in developing our comprehensive, next-generation iPSC-based cell therapy platform, executed on our powerful discovery engine, and we believe we are positioned to transition to a clinical stage company in 2022. With this foundation in place, we are on track to advance multiple product candidates to the clinic over the next three years,” said Lalo Flores, Chief Executive Officer, Century Therapeutics.</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“Additionally, we look forward to continuing our partnership in the years ahead with Bristol Myers Squibb, a global leader in oncology and hematology, to further expand our pipeline of iPSC-derived cell therapy products for treating hematological and solid tumor malignancies. We are committed to maximizing the potential utility of our platform technology and look forward to what we expect to be a very productive year ahead.”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229" w:lineRule="exact"/>
        <w:rPr>
          <w:sz w:val="20"/>
          <w:szCs w:val="20"/>
          <w:color w:val="auto"/>
        </w:rPr>
      </w:pPr>
    </w:p>
    <w:p>
      <w:pPr>
        <w:ind w:left="660" w:right="16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Entered into a collaboration and license agreement with Bristol Myers Squibb in January 2022 to develop and commercialize up to four iPSC-derived, engineered natural killer cell (iNK) and / or T cell (iT) programs for hematologic malignancies and solid tumors. Under the terms of the agreement, Century received a $100 million upfront payment and Bristol Myers Squibb made a $50 million equity investment in Century Therapeutics’ common stock. The agreement provides for future program initiation fees and development, regulatory, and commercial milestone payments totaling more than $3 billion plus royalties on product sales.</w:t>
      </w:r>
    </w:p>
    <w:p>
      <w:pPr>
        <w:spacing w:after="0" w:line="187" w:lineRule="exact"/>
        <w:rPr>
          <w:rFonts w:ascii="Arial" w:cs="Arial" w:eastAsia="Arial" w:hAnsi="Arial"/>
          <w:sz w:val="18"/>
          <w:szCs w:val="18"/>
          <w:color w:val="auto"/>
        </w:rPr>
      </w:pPr>
    </w:p>
    <w:p>
      <w:pPr>
        <w:ind w:left="660" w:right="200" w:hanging="328"/>
        <w:spacing w:after="0" w:line="25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Announced that, subject to U.S. Food and Drug Administration (FDA) acceptance of its Investigational New Drug (IND) application, the Company plans to initiate a Phase 1 trial, ELiPSE-1, to assess CNTY-101 in patients with relapsed/refractory aggressive lymphoma or indolent lymphoma after at least two prior lines of therapy, including patients who have received prior CAR T cell therapy.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w:t>
      </w:r>
      <w:r>
        <w:rPr>
          <w:rFonts w:ascii="Arial" w:cs="Arial" w:eastAsia="Arial" w:hAnsi="Arial"/>
          <w:sz w:val="18"/>
          <w:szCs w:val="18"/>
          <w:u w:val="single" w:color="auto"/>
          <w:color w:val="auto"/>
        </w:rPr>
        <w:t>presented at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Society of Hematology (ASH) Annual Meeting in December</w:t>
      </w:r>
      <w:r>
        <w:rPr>
          <w:rFonts w:ascii="Arial" w:cs="Arial" w:eastAsia="Arial" w:hAnsi="Arial"/>
          <w:sz w:val="18"/>
          <w:szCs w:val="18"/>
          <w:color w:val="auto"/>
        </w:rPr>
        <w:t xml:space="preserve"> demonstrated strong antitumor activity against human lymphoma cell lines with CNTY-101.</w:t>
      </w:r>
    </w:p>
    <w:p>
      <w:pPr>
        <w:spacing w:after="0" w:line="187" w:lineRule="exact"/>
        <w:rPr>
          <w:rFonts w:ascii="Arial" w:cs="Arial" w:eastAsia="Arial" w:hAnsi="Arial"/>
          <w:sz w:val="18"/>
          <w:szCs w:val="18"/>
          <w:color w:val="auto"/>
        </w:rPr>
      </w:pPr>
    </w:p>
    <w:p>
      <w:pPr>
        <w:jc w:val="both"/>
        <w:ind w:left="660" w:right="20" w:hanging="328"/>
        <w:spacing w:after="0" w:line="31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Announced plans to focus its initial T cell development program on γδ cells. Data </w:t>
      </w:r>
      <w:r>
        <w:rPr>
          <w:rFonts w:ascii="Arial" w:cs="Arial" w:eastAsia="Arial" w:hAnsi="Arial"/>
          <w:sz w:val="16"/>
          <w:szCs w:val="16"/>
          <w:u w:val="single" w:color="auto"/>
          <w:color w:val="auto"/>
        </w:rPr>
        <w:t>presented at the ASH Annual Meeting in December</w:t>
      </w:r>
      <w:r>
        <w:rPr>
          <w:rFonts w:ascii="Arial" w:cs="Arial" w:eastAsia="Arial" w:hAnsi="Arial"/>
          <w:sz w:val="16"/>
          <w:szCs w:val="16"/>
          <w:color w:val="auto"/>
        </w:rPr>
        <w:t xml:space="preserve"> suggest that γδ CAR-iT cells provide an opportunity to deliver allogeneic T cell therapies without risk for graft-versus-host disease. CNTY-102 will be a CAR-γδ iT candidate targeting CD19, and a second antigen for relapsed/refractory B cell lymphoma and other B cell malignancies.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to the NASDAQ Biotechnology Index (NASDAQ: NBI) in December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34886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3488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Milestones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Good Manufacturing Practice (cGMP) manufacturing facility expected to be operational in 2022.</w:t>
      </w:r>
    </w:p>
    <w:p>
      <w:pPr>
        <w:spacing w:after="0" w:line="25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CNTY-101 IND filing remains on track for mid-2022. Subject to U.S. FDA acceptance of its IND application, the Company plans to initiate the Phase 1 ELiPSE-1 trial of CNTY-101 in relapsed/refractory lymphoma in 2022.</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 to submit an IND for CNTY-103 in 2023. CNTY-103 is Century’s first solid tumor candidate for glioblastoma.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Year-end 2021 Financial Results</w:t>
      </w:r>
    </w:p>
    <w:p>
      <w:pPr>
        <w:spacing w:after="0" w:line="225" w:lineRule="exact"/>
        <w:rPr>
          <w:sz w:val="20"/>
          <w:szCs w:val="20"/>
          <w:color w:val="auto"/>
        </w:rPr>
      </w:pPr>
    </w:p>
    <w:p>
      <w:pPr>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Cash, cash equivalents, and marketable securities were $358.8 million as of December 31, 2021, as compared to $76.8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of December 31, 2020. Net cash used in operations was $89.0 million for the twelve months ended December 31, 2021, compared to $41.3 million for the twelve months ended December 31, 2020.</w:t>
      </w:r>
    </w:p>
    <w:p>
      <w:pPr>
        <w:spacing w:after="0" w:line="202" w:lineRule="exact"/>
        <w:rPr>
          <w:rFonts w:ascii="Arial" w:cs="Arial" w:eastAsia="Arial" w:hAnsi="Arial"/>
          <w:sz w:val="18"/>
          <w:szCs w:val="18"/>
          <w:color w:val="auto"/>
        </w:rPr>
      </w:pPr>
    </w:p>
    <w:p>
      <w:pPr>
        <w:ind w:left="660" w:right="180" w:hanging="319"/>
        <w:spacing w:after="0" w:line="314"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Research and Development (R&amp;D) expenses</w:t>
      </w:r>
      <w:r>
        <w:rPr>
          <w:rFonts w:ascii="Arial" w:cs="Arial" w:eastAsia="Arial" w:hAnsi="Arial"/>
          <w:sz w:val="16"/>
          <w:szCs w:val="16"/>
          <w:color w:val="auto"/>
        </w:rPr>
        <w:t>: R&amp;D expenses were $75.6 million for the year ended December 31, 2021, compared to $39.7</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year ended December 31, 2020. The increase in R&amp;D expenses was primarily due to an increase in personnel expenses related to increased headcount to expand the Company’s R&amp;D capabilities, costs for preclinical studies, costs for laboratory supplies, and facility costs.</w:t>
      </w:r>
    </w:p>
    <w:p>
      <w:pPr>
        <w:spacing w:after="0" w:line="141" w:lineRule="exact"/>
        <w:rPr>
          <w:rFonts w:ascii="Arial" w:cs="Arial" w:eastAsia="Arial" w:hAnsi="Arial"/>
          <w:sz w:val="16"/>
          <w:szCs w:val="16"/>
          <w:color w:val="auto"/>
        </w:rPr>
      </w:pPr>
    </w:p>
    <w:p>
      <w:pPr>
        <w:ind w:left="700" w:right="80" w:hanging="346"/>
        <w:spacing w:after="0" w:line="261" w:lineRule="auto"/>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General and Administrative (G&amp;A) expenses</w:t>
      </w:r>
      <w:r>
        <w:rPr>
          <w:rFonts w:ascii="Arial" w:cs="Arial" w:eastAsia="Arial" w:hAnsi="Arial"/>
          <w:sz w:val="18"/>
          <w:szCs w:val="18"/>
          <w:color w:val="auto"/>
        </w:rPr>
        <w:t>: G&amp;A expenses were $19.2 million for the year ended December 31, 2021, compared to $9.5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year ended December 31, 2020. The increase was primarily due to an increase in personnel related expense due to an increase in employee headcount and an increase in the Company’s professional fees as a result of expanded operations to support its infrastructure as well as additional costs to operate as a public company.</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Net loss</w:t>
      </w:r>
      <w:r>
        <w:rPr>
          <w:rFonts w:ascii="Arial" w:cs="Arial" w:eastAsia="Arial" w:hAnsi="Arial"/>
          <w:sz w:val="16"/>
          <w:szCs w:val="16"/>
          <w:color w:val="auto"/>
        </w:rPr>
        <w:t>: Net loss was $95.8 million for the year ended December 31, 2021, compared to $53.6 million for the year ended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29" w:lineRule="exact"/>
        <w:rPr>
          <w:sz w:val="20"/>
          <w:szCs w:val="20"/>
          <w:color w:val="auto"/>
        </w:rPr>
      </w:pPr>
    </w:p>
    <w:p>
      <w:pPr>
        <w:ind w:left="660" w:right="6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expects full year GAAP Operating Expenses to be between $155 million and $165 million including non-cash stock-based compensation expense of $10 million to $15 million.</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expects its cash, cash equivalents, and marketable securities, including proceeds from the Bristol Myers Squibb collaboration agreement, will support operations into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348865" cy="702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3488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Century Therapeutics</w:t>
      </w:r>
    </w:p>
    <w:p>
      <w:pPr>
        <w:spacing w:after="0" w:line="2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 xml:space="preserve">Century Therapeutics, Inc. (NASDAQ: IPSC) is harnessing the power of adult stem cells to develop curative cell therapy products for cancer that we believe will allow us to overcome the limitations of first-generation cell therapies. Our genetically engineered, iPSC-derived iNK and iT cell product candidates are designed to specifically target hematologic and solid tumor cancers. We are leveraging our expertise in cellular reprogramming, genetic engineering, and manufacturing to develop therapies with the potential to overcome many of the challenges inherent to cell therapy and provide a significant advantage over existing cell therapy technologies. We believe our commitment to developing off-the-shelf cell therapies will expand patient access and provide an unparalleled opportunity to advance the course of cancer care. For more information on Century Therapeutics please visit </w:t>
      </w:r>
      <w:r>
        <w:rPr>
          <w:rFonts w:ascii="Arial" w:cs="Arial" w:eastAsia="Arial" w:hAnsi="Arial"/>
          <w:sz w:val="18"/>
          <w:szCs w:val="18"/>
          <w:u w:val="single" w:color="auto"/>
          <w:color w:val="auto"/>
        </w:rPr>
        <w:t>https://www.centurytx.com/</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and made pursuant to the safe harbor provisions of, The Private Securities Litigation Reform Act of 1995. All statements contained in this press release, other than statements of historical facts or statements that relate to present facts or current conditions, including but not limited to, statements regarding our cash and financial resources, our clinical development plans, the development of our U.S. manufacturing facility, and our financial guidance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“might,” “will,” “should,” “expect,” “plan,” “aim,” “seek,” “anticipate,” “could,” “intend,” “target,” “project,” “contemplate,” “believe,” “estimate,” “predict,” “forecast,” “potential” or “continue” or the negative of these terms or other similar expressions. The forward-looking statements in this presentation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a number of risks, uncertainties and assumptions, some of which cannot be predicted or quantified and some of which are beyond our control, including, among others: our ability to successfully advance our current and future product candidates through development activities, preclinical studies, and clinical trials; our reliance on the maintenance of certain key collaborative relationships for the manufacturing and development of our product candidates; the timing, scope and likelihood of regulatory filings and approvals, including final regulatory approval of our product candidates; the impact of the COVID-19 pandemic on our business and operations; the performance of third parties in connection with the development of our product candidates, including third parties conducting our future clinical trials as well as third-party suppliers and manufacturers; our ability to successfully commercialize our product candidates and develop sales and marketing capabilities, if our product candidates are approved; and our ability to maintain and successfully enforce adequate intellectual property protection. These and other risks and uncertainties are described more fully in the “Risk Factors” section of our most recent filings with the Securities and Exchange Commission and available at www.sec.gov.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Company: Elizabeth Krutoholow – </w:t>
      </w:r>
      <w:r>
        <w:rPr>
          <w:rFonts w:ascii="Arial" w:cs="Arial" w:eastAsia="Arial" w:hAnsi="Arial"/>
          <w:sz w:val="18"/>
          <w:szCs w:val="18"/>
          <w:u w:val="single" w:color="auto"/>
          <w:color w:val="auto"/>
        </w:rPr>
        <w:t>investor.relations@centurytx.com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Melissa Forst/Maghan Meyers – </w:t>
      </w:r>
      <w:r>
        <w:rPr>
          <w:rFonts w:ascii="Arial" w:cs="Arial" w:eastAsia="Arial" w:hAnsi="Arial"/>
          <w:sz w:val="18"/>
          <w:szCs w:val="18"/>
          <w:u w:val="single" w:color="auto"/>
          <w:color w:val="auto"/>
        </w:rPr>
        <w:t>century@argotpartners.com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Joshua R. Mansbach – </w:t>
      </w:r>
      <w:r>
        <w:rPr>
          <w:rFonts w:ascii="Arial" w:cs="Arial" w:eastAsia="Arial" w:hAnsi="Arial"/>
          <w:sz w:val="18"/>
          <w:szCs w:val="18"/>
          <w:u w:val="single" w:color="auto"/>
          <w:color w:val="auto"/>
        </w:rPr>
        <w:t>century@argotpartners.com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348865" cy="702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3488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5800" w:type="dxa"/>
            <w:vAlign w:val="bottom"/>
            <w:tcBorders>
              <w:bottom w:val="single" w:sz="8" w:color="CCEEFF"/>
            </w:tcBorders>
          </w:tcPr>
          <w:p>
            <w:pPr>
              <w:spacing w:after="0"/>
              <w:rPr>
                <w:sz w:val="20"/>
                <w:szCs w:val="20"/>
                <w:color w:val="auto"/>
              </w:rPr>
            </w:pPr>
          </w:p>
        </w:tc>
        <w:tc>
          <w:tcPr>
            <w:tcW w:w="26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Current Assets: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56,445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27,211</w:t>
            </w:r>
          </w:p>
        </w:tc>
        <w:tc>
          <w:tcPr>
            <w:tcW w:w="80" w:type="dxa"/>
            <w:vAlign w:val="bottom"/>
            <w:shd w:val="clear" w:color="auto" w:fill="CCEEFF"/>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Short-term investment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166,434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48,542</w:t>
            </w:r>
          </w:p>
        </w:tc>
      </w:tr>
      <w:tr>
        <w:trPr>
          <w:trHeight w:val="230"/>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80" w:type="dxa"/>
            <w:vAlign w:val="bottom"/>
            <w:shd w:val="clear" w:color="auto" w:fill="CCEEFF"/>
          </w:tcPr>
          <w:p>
            <w:pPr>
              <w:spacing w:after="0"/>
              <w:rPr>
                <w:sz w:val="19"/>
                <w:szCs w:val="19"/>
                <w:color w:val="auto"/>
              </w:rPr>
            </w:pPr>
          </w:p>
        </w:tc>
      </w:tr>
      <w:tr>
        <w:trPr>
          <w:trHeight w:val="209"/>
        </w:trPr>
        <w:tc>
          <w:tcPr>
            <w:tcW w:w="58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228,154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78,797</w:t>
            </w:r>
          </w:p>
        </w:tc>
        <w:tc>
          <w:tcPr>
            <w:tcW w:w="100" w:type="dxa"/>
            <w:vAlign w:val="bottom"/>
            <w:gridSpan w:val="2"/>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15,385</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lease right-of-use, net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11,854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9,392</w:t>
            </w: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spacing w:after="0"/>
              <w:rPr>
                <w:sz w:val="18"/>
                <w:szCs w:val="18"/>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Other long-term assets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2,149</w:t>
            </w:r>
          </w:p>
        </w:tc>
        <w:tc>
          <w:tcPr>
            <w:tcW w:w="80" w:type="dxa"/>
            <w:vAlign w:val="bottom"/>
          </w:tcPr>
          <w:p>
            <w:pPr>
              <w:spacing w:after="0"/>
              <w:rPr>
                <w:sz w:val="19"/>
                <w:szCs w:val="19"/>
                <w:color w:val="auto"/>
              </w:rPr>
            </w:pPr>
          </w:p>
        </w:tc>
      </w:tr>
      <w:tr>
        <w:trPr>
          <w:trHeight w:val="223"/>
        </w:trPr>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437,375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106,776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Current liabilities: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80" w:type="dxa"/>
            <w:vAlign w:val="bottom"/>
            <w:shd w:val="clear" w:color="auto" w:fill="CCEEFF"/>
          </w:tcPr>
          <w:p>
            <w:pPr>
              <w:spacing w:after="0"/>
              <w:rPr>
                <w:sz w:val="18"/>
                <w:szCs w:val="18"/>
                <w:color w:val="auto"/>
              </w:rPr>
            </w:pP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4,030</w:t>
            </w:r>
          </w:p>
        </w:tc>
        <w:tc>
          <w:tcPr>
            <w:tcW w:w="80" w:type="dxa"/>
            <w:vAlign w:val="bottom"/>
          </w:tcPr>
          <w:p>
            <w:pPr>
              <w:spacing w:after="0"/>
              <w:rPr>
                <w:sz w:val="19"/>
                <w:szCs w:val="19"/>
                <w:color w:val="auto"/>
              </w:rPr>
            </w:pPr>
          </w:p>
        </w:tc>
      </w:tr>
      <w:tr>
        <w:trPr>
          <w:trHeight w:val="210"/>
        </w:trPr>
        <w:tc>
          <w:tcPr>
            <w:tcW w:w="580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2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lease liability, noncurrent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11,679</w:t>
            </w: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80" w:type="dxa"/>
            <w:vAlign w:val="bottom"/>
            <w:shd w:val="clear" w:color="auto" w:fill="CCEEFF"/>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Non-cumulative convertible preferred stock</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179,761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785,049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217,832</w:t>
            </w:r>
          </w:p>
        </w:tc>
        <w:tc>
          <w:tcPr>
            <w:tcW w:w="80" w:type="dxa"/>
            <w:vAlign w:val="bottom"/>
            <w:shd w:val="clear" w:color="auto" w:fill="CCEEFF"/>
          </w:tcPr>
          <w:p>
            <w:pPr>
              <w:spacing w:after="0"/>
              <w:rPr>
                <w:sz w:val="18"/>
                <w:szCs w:val="18"/>
                <w:color w:val="auto"/>
              </w:rPr>
            </w:pPr>
          </w:p>
        </w:tc>
      </w:tr>
      <w:tr>
        <w:trPr>
          <w:trHeight w:val="216"/>
        </w:trPr>
        <w:tc>
          <w:tcPr>
            <w:tcW w:w="5800" w:type="dxa"/>
            <w:vAlign w:val="bottom"/>
          </w:tcPr>
          <w:p>
            <w:pPr>
              <w:ind w:left="140"/>
              <w:spacing w:after="0"/>
              <w:rPr>
                <w:sz w:val="20"/>
                <w:szCs w:val="20"/>
                <w:color w:val="auto"/>
              </w:rPr>
            </w:pPr>
            <w:r>
              <w:rPr>
                <w:rFonts w:ascii="Arial" w:cs="Arial" w:eastAsia="Arial" w:hAnsi="Arial"/>
                <w:sz w:val="18"/>
                <w:szCs w:val="18"/>
                <w:color w:val="auto"/>
              </w:rPr>
              <w:t>Subscription receivable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(31,900)</w:t>
            </w:r>
          </w:p>
        </w:tc>
      </w:tr>
      <w:tr>
        <w:trPr>
          <w:trHeight w:val="216"/>
        </w:trPr>
        <w:tc>
          <w:tcPr>
            <w:tcW w:w="5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(388,166)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(292,342)</w:t>
            </w:r>
          </w:p>
        </w:tc>
      </w:tr>
      <w:tr>
        <w:trPr>
          <w:trHeight w:val="230"/>
        </w:trPr>
        <w:tc>
          <w:tcPr>
            <w:tcW w:w="58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580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396,238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58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437,375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41"/>
        </w:trPr>
        <w:tc>
          <w:tcPr>
            <w:tcW w:w="58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348865" cy="702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488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Century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Year Ended</w:t>
            </w:r>
          </w:p>
        </w:tc>
      </w:tr>
      <w:tr>
        <w:trPr>
          <w:trHeight w:val="191"/>
        </w:trPr>
        <w:tc>
          <w:tcPr>
            <w:tcW w:w="62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16"/>
                <w:szCs w:val="16"/>
                <w:color w:val="auto"/>
              </w:rPr>
            </w:pPr>
          </w:p>
        </w:tc>
      </w:tr>
      <w:tr>
        <w:trPr>
          <w:trHeight w:val="234"/>
        </w:trPr>
        <w:tc>
          <w:tcPr>
            <w:tcW w:w="626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75,648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39,681</w:t>
            </w:r>
          </w:p>
        </w:tc>
      </w:tr>
      <w:tr>
        <w:trPr>
          <w:trHeight w:val="216"/>
        </w:trPr>
        <w:tc>
          <w:tcPr>
            <w:tcW w:w="6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9,495</w:t>
            </w: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Write off of in-process research and development asset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4,722</w:t>
            </w:r>
          </w:p>
        </w:tc>
      </w:tr>
      <w:tr>
        <w:trPr>
          <w:trHeight w:val="209"/>
        </w:trPr>
        <w:tc>
          <w:tcPr>
            <w:tcW w:w="62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(53,898)</w:t>
            </w:r>
          </w:p>
        </w:tc>
      </w:tr>
      <w:tr>
        <w:trPr>
          <w:trHeight w:val="216"/>
        </w:trPr>
        <w:tc>
          <w:tcPr>
            <w:tcW w:w="6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income, net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626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Unrealized (loss) on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Foreign currency translation adjustment</w:t>
      </w:r>
    </w:p>
    <w:p>
      <w:pPr>
        <w:spacing w:after="0" w:line="20" w:lineRule="exact"/>
        <w:rPr>
          <w:sz w:val="20"/>
          <w:szCs w:val="20"/>
          <w:color w:val="auto"/>
        </w:rPr>
      </w:pPr>
      <w:r>
        <w:rPr>
          <w:sz w:val="20"/>
          <w:szCs w:val="20"/>
          <w:color w:val="auto"/>
        </w:rPr>
        <w:br w:type="column"/>
      </w:r>
    </w:p>
    <w:p>
      <w:pPr>
        <w:spacing w:after="0"/>
        <w:tabs>
          <w:tab w:leader="none" w:pos="680" w:val="left"/>
          <w:tab w:leader="none" w:pos="1440" w:val="left"/>
          <w:tab w:leader="none" w:pos="21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(95,824)</w:t>
        <w:tab/>
        <w:t>$</w:t>
      </w:r>
      <w:r>
        <w:rPr>
          <w:sz w:val="20"/>
          <w:szCs w:val="20"/>
          <w:color w:val="auto"/>
        </w:rPr>
        <w:tab/>
      </w:r>
      <w:r>
        <w:rPr>
          <w:rFonts w:ascii="Arial" w:cs="Arial" w:eastAsia="Arial" w:hAnsi="Arial"/>
          <w:sz w:val="16"/>
          <w:szCs w:val="16"/>
          <w:b w:val="1"/>
          <w:bCs w:val="1"/>
          <w:color w:val="auto"/>
        </w:rPr>
        <w:t>(53,575)</w:t>
      </w:r>
    </w:p>
    <w:p>
      <w:pPr>
        <w:spacing w:after="0" w:line="211" w:lineRule="exact"/>
        <w:rPr>
          <w:sz w:val="20"/>
          <w:szCs w:val="20"/>
          <w:color w:val="auto"/>
        </w:rPr>
      </w:pPr>
    </w:p>
    <w:p>
      <w:pPr>
        <w:ind w:left="920"/>
        <w:spacing w:after="0"/>
        <w:tabs>
          <w:tab w:leader="none" w:pos="258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8"/>
          <w:szCs w:val="18"/>
          <w:color w:val="auto"/>
        </w:rPr>
        <w:t>8</w:t>
      </w:r>
    </w:p>
    <w:p>
      <w:pPr>
        <w:spacing w:after="0" w:line="50" w:lineRule="exact"/>
        <w:rPr>
          <w:sz w:val="20"/>
          <w:szCs w:val="20"/>
          <w:color w:val="auto"/>
        </w:rPr>
      </w:pPr>
    </w:p>
    <w:p>
      <w:pPr>
        <w:ind w:left="2540" w:hanging="1532"/>
        <w:spacing w:after="0"/>
        <w:tabs>
          <w:tab w:leader="none" w:pos="2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(8)</w:t>
      </w:r>
    </w:p>
    <w:p>
      <w:pPr>
        <w:spacing w:after="0" w:line="23" w:lineRule="exact"/>
        <w:rPr>
          <w:sz w:val="20"/>
          <w:szCs w:val="20"/>
          <w:color w:val="auto"/>
        </w:rPr>
      </w:pPr>
    </w:p>
    <w:p>
      <w:pPr>
        <w:sectPr>
          <w:pgSz w:w="11900" w:h="16838" w:orient="portrait"/>
          <w:cols w:equalWidth="0" w:num="2">
            <w:col w:w="7720" w:space="720"/>
            <w:col w:w="28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loss</w:t>
            </w:r>
          </w:p>
        </w:tc>
        <w:tc>
          <w:tcPr>
            <w:tcW w:w="25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(96,471</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9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92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2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(2.96)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(7.16)</w:t>
            </w:r>
          </w:p>
        </w:tc>
      </w:tr>
      <w:tr>
        <w:trPr>
          <w:trHeight w:val="210"/>
        </w:trPr>
        <w:tc>
          <w:tcPr>
            <w:tcW w:w="59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32,392,554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7,481,861</w:t>
            </w:r>
          </w:p>
        </w:tc>
        <w:tc>
          <w:tcPr>
            <w:tcW w:w="100" w:type="dxa"/>
            <w:vAlign w:val="bottom"/>
          </w:tcPr>
          <w:p>
            <w:pPr>
              <w:spacing w:after="0"/>
              <w:rPr>
                <w:sz w:val="18"/>
                <w:szCs w:val="18"/>
                <w:color w:val="auto"/>
              </w:rPr>
            </w:pPr>
          </w:p>
        </w:tc>
      </w:tr>
      <w:tr>
        <w:trPr>
          <w:trHeight w:val="642"/>
        </w:trPr>
        <w:tc>
          <w:tcPr>
            <w:tcW w:w="5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2022-03-17T07:03:25Z</dcterms:created>
  <dcterms:modified xsi:type="dcterms:W3CDTF">2022-03-17T07:03:25Z</dcterms:modified>
</cp:coreProperties>
</file>