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520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5205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Blackwell Kimberly</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3675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Century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IPSC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06/17/2021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PHILADELPHIA PA</w:t>
            </w:r>
          </w:p>
        </w:tc>
        <w:tc>
          <w:tcPr>
            <w:tcW w:w="1600" w:type="dxa"/>
            <w:vAlign w:val="bottom"/>
          </w:tcPr>
          <w:p>
            <w:pPr>
              <w:ind w:left="420"/>
              <w:spacing w:after="0"/>
              <w:rPr>
                <w:sz w:val="20"/>
                <w:szCs w:val="20"/>
                <w:color w:val="auto"/>
              </w:rPr>
            </w:pPr>
            <w:r>
              <w:rPr>
                <w:rFonts w:ascii="Arial" w:cs="Arial" w:eastAsia="Arial" w:hAnsi="Arial"/>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75"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19,872</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(right to</w:t>
            </w:r>
          </w:p>
        </w:tc>
        <w:tc>
          <w:tcPr>
            <w:tcW w:w="780" w:type="dxa"/>
            <w:vAlign w:val="bottom"/>
          </w:tcPr>
          <w:p>
            <w:pPr>
              <w:ind w:left="30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w:t>
            </w:r>
          </w:p>
        </w:tc>
        <w:tc>
          <w:tcPr>
            <w:tcW w:w="1080" w:type="dxa"/>
            <w:vAlign w:val="bottom"/>
          </w:tcPr>
          <w:p>
            <w:pPr>
              <w:jc w:val="right"/>
              <w:ind w:right="180"/>
              <w:spacing w:after="0" w:line="125" w:lineRule="exact"/>
              <w:rPr>
                <w:sz w:val="20"/>
                <w:szCs w:val="20"/>
                <w:color w:val="auto"/>
              </w:rPr>
            </w:pPr>
            <w:r>
              <w:rPr>
                <w:rFonts w:ascii="Arial" w:cs="Arial" w:eastAsia="Arial" w:hAnsi="Arial"/>
                <w:sz w:val="13"/>
                <w:szCs w:val="13"/>
                <w:color w:val="0000FF"/>
              </w:rPr>
              <w:t>06/17/2021</w:t>
            </w:r>
          </w:p>
        </w:tc>
        <w:tc>
          <w:tcPr>
            <w:tcW w:w="1100" w:type="dxa"/>
            <w:vAlign w:val="bottom"/>
          </w:tcPr>
          <w:p>
            <w:pPr>
              <w:spacing w:after="0"/>
              <w:rPr>
                <w:sz w:val="10"/>
                <w:szCs w:val="10"/>
                <w:color w:val="auto"/>
              </w:rPr>
            </w:pPr>
          </w:p>
        </w:tc>
        <w:tc>
          <w:tcPr>
            <w:tcW w:w="780" w:type="dxa"/>
            <w:vAlign w:val="bottom"/>
          </w:tcPr>
          <w:p>
            <w:pPr>
              <w:ind w:left="160"/>
              <w:spacing w:after="0" w:line="125" w:lineRule="exact"/>
              <w:rPr>
                <w:sz w:val="20"/>
                <w:szCs w:val="20"/>
                <w:color w:val="auto"/>
              </w:rPr>
            </w:pPr>
            <w:r>
              <w:rPr>
                <w:rFonts w:ascii="Arial" w:cs="Arial" w:eastAsia="Arial" w:hAnsi="Arial"/>
                <w:sz w:val="13"/>
                <w:szCs w:val="13"/>
                <w:color w:val="0000FF"/>
              </w:rPr>
              <w:t>A</w:t>
            </w:r>
          </w:p>
        </w:tc>
        <w:tc>
          <w:tcPr>
            <w:tcW w:w="520" w:type="dxa"/>
            <w:vAlign w:val="bottom"/>
          </w:tcPr>
          <w:p>
            <w:pPr>
              <w:ind w:left="100"/>
              <w:spacing w:after="0" w:line="125" w:lineRule="exact"/>
              <w:rPr>
                <w:sz w:val="20"/>
                <w:szCs w:val="20"/>
                <w:color w:val="auto"/>
              </w:rPr>
            </w:pPr>
            <w:r>
              <w:rPr>
                <w:rFonts w:ascii="Arial" w:cs="Arial" w:eastAsia="Arial" w:hAnsi="Arial"/>
                <w:sz w:val="13"/>
                <w:szCs w:val="13"/>
                <w:color w:val="0000FF"/>
              </w:rPr>
              <w:t>19,872</w:t>
            </w:r>
          </w:p>
        </w:tc>
        <w:tc>
          <w:tcPr>
            <w:tcW w:w="2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3"/>
                <w:szCs w:val="13"/>
                <w:color w:val="0000FF"/>
                <w:w w:val="98"/>
              </w:rPr>
              <w:t>06/17/2031</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tcPr>
          <w:p>
            <w:pPr>
              <w:ind w:left="2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25" w:lineRule="exact"/>
              <w:rPr>
                <w:sz w:val="20"/>
                <w:szCs w:val="20"/>
                <w:color w:val="auto"/>
              </w:rPr>
            </w:pPr>
            <w:r>
              <w:rPr>
                <w:rFonts w:ascii="Arial" w:cs="Arial" w:eastAsia="Arial" w:hAnsi="Arial"/>
                <w:sz w:val="13"/>
                <w:szCs w:val="13"/>
                <w:color w:val="0000FF"/>
              </w:rPr>
              <w:t>19,872</w:t>
            </w:r>
          </w:p>
        </w:tc>
        <w:tc>
          <w:tcPr>
            <w:tcW w:w="72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The option vests on the earlier of (a) June 17, 2022 or (b) the next annual meeting of stockholders, subject to the Reporting Person's continued service through the applicable vesting date.</w:t>
      </w:r>
    </w:p>
    <w:p>
      <w:pPr>
        <w:ind w:left="6600"/>
        <w:spacing w:after="0" w:line="183" w:lineRule="auto"/>
        <w:rPr>
          <w:sz w:val="20"/>
          <w:szCs w:val="20"/>
          <w:color w:val="auto"/>
        </w:rPr>
      </w:pPr>
      <w:r>
        <w:rPr>
          <w:rFonts w:ascii="Arial" w:cs="Arial" w:eastAsia="Arial" w:hAnsi="Arial"/>
          <w:sz w:val="17"/>
          <w:szCs w:val="17"/>
          <w:color w:val="0000FF"/>
        </w:rPr>
        <w:t xml:space="preserve">/s/ Michael Diem, Attorney-in-  </w:t>
      </w:r>
      <w:r>
        <w:rPr>
          <w:rFonts w:ascii="Arial" w:cs="Arial" w:eastAsia="Arial" w:hAnsi="Arial"/>
          <w:sz w:val="33"/>
          <w:szCs w:val="33"/>
          <w:color w:val="0000FF"/>
          <w:vertAlign w:val="subscript"/>
        </w:rPr>
        <w:t>06/21/2021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4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59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16465"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2021-06-21T15:42:31Z</dcterms:created>
  <dcterms:modified xsi:type="dcterms:W3CDTF">2021-06-21T15:42:31Z</dcterms:modified>
</cp:coreProperties>
</file>