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6"/>
          <w:szCs w:val="16"/>
          <w:b w:val="1"/>
          <w:bCs w:val="1"/>
          <w:color w:val="auto"/>
        </w:rPr>
        <w:t>As filed with the United States Securities and Exchange Commission on March 17, 2023</w:t>
      </w:r>
    </w:p>
    <w:p>
      <w:pPr>
        <w:spacing w:after="0" w:line="248"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8" w:lineRule="exact"/>
        <w:rPr>
          <w:sz w:val="24"/>
          <w:szCs w:val="24"/>
          <w:color w:val="auto"/>
        </w:rPr>
      </w:pPr>
    </w:p>
    <w:p>
      <w:pPr>
        <w:jc w:val="center"/>
        <w:ind w:right="60"/>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60"/>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60"/>
        <w:spacing w:after="0"/>
        <w:rPr>
          <w:sz w:val="20"/>
          <w:szCs w:val="20"/>
          <w:color w:val="auto"/>
        </w:rPr>
      </w:pPr>
      <w:r>
        <w:rPr>
          <w:rFonts w:ascii="Arial" w:cs="Arial" w:eastAsia="Arial" w:hAnsi="Arial"/>
          <w:sz w:val="25"/>
          <w:szCs w:val="25"/>
          <w:b w:val="1"/>
          <w:bCs w:val="1"/>
          <w:color w:val="auto"/>
        </w:rPr>
        <w:t>FORM S-8</w:t>
      </w:r>
    </w:p>
    <w:p>
      <w:pPr>
        <w:spacing w:after="0" w:line="3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REGISTRATION STATEMENT</w:t>
      </w:r>
    </w:p>
    <w:p>
      <w:pPr>
        <w:spacing w:after="0" w:line="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Under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47" w:lineRule="exact"/>
        <w:rPr>
          <w:sz w:val="24"/>
          <w:szCs w:val="24"/>
          <w:color w:val="auto"/>
        </w:rPr>
      </w:pPr>
    </w:p>
    <w:p>
      <w:pPr>
        <w:jc w:val="center"/>
        <w:ind w:right="60"/>
        <w:spacing w:after="0"/>
        <w:rPr>
          <w:sz w:val="20"/>
          <w:szCs w:val="20"/>
          <w:color w:val="auto"/>
        </w:rPr>
      </w:pPr>
      <w:r>
        <w:rPr>
          <w:rFonts w:ascii="Arial" w:cs="Arial" w:eastAsia="Arial" w:hAnsi="Arial"/>
          <w:sz w:val="25"/>
          <w:szCs w:val="25"/>
          <w:b w:val="1"/>
          <w:bCs w:val="1"/>
          <w:color w:val="auto"/>
        </w:rPr>
        <w:t>CENTURY THERAPEUTICS,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472" w:right="339" w:bottom="1440" w:gutter="0" w:footer="0" w:header="0"/>
        </w:sectPr>
      </w:pPr>
    </w:p>
    <w:p>
      <w:pPr>
        <w:spacing w:after="0" w:line="205" w:lineRule="exact"/>
        <w:rPr>
          <w:sz w:val="24"/>
          <w:szCs w:val="24"/>
          <w:color w:val="auto"/>
        </w:rPr>
      </w:pPr>
    </w:p>
    <w:p>
      <w:pPr>
        <w:jc w:val="center"/>
        <w:ind w:right="9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860"/>
        <w:spacing w:after="0"/>
        <w:rPr>
          <w:sz w:val="20"/>
          <w:szCs w:val="20"/>
          <w:color w:val="auto"/>
        </w:rPr>
      </w:pPr>
      <w:r>
        <w:rPr>
          <w:rFonts w:ascii="Arial" w:cs="Arial" w:eastAsia="Arial" w:hAnsi="Arial"/>
          <w:sz w:val="16"/>
          <w:szCs w:val="16"/>
          <w:color w:val="auto"/>
        </w:rPr>
        <w:t>(State or other jurisdiction of incorporation or</w:t>
      </w:r>
    </w:p>
    <w:p>
      <w:pPr>
        <w:spacing w:after="0" w:line="32" w:lineRule="exact"/>
        <w:rPr>
          <w:sz w:val="24"/>
          <w:szCs w:val="24"/>
          <w:color w:val="auto"/>
        </w:rPr>
      </w:pPr>
    </w:p>
    <w:p>
      <w:pPr>
        <w:jc w:val="center"/>
        <w:ind w:right="860"/>
        <w:spacing w:after="0"/>
        <w:rPr>
          <w:sz w:val="20"/>
          <w:szCs w:val="20"/>
          <w:color w:val="auto"/>
        </w:rPr>
      </w:pPr>
      <w:r>
        <w:rPr>
          <w:rFonts w:ascii="Arial" w:cs="Arial" w:eastAsia="Arial" w:hAnsi="Arial"/>
          <w:sz w:val="18"/>
          <w:szCs w:val="18"/>
          <w:color w:val="auto"/>
        </w:rPr>
        <w:t>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440"/>
        <w:spacing w:after="0"/>
        <w:rPr>
          <w:sz w:val="20"/>
          <w:szCs w:val="20"/>
          <w:color w:val="auto"/>
        </w:rPr>
      </w:pPr>
      <w:r>
        <w:rPr>
          <w:rFonts w:ascii="Arial" w:cs="Arial" w:eastAsia="Arial" w:hAnsi="Arial"/>
          <w:sz w:val="18"/>
          <w:szCs w:val="18"/>
          <w:b w:val="1"/>
          <w:bCs w:val="1"/>
          <w:color w:val="auto"/>
        </w:rPr>
        <w:t>84-2040295</w:t>
      </w:r>
    </w:p>
    <w:p>
      <w:pPr>
        <w:spacing w:after="0" w:line="27" w:lineRule="exact"/>
        <w:rPr>
          <w:sz w:val="24"/>
          <w:szCs w:val="24"/>
          <w:color w:val="auto"/>
        </w:rPr>
      </w:pPr>
    </w:p>
    <w:p>
      <w:pPr>
        <w:jc w:val="center"/>
        <w:ind w:right="1440"/>
        <w:spacing w:after="0"/>
        <w:rPr>
          <w:sz w:val="20"/>
          <w:szCs w:val="20"/>
          <w:color w:val="auto"/>
        </w:rPr>
      </w:pPr>
      <w:r>
        <w:rPr>
          <w:rFonts w:ascii="Arial" w:cs="Arial" w:eastAsia="Arial" w:hAnsi="Arial"/>
          <w:sz w:val="16"/>
          <w:szCs w:val="16"/>
          <w:color w:val="auto"/>
        </w:rPr>
        <w:t>(I.R.S. Employer Identification No.)</w:t>
      </w:r>
    </w:p>
    <w:p>
      <w:pPr>
        <w:spacing w:after="0" w:line="438" w:lineRule="exact"/>
        <w:rPr>
          <w:sz w:val="24"/>
          <w:szCs w:val="24"/>
          <w:color w:val="auto"/>
        </w:rPr>
      </w:pPr>
    </w:p>
    <w:p>
      <w:pPr>
        <w:sectPr>
          <w:pgSz w:w="11900" w:h="16838" w:orient="portrait"/>
          <w:cols w:equalWidth="0" w:num="2">
            <w:col w:w="6480" w:space="720"/>
            <w:col w:w="4040"/>
          </w:cols>
          <w:pgMar w:left="320" w:top="472" w:right="339" w:bottom="1440" w:gutter="0" w:footer="0" w:header="0"/>
          <w:type w:val="continuous"/>
        </w:sectPr>
      </w:pPr>
    </w:p>
    <w:p>
      <w:pPr>
        <w:spacing w:after="0" w:line="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3675 Market Street</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Philadelphia, Pennsylvania 19104</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(267) 817-5790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including zip code,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CENTURY THERAPEUTICS, INC. 2021 EQUITY INCENTIVE PLAN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(Full title of the plans)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3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Osvaldo Flores, Ph.D.</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Century Therapeutics, Inc.</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3675 Market Street</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Philadelphia, Pennsylvania 19104</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(267) 817-5790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address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55"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Copies to:</w:t>
      </w:r>
    </w:p>
    <w:p>
      <w:pPr>
        <w:spacing w:after="0" w:line="23" w:lineRule="exact"/>
        <w:rPr>
          <w:sz w:val="24"/>
          <w:szCs w:val="24"/>
          <w:color w:val="auto"/>
        </w:rPr>
      </w:pPr>
    </w:p>
    <w:p>
      <w:pPr>
        <w:ind w:left="4880"/>
        <w:spacing w:after="0"/>
        <w:rPr>
          <w:sz w:val="20"/>
          <w:szCs w:val="20"/>
          <w:color w:val="auto"/>
        </w:rPr>
      </w:pPr>
      <w:r>
        <w:rPr>
          <w:rFonts w:ascii="Arial" w:cs="Arial" w:eastAsia="Arial" w:hAnsi="Arial"/>
          <w:sz w:val="18"/>
          <w:szCs w:val="18"/>
          <w:b w:val="1"/>
          <w:bCs w:val="1"/>
          <w:color w:val="auto"/>
        </w:rPr>
        <w:t>Rachael M. Bushey</w:t>
      </w:r>
    </w:p>
    <w:p>
      <w:pPr>
        <w:spacing w:after="0" w:line="9" w:lineRule="exact"/>
        <w:rPr>
          <w:sz w:val="24"/>
          <w:szCs w:val="24"/>
          <w:color w:val="auto"/>
        </w:rPr>
      </w:pPr>
    </w:p>
    <w:p>
      <w:pPr>
        <w:ind w:left="5040"/>
        <w:spacing w:after="0"/>
        <w:rPr>
          <w:sz w:val="20"/>
          <w:szCs w:val="20"/>
          <w:color w:val="auto"/>
        </w:rPr>
      </w:pPr>
      <w:r>
        <w:rPr>
          <w:rFonts w:ascii="Arial" w:cs="Arial" w:eastAsia="Arial" w:hAnsi="Arial"/>
          <w:sz w:val="18"/>
          <w:szCs w:val="18"/>
          <w:b w:val="1"/>
          <w:bCs w:val="1"/>
          <w:color w:val="auto"/>
        </w:rPr>
        <w:t>Jennifer Porter</w:t>
      </w:r>
    </w:p>
    <w:p>
      <w:pPr>
        <w:spacing w:after="0" w:line="9" w:lineRule="exact"/>
        <w:rPr>
          <w:sz w:val="24"/>
          <w:szCs w:val="24"/>
          <w:color w:val="auto"/>
        </w:rPr>
      </w:pPr>
    </w:p>
    <w:p>
      <w:pPr>
        <w:ind w:left="4740"/>
        <w:spacing w:after="0"/>
        <w:rPr>
          <w:sz w:val="20"/>
          <w:szCs w:val="20"/>
          <w:color w:val="auto"/>
        </w:rPr>
      </w:pPr>
      <w:r>
        <w:rPr>
          <w:rFonts w:ascii="Arial" w:cs="Arial" w:eastAsia="Arial" w:hAnsi="Arial"/>
          <w:sz w:val="18"/>
          <w:szCs w:val="18"/>
          <w:b w:val="1"/>
          <w:bCs w:val="1"/>
          <w:color w:val="auto"/>
        </w:rPr>
        <w:t>Goodwin Procter LLP</w:t>
      </w:r>
    </w:p>
    <w:p>
      <w:pPr>
        <w:spacing w:after="0" w:line="9" w:lineRule="exact"/>
        <w:rPr>
          <w:sz w:val="24"/>
          <w:szCs w:val="24"/>
          <w:color w:val="auto"/>
        </w:rPr>
      </w:pPr>
    </w:p>
    <w:p>
      <w:pPr>
        <w:ind w:left="4520"/>
        <w:spacing w:after="0"/>
        <w:rPr>
          <w:sz w:val="20"/>
          <w:szCs w:val="20"/>
          <w:color w:val="auto"/>
        </w:rPr>
      </w:pPr>
      <w:r>
        <w:rPr>
          <w:rFonts w:ascii="Arial" w:cs="Arial" w:eastAsia="Arial" w:hAnsi="Arial"/>
          <w:sz w:val="18"/>
          <w:szCs w:val="18"/>
          <w:b w:val="1"/>
          <w:bCs w:val="1"/>
          <w:color w:val="auto"/>
        </w:rPr>
        <w:t>2929 Arch Street, Suite 1700</w:t>
      </w:r>
    </w:p>
    <w:p>
      <w:pPr>
        <w:spacing w:after="0" w:line="9" w:lineRule="exact"/>
        <w:rPr>
          <w:sz w:val="24"/>
          <w:szCs w:val="24"/>
          <w:color w:val="auto"/>
        </w:rPr>
      </w:pPr>
    </w:p>
    <w:p>
      <w:pPr>
        <w:ind w:left="4720"/>
        <w:spacing w:after="0"/>
        <w:rPr>
          <w:sz w:val="20"/>
          <w:szCs w:val="20"/>
          <w:color w:val="auto"/>
        </w:rPr>
      </w:pPr>
      <w:r>
        <w:rPr>
          <w:rFonts w:ascii="Arial" w:cs="Arial" w:eastAsia="Arial" w:hAnsi="Arial"/>
          <w:sz w:val="18"/>
          <w:szCs w:val="18"/>
          <w:b w:val="1"/>
          <w:bCs w:val="1"/>
          <w:color w:val="auto"/>
        </w:rPr>
        <w:t>Philadelphia, PA 19104</w:t>
      </w:r>
    </w:p>
    <w:p>
      <w:pPr>
        <w:spacing w:after="0" w:line="9" w:lineRule="exact"/>
        <w:rPr>
          <w:sz w:val="24"/>
          <w:szCs w:val="24"/>
          <w:color w:val="auto"/>
        </w:rPr>
      </w:pPr>
    </w:p>
    <w:p>
      <w:pPr>
        <w:ind w:left="5060"/>
        <w:spacing w:after="0"/>
        <w:rPr>
          <w:sz w:val="20"/>
          <w:szCs w:val="20"/>
          <w:color w:val="auto"/>
        </w:rPr>
      </w:pPr>
      <w:r>
        <w:rPr>
          <w:rFonts w:ascii="Arial" w:cs="Arial" w:eastAsia="Arial" w:hAnsi="Arial"/>
          <w:sz w:val="18"/>
          <w:szCs w:val="18"/>
          <w:b w:val="1"/>
          <w:bCs w:val="1"/>
          <w:color w:val="auto"/>
        </w:rPr>
        <w:t>(445) 207-7805</w:t>
      </w:r>
    </w:p>
    <w:p>
      <w:pPr>
        <w:spacing w:after="0" w:line="211" w:lineRule="exact"/>
        <w:rPr>
          <w:sz w:val="24"/>
          <w:szCs w:val="24"/>
          <w:color w:val="auto"/>
        </w:rPr>
      </w:pPr>
    </w:p>
    <w:p>
      <w:pPr>
        <w:jc w:val="both"/>
        <w:ind w:right="16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Securities Exchange Act of 1934, as amended (the “</w:t>
      </w:r>
      <w:r>
        <w:rPr>
          <w:rFonts w:ascii="Arial" w:cs="Arial" w:eastAsia="Arial" w:hAnsi="Arial"/>
          <w:sz w:val="18"/>
          <w:szCs w:val="18"/>
          <w:u w:val="single" w:color="auto"/>
          <w:color w:val="auto"/>
        </w:rPr>
        <w:t>Exchange Act</w:t>
      </w:r>
      <w:r>
        <w:rPr>
          <w:rFonts w:ascii="Arial" w:cs="Arial" w:eastAsia="Arial" w:hAnsi="Arial"/>
          <w:sz w:val="18"/>
          <w:szCs w:val="18"/>
          <w:color w:val="auto"/>
        </w:rPr>
        <w:t>”).</w:t>
      </w:r>
    </w:p>
    <w:p>
      <w:pPr>
        <w:spacing w:after="0" w:line="151" w:lineRule="exact"/>
        <w:rPr>
          <w:sz w:val="24"/>
          <w:szCs w:val="24"/>
          <w:color w:val="auto"/>
        </w:rPr>
      </w:pPr>
    </w:p>
    <w:p>
      <w:pPr>
        <w:spacing w:after="0" w:line="207" w:lineRule="exact"/>
        <w:tabs>
          <w:tab w:leader="none" w:pos="2140" w:val="left"/>
          <w:tab w:leader="none" w:pos="3820" w:val="left"/>
          <w:tab w:leader="none" w:pos="5840" w:val="left"/>
          <w:tab w:leader="none" w:pos="842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Smaller reporting company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58" w:lineRule="exact"/>
        <w:rPr>
          <w:sz w:val="24"/>
          <w:szCs w:val="24"/>
          <w:color w:val="auto"/>
        </w:rPr>
      </w:pPr>
    </w:p>
    <w:p>
      <w:pPr>
        <w:jc w:val="both"/>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321945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630555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This Registration Statement is being filed for the purpose of (i) registering an additional 2,954,788 shares of common stock, $0.0001 par value per share (the “</w:t>
      </w:r>
      <w:r>
        <w:rPr>
          <w:rFonts w:ascii="Arial" w:cs="Arial" w:eastAsia="Arial" w:hAnsi="Arial"/>
          <w:sz w:val="18"/>
          <w:szCs w:val="18"/>
          <w:u w:val="single" w:color="auto"/>
          <w:color w:val="auto"/>
        </w:rPr>
        <w:t>Common Stock</w:t>
      </w:r>
      <w:r>
        <w:rPr>
          <w:rFonts w:ascii="Arial" w:cs="Arial" w:eastAsia="Arial" w:hAnsi="Arial"/>
          <w:sz w:val="18"/>
          <w:szCs w:val="18"/>
          <w:color w:val="auto"/>
        </w:rPr>
        <w:t>”), of Century Therapeutics, Inc. (the “</w:t>
      </w:r>
      <w:r>
        <w:rPr>
          <w:rFonts w:ascii="Arial" w:cs="Arial" w:eastAsia="Arial" w:hAnsi="Arial"/>
          <w:sz w:val="18"/>
          <w:szCs w:val="18"/>
          <w:u w:val="single" w:color="auto"/>
          <w:color w:val="auto"/>
        </w:rPr>
        <w:t>Registrant</w:t>
      </w:r>
      <w:r>
        <w:rPr>
          <w:rFonts w:ascii="Arial" w:cs="Arial" w:eastAsia="Arial" w:hAnsi="Arial"/>
          <w:sz w:val="18"/>
          <w:szCs w:val="18"/>
          <w:color w:val="auto"/>
        </w:rPr>
        <w:t>”) that were added to the shares authorized for issuance under the Century Therapeutics, Inc. 2021 Equity Incentive Plan (the “</w:t>
      </w:r>
      <w:r>
        <w:rPr>
          <w:rFonts w:ascii="Arial" w:cs="Arial" w:eastAsia="Arial" w:hAnsi="Arial"/>
          <w:sz w:val="18"/>
          <w:szCs w:val="18"/>
          <w:u w:val="single" w:color="auto"/>
          <w:color w:val="auto"/>
        </w:rPr>
        <w:t>2021 Plan</w:t>
      </w:r>
      <w:r>
        <w:rPr>
          <w:rFonts w:ascii="Arial" w:cs="Arial" w:eastAsia="Arial" w:hAnsi="Arial"/>
          <w:sz w:val="18"/>
          <w:szCs w:val="18"/>
          <w:color w:val="auto"/>
        </w:rPr>
        <w:t>”) for which a Registration Statement on Form S-8 relating to the same employee benefit plan is effective.</w:t>
      </w:r>
    </w:p>
    <w:p>
      <w:pPr>
        <w:spacing w:after="0" w:line="187" w:lineRule="exact"/>
        <w:rPr>
          <w:sz w:val="20"/>
          <w:szCs w:val="20"/>
          <w:color w:val="auto"/>
        </w:rPr>
      </w:pPr>
    </w:p>
    <w:p>
      <w:pPr>
        <w:ind w:right="180"/>
        <w:spacing w:after="0" w:line="254" w:lineRule="auto"/>
        <w:rPr>
          <w:rFonts w:ascii="Arial" w:cs="Arial" w:eastAsia="Arial" w:hAnsi="Arial"/>
          <w:sz w:val="18"/>
          <w:szCs w:val="18"/>
          <w:color w:val="auto"/>
        </w:rPr>
      </w:pPr>
      <w:r>
        <w:rPr>
          <w:rFonts w:ascii="Arial" w:cs="Arial" w:eastAsia="Arial" w:hAnsi="Arial"/>
          <w:sz w:val="18"/>
          <w:szCs w:val="18"/>
          <w:color w:val="auto"/>
        </w:rPr>
        <w:t>The Registrant previously filed Registration Statements on Form S-8 (File Nos. 333-257644 and 333-263666) with the Securities and Exchange Commission (the “</w:t>
      </w:r>
      <w:r>
        <w:rPr>
          <w:rFonts w:ascii="Arial" w:cs="Arial" w:eastAsia="Arial" w:hAnsi="Arial"/>
          <w:sz w:val="18"/>
          <w:szCs w:val="18"/>
          <w:u w:val="single" w:color="auto"/>
          <w:color w:val="auto"/>
        </w:rPr>
        <w:t>Commission</w:t>
      </w:r>
      <w:r>
        <w:rPr>
          <w:rFonts w:ascii="Arial" w:cs="Arial" w:eastAsia="Arial" w:hAnsi="Arial"/>
          <w:sz w:val="18"/>
          <w:szCs w:val="18"/>
          <w:color w:val="auto"/>
        </w:rPr>
        <w:t xml:space="preserve">”) to register 8,390,987 shares of Common Stock that were authorized for issuance under the 2021 Plan. Upon the effectiveness of this Registration Statement, an aggregate of 11,345,775 shares of Common Stock will be registered for issuance from time to time under the 2021 Plan. Pursuant to General Instruction E to Form S-8, the contents of the Registration Statement on Form S-8 (File Nos. 333-257644 and 333-263666) filed with the Commission on </w:t>
      </w:r>
      <w:hyperlink r:id="rId18">
        <w:r>
          <w:rPr>
            <w:rFonts w:ascii="Arial" w:cs="Arial" w:eastAsia="Arial" w:hAnsi="Arial"/>
            <w:sz w:val="18"/>
            <w:szCs w:val="18"/>
            <w:u w:val="single" w:color="auto"/>
            <w:color w:val="0000EE"/>
          </w:rPr>
          <w:t>July 2, 2021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19">
        <w:r>
          <w:rPr>
            <w:rFonts w:ascii="Arial" w:cs="Arial" w:eastAsia="Arial" w:hAnsi="Arial"/>
            <w:sz w:val="18"/>
            <w:szCs w:val="18"/>
            <w:u w:val="single" w:color="auto"/>
            <w:color w:val="0000EE"/>
          </w:rPr>
          <w:t>March 17, 2022</w:t>
        </w:r>
      </w:hyperlink>
      <w:r>
        <w:rPr>
          <w:rFonts w:ascii="Arial" w:cs="Arial" w:eastAsia="Arial" w:hAnsi="Arial"/>
          <w:sz w:val="18"/>
          <w:szCs w:val="18"/>
          <w:color w:val="auto"/>
        </w:rPr>
        <w:t>, respectively, are incorporated herein by reference except to the extent supplemented, amended or superseded by the information set forth herein. Only those items of Form S-8 containing new information not contained in the earlier registration statement are presented herein.</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0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Plan Information.</w:t>
      </w:r>
    </w:p>
    <w:p>
      <w:pPr>
        <w:spacing w:after="0" w:line="229"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information specified in Part I of Form S-8 is omitted from this filing in accordance with the provisions of Rule 428 under the Securities Act and the introductory note to Part I of the Form S-8 instructions. The documents containing the information specified in Part I will be delivered to the participants in the 2021 Plan as required by Rule 428(b)(1) under the Securities Act.</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0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Incorporation of Documents by Reference.</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documents of the Registrant, filed or to be filed with the Commission, are incorporated by reference in this Registration Statement as of their respective dates:</w:t>
      </w:r>
    </w:p>
    <w:p>
      <w:pPr>
        <w:spacing w:after="0" w:line="170" w:lineRule="exact"/>
        <w:rPr>
          <w:sz w:val="20"/>
          <w:szCs w:val="20"/>
          <w:color w:val="auto"/>
        </w:rPr>
      </w:pPr>
    </w:p>
    <w:p>
      <w:pPr>
        <w:ind w:left="2040" w:hanging="736"/>
        <w:spacing w:after="0"/>
        <w:tabs>
          <w:tab w:leader="none" w:pos="2040" w:val="left"/>
        </w:tabs>
        <w:numPr>
          <w:ilvl w:val="0"/>
          <w:numId w:val="1"/>
        </w:numPr>
        <w:rPr>
          <w:rFonts w:ascii="Arial" w:cs="Arial" w:eastAsia="Arial" w:hAnsi="Arial"/>
          <w:sz w:val="17"/>
          <w:szCs w:val="17"/>
          <w:u w:val="single" w:color="auto"/>
          <w:color w:val="0000EE"/>
        </w:rPr>
      </w:pPr>
      <w:hyperlink r:id="rId20">
        <w:r>
          <w:rPr>
            <w:rFonts w:ascii="Arial" w:cs="Arial" w:eastAsia="Arial" w:hAnsi="Arial"/>
            <w:sz w:val="17"/>
            <w:szCs w:val="17"/>
            <w:u w:val="single" w:color="auto"/>
            <w:color w:val="0000EE"/>
          </w:rPr>
          <w:t>The Registrant’s Annual Report on Form 10-K for the fiscal year ended December 31, 2022, filed with the Commission on</w:t>
        </w:r>
      </w:hyperlink>
    </w:p>
    <w:p>
      <w:pPr>
        <w:spacing w:after="0" w:line="34" w:lineRule="exact"/>
        <w:rPr>
          <w:rFonts w:ascii="Arial" w:cs="Arial" w:eastAsia="Arial" w:hAnsi="Arial"/>
          <w:sz w:val="17"/>
          <w:szCs w:val="17"/>
          <w:u w:val="single" w:color="auto"/>
          <w:color w:val="0000EE"/>
        </w:rPr>
      </w:pPr>
    </w:p>
    <w:p>
      <w:pPr>
        <w:ind w:left="660"/>
        <w:spacing w:after="0"/>
        <w:rPr>
          <w:rFonts w:ascii="Arial" w:cs="Arial" w:eastAsia="Arial" w:hAnsi="Arial"/>
          <w:sz w:val="18"/>
          <w:szCs w:val="18"/>
          <w:u w:val="single" w:color="auto"/>
          <w:color w:val="0000EE"/>
        </w:rPr>
      </w:pPr>
      <w:hyperlink r:id="rId20">
        <w:r>
          <w:rPr>
            <w:rFonts w:ascii="Arial" w:cs="Arial" w:eastAsia="Arial" w:hAnsi="Arial"/>
            <w:sz w:val="18"/>
            <w:szCs w:val="18"/>
            <w:u w:val="single" w:color="auto"/>
            <w:color w:val="0000EE"/>
          </w:rPr>
          <w:t>March 16, 2023;</w:t>
        </w:r>
      </w:hyperlink>
    </w:p>
    <w:p>
      <w:pPr>
        <w:spacing w:after="0" w:line="210" w:lineRule="exact"/>
        <w:rPr>
          <w:rFonts w:ascii="Arial" w:cs="Arial" w:eastAsia="Arial" w:hAnsi="Arial"/>
          <w:sz w:val="18"/>
          <w:szCs w:val="18"/>
          <w:u w:val="single" w:color="auto"/>
          <w:color w:val="0000EE"/>
        </w:rPr>
      </w:pPr>
    </w:p>
    <w:p>
      <w:pPr>
        <w:ind w:left="2060" w:hanging="756"/>
        <w:spacing w:after="0"/>
        <w:tabs>
          <w:tab w:leader="none" w:pos="2060" w:val="left"/>
        </w:tabs>
        <w:numPr>
          <w:ilvl w:val="0"/>
          <w:numId w:val="1"/>
        </w:numPr>
        <w:rPr>
          <w:rFonts w:ascii="Arial" w:cs="Arial" w:eastAsia="Arial" w:hAnsi="Arial"/>
          <w:sz w:val="18"/>
          <w:szCs w:val="18"/>
          <w:u w:val="single" w:color="auto"/>
          <w:color w:val="0000EE"/>
        </w:rPr>
      </w:pPr>
      <w:hyperlink r:id="rId21">
        <w:r>
          <w:rPr>
            <w:rFonts w:ascii="Arial" w:cs="Arial" w:eastAsia="Arial" w:hAnsi="Arial"/>
            <w:sz w:val="18"/>
            <w:szCs w:val="18"/>
            <w:u w:val="single" w:color="auto"/>
            <w:color w:val="0000EE"/>
          </w:rPr>
          <w:t>the Registrant’s Current Report on Form 8-K filed with the Commission on January 9, 2023;</w:t>
        </w:r>
      </w:hyperlink>
    </w:p>
    <w:p>
      <w:pPr>
        <w:spacing w:after="0" w:line="225" w:lineRule="exact"/>
        <w:rPr>
          <w:rFonts w:ascii="Arial" w:cs="Arial" w:eastAsia="Arial" w:hAnsi="Arial"/>
          <w:sz w:val="18"/>
          <w:szCs w:val="18"/>
          <w:u w:val="single" w:color="auto"/>
          <w:color w:val="0000EE"/>
        </w:rPr>
      </w:pPr>
    </w:p>
    <w:p>
      <w:pPr>
        <w:ind w:left="660" w:right="80" w:firstLine="644"/>
        <w:spacing w:after="0" w:line="263" w:lineRule="auto"/>
        <w:tabs>
          <w:tab w:leader="none" w:pos="2047" w:val="left"/>
        </w:tabs>
        <w:numPr>
          <w:ilvl w:val="0"/>
          <w:numId w:val="1"/>
        </w:numPr>
        <w:rPr>
          <w:rFonts w:ascii="Arial" w:cs="Arial" w:eastAsia="Arial" w:hAnsi="Arial"/>
          <w:sz w:val="18"/>
          <w:szCs w:val="18"/>
          <w:color w:val="0000EE"/>
        </w:rPr>
      </w:pPr>
      <w:hyperlink r:id="rId22">
        <w:r>
          <w:rPr>
            <w:rFonts w:ascii="Arial" w:cs="Arial" w:eastAsia="Arial" w:hAnsi="Arial"/>
            <w:sz w:val="18"/>
            <w:szCs w:val="18"/>
            <w:color w:val="auto"/>
          </w:rPr>
          <w:t xml:space="preserve">the description of the Common Stock contained in the Company’s </w:t>
        </w:r>
        <w:r>
          <w:rPr>
            <w:rFonts w:ascii="Arial" w:cs="Arial" w:eastAsia="Arial" w:hAnsi="Arial"/>
            <w:sz w:val="18"/>
            <w:szCs w:val="18"/>
            <w:u w:val="single" w:color="auto"/>
            <w:color w:val="0000EE"/>
          </w:rPr>
          <w:t>Registration Statement on Form 8-A filed with the</w:t>
        </w:r>
      </w:hyperlink>
      <w:r>
        <w:rPr>
          <w:rFonts w:ascii="Arial" w:cs="Arial" w:eastAsia="Arial" w:hAnsi="Arial"/>
          <w:sz w:val="18"/>
          <w:szCs w:val="18"/>
          <w:color w:val="auto"/>
        </w:rPr>
        <w:t xml:space="preserve"> </w:t>
      </w:r>
      <w:hyperlink r:id="rId22">
        <w:r>
          <w:rPr>
            <w:rFonts w:ascii="Arial" w:cs="Arial" w:eastAsia="Arial" w:hAnsi="Arial"/>
            <w:sz w:val="18"/>
            <w:szCs w:val="18"/>
            <w:u w:val="single" w:color="auto"/>
            <w:color w:val="0000EE"/>
          </w:rPr>
          <w:t>Commission on June 14, 2021 (File No. 001-40498)</w:t>
        </w:r>
        <w:r>
          <w:rPr>
            <w:rFonts w:ascii="Arial" w:cs="Arial" w:eastAsia="Arial" w:hAnsi="Arial"/>
            <w:sz w:val="18"/>
            <w:szCs w:val="18"/>
            <w:color w:val="000000"/>
          </w:rPr>
          <w:t xml:space="preserve">, together with any amendment thereto filed with the Commission for the purpose of </w:t>
        </w:r>
      </w:hyperlink>
      <w:r>
        <w:rPr>
          <w:rFonts w:ascii="Arial" w:cs="Arial" w:eastAsia="Arial" w:hAnsi="Arial"/>
          <w:sz w:val="18"/>
          <w:szCs w:val="18"/>
          <w:color w:val="0000EE"/>
        </w:rPr>
        <w:t xml:space="preserve">updating </w:t>
      </w:r>
      <w:r>
        <w:rPr>
          <w:rFonts w:ascii="Arial" w:cs="Arial" w:eastAsia="Arial" w:hAnsi="Arial"/>
          <w:sz w:val="18"/>
          <w:szCs w:val="18"/>
          <w:color w:val="000000"/>
        </w:rPr>
        <w:t>such description; and</w:t>
      </w:r>
    </w:p>
    <w:p>
      <w:pPr>
        <w:spacing w:after="0" w:line="183" w:lineRule="exact"/>
        <w:rPr>
          <w:rFonts w:ascii="Arial" w:cs="Arial" w:eastAsia="Arial" w:hAnsi="Arial"/>
          <w:sz w:val="18"/>
          <w:szCs w:val="18"/>
          <w:color w:val="0000EE"/>
        </w:rPr>
      </w:pPr>
    </w:p>
    <w:p>
      <w:pPr>
        <w:ind w:left="660" w:right="120" w:firstLine="644"/>
        <w:spacing w:after="0" w:line="255" w:lineRule="auto"/>
        <w:tabs>
          <w:tab w:leader="none" w:pos="2048" w:val="left"/>
        </w:tabs>
        <w:numPr>
          <w:ilvl w:val="0"/>
          <w:numId w:val="1"/>
        </w:numPr>
        <w:rPr>
          <w:rFonts w:ascii="Arial" w:cs="Arial" w:eastAsia="Arial" w:hAnsi="Arial"/>
          <w:sz w:val="18"/>
          <w:szCs w:val="18"/>
          <w:color w:val="auto"/>
        </w:rPr>
      </w:pPr>
      <w:r>
        <w:rPr>
          <w:rFonts w:ascii="Arial" w:cs="Arial" w:eastAsia="Arial" w:hAnsi="Arial"/>
          <w:sz w:val="18"/>
          <w:szCs w:val="18"/>
          <w:color w:val="auto"/>
        </w:rPr>
        <w:t>All documents subsequently filed by the Registrant pursuant to Sections 13(a), 13(c), 14 and 15(d) of the Securities Exchange Act of 1934, as amended (the “Exchange Act”), prior to the filing of a post-effective amendment to this Registration Statement, which indicates that all securities offered hereby have been sold or which deregisters all securities then remaining unsold, shall be deemed to be incorporated by reference into this Registration Statement; provided, however, that documents, reports and definitive proxy or information statements, or portions thereof, which are furnished and not filed in accordance with the rules of the Commission shall not be deemed incorporated by reference into this Registration Statement.</w:t>
      </w:r>
    </w:p>
    <w:p>
      <w:pPr>
        <w:spacing w:after="0" w:line="192" w:lineRule="exact"/>
        <w:rPr>
          <w:rFonts w:ascii="Arial" w:cs="Arial" w:eastAsia="Arial" w:hAnsi="Arial"/>
          <w:sz w:val="18"/>
          <w:szCs w:val="18"/>
          <w:color w:val="auto"/>
        </w:rPr>
      </w:pPr>
    </w:p>
    <w:p>
      <w:pPr>
        <w:ind w:right="120"/>
        <w:spacing w:after="0" w:line="279" w:lineRule="auto"/>
        <w:rPr>
          <w:sz w:val="20"/>
          <w:szCs w:val="20"/>
          <w:color w:val="auto"/>
        </w:rPr>
      </w:pPr>
      <w:r>
        <w:rPr>
          <w:rFonts w:ascii="Arial" w:cs="Arial" w:eastAsia="Arial" w:hAnsi="Arial"/>
          <w:sz w:val="17"/>
          <w:szCs w:val="17"/>
          <w:color w:val="auto"/>
        </w:rPr>
        <w:t>Any statement contained herein or in a document, all or a portion of which is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amended, to constitute a part of this Registration Statement.</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660" w:type="dxa"/>
            <w:vAlign w:val="bottom"/>
            <w:gridSpan w:val="4"/>
          </w:tcPr>
          <w:p>
            <w:pPr>
              <w:spacing w:after="0"/>
              <w:rPr>
                <w:sz w:val="20"/>
                <w:szCs w:val="20"/>
                <w:color w:val="auto"/>
              </w:rPr>
            </w:pPr>
            <w:r>
              <w:rPr>
                <w:rFonts w:ascii="Arial" w:cs="Arial" w:eastAsia="Arial" w:hAnsi="Arial"/>
                <w:sz w:val="18"/>
                <w:szCs w:val="18"/>
                <w:b w:val="1"/>
                <w:bCs w:val="1"/>
                <w:color w:val="auto"/>
              </w:rPr>
              <w:t>Item 8.</w:t>
            </w:r>
          </w:p>
        </w:tc>
        <w:tc>
          <w:tcPr>
            <w:tcW w:w="10580" w:type="dxa"/>
            <w:vAlign w:val="bottom"/>
            <w:gridSpan w:val="18"/>
          </w:tcPr>
          <w:p>
            <w:pPr>
              <w:ind w:left="260"/>
              <w:spacing w:after="0"/>
              <w:rPr>
                <w:sz w:val="20"/>
                <w:szCs w:val="20"/>
                <w:color w:val="auto"/>
              </w:rPr>
            </w:pPr>
            <w:r>
              <w:rPr>
                <w:rFonts w:ascii="Arial" w:cs="Arial" w:eastAsia="Arial" w:hAnsi="Arial"/>
                <w:sz w:val="18"/>
                <w:szCs w:val="18"/>
                <w:b w:val="1"/>
                <w:bCs w:val="1"/>
                <w:color w:val="auto"/>
              </w:rPr>
              <w:t>Exhibits.</w:t>
            </w:r>
          </w:p>
        </w:tc>
      </w:tr>
      <w:tr>
        <w:trPr>
          <w:trHeight w:val="432"/>
        </w:trPr>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580" w:type="dxa"/>
            <w:vAlign w:val="bottom"/>
            <w:gridSpan w:val="18"/>
          </w:tcPr>
          <w:p>
            <w:pPr>
              <w:spacing w:after="0"/>
              <w:rPr>
                <w:sz w:val="20"/>
                <w:szCs w:val="20"/>
                <w:color w:val="auto"/>
              </w:rPr>
            </w:pPr>
            <w:r>
              <w:rPr>
                <w:rFonts w:ascii="Arial" w:cs="Arial" w:eastAsia="Arial" w:hAnsi="Arial"/>
                <w:sz w:val="18"/>
                <w:szCs w:val="18"/>
                <w:color w:val="auto"/>
              </w:rPr>
              <w:t>The following documents are filed as exhibits to this Registration Statement:</w:t>
            </w:r>
          </w:p>
        </w:tc>
      </w:tr>
      <w:tr>
        <w:trPr>
          <w:trHeight w:val="414"/>
        </w:trPr>
        <w:tc>
          <w:tcPr>
            <w:tcW w:w="660" w:type="dxa"/>
            <w:vAlign w:val="bottom"/>
            <w:gridSpan w:val="4"/>
          </w:tcPr>
          <w:p>
            <w:pPr>
              <w:spacing w:after="0"/>
              <w:rPr>
                <w:sz w:val="20"/>
                <w:szCs w:val="20"/>
                <w:color w:val="auto"/>
              </w:rPr>
            </w:pPr>
            <w:r>
              <w:rPr>
                <w:rFonts w:ascii="Arial" w:cs="Arial" w:eastAsia="Arial" w:hAnsi="Arial"/>
                <w:sz w:val="18"/>
                <w:szCs w:val="18"/>
                <w:b w:val="1"/>
                <w:bCs w:val="1"/>
                <w:color w:val="auto"/>
              </w:rPr>
              <w:t>Exhibit</w:t>
            </w: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4"/>
        </w:trPr>
        <w:tc>
          <w:tcPr>
            <w:tcW w:w="66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w w:val="94"/>
              </w:rPr>
              <w:t>Number</w:t>
            </w:r>
          </w:p>
        </w:tc>
        <w:tc>
          <w:tcPr>
            <w:tcW w:w="7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320" w:type="dxa"/>
            <w:vAlign w:val="bottom"/>
            <w:tcBorders>
              <w:bottom w:val="single" w:sz="8" w:color="auto"/>
            </w:tcBorders>
          </w:tcPr>
          <w:p>
            <w:pPr>
              <w:spacing w:after="0"/>
              <w:rPr>
                <w:sz w:val="20"/>
                <w:szCs w:val="20"/>
                <w:color w:val="auto"/>
              </w:rPr>
            </w:pPr>
          </w:p>
        </w:tc>
        <w:tc>
          <w:tcPr>
            <w:tcW w:w="7320" w:type="dxa"/>
            <w:vAlign w:val="bottom"/>
            <w:tcBorders>
              <w:bottom w:val="single" w:sz="8" w:color="auto"/>
            </w:tcBorders>
            <w:gridSpan w:val="14"/>
          </w:tcPr>
          <w:p>
            <w:pPr>
              <w:ind w:left="1640"/>
              <w:spacing w:after="0"/>
              <w:rPr>
                <w:sz w:val="20"/>
                <w:szCs w:val="20"/>
                <w:color w:val="auto"/>
              </w:rPr>
            </w:pPr>
            <w:r>
              <w:rPr>
                <w:rFonts w:ascii="Arial" w:cs="Arial" w:eastAsia="Arial" w:hAnsi="Arial"/>
                <w:sz w:val="18"/>
                <w:szCs w:val="18"/>
                <w:b w:val="1"/>
                <w:bCs w:val="1"/>
                <w:color w:val="auto"/>
              </w:rPr>
              <w:t>Description of Exhibit</w:t>
            </w:r>
          </w:p>
        </w:tc>
      </w:tr>
      <w:tr>
        <w:trPr>
          <w:trHeight w:val="169"/>
        </w:trPr>
        <w:tc>
          <w:tcPr>
            <w:tcW w:w="240" w:type="dxa"/>
            <w:vAlign w:val="bottom"/>
          </w:tcPr>
          <w:p>
            <w:pPr>
              <w:spacing w:after="0" w:line="169" w:lineRule="exact"/>
              <w:rPr>
                <w:rFonts w:ascii="Arial" w:cs="Arial" w:eastAsia="Arial" w:hAnsi="Arial"/>
                <w:sz w:val="18"/>
                <w:szCs w:val="18"/>
                <w:color w:val="0000EE"/>
                <w:w w:val="87"/>
              </w:rPr>
            </w:pPr>
            <w:hyperlink r:id="rId24">
              <w:r>
                <w:rPr>
                  <w:rFonts w:ascii="Arial" w:cs="Arial" w:eastAsia="Arial" w:hAnsi="Arial"/>
                  <w:sz w:val="18"/>
                  <w:szCs w:val="18"/>
                  <w:color w:val="0000EE"/>
                  <w:w w:val="87"/>
                </w:rPr>
                <w:t>4.</w:t>
              </w:r>
              <w:r>
                <w:rPr>
                  <w:rFonts w:ascii="Arial" w:cs="Arial" w:eastAsia="Arial" w:hAnsi="Arial"/>
                  <w:sz w:val="18"/>
                  <w:szCs w:val="18"/>
                  <w:u w:val="single" w:color="auto"/>
                  <w:color w:val="0000EE"/>
                  <w:w w:val="87"/>
                </w:rPr>
                <w:t>1</w:t>
              </w:r>
            </w:hyperlink>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40" w:type="dxa"/>
            <w:vAlign w:val="bottom"/>
            <w:gridSpan w:val="15"/>
          </w:tcPr>
          <w:p>
            <w:pPr>
              <w:spacing w:after="0" w:line="169" w:lineRule="exact"/>
              <w:rPr>
                <w:rFonts w:ascii="Arial" w:cs="Arial" w:eastAsia="Arial" w:hAnsi="Arial"/>
                <w:sz w:val="18"/>
                <w:szCs w:val="18"/>
                <w:color w:val="0000EE"/>
                <w:w w:val="96"/>
              </w:rPr>
            </w:pPr>
            <w:hyperlink r:id="rId24">
              <w:r>
                <w:rPr>
                  <w:rFonts w:ascii="Arial" w:cs="Arial" w:eastAsia="Arial" w:hAnsi="Arial"/>
                  <w:sz w:val="18"/>
                  <w:szCs w:val="18"/>
                  <w:color w:val="0000EE"/>
                  <w:w w:val="96"/>
                </w:rPr>
                <w:t>Second Amended and Restated Certificate of Incorporation of Century Therapeutics, Inc. (incorporated herein by reference to</w:t>
              </w:r>
            </w:hyperlink>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2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60" w:type="dxa"/>
            <w:vAlign w:val="bottom"/>
            <w:gridSpan w:val="16"/>
          </w:tcPr>
          <w:p>
            <w:pPr>
              <w:spacing w:after="0" w:line="196" w:lineRule="exact"/>
              <w:rPr>
                <w:rFonts w:ascii="Arial" w:cs="Arial" w:eastAsia="Arial" w:hAnsi="Arial"/>
                <w:sz w:val="18"/>
                <w:szCs w:val="18"/>
                <w:color w:val="0000EE"/>
              </w:rPr>
            </w:pPr>
            <w:hyperlink r:id="rId24">
              <w:r>
                <w:rPr>
                  <w:rFonts w:ascii="Arial" w:cs="Arial" w:eastAsia="Arial" w:hAnsi="Arial"/>
                  <w:sz w:val="18"/>
                  <w:szCs w:val="18"/>
                  <w:color w:val="0000EE"/>
                </w:rPr>
                <w:t>Exhibit 3.1 to the Company’s Current Report on Form 8-K (File No. 001-40498) filed on June 25, 2021)</w:t>
              </w:r>
            </w:hyperlink>
          </w:p>
        </w:tc>
      </w:tr>
      <w:tr>
        <w:trPr>
          <w:trHeight w:val="20"/>
        </w:trPr>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40" w:type="dxa"/>
            <w:vAlign w:val="bottom"/>
            <w:gridSpan w:val="2"/>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240" w:type="dxa"/>
            <w:vAlign w:val="bottom"/>
          </w:tcPr>
          <w:p>
            <w:pPr>
              <w:spacing w:after="0"/>
              <w:rPr>
                <w:rFonts w:ascii="Arial" w:cs="Arial" w:eastAsia="Arial" w:hAnsi="Arial"/>
                <w:sz w:val="18"/>
                <w:szCs w:val="18"/>
                <w:color w:val="0000EE"/>
                <w:w w:val="87"/>
              </w:rPr>
            </w:pPr>
            <w:hyperlink r:id="rId25">
              <w:r>
                <w:rPr>
                  <w:rFonts w:ascii="Arial" w:cs="Arial" w:eastAsia="Arial" w:hAnsi="Arial"/>
                  <w:sz w:val="18"/>
                  <w:szCs w:val="18"/>
                  <w:color w:val="0000EE"/>
                  <w:w w:val="87"/>
                </w:rPr>
                <w:t>4.</w:t>
              </w:r>
              <w:r>
                <w:rPr>
                  <w:rFonts w:ascii="Arial" w:cs="Arial" w:eastAsia="Arial" w:hAnsi="Arial"/>
                  <w:sz w:val="18"/>
                  <w:szCs w:val="18"/>
                  <w:u w:val="single" w:color="auto"/>
                  <w:color w:val="0000EE"/>
                  <w:w w:val="87"/>
                </w:rPr>
                <w:t>2</w:t>
              </w:r>
            </w:hyperlink>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60" w:type="dxa"/>
            <w:vAlign w:val="bottom"/>
            <w:gridSpan w:val="16"/>
          </w:tcPr>
          <w:p>
            <w:pPr>
              <w:spacing w:after="0"/>
              <w:rPr>
                <w:rFonts w:ascii="Arial" w:cs="Arial" w:eastAsia="Arial" w:hAnsi="Arial"/>
                <w:sz w:val="18"/>
                <w:szCs w:val="18"/>
                <w:color w:val="0000EE"/>
                <w:w w:val="95"/>
              </w:rPr>
            </w:pPr>
            <w:hyperlink r:id="rId25">
              <w:r>
                <w:rPr>
                  <w:rFonts w:ascii="Arial" w:cs="Arial" w:eastAsia="Arial" w:hAnsi="Arial"/>
                  <w:sz w:val="18"/>
                  <w:szCs w:val="18"/>
                  <w:color w:val="0000EE"/>
                  <w:w w:val="95"/>
                </w:rPr>
                <w:t>Amended and Restated Bylaws of Century Therapeutics, Inc. (incorporated herein by reference to Exhibit 3.2 to the Company’s</w:t>
              </w:r>
            </w:hyperlink>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2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60" w:type="dxa"/>
            <w:vAlign w:val="bottom"/>
            <w:gridSpan w:val="16"/>
          </w:tcPr>
          <w:p>
            <w:pPr>
              <w:spacing w:after="0" w:line="196" w:lineRule="exact"/>
              <w:rPr>
                <w:rFonts w:ascii="Arial" w:cs="Arial" w:eastAsia="Arial" w:hAnsi="Arial"/>
                <w:sz w:val="18"/>
                <w:szCs w:val="18"/>
                <w:color w:val="0000EE"/>
              </w:rPr>
            </w:pPr>
            <w:hyperlink r:id="rId25">
              <w:r>
                <w:rPr>
                  <w:rFonts w:ascii="Arial" w:cs="Arial" w:eastAsia="Arial" w:hAnsi="Arial"/>
                  <w:sz w:val="18"/>
                  <w:szCs w:val="18"/>
                  <w:color w:val="0000EE"/>
                </w:rPr>
                <w:t>Current Report on Form 8-K (File No. 001-40498) filed on June 25, 2021)</w:t>
              </w:r>
            </w:hyperlink>
          </w:p>
        </w:tc>
      </w:tr>
      <w:tr>
        <w:trPr>
          <w:trHeight w:val="20"/>
        </w:trPr>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40" w:type="dxa"/>
            <w:vAlign w:val="bottom"/>
            <w:gridSpan w:val="2"/>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320" w:type="dxa"/>
            <w:vAlign w:val="bottom"/>
            <w:gridSpan w:val="2"/>
          </w:tcPr>
          <w:p>
            <w:pPr>
              <w:spacing w:after="0"/>
              <w:rPr>
                <w:sz w:val="20"/>
                <w:szCs w:val="20"/>
                <w:color w:val="auto"/>
              </w:rPr>
            </w:pPr>
            <w:r>
              <w:rPr>
                <w:rFonts w:ascii="Arial" w:cs="Arial" w:eastAsia="Arial" w:hAnsi="Arial"/>
                <w:sz w:val="18"/>
                <w:szCs w:val="18"/>
                <w:color w:val="0000EE"/>
                <w:w w:val="87"/>
              </w:rPr>
              <w:t>5.</w:t>
            </w:r>
            <w:r>
              <w:rPr>
                <w:rFonts w:ascii="Arial" w:cs="Arial" w:eastAsia="Arial" w:hAnsi="Arial"/>
                <w:sz w:val="18"/>
                <w:szCs w:val="18"/>
                <w:u w:val="single" w:color="auto"/>
                <w:color w:val="0000EE"/>
                <w:w w:val="87"/>
              </w:rPr>
              <w:t>1*</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60" w:type="dxa"/>
            <w:vAlign w:val="bottom"/>
            <w:gridSpan w:val="16"/>
          </w:tcPr>
          <w:p>
            <w:pPr>
              <w:spacing w:after="0"/>
              <w:rPr>
                <w:sz w:val="20"/>
                <w:szCs w:val="20"/>
                <w:color w:val="auto"/>
              </w:rPr>
            </w:pPr>
            <w:r>
              <w:rPr>
                <w:rFonts w:ascii="Arial" w:cs="Arial" w:eastAsia="Arial" w:hAnsi="Arial"/>
                <w:sz w:val="18"/>
                <w:szCs w:val="18"/>
                <w:color w:val="0000EE"/>
              </w:rPr>
              <w:t>Opinion of Goodwin Procter LLP as to the legality of the securities being registered</w:t>
            </w: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2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15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420" w:type="dxa"/>
            <w:vAlign w:val="bottom"/>
            <w:gridSpan w:val="3"/>
          </w:tcPr>
          <w:p>
            <w:pPr>
              <w:spacing w:after="0"/>
              <w:rPr>
                <w:sz w:val="20"/>
                <w:szCs w:val="20"/>
                <w:color w:val="auto"/>
              </w:rPr>
            </w:pPr>
            <w:r>
              <w:rPr>
                <w:rFonts w:ascii="Arial" w:cs="Arial" w:eastAsia="Arial" w:hAnsi="Arial"/>
                <w:sz w:val="18"/>
                <w:szCs w:val="18"/>
                <w:color w:val="0000EE"/>
                <w:w w:val="95"/>
              </w:rPr>
              <w:t>23.</w:t>
            </w:r>
            <w:r>
              <w:rPr>
                <w:rFonts w:ascii="Arial" w:cs="Arial" w:eastAsia="Arial" w:hAnsi="Arial"/>
                <w:sz w:val="18"/>
                <w:szCs w:val="18"/>
                <w:u w:val="single" w:color="auto"/>
                <w:color w:val="0000EE"/>
                <w:w w:val="95"/>
              </w:rPr>
              <w:t>1*</w:t>
            </w: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60" w:type="dxa"/>
            <w:vAlign w:val="bottom"/>
            <w:gridSpan w:val="16"/>
          </w:tcPr>
          <w:p>
            <w:pPr>
              <w:spacing w:after="0"/>
              <w:rPr>
                <w:sz w:val="20"/>
                <w:szCs w:val="20"/>
                <w:color w:val="auto"/>
              </w:rPr>
            </w:pPr>
            <w:r>
              <w:rPr>
                <w:rFonts w:ascii="Arial" w:cs="Arial" w:eastAsia="Arial" w:hAnsi="Arial"/>
                <w:sz w:val="18"/>
                <w:szCs w:val="18"/>
                <w:color w:val="0000EE"/>
              </w:rPr>
              <w:t>Consent of Ernst &amp; Young LLP, independent registered public accounting firm for Century Therapeutics, Inc.</w:t>
            </w: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2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158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420" w:type="dxa"/>
            <w:vAlign w:val="bottom"/>
            <w:gridSpan w:val="3"/>
          </w:tcPr>
          <w:p>
            <w:pPr>
              <w:spacing w:after="0"/>
              <w:rPr>
                <w:sz w:val="20"/>
                <w:szCs w:val="20"/>
                <w:color w:val="auto"/>
              </w:rPr>
            </w:pPr>
            <w:r>
              <w:rPr>
                <w:rFonts w:ascii="Arial" w:cs="Arial" w:eastAsia="Arial" w:hAnsi="Arial"/>
                <w:sz w:val="18"/>
                <w:szCs w:val="18"/>
                <w:color w:val="0000EE"/>
                <w:w w:val="95"/>
              </w:rPr>
              <w:t>23.</w:t>
            </w:r>
            <w:r>
              <w:rPr>
                <w:rFonts w:ascii="Arial" w:cs="Arial" w:eastAsia="Arial" w:hAnsi="Arial"/>
                <w:sz w:val="18"/>
                <w:szCs w:val="18"/>
                <w:u w:val="single" w:color="auto"/>
                <w:color w:val="0000EE"/>
                <w:w w:val="95"/>
              </w:rPr>
              <w:t>2*</w:t>
            </w: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60" w:type="dxa"/>
            <w:vAlign w:val="bottom"/>
            <w:gridSpan w:val="16"/>
          </w:tcPr>
          <w:p>
            <w:pPr>
              <w:spacing w:after="0"/>
              <w:rPr>
                <w:sz w:val="20"/>
                <w:szCs w:val="20"/>
                <w:color w:val="auto"/>
              </w:rPr>
            </w:pPr>
            <w:r>
              <w:rPr>
                <w:rFonts w:ascii="Arial" w:cs="Arial" w:eastAsia="Arial" w:hAnsi="Arial"/>
                <w:sz w:val="18"/>
                <w:szCs w:val="18"/>
                <w:color w:val="0000EE"/>
              </w:rPr>
              <w:t>Consent of Goodwin Procter LLP (contained in Exhibit 5.1)</w:t>
            </w: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2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420" w:type="dxa"/>
            <w:vAlign w:val="bottom"/>
            <w:gridSpan w:val="3"/>
          </w:tcPr>
          <w:p>
            <w:pPr>
              <w:spacing w:after="0"/>
              <w:rPr>
                <w:sz w:val="20"/>
                <w:szCs w:val="20"/>
                <w:color w:val="auto"/>
              </w:rPr>
            </w:pPr>
            <w:r>
              <w:rPr>
                <w:rFonts w:ascii="Arial" w:cs="Arial" w:eastAsia="Arial" w:hAnsi="Arial"/>
                <w:sz w:val="18"/>
                <w:szCs w:val="18"/>
                <w:color w:val="0000EE"/>
                <w:w w:val="95"/>
              </w:rPr>
              <w:t>24.</w:t>
            </w:r>
            <w:r>
              <w:rPr>
                <w:rFonts w:ascii="Arial" w:cs="Arial" w:eastAsia="Arial" w:hAnsi="Arial"/>
                <w:sz w:val="18"/>
                <w:szCs w:val="18"/>
                <w:u w:val="single" w:color="auto"/>
                <w:color w:val="0000EE"/>
                <w:w w:val="95"/>
              </w:rPr>
              <w:t>1*</w:t>
            </w: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60" w:type="dxa"/>
            <w:vAlign w:val="bottom"/>
            <w:gridSpan w:val="16"/>
          </w:tcPr>
          <w:p>
            <w:pPr>
              <w:spacing w:after="0"/>
              <w:rPr>
                <w:sz w:val="20"/>
                <w:szCs w:val="20"/>
                <w:color w:val="auto"/>
              </w:rPr>
            </w:pPr>
            <w:r>
              <w:rPr>
                <w:rFonts w:ascii="Arial" w:cs="Arial" w:eastAsia="Arial" w:hAnsi="Arial"/>
                <w:sz w:val="18"/>
                <w:szCs w:val="18"/>
                <w:color w:val="0000EE"/>
              </w:rPr>
              <w:t>Powers of Attorney (included on the signature page of the Registration Statement)</w:t>
            </w: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20" w:type="dxa"/>
            <w:vAlign w:val="bottom"/>
            <w:shd w:val="clear" w:color="auto" w:fill="0000EE"/>
          </w:tcPr>
          <w:p>
            <w:pPr>
              <w:spacing w:after="0" w:line="20" w:lineRule="exact"/>
              <w:rPr>
                <w:sz w:val="1"/>
                <w:szCs w:val="1"/>
                <w:color w:val="auto"/>
              </w:rPr>
            </w:pPr>
          </w:p>
        </w:tc>
        <w:tc>
          <w:tcPr>
            <w:tcW w:w="3580" w:type="dxa"/>
            <w:vAlign w:val="bottom"/>
            <w:gridSpan w:val="3"/>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320" w:type="dxa"/>
            <w:vAlign w:val="bottom"/>
            <w:gridSpan w:val="2"/>
          </w:tcPr>
          <w:p>
            <w:pPr>
              <w:spacing w:after="0"/>
              <w:rPr>
                <w:rFonts w:ascii="Arial" w:cs="Arial" w:eastAsia="Arial" w:hAnsi="Arial"/>
                <w:sz w:val="18"/>
                <w:szCs w:val="18"/>
                <w:color w:val="0000EE"/>
                <w:w w:val="79"/>
              </w:rPr>
            </w:pPr>
            <w:hyperlink r:id="rId26">
              <w:r>
                <w:rPr>
                  <w:rFonts w:ascii="Arial" w:cs="Arial" w:eastAsia="Arial" w:hAnsi="Arial"/>
                  <w:sz w:val="18"/>
                  <w:szCs w:val="18"/>
                  <w:color w:val="0000EE"/>
                  <w:w w:val="79"/>
                </w:rPr>
                <w:t>99.</w:t>
              </w:r>
              <w:r>
                <w:rPr>
                  <w:rFonts w:ascii="Arial" w:cs="Arial" w:eastAsia="Arial" w:hAnsi="Arial"/>
                  <w:sz w:val="18"/>
                  <w:szCs w:val="18"/>
                  <w:u w:val="single" w:color="auto"/>
                  <w:color w:val="0000EE"/>
                  <w:w w:val="79"/>
                </w:rPr>
                <w:t>1</w:t>
              </w:r>
            </w:hyperlink>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60" w:type="dxa"/>
            <w:vAlign w:val="bottom"/>
            <w:gridSpan w:val="16"/>
          </w:tcPr>
          <w:p>
            <w:pPr>
              <w:spacing w:after="0"/>
              <w:rPr>
                <w:rFonts w:ascii="Arial" w:cs="Arial" w:eastAsia="Arial" w:hAnsi="Arial"/>
                <w:sz w:val="18"/>
                <w:szCs w:val="18"/>
                <w:color w:val="0000EE"/>
                <w:w w:val="99"/>
              </w:rPr>
            </w:pPr>
            <w:hyperlink r:id="rId26">
              <w:r>
                <w:rPr>
                  <w:rFonts w:ascii="Arial" w:cs="Arial" w:eastAsia="Arial" w:hAnsi="Arial"/>
                  <w:sz w:val="18"/>
                  <w:szCs w:val="18"/>
                  <w:color w:val="0000EE"/>
                  <w:w w:val="99"/>
                </w:rPr>
                <w:t>Century Therapeutics, Inc. 2021 Equity Incentive Plan (incorporated herein by reference to Exhibit 10.8 to the Company’s</w:t>
              </w:r>
            </w:hyperlink>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20" w:type="dxa"/>
            <w:vAlign w:val="bottom"/>
            <w:shd w:val="clear" w:color="auto" w:fill="0000EE"/>
          </w:tcPr>
          <w:p>
            <w:pPr>
              <w:spacing w:after="0" w:line="20" w:lineRule="exact"/>
              <w:rPr>
                <w:sz w:val="1"/>
                <w:szCs w:val="1"/>
                <w:color w:val="auto"/>
              </w:rPr>
            </w:pPr>
          </w:p>
        </w:tc>
        <w:tc>
          <w:tcPr>
            <w:tcW w:w="3820" w:type="dxa"/>
            <w:vAlign w:val="bottom"/>
            <w:gridSpan w:val="5"/>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60" w:type="dxa"/>
            <w:vAlign w:val="bottom"/>
            <w:gridSpan w:val="16"/>
          </w:tcPr>
          <w:p>
            <w:pPr>
              <w:spacing w:after="0" w:line="196" w:lineRule="exact"/>
              <w:rPr>
                <w:rFonts w:ascii="Arial" w:cs="Arial" w:eastAsia="Arial" w:hAnsi="Arial"/>
                <w:sz w:val="18"/>
                <w:szCs w:val="18"/>
                <w:color w:val="0000EE"/>
              </w:rPr>
            </w:pPr>
            <w:hyperlink r:id="rId26">
              <w:r>
                <w:rPr>
                  <w:rFonts w:ascii="Arial" w:cs="Arial" w:eastAsia="Arial" w:hAnsi="Arial"/>
                  <w:sz w:val="18"/>
                  <w:szCs w:val="18"/>
                  <w:color w:val="0000EE"/>
                </w:rPr>
                <w:t>Registration Statement on Form S-1/A (File No. 333-256648) filed on June 14, 2021)</w:t>
              </w:r>
            </w:hyperlink>
          </w:p>
        </w:tc>
      </w:tr>
      <w:tr>
        <w:trPr>
          <w:trHeight w:val="20"/>
        </w:trPr>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40" w:type="dxa"/>
            <w:vAlign w:val="bottom"/>
            <w:gridSpan w:val="2"/>
            <w:shd w:val="clear" w:color="auto" w:fill="0000EE"/>
          </w:tcPr>
          <w:p>
            <w:pPr>
              <w:spacing w:after="0" w:line="20" w:lineRule="exact"/>
              <w:rPr>
                <w:sz w:val="1"/>
                <w:szCs w:val="1"/>
                <w:color w:val="auto"/>
              </w:rPr>
            </w:pPr>
          </w:p>
        </w:tc>
        <w:tc>
          <w:tcPr>
            <w:tcW w:w="3820" w:type="dxa"/>
            <w:vAlign w:val="bottom"/>
            <w:gridSpan w:val="5"/>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320" w:type="dxa"/>
            <w:vAlign w:val="bottom"/>
            <w:gridSpan w:val="2"/>
          </w:tcPr>
          <w:p>
            <w:pPr>
              <w:spacing w:after="0"/>
              <w:rPr>
                <w:rFonts w:ascii="Arial" w:cs="Arial" w:eastAsia="Arial" w:hAnsi="Arial"/>
                <w:sz w:val="18"/>
                <w:szCs w:val="18"/>
                <w:color w:val="0000EE"/>
                <w:w w:val="79"/>
              </w:rPr>
            </w:pPr>
            <w:hyperlink r:id="rId27">
              <w:r>
                <w:rPr>
                  <w:rFonts w:ascii="Arial" w:cs="Arial" w:eastAsia="Arial" w:hAnsi="Arial"/>
                  <w:sz w:val="18"/>
                  <w:szCs w:val="18"/>
                  <w:color w:val="0000EE"/>
                  <w:w w:val="79"/>
                </w:rPr>
                <w:t>99.</w:t>
              </w:r>
              <w:r>
                <w:rPr>
                  <w:rFonts w:ascii="Arial" w:cs="Arial" w:eastAsia="Arial" w:hAnsi="Arial"/>
                  <w:sz w:val="18"/>
                  <w:szCs w:val="18"/>
                  <w:u w:val="single" w:color="auto"/>
                  <w:color w:val="0000EE"/>
                  <w:w w:val="79"/>
                </w:rPr>
                <w:t>2</w:t>
              </w:r>
            </w:hyperlink>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60" w:type="dxa"/>
            <w:vAlign w:val="bottom"/>
            <w:gridSpan w:val="16"/>
          </w:tcPr>
          <w:p>
            <w:pPr>
              <w:spacing w:after="0"/>
              <w:rPr>
                <w:rFonts w:ascii="Arial" w:cs="Arial" w:eastAsia="Arial" w:hAnsi="Arial"/>
                <w:sz w:val="18"/>
                <w:szCs w:val="18"/>
                <w:color w:val="0000EE"/>
                <w:w w:val="91"/>
              </w:rPr>
            </w:pPr>
            <w:hyperlink r:id="rId27">
              <w:r>
                <w:rPr>
                  <w:rFonts w:ascii="Arial" w:cs="Arial" w:eastAsia="Arial" w:hAnsi="Arial"/>
                  <w:sz w:val="18"/>
                  <w:szCs w:val="18"/>
                  <w:color w:val="0000EE"/>
                  <w:w w:val="91"/>
                </w:rPr>
                <w:t>Form of Stock Option Grant Notice and Award Agreement, under the 2021 Plan (incorporated herein by reference to Exhibit 10.13 to</w:t>
              </w:r>
            </w:hyperlink>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20" w:type="dxa"/>
            <w:vAlign w:val="bottom"/>
            <w:shd w:val="clear" w:color="auto" w:fill="0000EE"/>
          </w:tcPr>
          <w:p>
            <w:pPr>
              <w:spacing w:after="0" w:line="20" w:lineRule="exact"/>
              <w:rPr>
                <w:sz w:val="1"/>
                <w:szCs w:val="1"/>
                <w:color w:val="auto"/>
              </w:rPr>
            </w:pPr>
          </w:p>
        </w:tc>
        <w:tc>
          <w:tcPr>
            <w:tcW w:w="4780" w:type="dxa"/>
            <w:vAlign w:val="bottom"/>
            <w:gridSpan w:val="6"/>
            <w:shd w:val="clear" w:color="auto" w:fill="0000EE"/>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12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27">
              <w:r>
                <w:rPr>
                  <w:rFonts w:ascii="Arial" w:cs="Arial" w:eastAsia="Arial" w:hAnsi="Arial"/>
                  <w:sz w:val="18"/>
                  <w:szCs w:val="18"/>
                  <w:color w:val="0000EE"/>
                  <w:w w:val="91"/>
                </w:rPr>
                <w:t>the Company’s Registration Statement on Form S-1 (File No. 333-256648) filed on May 28, 2021)</w:t>
              </w:r>
            </w:hyperlink>
          </w:p>
        </w:tc>
        <w:tc>
          <w:tcPr>
            <w:tcW w:w="2540" w:type="dxa"/>
            <w:vAlign w:val="bottom"/>
            <w:gridSpan w:val="8"/>
          </w:tcPr>
          <w:p>
            <w:pPr>
              <w:spacing w:after="0"/>
              <w:rPr>
                <w:sz w:val="17"/>
                <w:szCs w:val="17"/>
                <w:color w:val="auto"/>
              </w:rPr>
            </w:pPr>
          </w:p>
        </w:tc>
      </w:tr>
      <w:tr>
        <w:trPr>
          <w:trHeight w:val="412"/>
        </w:trPr>
        <w:tc>
          <w:tcPr>
            <w:tcW w:w="320" w:type="dxa"/>
            <w:vAlign w:val="bottom"/>
            <w:gridSpan w:val="2"/>
          </w:tcPr>
          <w:p>
            <w:pPr>
              <w:spacing w:after="0"/>
              <w:rPr>
                <w:rFonts w:ascii="Arial" w:cs="Arial" w:eastAsia="Arial" w:hAnsi="Arial"/>
                <w:sz w:val="18"/>
                <w:szCs w:val="18"/>
                <w:color w:val="0000EE"/>
                <w:w w:val="79"/>
              </w:rPr>
            </w:pPr>
            <w:hyperlink r:id="rId28">
              <w:r>
                <w:rPr>
                  <w:rFonts w:ascii="Arial" w:cs="Arial" w:eastAsia="Arial" w:hAnsi="Arial"/>
                  <w:sz w:val="18"/>
                  <w:szCs w:val="18"/>
                  <w:color w:val="0000EE"/>
                  <w:w w:val="79"/>
                </w:rPr>
                <w:t>99.</w:t>
              </w:r>
              <w:r>
                <w:rPr>
                  <w:rFonts w:ascii="Arial" w:cs="Arial" w:eastAsia="Arial" w:hAnsi="Arial"/>
                  <w:sz w:val="18"/>
                  <w:szCs w:val="18"/>
                  <w:u w:val="single" w:color="auto"/>
                  <w:color w:val="0000EE"/>
                  <w:w w:val="79"/>
                </w:rPr>
                <w:t>3</w:t>
              </w:r>
            </w:hyperlink>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60" w:type="dxa"/>
            <w:vAlign w:val="bottom"/>
            <w:gridSpan w:val="16"/>
          </w:tcPr>
          <w:p>
            <w:pPr>
              <w:spacing w:after="0"/>
              <w:rPr>
                <w:rFonts w:ascii="Arial" w:cs="Arial" w:eastAsia="Arial" w:hAnsi="Arial"/>
                <w:sz w:val="18"/>
                <w:szCs w:val="18"/>
                <w:color w:val="0000EE"/>
                <w:w w:val="97"/>
              </w:rPr>
            </w:pPr>
            <w:hyperlink r:id="rId28">
              <w:r>
                <w:rPr>
                  <w:rFonts w:ascii="Arial" w:cs="Arial" w:eastAsia="Arial" w:hAnsi="Arial"/>
                  <w:sz w:val="18"/>
                  <w:szCs w:val="18"/>
                  <w:color w:val="0000EE"/>
                  <w:w w:val="97"/>
                </w:rPr>
                <w:t>Form of Restricted Stock Unit Grant Notice and Award Agreement, under the 2021 Plan (incorporated herein by reference to</w:t>
              </w:r>
            </w:hyperlink>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20" w:type="dxa"/>
            <w:vAlign w:val="bottom"/>
            <w:shd w:val="clear" w:color="auto" w:fill="0000EE"/>
          </w:tcPr>
          <w:p>
            <w:pPr>
              <w:spacing w:after="0" w:line="20" w:lineRule="exact"/>
              <w:rPr>
                <w:sz w:val="1"/>
                <w:szCs w:val="1"/>
                <w:color w:val="auto"/>
              </w:rPr>
            </w:pPr>
          </w:p>
        </w:tc>
        <w:tc>
          <w:tcPr>
            <w:tcW w:w="5980" w:type="dxa"/>
            <w:vAlign w:val="bottom"/>
            <w:gridSpan w:val="9"/>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60" w:type="dxa"/>
            <w:vAlign w:val="bottom"/>
            <w:gridSpan w:val="16"/>
          </w:tcPr>
          <w:p>
            <w:pPr>
              <w:spacing w:after="0" w:line="196" w:lineRule="exact"/>
              <w:rPr>
                <w:rFonts w:ascii="Arial" w:cs="Arial" w:eastAsia="Arial" w:hAnsi="Arial"/>
                <w:sz w:val="18"/>
                <w:szCs w:val="18"/>
                <w:color w:val="0000EE"/>
              </w:rPr>
            </w:pPr>
            <w:hyperlink r:id="rId28">
              <w:r>
                <w:rPr>
                  <w:rFonts w:ascii="Arial" w:cs="Arial" w:eastAsia="Arial" w:hAnsi="Arial"/>
                  <w:sz w:val="18"/>
                  <w:szCs w:val="18"/>
                  <w:color w:val="0000EE"/>
                </w:rPr>
                <w:t>Exhibit 10.14 to the Company’s Registration Statement on Form S-1 (File No. 333-256648) filed on May 28, 2021)</w:t>
              </w:r>
            </w:hyperlink>
          </w:p>
        </w:tc>
      </w:tr>
      <w:tr>
        <w:trPr>
          <w:trHeight w:val="412"/>
        </w:trPr>
        <w:tc>
          <w:tcPr>
            <w:tcW w:w="320" w:type="dxa"/>
            <w:vAlign w:val="bottom"/>
            <w:gridSpan w:val="2"/>
          </w:tcPr>
          <w:p>
            <w:pPr>
              <w:spacing w:after="0"/>
              <w:rPr>
                <w:sz w:val="20"/>
                <w:szCs w:val="20"/>
                <w:color w:val="auto"/>
              </w:rPr>
            </w:pPr>
            <w:r>
              <w:rPr>
                <w:rFonts w:ascii="Arial" w:cs="Arial" w:eastAsia="Arial" w:hAnsi="Arial"/>
                <w:sz w:val="18"/>
                <w:szCs w:val="18"/>
                <w:color w:val="0000EE"/>
                <w:w w:val="75"/>
              </w:rPr>
              <w:t>107*</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320" w:type="dxa"/>
            <w:vAlign w:val="bottom"/>
            <w:tcBorders>
              <w:top w:val="single" w:sz="8" w:color="0000EE"/>
            </w:tcBorders>
            <w:gridSpan w:val="11"/>
          </w:tcPr>
          <w:p>
            <w:pPr>
              <w:spacing w:after="0"/>
              <w:rPr>
                <w:sz w:val="20"/>
                <w:szCs w:val="20"/>
                <w:color w:val="auto"/>
              </w:rPr>
            </w:pPr>
            <w:r>
              <w:rPr>
                <w:rFonts w:ascii="Arial" w:cs="Arial" w:eastAsia="Arial" w:hAnsi="Arial"/>
                <w:sz w:val="18"/>
                <w:szCs w:val="18"/>
                <w:color w:val="0000EE"/>
              </w:rPr>
              <w:t>Calculation of Registration Fees</w:t>
            </w:r>
          </w:p>
        </w:tc>
        <w:tc>
          <w:tcPr>
            <w:tcW w:w="1340" w:type="dxa"/>
            <w:vAlign w:val="bottom"/>
            <w:gridSpan w:val="5"/>
          </w:tcPr>
          <w:p>
            <w:pPr>
              <w:spacing w:after="0"/>
              <w:rPr>
                <w:sz w:val="24"/>
                <w:szCs w:val="24"/>
                <w:color w:val="auto"/>
              </w:rPr>
            </w:pPr>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20" w:type="dxa"/>
            <w:vAlign w:val="bottom"/>
            <w:shd w:val="clear" w:color="auto" w:fill="0000EE"/>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314960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right="760" w:firstLine="648"/>
        <w:spacing w:after="0" w:line="292" w:lineRule="auto"/>
        <w:rPr>
          <w:sz w:val="20"/>
          <w:szCs w:val="20"/>
          <w:color w:val="auto"/>
        </w:rPr>
      </w:pPr>
      <w:r>
        <w:rPr>
          <w:rFonts w:ascii="Arial" w:cs="Arial" w:eastAsia="Arial" w:hAnsi="Arial"/>
          <w:sz w:val="17"/>
          <w:szCs w:val="17"/>
          <w:color w:val="auto"/>
        </w:rPr>
        <w:t>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in the city of Philadelphia, Commonwealth of Pennsylvania, on this 17</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day of March, 2023.</w:t>
      </w:r>
    </w:p>
    <w:p>
      <w:pPr>
        <w:spacing w:after="0" w:line="33"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CENTURY THERAPEUTICS, INC.</w:t>
      </w:r>
    </w:p>
    <w:p>
      <w:pPr>
        <w:spacing w:after="0" w:line="229"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color w:val="auto"/>
        </w:rPr>
        <w:t>By:</w:t>
        <w:tab/>
        <w:t>/s/ Osvaldo Flores,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Osvaldo Flores, Ph.D.</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120" w:firstLine="648"/>
        <w:spacing w:after="0" w:line="291" w:lineRule="auto"/>
        <w:rPr>
          <w:sz w:val="20"/>
          <w:szCs w:val="20"/>
          <w:color w:val="auto"/>
        </w:rPr>
      </w:pPr>
      <w:r>
        <w:rPr>
          <w:rFonts w:ascii="Arial" w:cs="Arial" w:eastAsia="Arial" w:hAnsi="Arial"/>
          <w:sz w:val="16"/>
          <w:szCs w:val="16"/>
          <w:i w:val="1"/>
          <w:iCs w:val="1"/>
          <w:color w:val="auto"/>
        </w:rPr>
        <w:t>KNOW ALL PERSONS BY THESE PRESENTS</w:t>
      </w:r>
      <w:r>
        <w:rPr>
          <w:rFonts w:ascii="Arial" w:cs="Arial" w:eastAsia="Arial" w:hAnsi="Arial"/>
          <w:sz w:val="16"/>
          <w:szCs w:val="16"/>
          <w:color w:val="auto"/>
        </w:rPr>
        <w:t>, that each person whose signature appears below hereby constitutes and appoints Osvaldo Flores,</w:t>
      </w:r>
      <w:r>
        <w:rPr>
          <w:rFonts w:ascii="Arial" w:cs="Arial" w:eastAsia="Arial" w:hAnsi="Arial"/>
          <w:sz w:val="16"/>
          <w:szCs w:val="16"/>
          <w:i w:val="1"/>
          <w:iCs w:val="1"/>
          <w:color w:val="auto"/>
        </w:rPr>
        <w:t xml:space="preserve"> </w:t>
      </w:r>
      <w:r>
        <w:rPr>
          <w:rFonts w:ascii="Arial" w:cs="Arial" w:eastAsia="Arial" w:hAnsi="Arial"/>
          <w:sz w:val="16"/>
          <w:szCs w:val="16"/>
          <w:color w:val="auto"/>
        </w:rPr>
        <w:t>Ph.D. and Michael Diem, M.D., and each of them, as his or her true and lawful attorney-in-fact and agent with full power of substitution, for him or her in any and all capacities, to sign any and all amendments to this Registration Statement (including post-effective amendments thereto) under the Securities Act increasing the number of securities for which registration is sought), and to file the same, with all exhibits thereto and other documents in connection therewith, with the Commission, granting unto said attorney-in-fact, proxy, and agent full power and authority to do and perform each and every act and thing requisite and necessary to be done in connection therewith, as fully for all intents and purposes as he or she might or could do in person, hereby ratifying and confirming all that said attorney-in-fact, proxy and agent, or his substitute, may lawfully do or cause to be done by virtue hereof.</w:t>
      </w:r>
    </w:p>
    <w:p>
      <w:pPr>
        <w:spacing w:after="0" w:line="166"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Signature</w:t>
            </w:r>
          </w:p>
        </w:tc>
        <w:tc>
          <w:tcPr>
            <w:tcW w:w="120" w:type="dxa"/>
            <w:vAlign w:val="bottom"/>
          </w:tcPr>
          <w:p>
            <w:pPr>
              <w:spacing w:after="0"/>
              <w:rPr>
                <w:sz w:val="20"/>
                <w:szCs w:val="20"/>
                <w:color w:val="auto"/>
              </w:rPr>
            </w:pPr>
          </w:p>
        </w:tc>
        <w:tc>
          <w:tcPr>
            <w:tcW w:w="5720" w:type="dxa"/>
            <w:vAlign w:val="bottom"/>
            <w:tcBorders>
              <w:bottom w:val="single" w:sz="8" w:color="auto"/>
            </w:tcBorders>
          </w:tcPr>
          <w:p>
            <w:pPr>
              <w:ind w:left="2660"/>
              <w:spacing w:after="0"/>
              <w:rPr>
                <w:sz w:val="20"/>
                <w:szCs w:val="20"/>
                <w:color w:val="auto"/>
              </w:rPr>
            </w:pPr>
            <w:r>
              <w:rPr>
                <w:rFonts w:ascii="Arial" w:cs="Arial" w:eastAsia="Arial" w:hAnsi="Arial"/>
                <w:sz w:val="18"/>
                <w:szCs w:val="18"/>
                <w:b w:val="1"/>
                <w:bCs w:val="1"/>
                <w:color w:val="auto"/>
              </w:rPr>
              <w:t>Title</w:t>
            </w:r>
          </w:p>
        </w:tc>
        <w:tc>
          <w:tcPr>
            <w:tcW w:w="100" w:type="dxa"/>
            <w:vAlign w:val="bottom"/>
          </w:tcPr>
          <w:p>
            <w:pPr>
              <w:spacing w:after="0"/>
              <w:rPr>
                <w:sz w:val="20"/>
                <w:szCs w:val="20"/>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426"/>
        </w:trPr>
        <w:tc>
          <w:tcPr>
            <w:tcW w:w="3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Osvaldo Flores, Ph.D.</w:t>
            </w:r>
          </w:p>
        </w:tc>
        <w:tc>
          <w:tcPr>
            <w:tcW w:w="120" w:type="dxa"/>
            <w:vAlign w:val="bottom"/>
          </w:tcPr>
          <w:p>
            <w:pPr>
              <w:spacing w:after="0"/>
              <w:rPr>
                <w:sz w:val="24"/>
                <w:szCs w:val="24"/>
                <w:color w:val="auto"/>
              </w:rPr>
            </w:pPr>
          </w:p>
        </w:tc>
        <w:tc>
          <w:tcPr>
            <w:tcW w:w="58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President, Chief Executive Officer and Director</w:t>
            </w:r>
          </w:p>
        </w:tc>
        <w:tc>
          <w:tcPr>
            <w:tcW w:w="1800" w:type="dxa"/>
            <w:vAlign w:val="bottom"/>
          </w:tcPr>
          <w:p>
            <w:pPr>
              <w:jc w:val="center"/>
              <w:spacing w:after="0"/>
              <w:rPr>
                <w:sz w:val="20"/>
                <w:szCs w:val="20"/>
                <w:color w:val="auto"/>
              </w:rPr>
            </w:pPr>
            <w:r>
              <w:rPr>
                <w:rFonts w:ascii="Arial" w:cs="Arial" w:eastAsia="Arial" w:hAnsi="Arial"/>
                <w:sz w:val="18"/>
                <w:szCs w:val="18"/>
                <w:color w:val="auto"/>
                <w:w w:val="92"/>
              </w:rPr>
              <w:t>March 17, 2023</w:t>
            </w:r>
          </w:p>
        </w:tc>
      </w:tr>
      <w:tr>
        <w:trPr>
          <w:trHeight w:val="224"/>
        </w:trPr>
        <w:tc>
          <w:tcPr>
            <w:tcW w:w="3500" w:type="dxa"/>
            <w:vAlign w:val="bottom"/>
          </w:tcPr>
          <w:p>
            <w:pPr>
              <w:jc w:val="center"/>
              <w:spacing w:after="0"/>
              <w:rPr>
                <w:sz w:val="20"/>
                <w:szCs w:val="20"/>
                <w:color w:val="auto"/>
              </w:rPr>
            </w:pPr>
            <w:r>
              <w:rPr>
                <w:rFonts w:ascii="Arial" w:cs="Arial" w:eastAsia="Arial" w:hAnsi="Arial"/>
                <w:sz w:val="18"/>
                <w:szCs w:val="18"/>
                <w:color w:val="auto"/>
                <w:w w:val="89"/>
              </w:rPr>
              <w:t>Osvaldo Flores, Ph.D.</w:t>
            </w:r>
          </w:p>
        </w:tc>
        <w:tc>
          <w:tcPr>
            <w:tcW w:w="120" w:type="dxa"/>
            <w:vAlign w:val="bottom"/>
          </w:tcPr>
          <w:p>
            <w:pPr>
              <w:spacing w:after="0"/>
              <w:rPr>
                <w:sz w:val="19"/>
                <w:szCs w:val="19"/>
                <w:color w:val="auto"/>
              </w:rPr>
            </w:pPr>
          </w:p>
        </w:tc>
        <w:tc>
          <w:tcPr>
            <w:tcW w:w="582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(Principal Executive Officer)</w:t>
            </w:r>
          </w:p>
        </w:tc>
        <w:tc>
          <w:tcPr>
            <w:tcW w:w="1800" w:type="dxa"/>
            <w:vAlign w:val="bottom"/>
          </w:tcPr>
          <w:p>
            <w:pPr>
              <w:spacing w:after="0"/>
              <w:rPr>
                <w:sz w:val="19"/>
                <w:szCs w:val="19"/>
                <w:color w:val="auto"/>
              </w:rPr>
            </w:pPr>
          </w:p>
        </w:tc>
      </w:tr>
      <w:tr>
        <w:trPr>
          <w:trHeight w:val="418"/>
        </w:trPr>
        <w:tc>
          <w:tcPr>
            <w:tcW w:w="3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Michael Diem, M.D.</w:t>
            </w:r>
          </w:p>
        </w:tc>
        <w:tc>
          <w:tcPr>
            <w:tcW w:w="120" w:type="dxa"/>
            <w:vAlign w:val="bottom"/>
          </w:tcPr>
          <w:p>
            <w:pPr>
              <w:spacing w:after="0"/>
              <w:rPr>
                <w:sz w:val="24"/>
                <w:szCs w:val="24"/>
                <w:color w:val="auto"/>
              </w:rPr>
            </w:pPr>
          </w:p>
        </w:tc>
        <w:tc>
          <w:tcPr>
            <w:tcW w:w="58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Chief Business Officer</w:t>
            </w:r>
          </w:p>
        </w:tc>
        <w:tc>
          <w:tcPr>
            <w:tcW w:w="1800" w:type="dxa"/>
            <w:vAlign w:val="bottom"/>
          </w:tcPr>
          <w:p>
            <w:pPr>
              <w:jc w:val="center"/>
              <w:spacing w:after="0"/>
              <w:rPr>
                <w:sz w:val="20"/>
                <w:szCs w:val="20"/>
                <w:color w:val="auto"/>
              </w:rPr>
            </w:pPr>
            <w:r>
              <w:rPr>
                <w:rFonts w:ascii="Arial" w:cs="Arial" w:eastAsia="Arial" w:hAnsi="Arial"/>
                <w:sz w:val="18"/>
                <w:szCs w:val="18"/>
                <w:color w:val="auto"/>
                <w:w w:val="92"/>
              </w:rPr>
              <w:t>March 17, 2023</w:t>
            </w:r>
          </w:p>
        </w:tc>
      </w:tr>
      <w:tr>
        <w:trPr>
          <w:trHeight w:val="224"/>
        </w:trPr>
        <w:tc>
          <w:tcPr>
            <w:tcW w:w="3500" w:type="dxa"/>
            <w:vAlign w:val="bottom"/>
          </w:tcPr>
          <w:p>
            <w:pPr>
              <w:jc w:val="center"/>
              <w:spacing w:after="0"/>
              <w:rPr>
                <w:sz w:val="20"/>
                <w:szCs w:val="20"/>
                <w:color w:val="auto"/>
              </w:rPr>
            </w:pPr>
            <w:r>
              <w:rPr>
                <w:rFonts w:ascii="Arial" w:cs="Arial" w:eastAsia="Arial" w:hAnsi="Arial"/>
                <w:sz w:val="18"/>
                <w:szCs w:val="18"/>
                <w:color w:val="auto"/>
                <w:w w:val="95"/>
              </w:rPr>
              <w:t>Michael Diem, M.D.</w:t>
            </w:r>
          </w:p>
        </w:tc>
        <w:tc>
          <w:tcPr>
            <w:tcW w:w="120" w:type="dxa"/>
            <w:vAlign w:val="bottom"/>
          </w:tcPr>
          <w:p>
            <w:pPr>
              <w:spacing w:after="0"/>
              <w:rPr>
                <w:sz w:val="19"/>
                <w:szCs w:val="19"/>
                <w:color w:val="auto"/>
              </w:rPr>
            </w:pPr>
          </w:p>
        </w:tc>
        <w:tc>
          <w:tcPr>
            <w:tcW w:w="582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(Principal Financial Officer)</w:t>
            </w:r>
          </w:p>
        </w:tc>
        <w:tc>
          <w:tcPr>
            <w:tcW w:w="1800" w:type="dxa"/>
            <w:vAlign w:val="bottom"/>
          </w:tcPr>
          <w:p>
            <w:pPr>
              <w:spacing w:after="0"/>
              <w:rPr>
                <w:sz w:val="19"/>
                <w:szCs w:val="19"/>
                <w:color w:val="auto"/>
              </w:rPr>
            </w:pPr>
          </w:p>
        </w:tc>
      </w:tr>
      <w:tr>
        <w:trPr>
          <w:trHeight w:val="418"/>
        </w:trPr>
        <w:tc>
          <w:tcPr>
            <w:tcW w:w="3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/s/ Joseph Jimenez</w:t>
            </w:r>
          </w:p>
        </w:tc>
        <w:tc>
          <w:tcPr>
            <w:tcW w:w="120" w:type="dxa"/>
            <w:vAlign w:val="bottom"/>
          </w:tcPr>
          <w:p>
            <w:pPr>
              <w:spacing w:after="0"/>
              <w:rPr>
                <w:sz w:val="24"/>
                <w:szCs w:val="24"/>
                <w:color w:val="auto"/>
              </w:rPr>
            </w:pPr>
          </w:p>
        </w:tc>
        <w:tc>
          <w:tcPr>
            <w:tcW w:w="582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Chairman, Board of Directors</w:t>
            </w:r>
          </w:p>
        </w:tc>
        <w:tc>
          <w:tcPr>
            <w:tcW w:w="1800" w:type="dxa"/>
            <w:vAlign w:val="bottom"/>
          </w:tcPr>
          <w:p>
            <w:pPr>
              <w:jc w:val="center"/>
              <w:spacing w:after="0"/>
              <w:rPr>
                <w:sz w:val="20"/>
                <w:szCs w:val="20"/>
                <w:color w:val="auto"/>
              </w:rPr>
            </w:pPr>
            <w:r>
              <w:rPr>
                <w:rFonts w:ascii="Arial" w:cs="Arial" w:eastAsia="Arial" w:hAnsi="Arial"/>
                <w:sz w:val="18"/>
                <w:szCs w:val="18"/>
                <w:color w:val="auto"/>
                <w:w w:val="92"/>
              </w:rPr>
              <w:t>March 17, 2023</w:t>
            </w:r>
          </w:p>
        </w:tc>
      </w:tr>
      <w:tr>
        <w:trPr>
          <w:trHeight w:val="224"/>
        </w:trPr>
        <w:tc>
          <w:tcPr>
            <w:tcW w:w="3500" w:type="dxa"/>
            <w:vAlign w:val="bottom"/>
          </w:tcPr>
          <w:p>
            <w:pPr>
              <w:jc w:val="center"/>
              <w:spacing w:after="0"/>
              <w:rPr>
                <w:sz w:val="20"/>
                <w:szCs w:val="20"/>
                <w:color w:val="auto"/>
              </w:rPr>
            </w:pPr>
            <w:r>
              <w:rPr>
                <w:rFonts w:ascii="Arial" w:cs="Arial" w:eastAsia="Arial" w:hAnsi="Arial"/>
                <w:sz w:val="18"/>
                <w:szCs w:val="18"/>
                <w:color w:val="auto"/>
                <w:w w:val="87"/>
              </w:rPr>
              <w:t>Joseph Jimenez</w:t>
            </w:r>
          </w:p>
        </w:tc>
        <w:tc>
          <w:tcPr>
            <w:tcW w:w="120" w:type="dxa"/>
            <w:vAlign w:val="bottom"/>
          </w:tcPr>
          <w:p>
            <w:pPr>
              <w:spacing w:after="0"/>
              <w:rPr>
                <w:sz w:val="19"/>
                <w:szCs w:val="19"/>
                <w:color w:val="auto"/>
              </w:rPr>
            </w:pPr>
          </w:p>
        </w:tc>
        <w:tc>
          <w:tcPr>
            <w:tcW w:w="5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418"/>
        </w:trPr>
        <w:tc>
          <w:tcPr>
            <w:tcW w:w="3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Kimberly Blackwell, M.D.</w:t>
            </w:r>
          </w:p>
        </w:tc>
        <w:tc>
          <w:tcPr>
            <w:tcW w:w="120" w:type="dxa"/>
            <w:vAlign w:val="bottom"/>
          </w:tcPr>
          <w:p>
            <w:pPr>
              <w:spacing w:after="0"/>
              <w:rPr>
                <w:sz w:val="24"/>
                <w:szCs w:val="24"/>
                <w:color w:val="auto"/>
              </w:rPr>
            </w:pPr>
          </w:p>
        </w:tc>
        <w:tc>
          <w:tcPr>
            <w:tcW w:w="5820" w:type="dxa"/>
            <w:vAlign w:val="bottom"/>
            <w:gridSpan w:val="2"/>
          </w:tcPr>
          <w:p>
            <w:pPr>
              <w:jc w:val="center"/>
              <w:ind w:right="60"/>
              <w:spacing w:after="0"/>
              <w:rPr>
                <w:sz w:val="20"/>
                <w:szCs w:val="20"/>
                <w:color w:val="auto"/>
              </w:rPr>
            </w:pPr>
            <w:r>
              <w:rPr>
                <w:rFonts w:ascii="Arial" w:cs="Arial" w:eastAsia="Arial" w:hAnsi="Arial"/>
                <w:sz w:val="18"/>
                <w:szCs w:val="18"/>
                <w:color w:val="auto"/>
                <w:w w:val="95"/>
              </w:rPr>
              <w:t>Director</w:t>
            </w:r>
          </w:p>
        </w:tc>
        <w:tc>
          <w:tcPr>
            <w:tcW w:w="1800" w:type="dxa"/>
            <w:vAlign w:val="bottom"/>
          </w:tcPr>
          <w:p>
            <w:pPr>
              <w:jc w:val="center"/>
              <w:spacing w:after="0"/>
              <w:rPr>
                <w:sz w:val="20"/>
                <w:szCs w:val="20"/>
                <w:color w:val="auto"/>
              </w:rPr>
            </w:pPr>
            <w:r>
              <w:rPr>
                <w:rFonts w:ascii="Arial" w:cs="Arial" w:eastAsia="Arial" w:hAnsi="Arial"/>
                <w:sz w:val="18"/>
                <w:szCs w:val="18"/>
                <w:color w:val="auto"/>
                <w:w w:val="92"/>
              </w:rPr>
              <w:t>March 17, 2023</w:t>
            </w:r>
          </w:p>
        </w:tc>
      </w:tr>
      <w:tr>
        <w:trPr>
          <w:trHeight w:val="224"/>
        </w:trPr>
        <w:tc>
          <w:tcPr>
            <w:tcW w:w="3500" w:type="dxa"/>
            <w:vAlign w:val="bottom"/>
          </w:tcPr>
          <w:p>
            <w:pPr>
              <w:jc w:val="center"/>
              <w:spacing w:after="0"/>
              <w:rPr>
                <w:sz w:val="20"/>
                <w:szCs w:val="20"/>
                <w:color w:val="auto"/>
              </w:rPr>
            </w:pPr>
            <w:r>
              <w:rPr>
                <w:rFonts w:ascii="Arial" w:cs="Arial" w:eastAsia="Arial" w:hAnsi="Arial"/>
                <w:sz w:val="18"/>
                <w:szCs w:val="18"/>
                <w:color w:val="auto"/>
                <w:w w:val="97"/>
              </w:rPr>
              <w:t>Kimberly Blackwell, M.D.</w:t>
            </w:r>
          </w:p>
        </w:tc>
        <w:tc>
          <w:tcPr>
            <w:tcW w:w="120" w:type="dxa"/>
            <w:vAlign w:val="bottom"/>
          </w:tcPr>
          <w:p>
            <w:pPr>
              <w:spacing w:after="0"/>
              <w:rPr>
                <w:sz w:val="19"/>
                <w:szCs w:val="19"/>
                <w:color w:val="auto"/>
              </w:rPr>
            </w:pPr>
          </w:p>
        </w:tc>
        <w:tc>
          <w:tcPr>
            <w:tcW w:w="5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418"/>
        </w:trPr>
        <w:tc>
          <w:tcPr>
            <w:tcW w:w="3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Cynthia Butitta</w:t>
            </w:r>
          </w:p>
        </w:tc>
        <w:tc>
          <w:tcPr>
            <w:tcW w:w="120" w:type="dxa"/>
            <w:vAlign w:val="bottom"/>
          </w:tcPr>
          <w:p>
            <w:pPr>
              <w:spacing w:after="0"/>
              <w:rPr>
                <w:sz w:val="24"/>
                <w:szCs w:val="24"/>
                <w:color w:val="auto"/>
              </w:rPr>
            </w:pPr>
          </w:p>
        </w:tc>
        <w:tc>
          <w:tcPr>
            <w:tcW w:w="5820" w:type="dxa"/>
            <w:vAlign w:val="bottom"/>
            <w:gridSpan w:val="2"/>
          </w:tcPr>
          <w:p>
            <w:pPr>
              <w:jc w:val="center"/>
              <w:ind w:right="60"/>
              <w:spacing w:after="0"/>
              <w:rPr>
                <w:sz w:val="20"/>
                <w:szCs w:val="20"/>
                <w:color w:val="auto"/>
              </w:rPr>
            </w:pPr>
            <w:r>
              <w:rPr>
                <w:rFonts w:ascii="Arial" w:cs="Arial" w:eastAsia="Arial" w:hAnsi="Arial"/>
                <w:sz w:val="18"/>
                <w:szCs w:val="18"/>
                <w:color w:val="auto"/>
                <w:w w:val="95"/>
              </w:rPr>
              <w:t>Director</w:t>
            </w:r>
          </w:p>
        </w:tc>
        <w:tc>
          <w:tcPr>
            <w:tcW w:w="1800" w:type="dxa"/>
            <w:vAlign w:val="bottom"/>
          </w:tcPr>
          <w:p>
            <w:pPr>
              <w:jc w:val="center"/>
              <w:spacing w:after="0"/>
              <w:rPr>
                <w:sz w:val="20"/>
                <w:szCs w:val="20"/>
                <w:color w:val="auto"/>
              </w:rPr>
            </w:pPr>
            <w:r>
              <w:rPr>
                <w:rFonts w:ascii="Arial" w:cs="Arial" w:eastAsia="Arial" w:hAnsi="Arial"/>
                <w:sz w:val="18"/>
                <w:szCs w:val="18"/>
                <w:color w:val="auto"/>
                <w:w w:val="92"/>
              </w:rPr>
              <w:t>March 17, 2023</w:t>
            </w:r>
          </w:p>
        </w:tc>
      </w:tr>
      <w:tr>
        <w:trPr>
          <w:trHeight w:val="224"/>
        </w:trPr>
        <w:tc>
          <w:tcPr>
            <w:tcW w:w="3500" w:type="dxa"/>
            <w:vAlign w:val="bottom"/>
          </w:tcPr>
          <w:p>
            <w:pPr>
              <w:jc w:val="center"/>
              <w:spacing w:after="0"/>
              <w:rPr>
                <w:sz w:val="20"/>
                <w:szCs w:val="20"/>
                <w:color w:val="auto"/>
              </w:rPr>
            </w:pPr>
            <w:r>
              <w:rPr>
                <w:rFonts w:ascii="Arial" w:cs="Arial" w:eastAsia="Arial" w:hAnsi="Arial"/>
                <w:sz w:val="18"/>
                <w:szCs w:val="18"/>
                <w:color w:val="auto"/>
                <w:w w:val="93"/>
              </w:rPr>
              <w:t>Cynthia Butitta</w:t>
            </w:r>
          </w:p>
        </w:tc>
        <w:tc>
          <w:tcPr>
            <w:tcW w:w="120" w:type="dxa"/>
            <w:vAlign w:val="bottom"/>
          </w:tcPr>
          <w:p>
            <w:pPr>
              <w:spacing w:after="0"/>
              <w:rPr>
                <w:sz w:val="19"/>
                <w:szCs w:val="19"/>
                <w:color w:val="auto"/>
              </w:rPr>
            </w:pPr>
          </w:p>
        </w:tc>
        <w:tc>
          <w:tcPr>
            <w:tcW w:w="5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418"/>
        </w:trPr>
        <w:tc>
          <w:tcPr>
            <w:tcW w:w="3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Alessandro Riva, M.D.</w:t>
            </w:r>
          </w:p>
        </w:tc>
        <w:tc>
          <w:tcPr>
            <w:tcW w:w="120" w:type="dxa"/>
            <w:vAlign w:val="bottom"/>
          </w:tcPr>
          <w:p>
            <w:pPr>
              <w:spacing w:after="0"/>
              <w:rPr>
                <w:sz w:val="24"/>
                <w:szCs w:val="24"/>
                <w:color w:val="auto"/>
              </w:rPr>
            </w:pPr>
          </w:p>
        </w:tc>
        <w:tc>
          <w:tcPr>
            <w:tcW w:w="5820" w:type="dxa"/>
            <w:vAlign w:val="bottom"/>
            <w:gridSpan w:val="2"/>
          </w:tcPr>
          <w:p>
            <w:pPr>
              <w:jc w:val="center"/>
              <w:ind w:right="60"/>
              <w:spacing w:after="0"/>
              <w:rPr>
                <w:sz w:val="20"/>
                <w:szCs w:val="20"/>
                <w:color w:val="auto"/>
              </w:rPr>
            </w:pPr>
            <w:r>
              <w:rPr>
                <w:rFonts w:ascii="Arial" w:cs="Arial" w:eastAsia="Arial" w:hAnsi="Arial"/>
                <w:sz w:val="18"/>
                <w:szCs w:val="18"/>
                <w:color w:val="auto"/>
                <w:w w:val="95"/>
              </w:rPr>
              <w:t>Director</w:t>
            </w:r>
          </w:p>
        </w:tc>
        <w:tc>
          <w:tcPr>
            <w:tcW w:w="1800" w:type="dxa"/>
            <w:vAlign w:val="bottom"/>
          </w:tcPr>
          <w:p>
            <w:pPr>
              <w:jc w:val="center"/>
              <w:spacing w:after="0"/>
              <w:rPr>
                <w:sz w:val="20"/>
                <w:szCs w:val="20"/>
                <w:color w:val="auto"/>
              </w:rPr>
            </w:pPr>
            <w:r>
              <w:rPr>
                <w:rFonts w:ascii="Arial" w:cs="Arial" w:eastAsia="Arial" w:hAnsi="Arial"/>
                <w:sz w:val="18"/>
                <w:szCs w:val="18"/>
                <w:color w:val="auto"/>
                <w:w w:val="92"/>
              </w:rPr>
              <w:t>March 17, 2023</w:t>
            </w:r>
          </w:p>
        </w:tc>
      </w:tr>
      <w:tr>
        <w:trPr>
          <w:trHeight w:val="224"/>
        </w:trPr>
        <w:tc>
          <w:tcPr>
            <w:tcW w:w="3500" w:type="dxa"/>
            <w:vAlign w:val="bottom"/>
          </w:tcPr>
          <w:p>
            <w:pPr>
              <w:jc w:val="center"/>
              <w:spacing w:after="0"/>
              <w:rPr>
                <w:sz w:val="20"/>
                <w:szCs w:val="20"/>
                <w:color w:val="auto"/>
              </w:rPr>
            </w:pPr>
            <w:r>
              <w:rPr>
                <w:rFonts w:ascii="Arial" w:cs="Arial" w:eastAsia="Arial" w:hAnsi="Arial"/>
                <w:sz w:val="18"/>
                <w:szCs w:val="18"/>
                <w:color w:val="auto"/>
                <w:w w:val="92"/>
              </w:rPr>
              <w:t>Alessandro Riva, M.D.</w:t>
            </w:r>
          </w:p>
        </w:tc>
        <w:tc>
          <w:tcPr>
            <w:tcW w:w="120" w:type="dxa"/>
            <w:vAlign w:val="bottom"/>
          </w:tcPr>
          <w:p>
            <w:pPr>
              <w:spacing w:after="0"/>
              <w:rPr>
                <w:sz w:val="19"/>
                <w:szCs w:val="19"/>
                <w:color w:val="auto"/>
              </w:rPr>
            </w:pPr>
          </w:p>
        </w:tc>
        <w:tc>
          <w:tcPr>
            <w:tcW w:w="5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418"/>
        </w:trPr>
        <w:tc>
          <w:tcPr>
            <w:tcW w:w="3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Carlo Rizzuto, Ph.D.</w:t>
            </w:r>
          </w:p>
        </w:tc>
        <w:tc>
          <w:tcPr>
            <w:tcW w:w="120" w:type="dxa"/>
            <w:vAlign w:val="bottom"/>
          </w:tcPr>
          <w:p>
            <w:pPr>
              <w:spacing w:after="0"/>
              <w:rPr>
                <w:sz w:val="24"/>
                <w:szCs w:val="24"/>
                <w:color w:val="auto"/>
              </w:rPr>
            </w:pPr>
          </w:p>
        </w:tc>
        <w:tc>
          <w:tcPr>
            <w:tcW w:w="5820" w:type="dxa"/>
            <w:vAlign w:val="bottom"/>
            <w:gridSpan w:val="2"/>
          </w:tcPr>
          <w:p>
            <w:pPr>
              <w:jc w:val="center"/>
              <w:ind w:right="60"/>
              <w:spacing w:after="0"/>
              <w:rPr>
                <w:sz w:val="20"/>
                <w:szCs w:val="20"/>
                <w:color w:val="auto"/>
              </w:rPr>
            </w:pPr>
            <w:r>
              <w:rPr>
                <w:rFonts w:ascii="Arial" w:cs="Arial" w:eastAsia="Arial" w:hAnsi="Arial"/>
                <w:sz w:val="18"/>
                <w:szCs w:val="18"/>
                <w:color w:val="auto"/>
                <w:w w:val="95"/>
              </w:rPr>
              <w:t>Director</w:t>
            </w:r>
          </w:p>
        </w:tc>
        <w:tc>
          <w:tcPr>
            <w:tcW w:w="1800" w:type="dxa"/>
            <w:vAlign w:val="bottom"/>
          </w:tcPr>
          <w:p>
            <w:pPr>
              <w:jc w:val="center"/>
              <w:spacing w:after="0"/>
              <w:rPr>
                <w:sz w:val="20"/>
                <w:szCs w:val="20"/>
                <w:color w:val="auto"/>
              </w:rPr>
            </w:pPr>
            <w:r>
              <w:rPr>
                <w:rFonts w:ascii="Arial" w:cs="Arial" w:eastAsia="Arial" w:hAnsi="Arial"/>
                <w:sz w:val="18"/>
                <w:szCs w:val="18"/>
                <w:color w:val="auto"/>
                <w:w w:val="92"/>
              </w:rPr>
              <w:t>March 17, 2023</w:t>
            </w:r>
          </w:p>
        </w:tc>
      </w:tr>
      <w:tr>
        <w:trPr>
          <w:trHeight w:val="224"/>
        </w:trPr>
        <w:tc>
          <w:tcPr>
            <w:tcW w:w="3500" w:type="dxa"/>
            <w:vAlign w:val="bottom"/>
          </w:tcPr>
          <w:p>
            <w:pPr>
              <w:jc w:val="center"/>
              <w:spacing w:after="0"/>
              <w:rPr>
                <w:sz w:val="20"/>
                <w:szCs w:val="20"/>
                <w:color w:val="auto"/>
              </w:rPr>
            </w:pPr>
            <w:r>
              <w:rPr>
                <w:rFonts w:ascii="Arial" w:cs="Arial" w:eastAsia="Arial" w:hAnsi="Arial"/>
                <w:sz w:val="18"/>
                <w:szCs w:val="18"/>
                <w:color w:val="auto"/>
                <w:w w:val="91"/>
              </w:rPr>
              <w:t>Carlo Rizzuto, Ph.D.</w:t>
            </w:r>
          </w:p>
        </w:tc>
        <w:tc>
          <w:tcPr>
            <w:tcW w:w="120" w:type="dxa"/>
            <w:vAlign w:val="bottom"/>
          </w:tcPr>
          <w:p>
            <w:pPr>
              <w:spacing w:after="0"/>
              <w:rPr>
                <w:sz w:val="19"/>
                <w:szCs w:val="19"/>
                <w:color w:val="auto"/>
              </w:rPr>
            </w:pPr>
          </w:p>
        </w:tc>
        <w:tc>
          <w:tcPr>
            <w:tcW w:w="5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418"/>
        </w:trPr>
        <w:tc>
          <w:tcPr>
            <w:tcW w:w="3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Timothy Walbert</w:t>
            </w:r>
          </w:p>
        </w:tc>
        <w:tc>
          <w:tcPr>
            <w:tcW w:w="120" w:type="dxa"/>
            <w:vAlign w:val="bottom"/>
          </w:tcPr>
          <w:p>
            <w:pPr>
              <w:spacing w:after="0"/>
              <w:rPr>
                <w:sz w:val="24"/>
                <w:szCs w:val="24"/>
                <w:color w:val="auto"/>
              </w:rPr>
            </w:pPr>
          </w:p>
        </w:tc>
        <w:tc>
          <w:tcPr>
            <w:tcW w:w="5820" w:type="dxa"/>
            <w:vAlign w:val="bottom"/>
            <w:gridSpan w:val="2"/>
          </w:tcPr>
          <w:p>
            <w:pPr>
              <w:jc w:val="center"/>
              <w:ind w:right="60"/>
              <w:spacing w:after="0"/>
              <w:rPr>
                <w:sz w:val="20"/>
                <w:szCs w:val="20"/>
                <w:color w:val="auto"/>
              </w:rPr>
            </w:pPr>
            <w:r>
              <w:rPr>
                <w:rFonts w:ascii="Arial" w:cs="Arial" w:eastAsia="Arial" w:hAnsi="Arial"/>
                <w:sz w:val="18"/>
                <w:szCs w:val="18"/>
                <w:color w:val="auto"/>
                <w:w w:val="95"/>
              </w:rPr>
              <w:t>Director</w:t>
            </w:r>
          </w:p>
        </w:tc>
        <w:tc>
          <w:tcPr>
            <w:tcW w:w="1800" w:type="dxa"/>
            <w:vAlign w:val="bottom"/>
          </w:tcPr>
          <w:p>
            <w:pPr>
              <w:jc w:val="center"/>
              <w:spacing w:after="0"/>
              <w:rPr>
                <w:sz w:val="20"/>
                <w:szCs w:val="20"/>
                <w:color w:val="auto"/>
              </w:rPr>
            </w:pPr>
            <w:r>
              <w:rPr>
                <w:rFonts w:ascii="Arial" w:cs="Arial" w:eastAsia="Arial" w:hAnsi="Arial"/>
                <w:sz w:val="18"/>
                <w:szCs w:val="18"/>
                <w:color w:val="auto"/>
                <w:w w:val="92"/>
              </w:rPr>
              <w:t>March 17, 2023</w:t>
            </w:r>
          </w:p>
        </w:tc>
      </w:tr>
      <w:tr>
        <w:trPr>
          <w:trHeight w:val="224"/>
        </w:trPr>
        <w:tc>
          <w:tcPr>
            <w:tcW w:w="3500" w:type="dxa"/>
            <w:vAlign w:val="bottom"/>
          </w:tcPr>
          <w:p>
            <w:pPr>
              <w:jc w:val="center"/>
              <w:spacing w:after="0"/>
              <w:rPr>
                <w:sz w:val="20"/>
                <w:szCs w:val="20"/>
                <w:color w:val="auto"/>
              </w:rPr>
            </w:pPr>
            <w:r>
              <w:rPr>
                <w:rFonts w:ascii="Arial" w:cs="Arial" w:eastAsia="Arial" w:hAnsi="Arial"/>
                <w:sz w:val="18"/>
                <w:szCs w:val="18"/>
                <w:color w:val="auto"/>
                <w:w w:val="93"/>
              </w:rPr>
              <w:t>Timothy Walbert</w:t>
            </w:r>
          </w:p>
        </w:tc>
        <w:tc>
          <w:tcPr>
            <w:tcW w:w="120" w:type="dxa"/>
            <w:vAlign w:val="bottom"/>
          </w:tcPr>
          <w:p>
            <w:pPr>
              <w:spacing w:after="0"/>
              <w:rPr>
                <w:sz w:val="19"/>
                <w:szCs w:val="19"/>
                <w:color w:val="auto"/>
              </w:rPr>
            </w:pPr>
          </w:p>
        </w:tc>
        <w:tc>
          <w:tcPr>
            <w:tcW w:w="5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418"/>
        </w:trPr>
        <w:tc>
          <w:tcPr>
            <w:tcW w:w="3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Daphne Quimi</w:t>
            </w:r>
          </w:p>
        </w:tc>
        <w:tc>
          <w:tcPr>
            <w:tcW w:w="120" w:type="dxa"/>
            <w:vAlign w:val="bottom"/>
          </w:tcPr>
          <w:p>
            <w:pPr>
              <w:spacing w:after="0"/>
              <w:rPr>
                <w:sz w:val="24"/>
                <w:szCs w:val="24"/>
                <w:color w:val="auto"/>
              </w:rPr>
            </w:pPr>
          </w:p>
        </w:tc>
        <w:tc>
          <w:tcPr>
            <w:tcW w:w="5820" w:type="dxa"/>
            <w:vAlign w:val="bottom"/>
            <w:gridSpan w:val="2"/>
          </w:tcPr>
          <w:p>
            <w:pPr>
              <w:jc w:val="center"/>
              <w:ind w:right="60"/>
              <w:spacing w:after="0"/>
              <w:rPr>
                <w:sz w:val="20"/>
                <w:szCs w:val="20"/>
                <w:color w:val="auto"/>
              </w:rPr>
            </w:pPr>
            <w:r>
              <w:rPr>
                <w:rFonts w:ascii="Arial" w:cs="Arial" w:eastAsia="Arial" w:hAnsi="Arial"/>
                <w:sz w:val="18"/>
                <w:szCs w:val="18"/>
                <w:color w:val="auto"/>
                <w:w w:val="95"/>
              </w:rPr>
              <w:t>Director</w:t>
            </w:r>
          </w:p>
        </w:tc>
        <w:tc>
          <w:tcPr>
            <w:tcW w:w="1800" w:type="dxa"/>
            <w:vAlign w:val="bottom"/>
          </w:tcPr>
          <w:p>
            <w:pPr>
              <w:jc w:val="center"/>
              <w:spacing w:after="0"/>
              <w:rPr>
                <w:sz w:val="20"/>
                <w:szCs w:val="20"/>
                <w:color w:val="auto"/>
              </w:rPr>
            </w:pPr>
            <w:r>
              <w:rPr>
                <w:rFonts w:ascii="Arial" w:cs="Arial" w:eastAsia="Arial" w:hAnsi="Arial"/>
                <w:sz w:val="18"/>
                <w:szCs w:val="18"/>
                <w:color w:val="auto"/>
                <w:w w:val="92"/>
              </w:rPr>
              <w:t>March 17, 2023</w:t>
            </w:r>
          </w:p>
        </w:tc>
      </w:tr>
      <w:tr>
        <w:trPr>
          <w:trHeight w:val="224"/>
        </w:trPr>
        <w:tc>
          <w:tcPr>
            <w:tcW w:w="3500" w:type="dxa"/>
            <w:vAlign w:val="bottom"/>
          </w:tcPr>
          <w:p>
            <w:pPr>
              <w:jc w:val="center"/>
              <w:spacing w:after="0"/>
              <w:rPr>
                <w:sz w:val="20"/>
                <w:szCs w:val="20"/>
                <w:color w:val="auto"/>
              </w:rPr>
            </w:pPr>
            <w:r>
              <w:rPr>
                <w:rFonts w:ascii="Arial" w:cs="Arial" w:eastAsia="Arial" w:hAnsi="Arial"/>
                <w:sz w:val="18"/>
                <w:szCs w:val="18"/>
                <w:color w:val="auto"/>
                <w:w w:val="92"/>
              </w:rPr>
              <w:t>Daphne Quimi</w:t>
            </w:r>
          </w:p>
        </w:tc>
        <w:tc>
          <w:tcPr>
            <w:tcW w:w="120" w:type="dxa"/>
            <w:vAlign w:val="bottom"/>
          </w:tcPr>
          <w:p>
            <w:pPr>
              <w:spacing w:after="0"/>
              <w:rPr>
                <w:sz w:val="19"/>
                <w:szCs w:val="19"/>
                <w:color w:val="auto"/>
              </w:rPr>
            </w:pPr>
          </w:p>
        </w:tc>
        <w:tc>
          <w:tcPr>
            <w:tcW w:w="5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445"/>
        </w:trPr>
        <w:tc>
          <w:tcPr>
            <w:tcW w:w="3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5.1</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March 17, 2023</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Century Therapeutics,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3675 Market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 19104</w:t>
      </w:r>
    </w:p>
    <w:p>
      <w:pPr>
        <w:spacing w:after="0" w:line="21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Securities Being Registered under Registration Statement on Form S-8</w:t>
      </w:r>
    </w:p>
    <w:p>
      <w:pPr>
        <w:spacing w:after="0" w:line="225"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We have acted as counsel to you in connection with your filing of a Registration Statement on Form S-8 (the “Registration Statement”) pursuant to the Securities Act of 1933, as amended (the “Securities Act”), on or about the date hereof relating to an aggregate of 2,954,788 shares (the “Shares”) of Common Stock, $0.0001 par value per share (“Common Stock”), of Century Therapeutics, Inc., a Delaware corporation (the “Company”), that may be issued pursuant to the Company’s 2021 Equity Incentive Plan (the “Plan”).</w:t>
      </w:r>
    </w:p>
    <w:p>
      <w:pPr>
        <w:spacing w:after="0" w:line="187"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We have reviewed such documents and made such examination of law as we have deemed appropriate to give the opinions set forth below. We have relied, without independent verification, on certificates of public officials and, as to matters of fact material to the opinion set forth below, on certificates and other inquiries of officers of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opinion set forth below is limited to the Delaware General Corporation Law.</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For purposes of the opinion set forth below, we have assumed that no event occurs that causes the number of authorized shares of Common Stock available for issuance by the Company to be less than the number of then unissued Shares.</w:t>
      </w:r>
    </w:p>
    <w:p>
      <w:pPr>
        <w:spacing w:after="0" w:line="17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Based on the foregoing, we are of the opinion that the Shares have been duly authorized and, upon issuance and delivery against payment therefor in accordance with the terms of the Plans, will be validly issued, fully paid and nonassessable.</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 xml:space="preserve">This opinion letter and the opinion it contains shall be interpreted in accordance with the Core Opinion Principles as published in 74 </w:t>
      </w:r>
      <w:r>
        <w:rPr>
          <w:rFonts w:ascii="Arial" w:cs="Arial" w:eastAsia="Arial" w:hAnsi="Arial"/>
          <w:sz w:val="18"/>
          <w:szCs w:val="18"/>
          <w:i w:val="1"/>
          <w:iCs w:val="1"/>
          <w:color w:val="auto"/>
        </w:rPr>
        <w:t>Business Lawyer</w:t>
      </w:r>
      <w:r>
        <w:rPr>
          <w:rFonts w:ascii="Arial" w:cs="Arial" w:eastAsia="Arial" w:hAnsi="Arial"/>
          <w:sz w:val="18"/>
          <w:szCs w:val="18"/>
          <w:color w:val="auto"/>
        </w:rPr>
        <w:t xml:space="preserve"> 815 (Summer 2019).</w:t>
      </w:r>
    </w:p>
    <w:p>
      <w:pPr>
        <w:spacing w:after="0" w:line="170"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We hereby consent to the inclusion of this opinion as Exhibit 5.1 to the Registration Statement. In giving our consent, we do not admit that we are in the category of persons whose consent is required under Section 7 of the Securities Act or the rules and regulations thereunder.</w:t>
      </w:r>
    </w:p>
    <w:p>
      <w:pPr>
        <w:spacing w:after="0" w:line="14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w:t>
      </w:r>
      <w:r>
        <w:rPr>
          <w:rFonts w:ascii="Arial" w:cs="Arial" w:eastAsia="Arial" w:hAnsi="Arial"/>
          <w:sz w:val="12"/>
          <w:szCs w:val="12"/>
          <w:color w:val="auto"/>
        </w:rPr>
        <w:t>s</w:t>
      </w:r>
      <w:r>
        <w:rPr>
          <w:rFonts w:ascii="Arial" w:cs="Arial" w:eastAsia="Arial" w:hAnsi="Arial"/>
          <w:sz w:val="18"/>
          <w:szCs w:val="18"/>
          <w:color w:val="auto"/>
        </w:rPr>
        <w:t>/ G</w:t>
      </w:r>
      <w:r>
        <w:rPr>
          <w:rFonts w:ascii="Arial" w:cs="Arial" w:eastAsia="Arial" w:hAnsi="Arial"/>
          <w:sz w:val="12"/>
          <w:szCs w:val="12"/>
          <w:color w:val="auto"/>
        </w:rPr>
        <w:t>oodwin</w:t>
      </w:r>
      <w:r>
        <w:rPr>
          <w:rFonts w:ascii="Arial" w:cs="Arial" w:eastAsia="Arial" w:hAnsi="Arial"/>
          <w:sz w:val="18"/>
          <w:szCs w:val="18"/>
          <w:color w:val="auto"/>
        </w:rPr>
        <w:t xml:space="preserve"> P</w:t>
      </w:r>
      <w:r>
        <w:rPr>
          <w:rFonts w:ascii="Arial" w:cs="Arial" w:eastAsia="Arial" w:hAnsi="Arial"/>
          <w:sz w:val="12"/>
          <w:szCs w:val="12"/>
          <w:color w:val="auto"/>
        </w:rPr>
        <w:t>roctor</w:t>
      </w:r>
      <w:r>
        <w:rPr>
          <w:rFonts w:ascii="Arial" w:cs="Arial" w:eastAsia="Arial" w:hAnsi="Arial"/>
          <w:sz w:val="18"/>
          <w:szCs w:val="18"/>
          <w:color w:val="auto"/>
        </w:rPr>
        <w:t xml:space="preserve"> LLP</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GOODWIN PROCTER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We consent to the incorporation by reference in the Registration Statement (Form S-8) pertaining to the 2021 Equity Incentive Plan of Century Therapeutics, Inc. of our report dated March 16, 2023, with respect to the consolidated financial statements of Century Therapeutics, Inc., included in its Annual Report (Form 10-K) for the year ended December 31, 2022, filed with the Securities and Exchange Commission.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 w:name="page7"/>
    <w:bookmarkEnd w:id="6"/>
    <w:p>
      <w:pPr>
        <w:jc w:val="right"/>
        <w:spacing w:after="0"/>
        <w:rPr>
          <w:sz w:val="20"/>
          <w:szCs w:val="20"/>
          <w:color w:val="auto"/>
        </w:rPr>
      </w:pPr>
      <w:r>
        <w:rPr>
          <w:rFonts w:ascii="Arial" w:cs="Arial" w:eastAsia="Arial" w:hAnsi="Arial"/>
          <w:sz w:val="22"/>
          <w:szCs w:val="22"/>
          <w:b w:val="1"/>
          <w:bCs w:val="1"/>
          <w:color w:val="auto"/>
        </w:rPr>
        <w:t>Exhibit 107</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CALCULATION OF FILING FEE TABLES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S-8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Type)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Century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1: Newly Registered Securities</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10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Security</w:t>
            </w:r>
          </w:p>
        </w:tc>
        <w:tc>
          <w:tcPr>
            <w:tcW w:w="9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Security</w:t>
            </w:r>
          </w:p>
        </w:tc>
        <w:tc>
          <w:tcPr>
            <w:tcW w:w="100" w:type="dxa"/>
            <w:vAlign w:val="bottom"/>
            <w:tcBorders>
              <w:top w:val="single" w:sz="8" w:color="auto"/>
              <w:right w:val="single" w:sz="8" w:color="auto"/>
            </w:tcBorders>
          </w:tcPr>
          <w:p>
            <w:pPr>
              <w:spacing w:after="0"/>
              <w:rPr>
                <w:sz w:val="18"/>
                <w:szCs w:val="18"/>
                <w:color w:val="auto"/>
              </w:rPr>
            </w:pPr>
          </w:p>
        </w:tc>
        <w:tc>
          <w:tcPr>
            <w:tcW w:w="13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Fee</w:t>
            </w:r>
          </w:p>
        </w:tc>
        <w:tc>
          <w:tcPr>
            <w:tcW w:w="460" w:type="dxa"/>
            <w:vAlign w:val="bottom"/>
            <w:tcBorders>
              <w:top w:val="single" w:sz="8" w:color="auto"/>
            </w:tcBorders>
          </w:tcPr>
          <w:p>
            <w:pPr>
              <w:spacing w:after="0"/>
              <w:rPr>
                <w:sz w:val="18"/>
                <w:szCs w:val="18"/>
                <w:color w:val="auto"/>
              </w:rPr>
            </w:pPr>
          </w:p>
        </w:tc>
        <w:tc>
          <w:tcPr>
            <w:tcW w:w="1900" w:type="dxa"/>
            <w:vAlign w:val="bottom"/>
            <w:tcBorders>
              <w:top w:val="single" w:sz="8" w:color="auto"/>
              <w:right w:val="single" w:sz="8" w:color="auto"/>
            </w:tcBorders>
          </w:tcPr>
          <w:p>
            <w:pPr>
              <w:ind w:left="380"/>
              <w:spacing w:after="0"/>
              <w:rPr>
                <w:sz w:val="20"/>
                <w:szCs w:val="20"/>
                <w:color w:val="auto"/>
              </w:rPr>
            </w:pPr>
            <w:r>
              <w:rPr>
                <w:rFonts w:ascii="Arial" w:cs="Arial" w:eastAsia="Arial" w:hAnsi="Arial"/>
                <w:sz w:val="18"/>
                <w:szCs w:val="18"/>
                <w:b w:val="1"/>
                <w:bCs w:val="1"/>
                <w:color w:val="auto"/>
              </w:rPr>
              <w:t>Amount</w:t>
            </w:r>
          </w:p>
        </w:tc>
        <w:tc>
          <w:tcPr>
            <w:tcW w:w="14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Proposed</w:t>
            </w:r>
          </w:p>
        </w:tc>
        <w:tc>
          <w:tcPr>
            <w:tcW w:w="15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Maximum</w:t>
            </w:r>
          </w:p>
        </w:tc>
        <w:tc>
          <w:tcPr>
            <w:tcW w:w="11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Fee Rate</w:t>
            </w:r>
          </w:p>
        </w:tc>
        <w:tc>
          <w:tcPr>
            <w:tcW w:w="13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Amount of</w:t>
            </w:r>
          </w:p>
        </w:tc>
      </w:tr>
      <w:tr>
        <w:trPr>
          <w:trHeight w:val="216"/>
        </w:trPr>
        <w:tc>
          <w:tcPr>
            <w:tcW w:w="10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Type</w:t>
            </w: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87"/>
              </w:rPr>
              <w:t>Class</w:t>
            </w:r>
          </w:p>
        </w:tc>
        <w:tc>
          <w:tcPr>
            <w:tcW w:w="10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Calculation</w:t>
            </w:r>
          </w:p>
        </w:tc>
        <w:tc>
          <w:tcPr>
            <w:tcW w:w="460" w:type="dxa"/>
            <w:vAlign w:val="bottom"/>
          </w:tcPr>
          <w:p>
            <w:pPr>
              <w:spacing w:after="0"/>
              <w:rPr>
                <w:sz w:val="18"/>
                <w:szCs w:val="18"/>
                <w:color w:val="auto"/>
              </w:rPr>
            </w:pPr>
          </w:p>
        </w:tc>
        <w:tc>
          <w:tcPr>
            <w:tcW w:w="1900" w:type="dxa"/>
            <w:vAlign w:val="bottom"/>
            <w:tcBorders>
              <w:right w:val="single" w:sz="8" w:color="auto"/>
            </w:tcBorders>
          </w:tcPr>
          <w:p>
            <w:pPr>
              <w:jc w:val="center"/>
              <w:ind w:right="390"/>
              <w:spacing w:after="0"/>
              <w:rPr>
                <w:sz w:val="20"/>
                <w:szCs w:val="20"/>
                <w:color w:val="auto"/>
              </w:rPr>
            </w:pPr>
            <w:r>
              <w:rPr>
                <w:rFonts w:ascii="Arial" w:cs="Arial" w:eastAsia="Arial" w:hAnsi="Arial"/>
                <w:sz w:val="18"/>
                <w:szCs w:val="18"/>
                <w:b w:val="1"/>
                <w:bCs w:val="1"/>
                <w:color w:val="auto"/>
                <w:w w:val="89"/>
              </w:rPr>
              <w:t>Registered(1)(2)</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Maximum</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Aggregate</w:t>
            </w:r>
          </w:p>
        </w:tc>
        <w:tc>
          <w:tcPr>
            <w:tcW w:w="112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Registration</w:t>
            </w:r>
          </w:p>
        </w:tc>
      </w:tr>
      <w:tr>
        <w:trPr>
          <w:trHeight w:val="216"/>
        </w:trPr>
        <w:tc>
          <w:tcPr>
            <w:tcW w:w="1040" w:type="dxa"/>
            <w:vAlign w:val="bottom"/>
            <w:tcBorders>
              <w:left w:val="single" w:sz="8" w:color="auto"/>
              <w:right w:val="single" w:sz="8" w:color="auto"/>
            </w:tcBorders>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7"/>
              </w:rPr>
              <w:t>Title</w:t>
            </w:r>
          </w:p>
        </w:tc>
        <w:tc>
          <w:tcPr>
            <w:tcW w:w="10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Rule</w:t>
            </w:r>
          </w:p>
        </w:tc>
        <w:tc>
          <w:tcPr>
            <w:tcW w:w="460" w:type="dxa"/>
            <w:vAlign w:val="bottom"/>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Offering</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Offering</w:t>
            </w:r>
          </w:p>
        </w:tc>
        <w:tc>
          <w:tcPr>
            <w:tcW w:w="112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Fee</w:t>
            </w:r>
          </w:p>
        </w:tc>
      </w:tr>
      <w:tr>
        <w:trPr>
          <w:trHeight w:val="216"/>
        </w:trPr>
        <w:tc>
          <w:tcPr>
            <w:tcW w:w="1040" w:type="dxa"/>
            <w:vAlign w:val="bottom"/>
            <w:tcBorders>
              <w:left w:val="single" w:sz="8" w:color="auto"/>
              <w:right w:val="single" w:sz="8" w:color="auto"/>
            </w:tcBorders>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Price per</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Price(3)</w:t>
            </w:r>
          </w:p>
        </w:tc>
        <w:tc>
          <w:tcPr>
            <w:tcW w:w="112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r>
      <w:tr>
        <w:trPr>
          <w:trHeight w:val="234"/>
        </w:trPr>
        <w:tc>
          <w:tcPr>
            <w:tcW w:w="1040" w:type="dxa"/>
            <w:vAlign w:val="bottom"/>
            <w:tcBorders>
              <w:left w:val="single" w:sz="8" w:color="auto"/>
              <w:bottom w:val="single" w:sz="8" w:color="auto"/>
              <w:right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90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Unit(3)</w:t>
            </w:r>
          </w:p>
        </w:tc>
        <w:tc>
          <w:tcPr>
            <w:tcW w:w="156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r>
      <w:tr>
        <w:trPr>
          <w:trHeight w:val="195"/>
        </w:trPr>
        <w:tc>
          <w:tcPr>
            <w:tcW w:w="104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5"/>
              </w:rPr>
              <w:t>Equity</w:t>
            </w:r>
          </w:p>
        </w:tc>
        <w:tc>
          <w:tcPr>
            <w:tcW w:w="920" w:type="dxa"/>
            <w:vAlign w:val="bottom"/>
          </w:tcPr>
          <w:p>
            <w:pPr>
              <w:jc w:val="center"/>
              <w:spacing w:after="0" w:line="195" w:lineRule="exact"/>
              <w:rPr>
                <w:sz w:val="20"/>
                <w:szCs w:val="20"/>
                <w:color w:val="auto"/>
              </w:rPr>
            </w:pPr>
            <w:r>
              <w:rPr>
                <w:rFonts w:ascii="Arial" w:cs="Arial" w:eastAsia="Arial" w:hAnsi="Arial"/>
                <w:sz w:val="18"/>
                <w:szCs w:val="18"/>
                <w:color w:val="auto"/>
                <w:w w:val="90"/>
              </w:rPr>
              <w:t>Common</w:t>
            </w:r>
          </w:p>
        </w:tc>
        <w:tc>
          <w:tcPr>
            <w:tcW w:w="10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457(c) and</w:t>
            </w:r>
          </w:p>
        </w:tc>
        <w:tc>
          <w:tcPr>
            <w:tcW w:w="460" w:type="dxa"/>
            <w:vAlign w:val="bottom"/>
          </w:tcPr>
          <w:p>
            <w:pPr>
              <w:spacing w:after="0"/>
              <w:rPr>
                <w:sz w:val="16"/>
                <w:szCs w:val="16"/>
                <w:color w:val="auto"/>
              </w:rPr>
            </w:pPr>
          </w:p>
        </w:tc>
        <w:tc>
          <w:tcPr>
            <w:tcW w:w="1900" w:type="dxa"/>
            <w:vAlign w:val="bottom"/>
            <w:tcBorders>
              <w:right w:val="single" w:sz="8" w:color="auto"/>
            </w:tcBorders>
          </w:tcPr>
          <w:p>
            <w:pPr>
              <w:jc w:val="right"/>
              <w:ind w:right="730"/>
              <w:spacing w:after="0" w:line="195" w:lineRule="exact"/>
              <w:rPr>
                <w:sz w:val="20"/>
                <w:szCs w:val="20"/>
                <w:color w:val="auto"/>
              </w:rPr>
            </w:pPr>
            <w:r>
              <w:rPr>
                <w:rFonts w:ascii="Arial" w:cs="Arial" w:eastAsia="Arial" w:hAnsi="Arial"/>
                <w:sz w:val="18"/>
                <w:szCs w:val="18"/>
                <w:color w:val="auto"/>
              </w:rPr>
              <w:t>2,954,788</w:t>
            </w:r>
          </w:p>
        </w:tc>
        <w:tc>
          <w:tcPr>
            <w:tcW w:w="1460" w:type="dxa"/>
            <w:vAlign w:val="bottom"/>
            <w:tcBorders>
              <w:right w:val="single" w:sz="8" w:color="auto"/>
            </w:tcBorders>
          </w:tcPr>
          <w:p>
            <w:pPr>
              <w:jc w:val="right"/>
              <w:ind w:right="450"/>
              <w:spacing w:after="0" w:line="195" w:lineRule="exact"/>
              <w:rPr>
                <w:sz w:val="20"/>
                <w:szCs w:val="20"/>
                <w:color w:val="auto"/>
              </w:rPr>
            </w:pPr>
            <w:r>
              <w:rPr>
                <w:rFonts w:ascii="Arial" w:cs="Arial" w:eastAsia="Arial" w:hAnsi="Arial"/>
                <w:sz w:val="18"/>
                <w:szCs w:val="18"/>
                <w:color w:val="auto"/>
              </w:rPr>
              <w:t>$3.78</w:t>
            </w:r>
          </w:p>
        </w:tc>
        <w:tc>
          <w:tcPr>
            <w:tcW w:w="15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$11,169,098.64</w:t>
            </w:r>
          </w:p>
        </w:tc>
        <w:tc>
          <w:tcPr>
            <w:tcW w:w="1120" w:type="dxa"/>
            <w:vAlign w:val="bottom"/>
            <w:tcBorders>
              <w:right w:val="single" w:sz="8" w:color="auto"/>
            </w:tcBorders>
          </w:tcPr>
          <w:p>
            <w:pPr>
              <w:jc w:val="right"/>
              <w:ind w:right="90"/>
              <w:spacing w:after="0" w:line="195" w:lineRule="exact"/>
              <w:rPr>
                <w:sz w:val="20"/>
                <w:szCs w:val="20"/>
                <w:color w:val="auto"/>
              </w:rPr>
            </w:pPr>
            <w:r>
              <w:rPr>
                <w:rFonts w:ascii="Arial" w:cs="Arial" w:eastAsia="Arial" w:hAnsi="Arial"/>
                <w:sz w:val="18"/>
                <w:szCs w:val="18"/>
                <w:color w:val="auto"/>
              </w:rPr>
              <w:t>0.0001102</w:t>
            </w:r>
          </w:p>
        </w:tc>
        <w:tc>
          <w:tcPr>
            <w:tcW w:w="13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$1,230.83</w:t>
            </w:r>
          </w:p>
        </w:tc>
      </w:tr>
      <w:tr>
        <w:trPr>
          <w:trHeight w:val="216"/>
        </w:trPr>
        <w:tc>
          <w:tcPr>
            <w:tcW w:w="1040" w:type="dxa"/>
            <w:vAlign w:val="bottom"/>
            <w:tcBorders>
              <w:left w:val="single" w:sz="8" w:color="auto"/>
              <w:right w:val="single" w:sz="8" w:color="auto"/>
            </w:tcBorders>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Stock, par</w:t>
            </w:r>
          </w:p>
        </w:tc>
        <w:tc>
          <w:tcPr>
            <w:tcW w:w="10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457(h)</w:t>
            </w:r>
          </w:p>
        </w:tc>
        <w:tc>
          <w:tcPr>
            <w:tcW w:w="460" w:type="dxa"/>
            <w:vAlign w:val="bottom"/>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r>
      <w:tr>
        <w:trPr>
          <w:trHeight w:val="216"/>
        </w:trPr>
        <w:tc>
          <w:tcPr>
            <w:tcW w:w="1040" w:type="dxa"/>
            <w:vAlign w:val="bottom"/>
            <w:tcBorders>
              <w:left w:val="single" w:sz="8" w:color="auto"/>
              <w:right w:val="single" w:sz="8" w:color="auto"/>
            </w:tcBorders>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8"/>
              </w:rPr>
              <w:t>value</w:t>
            </w:r>
          </w:p>
        </w:tc>
        <w:tc>
          <w:tcPr>
            <w:tcW w:w="10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r>
      <w:tr>
        <w:trPr>
          <w:trHeight w:val="230"/>
        </w:trPr>
        <w:tc>
          <w:tcPr>
            <w:tcW w:w="1040" w:type="dxa"/>
            <w:vAlign w:val="bottom"/>
            <w:tcBorders>
              <w:left w:val="single" w:sz="8" w:color="auto"/>
              <w:bottom w:val="single" w:sz="8" w:color="auto"/>
              <w:right w:val="single" w:sz="8" w:color="auto"/>
            </w:tcBorders>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$0.0001</w:t>
            </w:r>
          </w:p>
        </w:tc>
        <w:tc>
          <w:tcPr>
            <w:tcW w:w="10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90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r>
      <w:tr>
        <w:trPr>
          <w:trHeight w:val="210"/>
        </w:trPr>
        <w:tc>
          <w:tcPr>
            <w:tcW w:w="1040" w:type="dxa"/>
            <w:vAlign w:val="bottom"/>
            <w:tcBorders>
              <w:left w:val="single" w:sz="8" w:color="auto"/>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93"/>
              </w:rPr>
              <w:t>Total Offering Amounts</w:t>
            </w:r>
          </w:p>
        </w:tc>
        <w:tc>
          <w:tcPr>
            <w:tcW w:w="190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$11,169,098.64</w:t>
            </w:r>
          </w:p>
        </w:tc>
        <w:tc>
          <w:tcPr>
            <w:tcW w:w="112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$1,230.83</w:t>
            </w:r>
          </w:p>
        </w:tc>
      </w:tr>
      <w:tr>
        <w:trPr>
          <w:trHeight w:val="209"/>
        </w:trPr>
        <w:tc>
          <w:tcPr>
            <w:tcW w:w="1040" w:type="dxa"/>
            <w:vAlign w:val="bottom"/>
            <w:tcBorders>
              <w:left w:val="single" w:sz="8" w:color="auto"/>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8"/>
                <w:szCs w:val="18"/>
                <w:color w:val="auto"/>
                <w:w w:val="89"/>
              </w:rPr>
              <w:t>Total Fee Offsets(4)</w:t>
            </w:r>
          </w:p>
        </w:tc>
        <w:tc>
          <w:tcPr>
            <w:tcW w:w="190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r>
        <w:trPr>
          <w:trHeight w:val="210"/>
        </w:trPr>
        <w:tc>
          <w:tcPr>
            <w:tcW w:w="1040" w:type="dxa"/>
            <w:vAlign w:val="bottom"/>
            <w:tcBorders>
              <w:left w:val="single" w:sz="8" w:color="auto"/>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8"/>
                <w:szCs w:val="18"/>
                <w:color w:val="auto"/>
                <w:w w:val="90"/>
              </w:rPr>
              <w:t>Net Fee Due</w:t>
            </w:r>
          </w:p>
        </w:tc>
        <w:tc>
          <w:tcPr>
            <w:tcW w:w="190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$1,230.83</w:t>
            </w:r>
          </w:p>
        </w:tc>
      </w:tr>
    </w:tbl>
    <w:p>
      <w:pPr>
        <w:spacing w:after="0" w:line="202" w:lineRule="exact"/>
        <w:rPr>
          <w:sz w:val="20"/>
          <w:szCs w:val="20"/>
          <w:color w:val="auto"/>
        </w:rPr>
      </w:pPr>
    </w:p>
    <w:p>
      <w:pPr>
        <w:ind w:left="340" w:right="100" w:hanging="332"/>
        <w:spacing w:after="0" w:line="286" w:lineRule="auto"/>
        <w:tabs>
          <w:tab w:leader="none" w:pos="340" w:val="left"/>
        </w:tabs>
        <w:numPr>
          <w:ilvl w:val="0"/>
          <w:numId w:val="2"/>
        </w:numPr>
        <w:rPr>
          <w:rFonts w:ascii="Arial" w:cs="Arial" w:eastAsia="Arial" w:hAnsi="Arial"/>
          <w:sz w:val="16"/>
          <w:szCs w:val="16"/>
          <w:color w:val="auto"/>
        </w:rPr>
      </w:pPr>
      <w:r>
        <w:rPr>
          <w:rFonts w:ascii="Arial" w:cs="Arial" w:eastAsia="Arial" w:hAnsi="Arial"/>
          <w:sz w:val="16"/>
          <w:szCs w:val="16"/>
          <w:color w:val="auto"/>
        </w:rPr>
        <w:t>Pursuant to Rule 416(a) promulgated under the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 this Registration Statement also covers an indeterminate number of additional shares of common stock, par value $0.0001 (the “</w:t>
      </w:r>
      <w:r>
        <w:rPr>
          <w:rFonts w:ascii="Arial" w:cs="Arial" w:eastAsia="Arial" w:hAnsi="Arial"/>
          <w:sz w:val="16"/>
          <w:szCs w:val="16"/>
          <w:u w:val="single" w:color="auto"/>
          <w:color w:val="auto"/>
        </w:rPr>
        <w:t>Common Stock</w:t>
      </w:r>
      <w:r>
        <w:rPr>
          <w:rFonts w:ascii="Arial" w:cs="Arial" w:eastAsia="Arial" w:hAnsi="Arial"/>
          <w:sz w:val="16"/>
          <w:szCs w:val="16"/>
          <w:color w:val="auto"/>
        </w:rPr>
        <w:t>”) of Century Therapeutics, Inc. (the “</w:t>
      </w:r>
      <w:r>
        <w:rPr>
          <w:rFonts w:ascii="Arial" w:cs="Arial" w:eastAsia="Arial" w:hAnsi="Arial"/>
          <w:sz w:val="16"/>
          <w:szCs w:val="16"/>
          <w:u w:val="single" w:color="auto"/>
          <w:color w:val="auto"/>
        </w:rPr>
        <w:t>Registrant</w:t>
      </w:r>
      <w:r>
        <w:rPr>
          <w:rFonts w:ascii="Arial" w:cs="Arial" w:eastAsia="Arial" w:hAnsi="Arial"/>
          <w:sz w:val="16"/>
          <w:szCs w:val="16"/>
          <w:color w:val="auto"/>
        </w:rPr>
        <w:t>”) issuable under the Century Therapeutics, Inc. 2021 Equity Incentive Plan (the “</w:t>
      </w:r>
      <w:r>
        <w:rPr>
          <w:rFonts w:ascii="Arial" w:cs="Arial" w:eastAsia="Arial" w:hAnsi="Arial"/>
          <w:sz w:val="16"/>
          <w:szCs w:val="16"/>
          <w:u w:val="single" w:color="auto"/>
          <w:color w:val="auto"/>
        </w:rPr>
        <w:t>Plan</w:t>
      </w:r>
      <w:r>
        <w:rPr>
          <w:rFonts w:ascii="Arial" w:cs="Arial" w:eastAsia="Arial" w:hAnsi="Arial"/>
          <w:sz w:val="16"/>
          <w:szCs w:val="16"/>
          <w:color w:val="auto"/>
        </w:rPr>
        <w:t>”) in the event the number of outstanding shares of the Registrant is increased by reason of any stock dividend, stock split, recapitalization, merger, consolidation or reorganization or similar transaction.</w:t>
      </w:r>
    </w:p>
    <w:p>
      <w:pPr>
        <w:spacing w:after="0" w:line="1" w:lineRule="exact"/>
        <w:rPr>
          <w:rFonts w:ascii="Arial" w:cs="Arial" w:eastAsia="Arial" w:hAnsi="Arial"/>
          <w:sz w:val="16"/>
          <w:szCs w:val="16"/>
          <w:color w:val="auto"/>
        </w:rPr>
      </w:pPr>
    </w:p>
    <w:p>
      <w:pPr>
        <w:ind w:left="340" w:right="80" w:hanging="332"/>
        <w:spacing w:after="0" w:line="250"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Represents 2,954,788 shares of Common Stock that were added to the shares authorized for issuance under the Plan on January 1, 2023 pursuant to an “evergreen” provision contained in the Plan.</w:t>
      </w:r>
    </w:p>
    <w:p>
      <w:pPr>
        <w:ind w:left="340" w:right="220" w:hanging="332"/>
        <w:spacing w:after="0" w:line="250"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This estimate is made pursuant to Rule 457(h) and Rule 457(c) of the Securities Act. The price shown is based upon the average of the high and low prices reported for the Common Stock on the Nasdaq Global Select Market on March 10, 2023.</w:t>
      </w: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 does not have any fee offsets.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5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3" Type="http://schemas.openxmlformats.org/officeDocument/2006/relationships/image" Target="media/image11.png"/><Relationship Id="rId29" Type="http://schemas.openxmlformats.org/officeDocument/2006/relationships/image" Target="media/image12.png"/><Relationship Id="rId30" Type="http://schemas.openxmlformats.org/officeDocument/2006/relationships/image" Target="media/image13.png"/><Relationship Id="rId31" Type="http://schemas.openxmlformats.org/officeDocument/2006/relationships/image" Target="media/image14.png"/><Relationship Id="rId32" Type="http://schemas.openxmlformats.org/officeDocument/2006/relationships/image" Target="media/image15.png"/><Relationship Id="rId33" Type="http://schemas.openxmlformats.org/officeDocument/2006/relationships/image" Target="media/image16.png"/><Relationship Id="rId34" Type="http://schemas.openxmlformats.org/officeDocument/2006/relationships/image" Target="media/image17.png"/><Relationship Id="rId18" Type="http://schemas.openxmlformats.org/officeDocument/2006/relationships/hyperlink" Target="https://www.sec.gov/Archives/edgar/data/1850119/000110465921088864/tm2121116d1_s8.htm" TargetMode="External"/><Relationship Id="rId19" Type="http://schemas.openxmlformats.org/officeDocument/2006/relationships/hyperlink" Target="https://www.sec.gov/Archives/edgar/data/1850119/000110465922035119/tm229514d1_s8.htm" TargetMode="External"/><Relationship Id="rId20" Type="http://schemas.openxmlformats.org/officeDocument/2006/relationships/hyperlink" Target="https://www.sec.gov/ix?doc=/Archives/edgar/data/1850119/000155837023003962/ipsc-20221231x10k.htm" TargetMode="External"/><Relationship Id="rId21" Type="http://schemas.openxmlformats.org/officeDocument/2006/relationships/hyperlink" Target="https://www.sec.gov/ix?doc=/Archives/edgar/data/1850119/000110465923002039/tm232470d1_8k.htm" TargetMode="External"/><Relationship Id="rId22" Type="http://schemas.openxmlformats.org/officeDocument/2006/relationships/hyperlink" Target="https://www.sec.gov/Archives/edgar/data/1850119/000110465921080760/tm218551d12_8a12b.htm" TargetMode="External"/><Relationship Id="rId24" Type="http://schemas.openxmlformats.org/officeDocument/2006/relationships/hyperlink" Target="https://www.sec.gov/Archives/edgar/data/1850119/000110465921085744/tm2120666d1_ex3-1.htm" TargetMode="External"/><Relationship Id="rId25" Type="http://schemas.openxmlformats.org/officeDocument/2006/relationships/hyperlink" Target="https://www.sec.gov/Archives/edgar/data/1850119/000110465921085744/tm2120666d1_ex3-2.htm" TargetMode="External"/><Relationship Id="rId26" Type="http://schemas.openxmlformats.org/officeDocument/2006/relationships/hyperlink" Target="https://www.sec.gov/Archives/edgar/data/1850119/000110465921080429/tm218551d10_ex10-8.htm" TargetMode="External"/><Relationship Id="rId27" Type="http://schemas.openxmlformats.org/officeDocument/2006/relationships/hyperlink" Target="https://www.sec.gov/Archives/edgar/data/1850119/000110465921074278/tm218551d7_ex10-13.htm" TargetMode="External"/><Relationship Id="rId28" Type="http://schemas.openxmlformats.org/officeDocument/2006/relationships/hyperlink" Target="https://www.sec.gov/Archives/edgar/data/1850119/000110465921074278/tm218551d7_ex10-1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2023-03-17T15:16:15Z</dcterms:created>
  <dcterms:modified xsi:type="dcterms:W3CDTF">2023-03-17T15:16:15Z</dcterms:modified>
</cp:coreProperties>
</file>