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98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8411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Cowan Chad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19104</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7"/>
                <w:szCs w:val="17"/>
                <w:color w:val="0000FF"/>
              </w:rPr>
              <w:t>02/02/2026</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w w:val="94"/>
              </w:rPr>
              <w:t>135,000</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7"/>
                <w:szCs w:val="17"/>
                <w:color w:val="0000FF"/>
              </w:rPr>
              <w:t>1,178,476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7"/>
                <w:szCs w:val="17"/>
                <w:color w:val="0000FF"/>
              </w:rPr>
              <w:t>10,697</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1.84</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02/02/2026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265,000</w:t>
            </w:r>
          </w:p>
        </w:tc>
        <w:tc>
          <w:tcPr>
            <w:tcW w:w="28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02/02/2036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265,000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265,000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Issuer common stock. The RSUs vest 25% on February 2, 2027, with the remaining 75% vesting on a quarterly basis for the three years thereafter, in each case subject the Reporting Person's continued service through the applicable vesting date. The RSUs will be settled on each applicable vesting date in shares of the Issuer's common stock.</w:t>
      </w:r>
    </w:p>
    <w:p>
      <w:pPr>
        <w:spacing w:after="0" w:line="25"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Cowan Investment Nominee Trust. The Reporting Person disclaims beneficial ownership except to the extent of any pecuniary interest therein, and this report shall not be deemed an admission that such shares are beneficially owned by him for Section 16 or any other purpose.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February 2, 2027, with the remaining 75% vesting in 36 equal monthly installments, subject to the Reporting Person's continued service through each applicable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02/04/2026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9294"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2026-02-04T15:25:58Z</dcterms:created>
  <dcterms:modified xsi:type="dcterms:W3CDTF">2026-02-04T15:25:58Z</dcterms:modified>
</cp:coreProperties>
</file>