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March 20, 2025</w:t>
      </w:r>
    </w:p>
    <w:p>
      <w:pPr>
        <w:spacing w:after="0" w:line="23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CENTURY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65" w:lineRule="exact"/>
        <w:rPr>
          <w:sz w:val="24"/>
          <w:szCs w:val="24"/>
          <w:color w:val="auto"/>
        </w:rPr>
      </w:pPr>
    </w:p>
    <w:p>
      <w:pPr>
        <w:sectPr>
          <w:pgSz w:w="11900" w:h="16838" w:orient="portrait"/>
          <w:cols w:equalWidth="0" w:num="2">
            <w:col w:w="6400" w:space="720"/>
            <w:col w:w="4120"/>
          </w:cols>
          <w:pgMar w:left="320" w:top="22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North 38th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817-5790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 2021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Brent Pfeiffenberger, Pharm.D.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25 North 38th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817-5790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Rachael M. Bushey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Jennifer Porter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Justin Platt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3025 John F Kennedy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(445) 207-7805</w:t>
      </w:r>
    </w:p>
    <w:p>
      <w:pPr>
        <w:spacing w:after="0" w:line="207"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35" w:lineRule="exact"/>
        <w:rPr>
          <w:sz w:val="24"/>
          <w:szCs w:val="24"/>
          <w:color w:val="auto"/>
        </w:rPr>
      </w:pPr>
    </w:p>
    <w:p>
      <w:pPr>
        <w:ind w:left="60"/>
        <w:spacing w:after="0" w:line="207" w:lineRule="exact"/>
        <w:tabs>
          <w:tab w:leader="none" w:pos="2060" w:val="left"/>
          <w:tab w:leader="none" w:pos="3640" w:val="left"/>
          <w:tab w:leader="none" w:pos="6460" w:val="left"/>
          <w:tab w:leader="none" w:pos="89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ind w:left="60"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(i) registering an additional 4,291,821 shares of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Century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that were added to the shares authorized for issuance under the Century Therapeutics, Inc. 2021 Equity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for which a Registration Statement on Form S-8 relating to the same employee benefit plan is effective.</w:t>
      </w:r>
    </w:p>
    <w:p>
      <w:pPr>
        <w:spacing w:after="0" w:line="180" w:lineRule="exact"/>
        <w:rPr>
          <w:sz w:val="20"/>
          <w:szCs w:val="20"/>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previously filed Registration Statements on Form S-8 (File Nos. 333-257644, 333-263666, 333-270649 and 333-277930) with the Securities and Exchange Commission (the “Commission”) to register 14,370,995 shares of Common Stock that were authorized for issuance under the 2021 Plan. Upon the effectiveness of this Registration Statement, an aggregate of 18,662,816 shares of Common Stock will be registered for issuance from time to time under the 2021 Plan. Pursuant to General Instruction E to Form S-8, the contents of the Registration Statement on Form S-8 (File Nos. 333-257644, 333-263666 and 333-270649 and 333-277930) filed with the Commission on </w:t>
      </w:r>
      <w:hyperlink r:id="rId18">
        <w:r>
          <w:rPr>
            <w:rFonts w:ascii="Times New Roman" w:cs="Times New Roman" w:eastAsia="Times New Roman" w:hAnsi="Times New Roman"/>
            <w:sz w:val="18"/>
            <w:szCs w:val="18"/>
            <w:u w:val="single" w:color="auto"/>
            <w:color w:val="0000EE"/>
          </w:rPr>
          <w:t>July 2, 2021</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March 17,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auto"/>
        </w:rPr>
        <w:t>, respectively,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18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rFonts w:ascii="Times New Roman" w:cs="Times New Roman" w:eastAsia="Times New Roman" w:hAnsi="Times New Roman"/>
          <w:sz w:val="18"/>
          <w:szCs w:val="18"/>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2021 Plan as required by Rule 428(b)(1) under the Securities Act.</w:t>
      </w:r>
    </w:p>
    <w:p>
      <w:pPr>
        <w:spacing w:after="0" w:line="17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or to be filed with the Commission, are incorporated by reference in this Registration Statement as of their respective dates:</w:t>
      </w:r>
    </w:p>
    <w:p>
      <w:pPr>
        <w:spacing w:after="0" w:line="162" w:lineRule="exact"/>
        <w:rPr>
          <w:rFonts w:ascii="Times New Roman" w:cs="Times New Roman" w:eastAsia="Times New Roman" w:hAnsi="Times New Roman"/>
          <w:sz w:val="18"/>
          <w:szCs w:val="18"/>
          <w:color w:val="auto"/>
        </w:rPr>
      </w:pPr>
    </w:p>
    <w:p>
      <w:pPr>
        <w:jc w:val="both"/>
        <w:ind w:left="660"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Registrant’s Annual Report on </w:t>
      </w:r>
      <w:hyperlink r:id="rId2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19, 2025;</w:t>
      </w:r>
    </w:p>
    <w:p>
      <w:pPr>
        <w:spacing w:after="0" w:line="16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hyperlink r:id="rId23">
        <w:r>
          <w:rPr>
            <w:rFonts w:ascii="Times New Roman" w:cs="Times New Roman" w:eastAsia="Times New Roman" w:hAnsi="Times New Roman"/>
            <w:sz w:val="18"/>
            <w:szCs w:val="18"/>
            <w:u w:val="single" w:color="auto"/>
            <w:color w:val="0000EE"/>
          </w:rPr>
          <w:t> the Registrant’s Current Report on Form 8-K filed with the Commission on February 28, 2025;</w:t>
        </w:r>
      </w:hyperlink>
    </w:p>
    <w:p>
      <w:pPr>
        <w:spacing w:after="0" w:line="225" w:lineRule="exact"/>
        <w:rPr>
          <w:rFonts w:ascii="Times New Roman" w:cs="Times New Roman" w:eastAsia="Times New Roman" w:hAnsi="Times New Roman"/>
          <w:sz w:val="18"/>
          <w:szCs w:val="18"/>
          <w:color w:val="auto"/>
        </w:rPr>
      </w:pPr>
    </w:p>
    <w:p>
      <w:pPr>
        <w:jc w:val="both"/>
        <w:ind w:left="660" w:firstLine="648"/>
        <w:spacing w:after="0" w:line="266" w:lineRule="auto"/>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(c)            the description of the Common Stock contained in the Company’s </w:t>
        </w:r>
        <w:r>
          <w:rPr>
            <w:rFonts w:ascii="Times New Roman" w:cs="Times New Roman" w:eastAsia="Times New Roman" w:hAnsi="Times New Roman"/>
            <w:sz w:val="18"/>
            <w:szCs w:val="18"/>
            <w:u w:val="single" w:color="auto"/>
            <w:color w:val="0000EE"/>
          </w:rPr>
          <w:t>Registration Statement on Form 8-A filed with the Commission</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on June 14, 2021 (File No. 001-40498)</w:t>
        </w:r>
        <w:r>
          <w:rPr>
            <w:rFonts w:ascii="Times New Roman" w:cs="Times New Roman" w:eastAsia="Times New Roman" w:hAnsi="Times New Roman"/>
            <w:sz w:val="18"/>
            <w:szCs w:val="18"/>
            <w:color w:val="000000"/>
          </w:rPr>
          <w:t>, together with any amendment thereto filed with the Commission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 and</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            All documents subsequently filed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20" w:type="dxa"/>
            <w:vAlign w:val="bottom"/>
          </w:tcPr>
          <w:p>
            <w:pPr>
              <w:spacing w:after="0"/>
              <w:rPr>
                <w:sz w:val="20"/>
                <w:szCs w:val="20"/>
                <w:color w:val="auto"/>
              </w:rPr>
            </w:pPr>
          </w:p>
        </w:tc>
        <w:tc>
          <w:tcPr>
            <w:tcW w:w="7220" w:type="dxa"/>
            <w:vAlign w:val="bottom"/>
            <w:gridSpan w:val="16"/>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83"/>
        </w:trPr>
        <w:tc>
          <w:tcPr>
            <w:tcW w:w="340" w:type="dxa"/>
            <w:vAlign w:val="bottom"/>
            <w:gridSpan w:val="2"/>
          </w:tcPr>
          <w:p>
            <w:pPr>
              <w:ind w:left="120"/>
              <w:spacing w:after="0"/>
              <w:rPr>
                <w:rFonts w:ascii="Times New Roman" w:cs="Times New Roman" w:eastAsia="Times New Roman" w:hAnsi="Times New Roman"/>
                <w:sz w:val="18"/>
                <w:szCs w:val="18"/>
                <w:color w:val="0000EE"/>
                <w:w w:val="88"/>
              </w:rPr>
            </w:pPr>
            <w:hyperlink r:id="rId2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40" w:type="dxa"/>
            <w:vAlign w:val="bottom"/>
            <w:gridSpan w:val="1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Second Amended and Restated Certificate of Incorporation of Century Therapeutics, Inc. (incorporated herein by reference to</w:t>
              </w:r>
            </w:hyperlink>
          </w:p>
        </w:tc>
      </w:tr>
      <w:tr>
        <w:trPr>
          <w:trHeight w:val="196"/>
        </w:trPr>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Exhibit 3.1 to the Company’s Current Report on Form 8-K (File No. 001-40498) filed on June 25, 2021)</w:t>
              </w:r>
            </w:hyperlink>
          </w:p>
        </w:tc>
        <w:tc>
          <w:tcPr>
            <w:tcW w:w="500" w:type="dxa"/>
            <w:vAlign w:val="bottom"/>
            <w:gridSpan w:val="3"/>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340" w:type="dxa"/>
            <w:vAlign w:val="bottom"/>
            <w:gridSpan w:val="2"/>
          </w:tcPr>
          <w:p>
            <w:pPr>
              <w:ind w:left="120"/>
              <w:spacing w:after="0"/>
              <w:rPr>
                <w:rFonts w:ascii="Times New Roman" w:cs="Times New Roman" w:eastAsia="Times New Roman" w:hAnsi="Times New Roman"/>
                <w:sz w:val="18"/>
                <w:szCs w:val="18"/>
                <w:color w:val="0000EE"/>
                <w:w w:val="88"/>
              </w:rPr>
            </w:pPr>
            <w:hyperlink r:id="rId2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40" w:type="dxa"/>
            <w:vAlign w:val="bottom"/>
            <w:gridSpan w:val="17"/>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Second Amended and Restated Bylaws of Century Therapeutics, Inc. (incorporated herein by reference to Exhibit 3.2 to the</w:t>
              </w:r>
            </w:hyperlink>
          </w:p>
        </w:tc>
      </w:tr>
      <w:tr>
        <w:trPr>
          <w:trHeight w:val="196"/>
        </w:trPr>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Company’s Annual Report on Form 10-K (File No. 001-40498) filed on March 16, 2023)</w:t>
              </w:r>
            </w:hyperlink>
          </w:p>
        </w:tc>
        <w:tc>
          <w:tcPr>
            <w:tcW w:w="640" w:type="dxa"/>
            <w:vAlign w:val="bottom"/>
            <w:gridSpan w:val="5"/>
          </w:tcPr>
          <w:p>
            <w:pPr>
              <w:spacing w:after="0"/>
              <w:rPr>
                <w:sz w:val="17"/>
                <w:szCs w:val="17"/>
                <w:color w:val="auto"/>
              </w:rPr>
            </w:pPr>
          </w:p>
        </w:tc>
      </w:tr>
      <w:tr>
        <w:trPr>
          <w:trHeight w:val="304"/>
        </w:trPr>
        <w:tc>
          <w:tcPr>
            <w:tcW w:w="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Opinion of Goodwin Procter LLP as to the legality of the securities being registered</w:t>
            </w:r>
          </w:p>
        </w:tc>
        <w:tc>
          <w:tcPr>
            <w:tcW w:w="3120" w:type="dxa"/>
            <w:vAlign w:val="bottom"/>
            <w:gridSpan w:val="11"/>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1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for Century Therapeutics, Inc.</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1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Goodwin Procter LLP (contained in Exhibit 5.1)</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1180" w:type="dxa"/>
            <w:vAlign w:val="bottom"/>
          </w:tcPr>
          <w:p>
            <w:pPr>
              <w:spacing w:after="0"/>
              <w:rPr>
                <w:sz w:val="24"/>
                <w:szCs w:val="24"/>
                <w:color w:val="auto"/>
              </w:rPr>
            </w:pPr>
          </w:p>
        </w:tc>
        <w:tc>
          <w:tcPr>
            <w:tcW w:w="95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Powers of Attorney (included on the signature page of the Registration Statement)</w:t>
            </w: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420" w:type="dxa"/>
            <w:vAlign w:val="bottom"/>
            <w:gridSpan w:val="3"/>
          </w:tcPr>
          <w:p>
            <w:pPr>
              <w:ind w:left="120"/>
              <w:spacing w:after="0"/>
              <w:rPr>
                <w:rFonts w:ascii="Times New Roman" w:cs="Times New Roman" w:eastAsia="Times New Roman" w:hAnsi="Times New Roman"/>
                <w:sz w:val="18"/>
                <w:szCs w:val="18"/>
                <w:color w:val="0000EE"/>
                <w:w w:val="88"/>
              </w:rPr>
            </w:pPr>
            <w:hyperlink r:id="rId28">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40" w:type="dxa"/>
            <w:vAlign w:val="bottom"/>
            <w:gridSpan w:val="1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Century Therapeutics, Inc. 2021 Equity Incentive Plan (incorporated herein by reference to Exhibit 10.8 to the Company’s</w:t>
              </w:r>
            </w:hyperlink>
          </w:p>
        </w:tc>
      </w:tr>
      <w:tr>
        <w:trPr>
          <w:trHeight w:val="196"/>
        </w:trPr>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Registration Statement on Form S-1/A (File No. 333-256648) filed on June 14, 2021)</w:t>
              </w:r>
            </w:hyperlink>
          </w:p>
        </w:tc>
        <w:tc>
          <w:tcPr>
            <w:tcW w:w="740" w:type="dxa"/>
            <w:vAlign w:val="bottom"/>
            <w:gridSpan w:val="6"/>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420" w:type="dxa"/>
            <w:vAlign w:val="bottom"/>
            <w:gridSpan w:val="3"/>
          </w:tcPr>
          <w:p>
            <w:pPr>
              <w:ind w:left="120"/>
              <w:spacing w:after="0"/>
              <w:rPr>
                <w:rFonts w:ascii="Times New Roman" w:cs="Times New Roman" w:eastAsia="Times New Roman" w:hAnsi="Times New Roman"/>
                <w:sz w:val="18"/>
                <w:szCs w:val="18"/>
                <w:color w:val="0000EE"/>
                <w:w w:val="88"/>
              </w:rPr>
            </w:pPr>
            <w:hyperlink r:id="rId29">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40" w:type="dxa"/>
            <w:vAlign w:val="bottom"/>
            <w:gridSpan w:val="17"/>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Stock Option Grant Notice and Award Agreement, under the 2021 Plan (incorporated herein by reference to Exhibit 10.13</w:t>
              </w:r>
            </w:hyperlink>
          </w:p>
        </w:tc>
      </w:tr>
      <w:tr>
        <w:trPr>
          <w:trHeight w:val="196"/>
        </w:trPr>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to the Company’s Registration Statement on Form S-1 (File No. 333-256648) filed on May 28, 2021)</w:t>
              </w:r>
            </w:hyperlink>
          </w:p>
        </w:tc>
        <w:tc>
          <w:tcPr>
            <w:tcW w:w="12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96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04"/>
        </w:trPr>
        <w:tc>
          <w:tcPr>
            <w:tcW w:w="420" w:type="dxa"/>
            <w:vAlign w:val="bottom"/>
            <w:gridSpan w:val="3"/>
          </w:tcPr>
          <w:p>
            <w:pPr>
              <w:ind w:left="120"/>
              <w:spacing w:after="0"/>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3</w:t>
              </w:r>
            </w:hyperlink>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40" w:type="dxa"/>
            <w:vAlign w:val="bottom"/>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Restricted Stock Unit Grant Notice and Award Agreement, under the 2021 Plan (incorporated herein by reference to</w:t>
              </w:r>
            </w:hyperlink>
          </w:p>
        </w:tc>
      </w:tr>
      <w:tr>
        <w:trPr>
          <w:trHeight w:val="196"/>
        </w:trPr>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Exhibit 10.14 to the Company’s Registration Statement on Form S-1 (File No. 333-256648) filed on May 28, 2021)</w:t>
              </w:r>
            </w:hyperlink>
          </w:p>
        </w:tc>
        <w:tc>
          <w:tcPr>
            <w:tcW w:w="560" w:type="dxa"/>
            <w:vAlign w:val="bottom"/>
            <w:gridSpan w:val="4"/>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5980" w:type="dxa"/>
            <w:vAlign w:val="bottom"/>
            <w:gridSpan w:val="9"/>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04"/>
        </w:trPr>
        <w:tc>
          <w:tcPr>
            <w:tcW w:w="420" w:type="dxa"/>
            <w:vAlign w:val="bottom"/>
            <w:gridSpan w:val="3"/>
          </w:tcPr>
          <w:p>
            <w:pPr>
              <w:ind w:left="120"/>
              <w:spacing w:after="0"/>
              <w:rPr>
                <w:rFonts w:ascii="Times New Roman" w:cs="Times New Roman" w:eastAsia="Times New Roman" w:hAnsi="Times New Roman"/>
                <w:sz w:val="18"/>
                <w:szCs w:val="18"/>
                <w:color w:val="0000EE"/>
                <w:w w:val="88"/>
              </w:rPr>
            </w:pPr>
            <w:hyperlink r:id="rId31">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4</w:t>
              </w:r>
            </w:hyperlink>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40" w:type="dxa"/>
            <w:vAlign w:val="bottom"/>
            <w:gridSpan w:val="17"/>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Performance-Based Restricted Stock Unit Grant Notice and Award Agreement, under the 2021 Plan (incorporated by</w:t>
              </w:r>
            </w:hyperlink>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6740" w:type="dxa"/>
            <w:vAlign w:val="bottom"/>
            <w:gridSpan w:val="1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540" w:type="dxa"/>
            <w:vAlign w:val="bottom"/>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reference to Exhibit 10.3 to the Company’s Quarterly Report on Form 10-Q (File No. 001-40498) filed on November 5, 2024)</w:t>
              </w:r>
            </w:hyperlink>
          </w:p>
        </w:tc>
      </w:tr>
      <w:tr>
        <w:trPr>
          <w:trHeight w:val="304"/>
        </w:trPr>
        <w:tc>
          <w:tcPr>
            <w:tcW w:w="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0000EE"/>
                <w:w w:val="99"/>
              </w:rPr>
              <w:t>107*</w:t>
            </w:r>
          </w:p>
        </w:tc>
        <w:tc>
          <w:tcPr>
            <w:tcW w:w="1180" w:type="dxa"/>
            <w:vAlign w:val="bottom"/>
          </w:tcPr>
          <w:p>
            <w:pPr>
              <w:spacing w:after="0"/>
              <w:rPr>
                <w:sz w:val="24"/>
                <w:szCs w:val="24"/>
                <w:color w:val="auto"/>
              </w:rPr>
            </w:pPr>
          </w:p>
        </w:tc>
        <w:tc>
          <w:tcPr>
            <w:tcW w:w="90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Calculation of Registration Fees</w:t>
            </w:r>
          </w:p>
        </w:tc>
        <w:tc>
          <w:tcPr>
            <w:tcW w:w="480" w:type="dxa"/>
            <w:vAlign w:val="bottom"/>
            <w:gridSpan w:val="2"/>
          </w:tcPr>
          <w:p>
            <w:pPr>
              <w:spacing w:after="0"/>
              <w:rPr>
                <w:sz w:val="24"/>
                <w:szCs w:val="24"/>
                <w:color w:val="auto"/>
              </w:rPr>
            </w:pPr>
          </w:p>
        </w:tc>
      </w:tr>
      <w:tr>
        <w:trPr>
          <w:trHeight w:val="74"/>
        </w:trPr>
        <w:tc>
          <w:tcPr>
            <w:tcW w:w="12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320" w:type="dxa"/>
            <w:vAlign w:val="bottom"/>
            <w:tcBorders>
              <w:top w:val="single" w:sz="8" w:color="0000EE"/>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64"/>
        </w:trPr>
        <w:tc>
          <w:tcPr>
            <w:tcW w:w="120" w:type="dxa"/>
            <w:vAlign w:val="bottom"/>
          </w:tcPr>
          <w:p>
            <w:pPr>
              <w:spacing w:after="0"/>
              <w:rPr>
                <w:sz w:val="22"/>
                <w:szCs w:val="22"/>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86"/>
        </w:trPr>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760"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this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89"/>
        </w:trPr>
        <w:tc>
          <w:tcPr>
            <w:tcW w:w="5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6"/>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Brent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Pfeiffenberger, Pharm.D. and Morgan Conn and each of them, as his or her true and lawful attorney-in-fact and agent with full power of substitution, for him or her in any and all capacities, to sign any and all amendments to this Registration Statement (including post-effective amendments thereto)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1"/>
                <w:szCs w:val="21"/>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2"/>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Brent Pfeiffenberger, Pharm.D.</w:t>
            </w:r>
          </w:p>
        </w:tc>
        <w:tc>
          <w:tcPr>
            <w:tcW w:w="22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Brent Pfeiffenberger, Pharm.D.</w:t>
            </w:r>
          </w:p>
        </w:tc>
        <w:tc>
          <w:tcPr>
            <w:tcW w:w="220" w:type="dxa"/>
            <w:vAlign w:val="bottom"/>
          </w:tcPr>
          <w:p>
            <w:pPr>
              <w:spacing w:after="0"/>
              <w:rPr>
                <w:sz w:val="19"/>
                <w:szCs w:val="19"/>
                <w:color w:val="auto"/>
              </w:rPr>
            </w:pPr>
          </w:p>
        </w:tc>
        <w:tc>
          <w:tcPr>
            <w:tcW w:w="5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Morgan Conn</w:t>
            </w:r>
          </w:p>
        </w:tc>
        <w:tc>
          <w:tcPr>
            <w:tcW w:w="22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 Conn</w:t>
            </w:r>
          </w:p>
        </w:tc>
        <w:tc>
          <w:tcPr>
            <w:tcW w:w="220" w:type="dxa"/>
            <w:vAlign w:val="bottom"/>
          </w:tcPr>
          <w:p>
            <w:pPr>
              <w:spacing w:after="0"/>
              <w:rPr>
                <w:sz w:val="19"/>
                <w:szCs w:val="19"/>
                <w:color w:val="auto"/>
              </w:rPr>
            </w:pPr>
          </w:p>
        </w:tc>
        <w:tc>
          <w:tcPr>
            <w:tcW w:w="5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Carr</w:t>
            </w:r>
          </w:p>
        </w:tc>
        <w:tc>
          <w:tcPr>
            <w:tcW w:w="220" w:type="dxa"/>
            <w:vAlign w:val="bottom"/>
          </w:tcPr>
          <w:p>
            <w:pPr>
              <w:spacing w:after="0"/>
              <w:rPr>
                <w:sz w:val="24"/>
                <w:szCs w:val="24"/>
                <w:color w:val="auto"/>
              </w:rPr>
            </w:pPr>
          </w:p>
        </w:tc>
        <w:tc>
          <w:tcPr>
            <w:tcW w:w="5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Finance and Operations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Carr</w:t>
            </w:r>
          </w:p>
        </w:tc>
        <w:tc>
          <w:tcPr>
            <w:tcW w:w="220" w:type="dxa"/>
            <w:vAlign w:val="bottom"/>
          </w:tcPr>
          <w:p>
            <w:pPr>
              <w:spacing w:after="0"/>
              <w:rPr>
                <w:sz w:val="19"/>
                <w:szCs w:val="19"/>
                <w:color w:val="auto"/>
              </w:rPr>
            </w:pPr>
          </w:p>
        </w:tc>
        <w:tc>
          <w:tcPr>
            <w:tcW w:w="5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Jimenez</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Chairman, Board of Directors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Jimenez</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Kimberly Blackwell, M.D.</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Kimberly Blackwell, M.D.</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Cynthia Butitta</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Cynthia Butitta</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Alessandro Riva, M.D.</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Alessandro Riva, M.D.</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Carlo Rizzuto, Ph.D.</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Carlo Rizzuto, Ph.D.</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Walbert</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Timothy Walbert</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Daphne Quimi</w:t>
            </w:r>
          </w:p>
        </w:tc>
        <w:tc>
          <w:tcPr>
            <w:tcW w:w="220" w:type="dxa"/>
            <w:vAlign w:val="bottom"/>
          </w:tcPr>
          <w:p>
            <w:pPr>
              <w:spacing w:after="0"/>
              <w:rPr>
                <w:sz w:val="24"/>
                <w:szCs w:val="24"/>
                <w:color w:val="auto"/>
              </w:rPr>
            </w:pPr>
          </w:p>
        </w:tc>
        <w:tc>
          <w:tcPr>
            <w:tcW w:w="5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Daphne Quimi</w:t>
            </w:r>
          </w:p>
        </w:tc>
        <w:tc>
          <w:tcPr>
            <w:tcW w:w="220" w:type="dxa"/>
            <w:vAlign w:val="bottom"/>
          </w:tcPr>
          <w:p>
            <w:pPr>
              <w:spacing w:after="0"/>
              <w:rPr>
                <w:sz w:val="19"/>
                <w:szCs w:val="19"/>
                <w:color w:val="auto"/>
              </w:rPr>
            </w:pPr>
          </w:p>
        </w:tc>
        <w:tc>
          <w:tcPr>
            <w:tcW w:w="594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2562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18256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25 North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4,291,821 shares (the “Shares”) of Common Stock, $0.0001 par value per share (“Common Stock”), of Century Therapeutics, Inc., a Delaware corporation (the “Company”), that may be issued pursuant to the Company’s 2021 Equity Incentive Plan (the “Plan”).</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and other inquiries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2"/>
          <w:szCs w:val="12"/>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rocter</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2021 Equity Incentive Plan of Century Therapeutics, Inc. of our report dated March 19, 2025, with respect to the consolidated financial statements of Century Therapeutics, Inc., included in its Annual Report (Form 10-K) for the year ended December 31, 2024,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220" w:type="dxa"/>
            <w:vAlign w:val="bottom"/>
            <w:tcBorders>
              <w:top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Amount Registered(1)(2)</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2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22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Price(3)</w:t>
            </w: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38"/>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 Unit(3)</w:t>
            </w:r>
          </w:p>
        </w:tc>
        <w:tc>
          <w:tcPr>
            <w:tcW w:w="1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10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457(c) and</w:t>
            </w:r>
          </w:p>
        </w:tc>
        <w:tc>
          <w:tcPr>
            <w:tcW w:w="220" w:type="dxa"/>
            <w:vAlign w:val="bottom"/>
          </w:tcPr>
          <w:p>
            <w:pPr>
              <w:spacing w:after="0"/>
              <w:rPr>
                <w:sz w:val="16"/>
                <w:szCs w:val="16"/>
                <w:color w:val="auto"/>
              </w:rPr>
            </w:pPr>
          </w:p>
        </w:tc>
        <w:tc>
          <w:tcPr>
            <w:tcW w:w="214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4,291,821</w:t>
            </w:r>
          </w:p>
        </w:tc>
        <w:tc>
          <w:tcPr>
            <w:tcW w:w="14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$0.58</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$2,489,256.18</w:t>
            </w:r>
          </w:p>
        </w:tc>
        <w:tc>
          <w:tcPr>
            <w:tcW w:w="1120" w:type="dxa"/>
            <w:vAlign w:val="bottom"/>
            <w:tcBorders>
              <w:right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0.0001531</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$381.12</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22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0" w:type="dxa"/>
            <w:vAlign w:val="bottom"/>
            <w:tcBorders>
              <w:bottom w:val="single" w:sz="8" w:color="auto"/>
              <w:right w:val="single" w:sz="8" w:color="auto"/>
            </w:tcBorders>
            <w:gridSpan w:val="4"/>
          </w:tcPr>
          <w:p>
            <w:pPr>
              <w:jc w:val="center"/>
              <w:ind w:right="18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$2,489,256.18</w:t>
            </w:r>
          </w:p>
        </w:tc>
        <w:tc>
          <w:tcPr>
            <w:tcW w:w="1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$381.12</w:t>
            </w: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Fee Offsets(4)</w:t>
            </w:r>
          </w:p>
        </w:tc>
        <w:tc>
          <w:tcPr>
            <w:tcW w:w="2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21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$381.12</w:t>
            </w:r>
          </w:p>
        </w:tc>
      </w:tr>
    </w:tbl>
    <w:p>
      <w:pPr>
        <w:spacing w:after="0" w:line="198" w:lineRule="exact"/>
        <w:rPr>
          <w:sz w:val="20"/>
          <w:szCs w:val="20"/>
          <w:color w:val="auto"/>
        </w:rPr>
      </w:pPr>
    </w:p>
    <w:p>
      <w:pPr>
        <w:jc w:val="both"/>
        <w:ind w:left="220" w:hanging="215"/>
        <w:spacing w:after="0" w:line="255" w:lineRule="auto"/>
        <w:rPr>
          <w:sz w:val="20"/>
          <w:szCs w:val="20"/>
          <w:color w:val="auto"/>
        </w:rPr>
      </w:pPr>
      <w:r>
        <w:rPr>
          <w:rFonts w:ascii="Times New Roman" w:cs="Times New Roman" w:eastAsia="Times New Roman" w:hAnsi="Times New Roman"/>
          <w:sz w:val="18"/>
          <w:szCs w:val="18"/>
          <w:color w:val="auto"/>
        </w:rPr>
        <w:t>(1)Pursuant to Rule 416(a)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also covers an indeterminate number of additional shares of common stock, par value $0.0001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Century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issuable under the Century Therapeutics, Inc.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in the event the number of outstanding shares of the Registrant is increased by reason of any stock dividend, stock split, recapitalization, merger, consolidation or reorganization or similar transaction.</w:t>
      </w:r>
    </w:p>
    <w:p>
      <w:pPr>
        <w:spacing w:after="0" w:line="3" w:lineRule="exact"/>
        <w:rPr>
          <w:sz w:val="20"/>
          <w:szCs w:val="20"/>
          <w:color w:val="auto"/>
        </w:rPr>
      </w:pPr>
    </w:p>
    <w:p>
      <w:pPr>
        <w:ind w:left="240" w:hanging="232"/>
        <w:spacing w:after="0" w:line="250" w:lineRule="auto"/>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4,291,821 shares of Common Stock that were added to the shares authorized for issuance under the Plan on January 1, 2025 pursuant to an “evergreen” provision contained in the Plan.</w:t>
      </w:r>
    </w:p>
    <w:p>
      <w:pPr>
        <w:ind w:left="240" w:hanging="232"/>
        <w:spacing w:after="0" w:line="250" w:lineRule="auto"/>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 and Rule 457(c) of the Securities Act. The price shown is based upon the average of the high and low prices reported for the Common Stock on the Nasdaq Global Select Market on March 13, 2025.</w:t>
      </w: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32" Type="http://schemas.openxmlformats.org/officeDocument/2006/relationships/image" Target="media/image12.jpe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18" Type="http://schemas.openxmlformats.org/officeDocument/2006/relationships/hyperlink" Target="https://www.sec.gov/Archives/edgar/data/1850119/000110465921088864/tm2121116d1_s8.htm" TargetMode="External"/><Relationship Id="rId19" Type="http://schemas.openxmlformats.org/officeDocument/2006/relationships/hyperlink" Target="https://www.sec.gov/Archives/edgar/data/1850119/000110465922035119/tm229514d1_s8.htm" TargetMode="External"/><Relationship Id="rId20" Type="http://schemas.openxmlformats.org/officeDocument/2006/relationships/hyperlink" Target="https://www.sec.gov/Archives/edgar/data/1850119/000110465923033846/tm239615d1_s8.htm" TargetMode="External"/><Relationship Id="rId21" Type="http://schemas.openxmlformats.org/officeDocument/2006/relationships/hyperlink" Target="https://www.sec.gov/Archives/edgar/data/1850119/000110465924034491/tm248573d1_s8.htm" TargetMode="External"/><Relationship Id="rId22" Type="http://schemas.openxmlformats.org/officeDocument/2006/relationships/hyperlink" Target="https://www.sec.gov/ix?doc=/Archives/edgar/data/1850119/000155837025003299/ipsc-20241231x10k.htm" TargetMode="External"/><Relationship Id="rId23" Type="http://schemas.openxmlformats.org/officeDocument/2006/relationships/hyperlink" Target="https://www.sec.gov/ix?doc=/Archives/edgar/data/1850119/000110465925019145/tm257938d1_8k.htm" TargetMode="External"/><Relationship Id="rId24" Type="http://schemas.openxmlformats.org/officeDocument/2006/relationships/hyperlink" Target="https://www.sec.gov/Archives/edgar/data/1850119/000110465921080760/tm218551d12_8a12b.htm" TargetMode="External"/><Relationship Id="rId26" Type="http://schemas.openxmlformats.org/officeDocument/2006/relationships/hyperlink" Target="https://www.sec.gov/Archives/edgar/data/1850119/000110465921085744/tm2120666d1_ex3-1.htm" TargetMode="External"/><Relationship Id="rId27" Type="http://schemas.openxmlformats.org/officeDocument/2006/relationships/hyperlink" Target="https://www.sec.gov/Archives/edgar/data/1850119/000155837023003962/ipsc-20221231xex3d2.htm" TargetMode="External"/><Relationship Id="rId28" Type="http://schemas.openxmlformats.org/officeDocument/2006/relationships/hyperlink" Target="https://www.sec.gov/Archives/edgar/data/1850119/000110465921080429/tm218551d10_ex10-8.htm" TargetMode="External"/><Relationship Id="rId29" Type="http://schemas.openxmlformats.org/officeDocument/2006/relationships/hyperlink" Target="https://www.sec.gov/Archives/edgar/data/1850119/000110465921074278/tm218551d7_ex10-13.htm" TargetMode="External"/><Relationship Id="rId30" Type="http://schemas.openxmlformats.org/officeDocument/2006/relationships/hyperlink" Target="https://www.sec.gov/Archives/edgar/data/1850119/000110465921074278/tm218551d7_ex10-14.htm" TargetMode="External"/><Relationship Id="rId31" Type="http://schemas.openxmlformats.org/officeDocument/2006/relationships/hyperlink" Target="https://www.sec.gov/Archives/edgar/data/1850119/000155837024014345/ipsc-202409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2025-03-20T06:48:18Z</dcterms:created>
  <dcterms:modified xsi:type="dcterms:W3CDTF">2025-03-20T06:48:18Z</dcterms:modified>
</cp:coreProperties>
</file>