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u w:val="single" w:color="auto"/>
          <w:color w:val="auto"/>
        </w:rPr>
        <w:t>Results of Operations and Financial Condition</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On May 15, 2025,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announcing its financial results for the quarter ended March 31, 2025. A copy of the press release is furnished as Exhibit 99.1 to this Current Report on Form 8-K and is incorporated herein by reference.</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 any filing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or the Exchange Act, except as shall be expressly set forth by specific reference in such filing.</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May 15, 2025,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8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Press Release of Century Therapeutics, Inc., dated May 15, 2025</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May 15, 2025</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77"/>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32"/>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First Quarter 2025 Financial Results and Provides Business Update</w:t>
      </w:r>
    </w:p>
    <w:p>
      <w:pPr>
        <w:spacing w:after="0" w:line="15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 dosing initiated in Phase 1 CALiPSO-1 trial evaluating CNTY-101 in autoimmune disease; expanding to additional U.S. and European sites following CTA authorizations in Germany, France, and Italy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CNTY-308 expected to enter IND-enabling studies in mid-2025 to support anticipated clinical trials in B-cell-mediated autoimmune diseases and malignancies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Presentations at ASGCT 28th Annual Meeting highlight preclinical pipeline anchored by advanced iPSC-derived ’tunable’ CD4+/CD8+ ab T cells and Allo-Evasion™ 5.0 technology</w:t>
      </w:r>
    </w:p>
    <w:p>
      <w:pPr>
        <w:spacing w:after="0" w:line="14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PHILADELPHIA, May 15, 2025 </w:t>
      </w:r>
      <w:r>
        <w:rPr>
          <w:rFonts w:ascii="Times New Roman" w:cs="Times New Roman" w:eastAsia="Times New Roman" w:hAnsi="Times New Roman"/>
          <w:sz w:val="12"/>
          <w:szCs w:val="12"/>
          <w:color w:val="auto"/>
        </w:rPr>
        <w:t>-- Century Therapeutics, Inc. (‘Century’, NASDAQ: IPSC), an innovative biotechnology company developing induced pluripotent stem cell (iPSC)-derived cell therapies in autoimmune disease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cancer, today reported financial results and business highlights for the first quarter ended March 31, 2025.</w:t>
      </w:r>
    </w:p>
    <w:p>
      <w:pPr>
        <w:spacing w:after="0" w:line="10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“We have made important progress focusing on pipeline programs with transformational potential in high-value commercial markets. In a recently held company webinar and at ASGCT, we showcased developmental progress with our preclinical pipeline, iPSC platform, and manufacturing capabilities, highlighting the potential for a pathway to developing iPSC-derived cell therapies at antibody-like scale. We are on track to initiate IND-enabling studies for our lead preclinical program, CNTY-308, in mid-2025,” said Brent Pfeiffenberger, Pharm.D., Chief Executive Officer of Century Therapeutics. “For our clinical-stage pipeline, patient dosing is now underway in the U.S. for the CALiPSO-1 trial and, with expansion into Europe, we remain on track to deliver clinical data for CNTY-101 by the end of 2025. We look forward to building on this momentum and pursuing a disciplined approach across our pipeline to bring investigational cell therapies closer to patients and generate value for all our stakeholders.”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2025 and Recent Highlights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CNTY-101 in Autoimmune Disease</w:t>
      </w:r>
    </w:p>
    <w:p>
      <w:pPr>
        <w:spacing w:after="0" w:line="150" w:lineRule="exact"/>
        <w:rPr>
          <w:sz w:val="20"/>
          <w:szCs w:val="20"/>
          <w:color w:val="auto"/>
        </w:rPr>
      </w:pPr>
    </w:p>
    <w:p>
      <w:pPr>
        <w:ind w:left="420" w:right="60" w:hanging="212"/>
        <w:spacing w:after="0" w:line="286"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Patient dosing underway in CALiPSO-1 trial in the U.S.: </w:t>
      </w:r>
      <w:r>
        <w:rPr>
          <w:rFonts w:ascii="Times New Roman" w:cs="Times New Roman" w:eastAsia="Times New Roman" w:hAnsi="Times New Roman"/>
          <w:sz w:val="12"/>
          <w:szCs w:val="12"/>
          <w:color w:val="auto"/>
        </w:rPr>
        <w:t>In March 2025, the first patient was dosed in the Phase 1 CALiPSO-1 trial which is currently evaluating CNTY-101 as a potential treatment for patients with B-cell-mediated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jc w:val="both"/>
        <w:ind w:left="420" w:right="6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Focus on CALiPSO-1 clinical trial expansion and patient recruitment: </w:t>
      </w:r>
      <w:r>
        <w:rPr>
          <w:rFonts w:ascii="Times New Roman" w:cs="Times New Roman" w:eastAsia="Times New Roman" w:hAnsi="Times New Roman"/>
          <w:sz w:val="12"/>
          <w:szCs w:val="12"/>
          <w:color w:val="auto"/>
        </w:rPr>
        <w:t>Five clinical trial sites in the U.S. are active with additional U.S. clinical trial sites expected to open in 2025. Site activation activities are underway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select European countries, with enrollment at these sites expected to initiate in the second half of 2025. The company’s Clinical Trial Application (CTA) has been authorized in Germany, France, and Italy, providing important external validation of Century’s approach to clinical studies with allogeneic iPSC-derived therapies.</w:t>
      </w:r>
    </w:p>
    <w:p>
      <w:pPr>
        <w:spacing w:after="0" w:line="113" w:lineRule="exact"/>
        <w:rPr>
          <w:rFonts w:ascii="Times New Roman" w:cs="Times New Roman" w:eastAsia="Times New Roman" w:hAnsi="Times New Roman"/>
          <w:sz w:val="12"/>
          <w:szCs w:val="12"/>
          <w:color w:val="auto"/>
        </w:rPr>
      </w:pPr>
    </w:p>
    <w:p>
      <w:pPr>
        <w:ind w:left="420" w:hanging="212"/>
        <w:spacing w:after="0" w:line="286"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CARAMEL IIT CTA authorized and study on track to commence in mid-2025</w:t>
      </w:r>
      <w:r>
        <w:rPr>
          <w:rFonts w:ascii="Times New Roman" w:cs="Times New Roman" w:eastAsia="Times New Roman" w:hAnsi="Times New Roman"/>
          <w:sz w:val="12"/>
          <w:szCs w:val="12"/>
          <w:color w:val="auto"/>
        </w:rPr>
        <w:t>: The CARAMEL investigator-initiated trial (IIT), a Phase 1/2 trial of CNTY-101 in patients with B-cell-mediated autoimmune diseases led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Professors Georg Schett and Andreas Mackensen and sponsored by the Friedrich-Alexander University Erlangen-Nürnberg, is expected to commence in mid-2025. The CTA has been authorized in Germany</w:t>
      </w:r>
    </w:p>
    <w:p>
      <w:pPr>
        <w:spacing w:after="0" w:line="10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Clinical data by end of 2025: </w:t>
      </w:r>
      <w:r>
        <w:rPr>
          <w:rFonts w:ascii="Times New Roman" w:cs="Times New Roman" w:eastAsia="Times New Roman" w:hAnsi="Times New Roman"/>
          <w:sz w:val="12"/>
          <w:szCs w:val="12"/>
          <w:color w:val="auto"/>
        </w:rPr>
        <w:t>The company remains on track to report clinical data for CNTY-101 by the end of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CNTY-308 and Other Preclinical Programs</w:t>
      </w:r>
    </w:p>
    <w:p>
      <w:pPr>
        <w:spacing w:after="0" w:line="150" w:lineRule="exact"/>
        <w:rPr>
          <w:sz w:val="20"/>
          <w:szCs w:val="20"/>
          <w:color w:val="auto"/>
        </w:rPr>
      </w:pPr>
    </w:p>
    <w:p>
      <w:pPr>
        <w:ind w:left="420" w:right="120" w:hanging="212"/>
        <w:spacing w:after="0" w:line="262"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ASGCT presentations highlighting preclinical pipeline: </w:t>
      </w:r>
      <w:r>
        <w:rPr>
          <w:rFonts w:ascii="Times New Roman" w:cs="Times New Roman" w:eastAsia="Times New Roman" w:hAnsi="Times New Roman"/>
          <w:sz w:val="12"/>
          <w:szCs w:val="12"/>
          <w:color w:val="auto"/>
        </w:rPr>
        <w:t>At the ongoing American Society of Gene and Cell Therapy (ASGCT) 28th Annual Meeting, the company is presenting data on the company’s emerging preclinical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cell therapy pipeline for autoimmune diseases and cancer. The data from the poster presentation suggest certain engineering modifications to CAR-iT and CAR-iNK cells can improve the anti-tumor activity of iPSC-derived immunotherapies to withstand the immunosuppressive nature of the solid tumor microenvironment. The data from the oral presentation characterize the generation of allogeneic iPSC-derived targeted CD4+/CD8+ ab CAR-T cells with comparable function,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proliferation, and tumor control to primary T cells, supporting their use for the development of scalable, accessible CAR-T cell therapies.</w:t>
      </w:r>
    </w:p>
    <w:p>
      <w:pPr>
        <w:spacing w:after="0" w:line="117" w:lineRule="exact"/>
        <w:rPr>
          <w:rFonts w:ascii="Times New Roman" w:cs="Times New Roman" w:eastAsia="Times New Roman" w:hAnsi="Times New Roman"/>
          <w:sz w:val="12"/>
          <w:szCs w:val="12"/>
          <w:color w:val="auto"/>
        </w:rPr>
      </w:pPr>
    </w:p>
    <w:p>
      <w:pPr>
        <w:ind w:left="420" w:right="10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CNTY-308 on track to enter into IND-enabling studies in mid-2025: </w:t>
      </w:r>
      <w:r>
        <w:rPr>
          <w:rFonts w:ascii="Times New Roman" w:cs="Times New Roman" w:eastAsia="Times New Roman" w:hAnsi="Times New Roman"/>
          <w:sz w:val="12"/>
          <w:szCs w:val="12"/>
          <w:color w:val="auto"/>
        </w:rPr>
        <w:t>The company continues to expect to initiate Investigational New Drug (IND)-enabling studies with CNTY-308, a CD19-targeted CD4+/CD8+ ab CAR-iT cell therapy engineered with Allo-Evasion™ 5.0 as a potential treatment for B-cell-mediated autoimmune diseases and malignancies, in mid-2025.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ind w:left="420" w:hanging="212"/>
        <w:spacing w:after="0" w:line="25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Progressing early-stage development activities for iPSC-derived ab CAR-T cells in oncology and opportunities with non-immune effector cells in high-impact diseases: </w:t>
      </w:r>
      <w:r>
        <w:rPr>
          <w:rFonts w:ascii="Times New Roman" w:cs="Times New Roman" w:eastAsia="Times New Roman" w:hAnsi="Times New Roman"/>
          <w:sz w:val="12"/>
          <w:szCs w:val="12"/>
          <w:color w:val="auto"/>
        </w:rPr>
        <w:t>The company is advancing CNTY-341,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CD19/CD22 dual-targeted CAR-iT investigational cell therapy intended for B-cell malignancies, and the company’s first solid tumor CAR-iT investigational program exploiting nectin-4 CAR and other validated targets. Each of these programs is anchored by advanced iPSC-derived ’tunable’ CD4+/CD8+ ab T cells and is engineered with the company’s proprietary immune evasion technology, Allo-Evasion™ 5.0, which is designed to enable holistic evasion of T cell, NK cell, and humoral immunity. In addition, the company is leveraging its deep expertise in selective iPSC differentiation to non-immune effector cells with opportunities to potentially accelerate in high-impact therapeutic areas where the company believes its technology and capabilities provide meaningful differentiation.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2025 Financial Results</w:t>
      </w:r>
    </w:p>
    <w:p>
      <w:pPr>
        <w:spacing w:after="0" w:line="150" w:lineRule="exact"/>
        <w:rPr>
          <w:sz w:val="20"/>
          <w:szCs w:val="20"/>
          <w:color w:val="auto"/>
        </w:rPr>
      </w:pPr>
    </w:p>
    <w:p>
      <w:pPr>
        <w:ind w:left="420" w:right="180" w:hanging="212"/>
        <w:spacing w:after="0" w:line="286"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$185.8 million as of March 31, 2025, as compared to $220.1 million as of December 31, 2024. The company estimates its cash, cash equivalents,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will support operations into the fourth quarter of 2026.</w:t>
      </w:r>
    </w:p>
    <w:p>
      <w:pPr>
        <w:spacing w:after="0" w:line="103" w:lineRule="exact"/>
        <w:rPr>
          <w:rFonts w:ascii="Times New Roman" w:cs="Times New Roman" w:eastAsia="Times New Roman" w:hAnsi="Times New Roman"/>
          <w:sz w:val="12"/>
          <w:szCs w:val="12"/>
          <w:color w:val="auto"/>
        </w:rPr>
      </w:pPr>
    </w:p>
    <w:p>
      <w:pPr>
        <w:ind w:left="420" w:hanging="212"/>
        <w:spacing w:after="0" w:line="268"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(the Collaboration Agreement) was $109.2 million for the three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March 31, 2025, compared to $0.9 million for the same period in 2024. The Collaboration Agreement was terminated effective March 12, 2025. As such, the company recognized $109.2 million of collaboration revenue for the quarter ended March 31, 2025. There will be no future collaboration revenues recognized under the Collaboration Agreement.</w:t>
      </w:r>
    </w:p>
    <w:p>
      <w:pPr>
        <w:spacing w:after="0" w:line="11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Research and Development (R&amp;D) Expenses: </w:t>
      </w:r>
      <w:r>
        <w:rPr>
          <w:rFonts w:ascii="Times New Roman" w:cs="Times New Roman" w:eastAsia="Times New Roman" w:hAnsi="Times New Roman"/>
          <w:sz w:val="12"/>
          <w:szCs w:val="12"/>
          <w:color w:val="auto"/>
        </w:rPr>
        <w:t>R&amp;D expenses were $26.6 million for the three months ended March 31, 2025, compared to $23.4 million for the same period in 2024. The increase in R&amp;D expenses is most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notably due to increased clinical trial costs and advancing of preclinical programs.</w:t>
      </w:r>
    </w:p>
    <w:p>
      <w:pPr>
        <w:spacing w:after="0" w:line="103" w:lineRule="exact"/>
        <w:rPr>
          <w:rFonts w:ascii="Times New Roman" w:cs="Times New Roman" w:eastAsia="Times New Roman" w:hAnsi="Times New Roman"/>
          <w:sz w:val="12"/>
          <w:szCs w:val="12"/>
          <w:color w:val="auto"/>
        </w:rPr>
      </w:pPr>
    </w:p>
    <w:p>
      <w:pPr>
        <w:ind w:left="420" w:right="260" w:hanging="212"/>
        <w:spacing w:after="0" w:line="286"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$8.4 million for the three months ended March 31, 2025, compared to $8.7 million for the same period in 2024. The decrease was primarily due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decrease in salary and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6" w:name="page7"/>
    <w:bookmarkEnd w:id="6"/>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Income (Loss): </w:t>
      </w:r>
      <w:r>
        <w:rPr>
          <w:rFonts w:ascii="Times New Roman" w:cs="Times New Roman" w:eastAsia="Times New Roman" w:hAnsi="Times New Roman"/>
          <w:sz w:val="12"/>
          <w:szCs w:val="12"/>
          <w:color w:val="auto"/>
        </w:rPr>
        <w:t>Net income was $76.6 million for the three months ended March 31, 2025, compared to net (loss) of $28.1 million for the same period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 xml:space="preserve">Century Therapeutics (NASDAQ: IPSC) is a clinical-stage biotechnology company leveraging its expertise in cellular reprogramming, genetic engineering, and manufacturing to develop cell therapies with the potential to provide meaningful advantages over existing cell therapies. Century’s genetically engineered, iPSC-derived cell therapy pipeline includes programs designed to address autoimmune diseases and cancers. Century believes its commitment to developing off-the-shelf cell therapies will expand patient access and provide an opportunity to advance the course of autoimmune disease and cancer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 xml:space="preserve"> and connect with us on LinkedIn.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our ability to progress CNTY-101 through clinical development;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Conn,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investor.relations@centurytx.com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7" w:name="page8"/>
    <w:bookmarkEnd w:id="7"/>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Pr>
          <w:p>
            <w:pPr>
              <w:spacing w:after="0"/>
              <w:rPr>
                <w:sz w:val="13"/>
                <w:szCs w:val="13"/>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8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51,865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58,441</w:t>
            </w:r>
          </w:p>
        </w:tc>
      </w:tr>
      <w:tr>
        <w:trPr>
          <w:trHeight w:val="144"/>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Short-term investments</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113,256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130,851</w:t>
            </w:r>
          </w:p>
        </w:tc>
      </w:tr>
      <w:tr>
        <w:trPr>
          <w:trHeight w:val="153"/>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 w:type="dxa"/>
            <w:vAlign w:val="bottom"/>
          </w:tcPr>
          <w:p>
            <w:pPr>
              <w:spacing w:after="0"/>
              <w:rPr>
                <w:sz w:val="13"/>
                <w:szCs w:val="13"/>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4,510</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4,759</w:t>
            </w:r>
          </w:p>
        </w:tc>
      </w:tr>
      <w:tr>
        <w:trPr>
          <w:trHeight w:val="133"/>
        </w:trPr>
        <w:tc>
          <w:tcPr>
            <w:tcW w:w="83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169,631</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194,051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59,532</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62,141</w:t>
            </w:r>
          </w:p>
        </w:tc>
      </w:tr>
      <w:tr>
        <w:trPr>
          <w:trHeight w:val="144"/>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28,232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28,706</w:t>
            </w: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20,713</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30,818</w:t>
            </w:r>
          </w:p>
        </w:tc>
      </w:tr>
      <w:tr>
        <w:trPr>
          <w:trHeight w:val="144"/>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34,200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34,200</w:t>
            </w:r>
          </w:p>
        </w:tc>
      </w:tr>
      <w:tr>
        <w:trPr>
          <w:trHeight w:val="153"/>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200" w:type="dxa"/>
            <w:vAlign w:val="bottom"/>
          </w:tcPr>
          <w:p>
            <w:pPr>
              <w:spacing w:after="0"/>
              <w:rPr>
                <w:sz w:val="13"/>
                <w:szCs w:val="13"/>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3,301</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3,300</w:t>
            </w:r>
          </w:p>
        </w:tc>
      </w:tr>
      <w:tr>
        <w:trPr>
          <w:trHeight w:val="149"/>
        </w:trPr>
        <w:tc>
          <w:tcPr>
            <w:tcW w:w="8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315,609</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3,573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3,075</w:t>
            </w:r>
          </w:p>
        </w:tc>
      </w:tr>
      <w:tr>
        <w:trPr>
          <w:trHeight w:val="144"/>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10,930</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17,543</w:t>
            </w:r>
          </w:p>
        </w:tc>
      </w:tr>
      <w:tr>
        <w:trPr>
          <w:trHeight w:val="153"/>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revenue, current</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109,164</w:t>
            </w:r>
          </w:p>
        </w:tc>
      </w:tr>
      <w:tr>
        <w:trPr>
          <w:trHeight w:val="133"/>
        </w:trPr>
        <w:tc>
          <w:tcPr>
            <w:tcW w:w="83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14,503</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129,782</w:t>
            </w:r>
          </w:p>
        </w:tc>
        <w:tc>
          <w:tcPr>
            <w:tcW w:w="120" w:type="dxa"/>
            <w:vAlign w:val="bottom"/>
          </w:tcPr>
          <w:p>
            <w:pPr>
              <w:spacing w:after="0"/>
              <w:rPr>
                <w:sz w:val="11"/>
                <w:szCs w:val="11"/>
                <w:color w:val="auto"/>
              </w:rPr>
            </w:pPr>
          </w:p>
        </w:tc>
      </w:tr>
      <w:tr>
        <w:trPr>
          <w:trHeight w:val="144"/>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47,793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48,960</w:t>
            </w: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Contingent consideration liability</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8,500</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8,738</w:t>
            </w:r>
          </w:p>
        </w:tc>
      </w:tr>
      <w:tr>
        <w:trPr>
          <w:trHeight w:val="153"/>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4,374</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4,374</w:t>
            </w:r>
          </w:p>
        </w:tc>
      </w:tr>
      <w:tr>
        <w:trPr>
          <w:trHeight w:val="133"/>
        </w:trPr>
        <w:tc>
          <w:tcPr>
            <w:tcW w:w="83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75,170</w:t>
            </w:r>
          </w:p>
        </w:tc>
        <w:tc>
          <w:tcPr>
            <w:tcW w:w="3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191,854</w:t>
            </w:r>
          </w:p>
        </w:tc>
        <w:tc>
          <w:tcPr>
            <w:tcW w:w="120" w:type="dxa"/>
            <w:vAlign w:val="bottom"/>
            <w:tcBorders>
              <w:bottom w:val="single" w:sz="8" w:color="CCEEFF"/>
            </w:tcBorders>
          </w:tcPr>
          <w:p>
            <w:pPr>
              <w:spacing w:after="0"/>
              <w:rPr>
                <w:sz w:val="11"/>
                <w:szCs w:val="11"/>
                <w:color w:val="auto"/>
              </w:rPr>
            </w:pPr>
          </w:p>
        </w:tc>
      </w:tr>
      <w:tr>
        <w:trPr>
          <w:trHeight w:val="133"/>
        </w:trPr>
        <w:tc>
          <w:tcPr>
            <w:tcW w:w="83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200" w:type="dxa"/>
            <w:vAlign w:val="bottom"/>
          </w:tcPr>
          <w:p>
            <w:pPr>
              <w:spacing w:after="0"/>
              <w:rPr>
                <w:sz w:val="12"/>
                <w:szCs w:val="12"/>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945,902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943,366</w:t>
            </w:r>
          </w:p>
        </w:tc>
      </w:tr>
      <w:tr>
        <w:trPr>
          <w:trHeight w:val="1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00" w:type="dxa"/>
            <w:vAlign w:val="bottom"/>
          </w:tcPr>
          <w:p>
            <w:pPr>
              <w:spacing w:after="0"/>
              <w:rPr>
                <w:sz w:val="12"/>
                <w:szCs w:val="1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(705,777)</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(782,337)</w:t>
            </w:r>
          </w:p>
        </w:tc>
      </w:tr>
      <w:tr>
        <w:trPr>
          <w:trHeight w:val="153"/>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305</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324</w:t>
            </w:r>
          </w:p>
        </w:tc>
      </w:tr>
      <w:tr>
        <w:trPr>
          <w:trHeight w:val="133"/>
        </w:trPr>
        <w:tc>
          <w:tcPr>
            <w:tcW w:w="83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240,439</w:t>
            </w:r>
          </w:p>
        </w:tc>
        <w:tc>
          <w:tcPr>
            <w:tcW w:w="3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161,362</w:t>
            </w:r>
          </w:p>
        </w:tc>
        <w:tc>
          <w:tcPr>
            <w:tcW w:w="120" w:type="dxa"/>
            <w:vAlign w:val="bottom"/>
            <w:tcBorders>
              <w:bottom w:val="single" w:sz="8" w:color="CCEEFF"/>
            </w:tcBorders>
          </w:tcPr>
          <w:p>
            <w:pPr>
              <w:spacing w:after="0"/>
              <w:rPr>
                <w:sz w:val="11"/>
                <w:szCs w:val="11"/>
                <w:color w:val="auto"/>
              </w:rPr>
            </w:pPr>
          </w:p>
        </w:tc>
      </w:tr>
      <w:tr>
        <w:trPr>
          <w:trHeight w:val="149"/>
        </w:trPr>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315,609</w:t>
            </w:r>
          </w:p>
        </w:tc>
        <w:tc>
          <w:tcPr>
            <w:tcW w:w="3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8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Three Months</w:t>
            </w:r>
          </w:p>
        </w:tc>
        <w:tc>
          <w:tcPr>
            <w:tcW w:w="140" w:type="dxa"/>
            <w:vAlign w:val="bottom"/>
          </w:tcPr>
          <w:p>
            <w:pPr>
              <w:spacing w:after="0"/>
              <w:rPr>
                <w:sz w:val="12"/>
                <w:szCs w:val="12"/>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Three Months</w:t>
            </w:r>
          </w:p>
        </w:tc>
      </w:tr>
      <w:tr>
        <w:trPr>
          <w:trHeight w:val="153"/>
        </w:trPr>
        <w:tc>
          <w:tcPr>
            <w:tcW w:w="8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59"/>
        </w:trPr>
        <w:tc>
          <w:tcPr>
            <w:tcW w:w="8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r>
      <w:tr>
        <w:trPr>
          <w:trHeight w:val="133"/>
        </w:trPr>
        <w:tc>
          <w:tcPr>
            <w:tcW w:w="8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Collaboration Revenue</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109,164</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tcPr>
          <w:p>
            <w:pPr>
              <w:spacing w:after="0"/>
              <w:rPr>
                <w:sz w:val="12"/>
                <w:szCs w:val="12"/>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26,580</w:t>
            </w:r>
          </w:p>
        </w:tc>
        <w:tc>
          <w:tcPr>
            <w:tcW w:w="140" w:type="dxa"/>
            <w:vAlign w:val="bottom"/>
          </w:tcPr>
          <w:p>
            <w:pPr>
              <w:spacing w:after="0"/>
              <w:rPr>
                <w:sz w:val="12"/>
                <w:szCs w:val="1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23,421</w:t>
            </w:r>
          </w:p>
        </w:tc>
      </w:tr>
      <w:tr>
        <w:trPr>
          <w:trHeight w:val="153"/>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8,408</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8,743</w:t>
            </w:r>
          </w:p>
        </w:tc>
        <w:tc>
          <w:tcPr>
            <w:tcW w:w="100" w:type="dxa"/>
            <w:vAlign w:val="bottom"/>
            <w:shd w:val="clear" w:color="auto" w:fill="CCEEFF"/>
          </w:tcPr>
          <w:p>
            <w:pPr>
              <w:spacing w:after="0"/>
              <w:rPr>
                <w:sz w:val="13"/>
                <w:szCs w:val="13"/>
                <w:color w:val="auto"/>
              </w:rPr>
            </w:pPr>
          </w:p>
        </w:tc>
      </w:tr>
      <w:tr>
        <w:trPr>
          <w:trHeight w:val="133"/>
        </w:trPr>
        <w:tc>
          <w:tcPr>
            <w:tcW w:w="8380" w:type="dxa"/>
            <w:vAlign w:val="bottom"/>
            <w:tcBorders>
              <w:bottom w:val="single" w:sz="8" w:color="CCEEFF"/>
            </w:tcBorders>
          </w:tcPr>
          <w:p>
            <w:pPr>
              <w:ind w:left="32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34,988</w:t>
            </w:r>
          </w:p>
        </w:tc>
        <w:tc>
          <w:tcPr>
            <w:tcW w:w="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32,164</w:t>
            </w:r>
          </w:p>
        </w:tc>
        <w:tc>
          <w:tcPr>
            <w:tcW w:w="120" w:type="dxa"/>
            <w:vAlign w:val="bottom"/>
            <w:tcBorders>
              <w:bottom w:val="single" w:sz="8" w:color="CCEEFF"/>
            </w:tcBorders>
            <w:gridSpan w:val="2"/>
          </w:tcPr>
          <w:p>
            <w:pPr>
              <w:spacing w:after="0"/>
              <w:rPr>
                <w:sz w:val="11"/>
                <w:szCs w:val="11"/>
                <w:color w:val="auto"/>
              </w:rPr>
            </w:pPr>
          </w:p>
        </w:tc>
      </w:tr>
      <w:tr>
        <w:trPr>
          <w:trHeight w:val="133"/>
        </w:trPr>
        <w:tc>
          <w:tcPr>
            <w:tcW w:w="8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140" w:type="dxa"/>
            <w:vAlign w:val="bottom"/>
          </w:tcPr>
          <w:p>
            <w:pPr>
              <w:spacing w:after="0"/>
              <w:rPr>
                <w:sz w:val="12"/>
                <w:szCs w:val="12"/>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74,176</w:t>
            </w:r>
          </w:p>
        </w:tc>
        <w:tc>
          <w:tcPr>
            <w:tcW w:w="140" w:type="dxa"/>
            <w:vAlign w:val="bottom"/>
          </w:tcPr>
          <w:p>
            <w:pPr>
              <w:spacing w:after="0"/>
              <w:rPr>
                <w:sz w:val="12"/>
                <w:szCs w:val="12"/>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(31,309)</w:t>
            </w:r>
          </w:p>
        </w:tc>
      </w:tr>
      <w:tr>
        <w:trPr>
          <w:trHeight w:val="144"/>
        </w:trPr>
        <w:tc>
          <w:tcPr>
            <w:tcW w:w="8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40" w:type="dxa"/>
            <w:vAlign w:val="bottom"/>
          </w:tcPr>
          <w:p>
            <w:pPr>
              <w:spacing w:after="0"/>
              <w:rPr>
                <w:sz w:val="12"/>
                <w:szCs w:val="12"/>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2,422</w:t>
            </w:r>
          </w:p>
        </w:tc>
        <w:tc>
          <w:tcPr>
            <w:tcW w:w="14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3,237</w:t>
            </w:r>
          </w:p>
        </w:tc>
        <w:tc>
          <w:tcPr>
            <w:tcW w:w="100" w:type="dxa"/>
            <w:vAlign w:val="bottom"/>
          </w:tcPr>
          <w:p>
            <w:pPr>
              <w:spacing w:after="0"/>
              <w:rPr>
                <w:sz w:val="12"/>
                <w:szCs w:val="12"/>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3"/>
                <w:szCs w:val="13"/>
                <w:color w:val="auto"/>
              </w:rPr>
            </w:pPr>
          </w:p>
        </w:tc>
      </w:tr>
      <w:tr>
        <w:trPr>
          <w:trHeight w:val="133"/>
        </w:trPr>
        <w:tc>
          <w:tcPr>
            <w:tcW w:w="83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76,560</w:t>
            </w: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(28,061)</w:t>
            </w:r>
          </w:p>
        </w:tc>
        <w:tc>
          <w:tcPr>
            <w:tcW w:w="120" w:type="dxa"/>
            <w:vAlign w:val="bottom"/>
            <w:gridSpan w:val="2"/>
          </w:tcPr>
          <w:p>
            <w:pPr>
              <w:spacing w:after="0"/>
              <w:rPr>
                <w:sz w:val="11"/>
                <w:szCs w:val="11"/>
                <w:color w:val="auto"/>
              </w:rPr>
            </w:pPr>
          </w:p>
        </w:tc>
      </w:tr>
      <w:tr>
        <w:trPr>
          <w:trHeight w:val="153"/>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r>
      <w:tr>
        <w:trPr>
          <w:trHeight w:val="149"/>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76,560</w:t>
            </w: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(28,062</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Unrealized loss on investments</w:t>
            </w:r>
          </w:p>
        </w:tc>
        <w:tc>
          <w:tcPr>
            <w:tcW w:w="140" w:type="dxa"/>
            <w:vAlign w:val="bottom"/>
          </w:tcPr>
          <w:p>
            <w:pPr>
              <w:spacing w:after="0"/>
              <w:rPr>
                <w:sz w:val="12"/>
                <w:szCs w:val="12"/>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tcPr>
          <w:p>
            <w:pPr>
              <w:spacing w:after="0"/>
              <w:rPr>
                <w:sz w:val="12"/>
                <w:szCs w:val="12"/>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(351)</w:t>
            </w:r>
          </w:p>
        </w:tc>
      </w:tr>
      <w:tr>
        <w:trPr>
          <w:trHeight w:val="153"/>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gain</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3"/>
                <w:szCs w:val="13"/>
                <w:color w:val="auto"/>
              </w:rPr>
            </w:pPr>
          </w:p>
        </w:tc>
      </w:tr>
      <w:tr>
        <w:trPr>
          <w:trHeight w:val="149"/>
        </w:trPr>
        <w:tc>
          <w:tcPr>
            <w:tcW w:w="83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Comprehensive income (loss)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76,541</w:t>
            </w: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(28,411</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per common share: Basic</w:t>
            </w:r>
          </w:p>
        </w:tc>
        <w:tc>
          <w:tcPr>
            <w:tcW w:w="14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0.89</w:t>
            </w:r>
          </w:p>
        </w:tc>
        <w:tc>
          <w:tcPr>
            <w:tcW w:w="14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(0.45)</w:t>
            </w:r>
          </w:p>
        </w:tc>
      </w:tr>
      <w:tr>
        <w:trPr>
          <w:trHeight w:val="151"/>
        </w:trPr>
        <w:tc>
          <w:tcPr>
            <w:tcW w:w="838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Net income (loss) per common share: Diluted</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0.89</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1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86,021,188</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62,296,637</w:t>
            </w:r>
          </w:p>
        </w:tc>
        <w:tc>
          <w:tcPr>
            <w:tcW w:w="100" w:type="dxa"/>
            <w:vAlign w:val="bottom"/>
            <w:shd w:val="clear" w:color="auto" w:fill="CCEEFF"/>
          </w:tcPr>
          <w:p>
            <w:pPr>
              <w:spacing w:after="0"/>
              <w:rPr>
                <w:sz w:val="15"/>
                <w:szCs w:val="15"/>
                <w:color w:val="auto"/>
              </w:rPr>
            </w:pPr>
          </w:p>
        </w:tc>
      </w:tr>
      <w:tr>
        <w:trPr>
          <w:trHeight w:val="138"/>
        </w:trPr>
        <w:tc>
          <w:tcPr>
            <w:tcW w:w="8380" w:type="dxa"/>
            <w:vAlign w:val="bottom"/>
            <w:tcBorders>
              <w:top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Weighted average common shares outstanding: Diluted</w:t>
            </w: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86,098,619</w:t>
            </w:r>
          </w:p>
        </w:tc>
        <w:tc>
          <w:tcPr>
            <w:tcW w:w="34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62,296,637</w:t>
            </w: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450"/>
        </w:trPr>
        <w:tc>
          <w:tcPr>
            <w:tcW w:w="8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123190</wp:posOffset>
            </wp:positionV>
            <wp:extent cx="7172960" cy="4423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42341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2025-05-15T15:31:50Z</dcterms:created>
  <dcterms:modified xsi:type="dcterms:W3CDTF">2025-05-15T15:31:50Z</dcterms:modified>
</cp:coreProperties>
</file>