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226060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248920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8"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6"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94615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50"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104775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93"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Pursuant to Section 13 or 15(d)</w:t>
      </w:r>
    </w:p>
    <w:p>
      <w:pPr>
        <w:spacing w:after="0" w:line="6"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135"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January 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104775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66"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2"/>
          <w:szCs w:val="22"/>
          <w:b w:val="1"/>
          <w:bCs w:val="1"/>
          <w:color w:val="auto"/>
        </w:rPr>
        <w:t>Century Therapeutics, Inc.</w:t>
      </w:r>
    </w:p>
    <w:p>
      <w:pPr>
        <w:spacing w:after="0" w:line="23"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94615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5"/>
          </w:cols>
          <w:pgMar w:left="295" w:top="513" w:right="299" w:bottom="1440" w:gutter="0" w:footer="0" w:header="0"/>
        </w:sectPr>
      </w:pPr>
    </w:p>
    <w:p>
      <w:pPr>
        <w:spacing w:after="0" w:line="287" w:lineRule="exact"/>
        <w:rPr>
          <w:sz w:val="24"/>
          <w:szCs w:val="24"/>
          <w:color w:val="auto"/>
        </w:rPr>
      </w:pPr>
    </w:p>
    <w:p>
      <w:pPr>
        <w:ind w:left="1565"/>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1" w:lineRule="exact"/>
        <w:rPr>
          <w:sz w:val="24"/>
          <w:szCs w:val="24"/>
          <w:color w:val="auto"/>
        </w:rPr>
      </w:pPr>
    </w:p>
    <w:p>
      <w:pPr>
        <w:ind w:left="1105"/>
        <w:spacing w:after="0"/>
        <w:rPr>
          <w:sz w:val="20"/>
          <w:szCs w:val="20"/>
          <w:color w:val="auto"/>
        </w:rPr>
      </w:pPr>
      <w:r>
        <w:rPr>
          <w:rFonts w:ascii="Times New Roman" w:cs="Times New Roman" w:eastAsia="Times New Roman" w:hAnsi="Times New Roman"/>
          <w:sz w:val="12"/>
          <w:szCs w:val="12"/>
          <w:color w:val="auto"/>
        </w:rPr>
        <w:t>(State or other jurisdiction of</w:t>
      </w:r>
    </w:p>
    <w:p>
      <w:pPr>
        <w:spacing w:after="0" w:line="6" w:lineRule="exact"/>
        <w:rPr>
          <w:sz w:val="24"/>
          <w:szCs w:val="24"/>
          <w:color w:val="auto"/>
        </w:rPr>
      </w:pPr>
    </w:p>
    <w:p>
      <w:pPr>
        <w:ind w:left="1085"/>
        <w:spacing w:after="0"/>
        <w:rPr>
          <w:sz w:val="20"/>
          <w:szCs w:val="20"/>
          <w:color w:val="auto"/>
        </w:rPr>
      </w:pPr>
      <w:r>
        <w:rPr>
          <w:rFonts w:ascii="Times New Roman" w:cs="Times New Roman" w:eastAsia="Times New Roman" w:hAnsi="Times New Roman"/>
          <w:sz w:val="11"/>
          <w:szCs w:val="11"/>
          <w:color w:val="auto"/>
        </w:rPr>
        <w:t>incorporation or organization)</w:t>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2"/>
          <w:szCs w:val="12"/>
          <w:b w:val="1"/>
          <w:bCs w:val="1"/>
          <w:color w:val="auto"/>
        </w:rPr>
        <w:t>001-40498</w:t>
      </w:r>
    </w:p>
    <w:p>
      <w:pPr>
        <w:spacing w:after="0" w:line="21"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b w:val="1"/>
          <w:bCs w:val="1"/>
          <w:color w:val="auto"/>
        </w:rPr>
        <w:t>84-2040295</w:t>
      </w:r>
    </w:p>
    <w:p>
      <w:pPr>
        <w:spacing w:after="0" w:line="21"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color w:val="auto"/>
        </w:rPr>
        <w:t>(I.R.S. Employer</w:t>
      </w:r>
    </w:p>
    <w:p>
      <w:pPr>
        <w:spacing w:after="0" w:line="6"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color w:val="auto"/>
        </w:rPr>
        <w:t>Identification No.)</w:t>
      </w:r>
    </w:p>
    <w:p>
      <w:pPr>
        <w:spacing w:after="0" w:line="139" w:lineRule="exact"/>
        <w:rPr>
          <w:sz w:val="24"/>
          <w:szCs w:val="24"/>
          <w:color w:val="auto"/>
        </w:rPr>
      </w:pPr>
    </w:p>
    <w:p>
      <w:pPr>
        <w:sectPr>
          <w:pgSz w:w="11900" w:h="16838" w:orient="portrait"/>
          <w:cols w:equalWidth="0" w:num="3">
            <w:col w:w="4285" w:space="720"/>
            <w:col w:w="3320" w:space="720"/>
            <w:col w:w="2260"/>
          </w:cols>
          <w:pgMar w:left="295" w:top="513" w:right="299" w:bottom="1440" w:gutter="0" w:footer="0" w:header="0"/>
          <w:type w:val="continuous"/>
        </w:sectPr>
      </w:pPr>
    </w:p>
    <w:p>
      <w:pPr>
        <w:jc w:val="center"/>
        <w:ind w:right="1035"/>
        <w:spacing w:after="0"/>
        <w:rPr>
          <w:sz w:val="20"/>
          <w:szCs w:val="20"/>
          <w:color w:val="auto"/>
        </w:rPr>
      </w:pPr>
      <w:r>
        <w:rPr>
          <w:rFonts w:ascii="Times New Roman" w:cs="Times New Roman" w:eastAsia="Times New Roman" w:hAnsi="Times New Roman"/>
          <w:sz w:val="12"/>
          <w:szCs w:val="12"/>
          <w:b w:val="1"/>
          <w:bCs w:val="1"/>
          <w:color w:val="auto"/>
        </w:rPr>
        <w:t>25 North 38</w:t>
      </w:r>
      <w:r>
        <w:rPr>
          <w:rFonts w:ascii="Times New Roman" w:cs="Times New Roman" w:eastAsia="Times New Roman" w:hAnsi="Times New Roman"/>
          <w:sz w:val="9"/>
          <w:szCs w:val="9"/>
          <w:b w:val="1"/>
          <w:bCs w:val="1"/>
          <w:color w:val="auto"/>
        </w:rPr>
        <w:t>th</w:t>
      </w:r>
      <w:r>
        <w:rPr>
          <w:rFonts w:ascii="Times New Roman" w:cs="Times New Roman" w:eastAsia="Times New Roman" w:hAnsi="Times New Roman"/>
          <w:sz w:val="12"/>
          <w:szCs w:val="12"/>
          <w:b w:val="1"/>
          <w:bCs w:val="1"/>
          <w:color w:val="auto"/>
        </w:rPr>
        <w:t xml:space="preserve"> Street</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11</w:t>
      </w:r>
      <w:r>
        <w:rPr>
          <w:rFonts w:ascii="Times New Roman" w:cs="Times New Roman" w:eastAsia="Times New Roman" w:hAnsi="Times New Roman"/>
          <w:sz w:val="9"/>
          <w:szCs w:val="9"/>
          <w:b w:val="1"/>
          <w:bCs w:val="1"/>
          <w:color w:val="auto"/>
        </w:rPr>
        <w:t>th</w:t>
      </w:r>
      <w:r>
        <w:rPr>
          <w:rFonts w:ascii="Times New Roman" w:cs="Times New Roman" w:eastAsia="Times New Roman" w:hAnsi="Times New Roman"/>
          <w:sz w:val="12"/>
          <w:szCs w:val="12"/>
          <w:b w:val="1"/>
          <w:bCs w:val="1"/>
          <w:color w:val="auto"/>
        </w:rPr>
        <w:t xml:space="preserve"> Floor</w:t>
      </w:r>
    </w:p>
    <w:p>
      <w:pPr>
        <w:spacing w:after="0" w:line="44" w:lineRule="exact"/>
        <w:rPr>
          <w:sz w:val="24"/>
          <w:szCs w:val="24"/>
          <w:color w:val="auto"/>
        </w:rPr>
      </w:pPr>
    </w:p>
    <w:p>
      <w:pPr>
        <w:jc w:val="center"/>
        <w:ind w:right="1035"/>
        <w:spacing w:after="0"/>
        <w:rPr>
          <w:sz w:val="20"/>
          <w:szCs w:val="20"/>
          <w:color w:val="auto"/>
        </w:rPr>
      </w:pPr>
      <w:r>
        <w:rPr>
          <w:rFonts w:ascii="Times New Roman" w:cs="Times New Roman" w:eastAsia="Times New Roman" w:hAnsi="Times New Roman"/>
          <w:sz w:val="12"/>
          <w:szCs w:val="12"/>
          <w:b w:val="1"/>
          <w:bCs w:val="1"/>
          <w:color w:val="auto"/>
        </w:rPr>
        <w:t>Philadelphia, Pennsylvania</w:t>
      </w:r>
    </w:p>
    <w:p>
      <w:pPr>
        <w:spacing w:after="0" w:line="6" w:lineRule="exact"/>
        <w:rPr>
          <w:sz w:val="24"/>
          <w:szCs w:val="24"/>
          <w:color w:val="auto"/>
        </w:rPr>
      </w:pPr>
    </w:p>
    <w:p>
      <w:pPr>
        <w:jc w:val="center"/>
        <w:ind w:right="1035"/>
        <w:spacing w:after="0"/>
        <w:rPr>
          <w:sz w:val="20"/>
          <w:szCs w:val="20"/>
          <w:color w:val="auto"/>
        </w:rPr>
      </w:pPr>
      <w:r>
        <w:rPr>
          <w:rFonts w:ascii="Times New Roman" w:cs="Times New Roman" w:eastAsia="Times New Roman" w:hAnsi="Times New Roman"/>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2"/>
          <w:szCs w:val="12"/>
          <w:b w:val="1"/>
          <w:bCs w:val="1"/>
          <w:color w:val="auto"/>
        </w:rPr>
        <w:t>19104</w:t>
      </w:r>
    </w:p>
    <w:p>
      <w:pPr>
        <w:spacing w:after="0" w:line="21"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2"/>
          <w:szCs w:val="12"/>
          <w:color w:val="auto"/>
        </w:rPr>
        <w:t>(Zip Code)</w:t>
      </w:r>
    </w:p>
    <w:p>
      <w:pPr>
        <w:spacing w:after="0" w:line="135" w:lineRule="exact"/>
        <w:rPr>
          <w:sz w:val="24"/>
          <w:szCs w:val="24"/>
          <w:color w:val="auto"/>
        </w:rPr>
      </w:pPr>
    </w:p>
    <w:p>
      <w:pPr>
        <w:sectPr>
          <w:pgSz w:w="11900" w:h="16838" w:orient="portrait"/>
          <w:cols w:equalWidth="0" w:num="2">
            <w:col w:w="8505" w:space="720"/>
            <w:col w:w="2080"/>
          </w:cols>
          <w:pgMar w:left="295" w:top="513" w:right="299" w:bottom="1440" w:gutter="0" w:footer="0" w:header="0"/>
          <w:type w:val="continuous"/>
        </w:sectPr>
      </w:pPr>
    </w:p>
    <w:p>
      <w:pPr>
        <w:jc w:val="center"/>
        <w:ind w:right="15"/>
        <w:spacing w:after="0"/>
        <w:rPr>
          <w:sz w:val="20"/>
          <w:szCs w:val="20"/>
          <w:color w:val="auto"/>
        </w:rPr>
      </w:pPr>
      <w:r>
        <w:rPr>
          <w:rFonts w:ascii="Times New Roman" w:cs="Times New Roman" w:eastAsia="Times New Roman" w:hAnsi="Times New Roman"/>
          <w:sz w:val="11"/>
          <w:szCs w:val="11"/>
          <w:color w:val="auto"/>
        </w:rPr>
        <w:t xml:space="preserve">Registrant’s telephone number, including area code: </w:t>
      </w:r>
      <w:r>
        <w:rPr>
          <w:rFonts w:ascii="Times New Roman" w:cs="Times New Roman" w:eastAsia="Times New Roman" w:hAnsi="Times New Roman"/>
          <w:sz w:val="11"/>
          <w:szCs w:val="11"/>
          <w:b w:val="1"/>
          <w:bCs w:val="1"/>
          <w:color w:val="auto"/>
        </w:rPr>
        <w:t>(267) 817-5790</w:t>
      </w:r>
    </w:p>
    <w:p>
      <w:pPr>
        <w:spacing w:after="0" w:line="162"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21"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95250</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5"/>
          </w:cols>
          <w:pgMar w:left="295" w:top="513" w:right="299" w:bottom="1440" w:gutter="0" w:footer="0" w:header="0"/>
          <w:type w:val="continuous"/>
        </w:sectPr>
      </w:pPr>
    </w:p>
    <w:p>
      <w:pPr>
        <w:spacing w:after="0" w:line="301" w:lineRule="exact"/>
        <w:rPr>
          <w:sz w:val="24"/>
          <w:szCs w:val="24"/>
          <w:color w:val="auto"/>
        </w:rPr>
      </w:pPr>
    </w:p>
    <w:p>
      <w:pPr>
        <w:ind w:left="5"/>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50" w:lineRule="exact"/>
        <w:rPr>
          <w:sz w:val="24"/>
          <w:szCs w:val="24"/>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8" w:lineRule="exact"/>
        <w:rPr>
          <w:rFonts w:ascii="MS PGothic" w:cs="MS PGothic" w:eastAsia="MS PGothic" w:hAnsi="MS PGothic"/>
          <w:sz w:val="12"/>
          <w:szCs w:val="12"/>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38" w:lineRule="exact"/>
        <w:rPr>
          <w:sz w:val="24"/>
          <w:szCs w:val="24"/>
          <w:color w:val="auto"/>
        </w:rPr>
      </w:pPr>
    </w:p>
    <w:tbl>
      <w:tblPr>
        <w:tblLayout w:type="fixed"/>
        <w:tblInd w:w="5" w:type="dxa"/>
        <w:tblCellMar>
          <w:top w:w="0" w:type="dxa"/>
          <w:left w:w="0" w:type="dxa"/>
          <w:bottom w:w="0" w:type="dxa"/>
          <w:right w:w="0" w:type="dxa"/>
        </w:tblCellMar>
      </w:tblPr>
      <w:tr>
        <w:trPr>
          <w:trHeight w:val="155"/>
        </w:trPr>
        <w:tc>
          <w:tcPr>
            <w:tcW w:w="3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3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20" w:type="dxa"/>
            <w:vAlign w:val="bottom"/>
          </w:tcPr>
          <w:p>
            <w:pPr>
              <w:spacing w:after="0"/>
              <w:rPr>
                <w:sz w:val="13"/>
                <w:szCs w:val="13"/>
                <w:color w:val="auto"/>
              </w:rPr>
            </w:pPr>
          </w:p>
        </w:tc>
      </w:tr>
      <w:tr>
        <w:trPr>
          <w:trHeight w:val="288"/>
        </w:trPr>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3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Exchange on Which Registered</w:t>
            </w:r>
          </w:p>
        </w:tc>
      </w:tr>
      <w:tr>
        <w:trPr>
          <w:trHeight w:val="148"/>
        </w:trPr>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Common Stock, par value $0.0001 per share</w:t>
            </w:r>
          </w:p>
        </w:tc>
        <w:tc>
          <w:tcPr>
            <w:tcW w:w="240" w:type="dxa"/>
            <w:vAlign w:val="bottom"/>
          </w:tcPr>
          <w:p>
            <w:pPr>
              <w:spacing w:after="0"/>
              <w:rPr>
                <w:sz w:val="12"/>
                <w:szCs w:val="12"/>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IPSC</w:t>
            </w:r>
          </w:p>
        </w:tc>
        <w:tc>
          <w:tcPr>
            <w:tcW w:w="220" w:type="dxa"/>
            <w:vAlign w:val="bottom"/>
          </w:tcPr>
          <w:p>
            <w:pPr>
              <w:spacing w:after="0"/>
              <w:rPr>
                <w:sz w:val="12"/>
                <w:szCs w:val="12"/>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Nasdaq Capital Market</w:t>
            </w:r>
          </w:p>
        </w:tc>
      </w:tr>
    </w:tbl>
    <w:p>
      <w:pPr>
        <w:spacing w:after="0" w:line="118" w:lineRule="exact"/>
        <w:rPr>
          <w:sz w:val="24"/>
          <w:szCs w:val="24"/>
          <w:color w:val="auto"/>
        </w:rPr>
      </w:pPr>
    </w:p>
    <w:p>
      <w:pPr>
        <w:jc w:val="both"/>
        <w:ind w:left="5"/>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ind w:left="9825"/>
        <w:spacing w:after="0"/>
        <w:rPr>
          <w:sz w:val="20"/>
          <w:szCs w:val="20"/>
          <w:color w:val="auto"/>
        </w:rPr>
      </w:pPr>
      <w:r>
        <w:rPr>
          <w:rFonts w:ascii="Times New Roman" w:cs="Times New Roman" w:eastAsia="Times New Roman" w:hAnsi="Times New Roman"/>
          <w:sz w:val="12"/>
          <w:szCs w:val="12"/>
          <w:color w:val="auto"/>
        </w:rPr>
        <w:t xml:space="preserve">Emerging growth company </w:t>
      </w:r>
      <w:r>
        <w:rPr>
          <w:rFonts w:ascii="Wingdings" w:cs="Wingdings" w:eastAsia="Wingdings" w:hAnsi="Wingdings"/>
          <w:sz w:val="12"/>
          <w:szCs w:val="12"/>
          <w:b w:val="1"/>
          <w:bCs w:val="1"/>
          <w:color w:val="auto"/>
        </w:rPr>
        <w:t>x</w:t>
      </w:r>
    </w:p>
    <w:p>
      <w:pPr>
        <w:spacing w:after="0" w:line="150" w:lineRule="exact"/>
        <w:rPr>
          <w:sz w:val="24"/>
          <w:szCs w:val="24"/>
          <w:color w:val="auto"/>
        </w:rPr>
      </w:pPr>
    </w:p>
    <w:p>
      <w:pPr>
        <w:jc w:val="both"/>
        <w:ind w:left="5" w:right="2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97790</wp:posOffset>
            </wp:positionV>
            <wp:extent cx="71780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303530</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5"/>
          </w:cols>
          <w:pgMar w:left="295" w:top="513" w:right="299" w:bottom="1440" w:gutter="0" w:footer="0" w:header="0"/>
          <w:type w:val="continuous"/>
        </w:sectPr>
      </w:pPr>
    </w:p>
    <w:bookmarkStart w:id="1" w:name="page2"/>
    <w:bookmarkEnd w:id="1"/>
    <w:p>
      <w:pPr>
        <w:spacing w:after="0"/>
        <w:tabs>
          <w:tab w:leader="none" w:pos="1100" w:val="left"/>
        </w:tabs>
        <w:rPr>
          <w:sz w:val="20"/>
          <w:szCs w:val="20"/>
          <w:color w:val="auto"/>
        </w:rPr>
      </w:pPr>
      <w:r>
        <w:rPr>
          <w:rFonts w:ascii="Times New Roman" w:cs="Times New Roman" w:eastAsia="Times New Roman" w:hAnsi="Times New Roman"/>
          <w:sz w:val="12"/>
          <w:szCs w:val="12"/>
          <w:b w:val="1"/>
          <w:bCs w:val="1"/>
          <w:color w:val="auto"/>
        </w:rPr>
        <w:t>Item 1.01</w:t>
      </w:r>
      <w:r>
        <w:rPr>
          <w:sz w:val="20"/>
          <w:szCs w:val="20"/>
          <w:color w:val="auto"/>
        </w:rPr>
        <w:tab/>
      </w:r>
      <w:r>
        <w:rPr>
          <w:rFonts w:ascii="Times New Roman" w:cs="Times New Roman" w:eastAsia="Times New Roman" w:hAnsi="Times New Roman"/>
          <w:sz w:val="12"/>
          <w:szCs w:val="12"/>
          <w:b w:val="1"/>
          <w:bCs w:val="1"/>
          <w:color w:val="auto"/>
        </w:rPr>
        <w:t>Entry into a Material Definitive Agreement.</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On January 7, 2026, Century Therapeutics, Inc. (the “Company”), entered into a securities purchase agreement (the “Purchase Agreement”) with certain institutional accredited investors (the “Investors”), pursuant to which the Company agreed to issue and sell to the Investors in a private placement (a) (i) 92,030,595 shares (the “Shares”) of common stock, par value $0.0001 per share (“Common Stock”), of the Company, and/or, (ii) pre-funded warrants to purchase 25,360,704 shares of Common Stock (“Pre-Funded Warrants”) and (b) warrants to purchase 58,695,648 shares of Common Stock or Pre-Funded Warrants in lieu thereof (“Common Warrants”, together with the Pre-Funded Warrants, the “Warrants”) at a purchase price of $1.15 per share and accompanying Common Warrant to purchase 0.5 shares of Common Stock or Pre-Funded Warrant and a purchase price of $1.1499 per Pre-Funded Warrant and accompanying Common Warrant to purchase 0.5 shares of Common Stock or Pre-Funded Warrant (the “Private Placement”).</w:t>
      </w:r>
    </w:p>
    <w:p>
      <w:pPr>
        <w:spacing w:after="0" w:line="1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Pre-Funded Warrants will be exercisable immediately at an exercise price of $0.0001 per share of Common Stock and will not expire until exercised in full. The Common Warrants will be exercisable immediately and expire upon the earlier of (a) 30 days after the public announcement of initial Phase 1 clinical data for CNTY-813 and (b) the third anniversary of the closing of the Private Placement. The Common Warrants will have an exercise price of $2.60 per share of Common Stock or $2.599 per Pre-Funded Warrant.</w:t>
      </w:r>
    </w:p>
    <w:p>
      <w:pPr>
        <w:spacing w:after="0" w:line="119"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The Private Placement is expected to close on or about January 9, 2026, subject to the satisfaction of certain customary closing conditions. The Company expects to receive aggregate gross proceeds from the Private Placement of approximately $135.0 million, before deducting placement agent fees and offering expenses. The Company intends to use the net proceeds from the Private Placement to fund development of its lead product candidate, CNTY-813, and for working capital and other general corporate purposes.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Leerink Partners LLC, TD Securities (USA) LLC and Mizuho Securities USA LLC acted as placement agents for the Private Placement.</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Pursuant to the Purchase Agreement, the Company agreed, subject to certain exceptions, not to issue, enter into any agreement to issue or announce the issuance or proposed issuance of any shares of Common Stock or any securities convertible into or exercisable or exchangeable for shares of Common Stock or file any registration statement or prospectus, or any amendment or supplement thereto until the earlier of (a) 30 days after the closing of the Private Placement and (b) the business day immediately following the effective date of the registration statement filed pursuant to the Registration Rights Agreement (as defined below).</w:t>
      </w:r>
    </w:p>
    <w:p>
      <w:pPr>
        <w:spacing w:after="0" w:line="119"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The Purchase Agreement contains customary representations, warranties and agreements by the Company, customary conditions to closing, indemnification obligations of the Company, other obligations of the parties and termination provisions.</w:t>
      </w:r>
    </w:p>
    <w:p>
      <w:pPr>
        <w:spacing w:after="0" w:line="1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Also on January 7, 2026, the Company entered into a registration rights agreement (the “Registration Rights Agreement”) with the Investors, pursuant to which the Company has agreed to file a registration statement covering the resale by the Investors of the Shares and the Common Stock underlying the Pre-Funded Warrants and Common Warrants (the “Warrant Shares” and together with the Shares, the “Private Placement Shares”) no later than 30 days following the closing of the Private Placement (the “Filing Deadline”). The Company has agreed to use commercially reasonable efforts to cause such registration statement to be declared effective, if not automatically effective upon filing, then as soon as practicable and to keep such registration statement effective until the earlier of (i) the date that all Private Placement Shares covered by such registration statement have been sold or can be sold without restriction pursuant to Rule 144 and without the requirement to be in compliance with Rule 144(c)(1) (or any successor thereof) promulgated under the Securities Act of 1933, as amended (the “Securities Act”), and (ii) the date on which such Shares and Warrant Shares cease to be registrable under the Registration Rights Agreement. The Company has agreed to be responsible for all fees and expenses incurred in connection with the registration of the Private Placement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177800</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2" w:name="page3"/>
    <w:bookmarkEnd w:id="2"/>
    <w:p>
      <w:pPr>
        <w:jc w:val="both"/>
        <w:spacing w:after="0" w:line="235" w:lineRule="auto"/>
        <w:rPr>
          <w:sz w:val="20"/>
          <w:szCs w:val="20"/>
          <w:color w:val="auto"/>
        </w:rPr>
      </w:pPr>
      <w:r>
        <w:rPr>
          <w:rFonts w:ascii="Times New Roman" w:cs="Times New Roman" w:eastAsia="Times New Roman" w:hAnsi="Times New Roman"/>
          <w:sz w:val="11"/>
          <w:szCs w:val="11"/>
          <w:color w:val="auto"/>
        </w:rPr>
        <w:t>In the event (i) the registration statement has not been filed by the Filing Deadline, (ii) the registration statement is not automatically effective upon filing or not declared effective prior to the earliest of (a) five business days after the date on which the Company is notified by the Securities and Exchange Commission (the “SEC”) that the registration statement will not be reviewed by the SEC staff or is not subject to further comment by the SEC staff, (b) the 60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1"/>
          <w:szCs w:val="11"/>
          <w:color w:val="auto"/>
        </w:rPr>
        <w:t xml:space="preserve"> day</w:t>
      </w:r>
    </w:p>
    <w:p>
      <w:pPr>
        <w:jc w:val="both"/>
        <w:spacing w:after="0" w:line="228" w:lineRule="auto"/>
        <w:rPr>
          <w:sz w:val="20"/>
          <w:szCs w:val="20"/>
          <w:color w:val="auto"/>
        </w:rPr>
      </w:pPr>
      <w:r>
        <w:rPr>
          <w:rFonts w:ascii="Times New Roman" w:cs="Times New Roman" w:eastAsia="Times New Roman" w:hAnsi="Times New Roman"/>
          <w:sz w:val="12"/>
          <w:szCs w:val="12"/>
          <w:color w:val="auto"/>
        </w:rPr>
        <w:t>following the closing of the Private Placement, if the SEC staff determines not to review the registration statement, or (c) the 90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day following the closing of the Private Placement, if the SEC staff determines to review the registration statement, or (iii) after the registration statement has been declared effective by the SEC, sales cannot be made pursuant to the registration statement for any reason, subject to certain limited exceptions, then the Company has agreed to make pro rata payments to each Investor as liquidated damages in an amount equal to 1% of the aggregate amount invested by each such Investor in the Private Placement per 30-day period or pro rata for any portion thereof for each such 30-day period during which such event continues, subject to certain caps set forth in the Registration Rights Agreement.</w:t>
      </w:r>
    </w:p>
    <w:p>
      <w:pPr>
        <w:spacing w:after="0" w:line="13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The Company has granted the Investors customary indemnification rights in connection with the registration statement. The Investors have also granted the Company customary indemnification rights in connection with the registration statement.</w:t>
      </w:r>
    </w:p>
    <w:p>
      <w:pPr>
        <w:spacing w:after="0" w:line="111"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The foregoing descriptions of the Form of Pre-Funded Warrant, Form of Common Warrant, Purchase Agreement and Registration Rights Agreement do not purport to be complete and are qualified in their entirety by reference to the full text of the Form of Pre-Funded Warrant, Form of Common Warrant, Purchase Agreement and Registration Rights Agreement, copies of which are filed as Exhibits 4.1, 4.2, 10.1 and 10.2 hereto, respectively, and incorporated by reference herein.</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representations, warranties and covenants contained in the Purchase Agreement and Registration Rights Agreement were made solely for the benefit of the parties thereto and the placement agents expressly named as third-party beneficiary thereto and may be subject to limitations agreed upon by the contracting parties. The Form of Pre-Funded Warrant, Form of Common Warrant, Purchase Agreement and Registration Rights Agreement are incorporated herein by reference only to provide investors with information regarding the terms thereof and not to provide investors with any other factual information regarding the Company or its business, and should be read in conjunction with the disclosures in the Company’s periodic reports and other filings with the SEC.</w:t>
      </w:r>
    </w:p>
    <w:p>
      <w:pPr>
        <w:spacing w:after="0" w:line="118"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2"/>
          <w:szCs w:val="12"/>
          <w:b w:val="1"/>
          <w:bCs w:val="1"/>
          <w:color w:val="auto"/>
        </w:rPr>
        <w:t>Item 3.02</w:t>
      </w:r>
      <w:r>
        <w:rPr>
          <w:sz w:val="20"/>
          <w:szCs w:val="20"/>
          <w:color w:val="auto"/>
        </w:rPr>
        <w:tab/>
      </w:r>
      <w:r>
        <w:rPr>
          <w:rFonts w:ascii="Times New Roman" w:cs="Times New Roman" w:eastAsia="Times New Roman" w:hAnsi="Times New Roman"/>
          <w:sz w:val="11"/>
          <w:szCs w:val="11"/>
          <w:b w:val="1"/>
          <w:bCs w:val="1"/>
          <w:color w:val="auto"/>
        </w:rPr>
        <w:t>Unregistered Sales of Equity Securities.</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information contained above in Item 1.01 of this Current Report on Form 8-K related to the Shares, Pre-Funded Warrants, Common Warrants and Warrant Shares is hereby incorporated by reference into this Item 3.02. The Shares, Pre-Funded Warrants and Common Warrants were sold without registration under the Securities Act, in reliance on the exemptions provided by Section 4(a)(2) of the Securities Act. When issued, the Warrant Shares will be issued in reliance on the exemption from registration provided in Section 4(a)(2) under the Securities Act.</w:t>
      </w:r>
    </w:p>
    <w:p>
      <w:pPr>
        <w:spacing w:after="0" w:line="11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On January 8, 2026, the Company issued a press release announcing the Private Placement. The full text of the press release issued in connection with this announcement is furnished as Exhibit 99.1 to this Current Report on Form 8-K and incorporated herein by reference.</w:t>
      </w:r>
    </w:p>
    <w:p>
      <w:pPr>
        <w:spacing w:after="0" w:line="111" w:lineRule="exact"/>
        <w:rPr>
          <w:sz w:val="20"/>
          <w:szCs w:val="20"/>
          <w:color w:val="auto"/>
        </w:rPr>
      </w:pPr>
    </w:p>
    <w:p>
      <w:pPr>
        <w:ind w:right="480"/>
        <w:spacing w:after="0" w:line="279" w:lineRule="auto"/>
        <w:rPr>
          <w:sz w:val="20"/>
          <w:szCs w:val="20"/>
          <w:color w:val="auto"/>
        </w:rPr>
      </w:pPr>
      <w:r>
        <w:rPr>
          <w:rFonts w:ascii="Times New Roman" w:cs="Times New Roman" w:eastAsia="Times New Roman" w:hAnsi="Times New Roman"/>
          <w:sz w:val="12"/>
          <w:szCs w:val="12"/>
          <w:color w:val="auto"/>
        </w:rPr>
        <w:t>Also on January 8, 2026, the Company updated information reflected in a slide presentation, which is attached as Exhibit 99.2 to this Current Report on Form 8-K and is incorporated herein by reference. Representatives of the Company will use the updated presentation in various meetings with investors from time to time.</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information in this Current Report on Form 8-K, including Exhibits 99.1 and 99.2, shall not be deemed “filed” for purposes of Section 18 of the Securities Exchange Act of 1934, as amended (the “Exchange Act”), nor shall it be deemed “incorporated by reference” into any filing under the Securities Act or the Exchange Act, except as may be expressly set forth by specific reference in such filing. Information contained on, or that can be accessed through, the Company’s website does not constitute a part of, and is not incorporated by reference into,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173990</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3" w:name="page4"/>
    <w:bookmarkEnd w:id="3"/>
    <w:p>
      <w:pPr>
        <w:spacing w:after="0"/>
        <w:tabs>
          <w:tab w:leader="none" w:pos="110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2"/>
          <w:szCs w:val="12"/>
          <w:b w:val="1"/>
          <w:bCs w:val="1"/>
          <w:color w:val="auto"/>
        </w:rPr>
        <w:t>Financial Statements and Exhibits.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 Exhibits</w:t>
      </w:r>
    </w:p>
    <w:p>
      <w:pPr>
        <w:spacing w:after="0" w:line="15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2"/>
          <w:szCs w:val="12"/>
          <w:u w:val="single" w:color="auto"/>
          <w:color w:val="0000EE"/>
        </w:rPr>
        <w:t>4.1</w:t>
      </w:r>
      <w:r>
        <w:rPr>
          <w:sz w:val="20"/>
          <w:szCs w:val="20"/>
          <w:color w:val="auto"/>
        </w:rPr>
        <w:tab/>
      </w:r>
      <w:r>
        <w:rPr>
          <w:rFonts w:ascii="Times New Roman" w:cs="Times New Roman" w:eastAsia="Times New Roman" w:hAnsi="Times New Roman"/>
          <w:sz w:val="11"/>
          <w:szCs w:val="11"/>
          <w:u w:val="single" w:color="auto"/>
          <w:color w:val="0000EE"/>
        </w:rPr>
        <w:t>Form of Pre-Funded Warrant</w:t>
      </w:r>
    </w:p>
    <w:p>
      <w:pPr>
        <w:spacing w:after="0" w:line="15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2"/>
          <w:szCs w:val="12"/>
          <w:u w:val="single" w:color="auto"/>
          <w:color w:val="0000EE"/>
        </w:rPr>
        <w:t>4.2</w:t>
      </w:r>
      <w:r>
        <w:rPr>
          <w:sz w:val="20"/>
          <w:szCs w:val="20"/>
          <w:color w:val="auto"/>
        </w:rPr>
        <w:tab/>
      </w:r>
      <w:r>
        <w:rPr>
          <w:rFonts w:ascii="Times New Roman" w:cs="Times New Roman" w:eastAsia="Times New Roman" w:hAnsi="Times New Roman"/>
          <w:sz w:val="11"/>
          <w:szCs w:val="11"/>
          <w:u w:val="single" w:color="auto"/>
          <w:color w:val="0000EE"/>
        </w:rPr>
        <w:t>Form of Common Warrant</w:t>
      </w:r>
    </w:p>
    <w:p>
      <w:pPr>
        <w:spacing w:after="0" w:line="15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2"/>
          <w:szCs w:val="12"/>
          <w:u w:val="single" w:color="auto"/>
          <w:color w:val="0000EE"/>
        </w:rPr>
        <w:t>10.1</w:t>
      </w:r>
      <w:r>
        <w:rPr>
          <w:sz w:val="20"/>
          <w:szCs w:val="20"/>
          <w:color w:val="auto"/>
        </w:rPr>
        <w:tab/>
      </w:r>
      <w:r>
        <w:rPr>
          <w:rFonts w:ascii="Times New Roman" w:cs="Times New Roman" w:eastAsia="Times New Roman" w:hAnsi="Times New Roman"/>
          <w:sz w:val="11"/>
          <w:szCs w:val="11"/>
          <w:u w:val="single" w:color="auto"/>
          <w:color w:val="0000EE"/>
        </w:rPr>
        <w:t>Securities Purchase Agreement, dated January 7, 2026, by and among the Company and the other parties thereto</w:t>
      </w:r>
    </w:p>
    <w:p>
      <w:pPr>
        <w:spacing w:after="0" w:line="15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2"/>
          <w:szCs w:val="12"/>
          <w:u w:val="single" w:color="auto"/>
          <w:color w:val="0000EE"/>
        </w:rPr>
        <w:t>10.2</w:t>
      </w:r>
      <w:r>
        <w:rPr>
          <w:sz w:val="20"/>
          <w:szCs w:val="20"/>
          <w:color w:val="auto"/>
        </w:rPr>
        <w:tab/>
      </w:r>
      <w:r>
        <w:rPr>
          <w:rFonts w:ascii="Times New Roman" w:cs="Times New Roman" w:eastAsia="Times New Roman" w:hAnsi="Times New Roman"/>
          <w:sz w:val="11"/>
          <w:szCs w:val="11"/>
          <w:u w:val="single" w:color="auto"/>
          <w:color w:val="0000EE"/>
        </w:rPr>
        <w:t>Registration Rights Agreement, dated January 7, 2026, by and among the Company and the other parties thereto</w:t>
      </w:r>
    </w:p>
    <w:p>
      <w:pPr>
        <w:spacing w:after="0" w:line="15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2"/>
          <w:szCs w:val="12"/>
          <w:u w:val="single" w:color="auto"/>
          <w:color w:val="0000EE"/>
        </w:rPr>
        <w:t>99.1</w:t>
      </w:r>
      <w:r>
        <w:rPr>
          <w:sz w:val="20"/>
          <w:szCs w:val="20"/>
          <w:color w:val="auto"/>
        </w:rPr>
        <w:tab/>
      </w:r>
      <w:r>
        <w:rPr>
          <w:rFonts w:ascii="Times New Roman" w:cs="Times New Roman" w:eastAsia="Times New Roman" w:hAnsi="Times New Roman"/>
          <w:sz w:val="11"/>
          <w:szCs w:val="11"/>
          <w:u w:val="single" w:color="auto"/>
          <w:color w:val="0000EE"/>
        </w:rPr>
        <w:t>Press Release, dated January 8, 2026</w:t>
      </w:r>
    </w:p>
    <w:p>
      <w:pPr>
        <w:spacing w:after="0" w:line="15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2"/>
          <w:szCs w:val="12"/>
          <w:u w:val="single" w:color="auto"/>
          <w:color w:val="0000EE"/>
        </w:rPr>
        <w:t>99.2</w:t>
      </w:r>
      <w:r>
        <w:rPr>
          <w:sz w:val="20"/>
          <w:szCs w:val="20"/>
          <w:color w:val="auto"/>
        </w:rPr>
        <w:tab/>
      </w:r>
      <w:r>
        <w:rPr>
          <w:rFonts w:ascii="Times New Roman" w:cs="Times New Roman" w:eastAsia="Times New Roman" w:hAnsi="Times New Roman"/>
          <w:sz w:val="11"/>
          <w:szCs w:val="11"/>
          <w:u w:val="single" w:color="auto"/>
          <w:color w:val="0000EE"/>
        </w:rPr>
        <w:t>Investor Presentation, dated January 8, 2026</w:t>
      </w:r>
    </w:p>
    <w:p>
      <w:pPr>
        <w:spacing w:after="0" w:line="15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2"/>
          <w:szCs w:val="12"/>
          <w:color w:val="auto"/>
        </w:rPr>
        <w:t>104</w:t>
      </w:r>
      <w:r>
        <w:rPr>
          <w:sz w:val="20"/>
          <w:szCs w:val="20"/>
          <w:color w:val="auto"/>
        </w:rPr>
        <w:tab/>
      </w:r>
      <w:r>
        <w:rPr>
          <w:rFonts w:ascii="Times New Roman" w:cs="Times New Roman" w:eastAsia="Times New Roman" w:hAnsi="Times New Roman"/>
          <w:sz w:val="12"/>
          <w:szCs w:val="12"/>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285115</wp:posOffset>
            </wp:positionV>
            <wp:extent cx="71780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47"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CENTURY THERAPEUTICS, INC.</w:t>
      </w:r>
    </w:p>
    <w:p>
      <w:pPr>
        <w:spacing w:after="0" w:line="154" w:lineRule="exact"/>
        <w:rPr>
          <w:sz w:val="20"/>
          <w:szCs w:val="20"/>
          <w:color w:val="auto"/>
        </w:rPr>
      </w:pPr>
    </w:p>
    <w:tbl>
      <w:tblPr>
        <w:tblLayout w:type="fixed"/>
        <w:tblInd w:w="5660" w:type="dxa"/>
        <w:tblCellMar>
          <w:top w:w="0" w:type="dxa"/>
          <w:left w:w="0" w:type="dxa"/>
          <w:bottom w:w="0" w:type="dxa"/>
          <w:right w:w="0" w:type="dxa"/>
        </w:tblCellMar>
      </w:tblP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Brent Pfeiffenberger, Pharm.D.</w:t>
            </w:r>
          </w:p>
        </w:tc>
      </w:tr>
      <w:tr>
        <w:trPr>
          <w:trHeight w:val="122"/>
        </w:trPr>
        <w:tc>
          <w:tcPr>
            <w:tcW w:w="56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Brent Pfeiffenberger, Pharm.D.</w:t>
            </w:r>
          </w:p>
        </w:tc>
      </w:t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President and Chief Executive Officer</w:t>
            </w:r>
          </w:p>
        </w:tc>
      </w:tr>
    </w:tbl>
    <w:p>
      <w:pPr>
        <w:spacing w:after="0"/>
        <w:rPr>
          <w:sz w:val="20"/>
          <w:szCs w:val="20"/>
          <w:color w:val="auto"/>
        </w:rPr>
      </w:pPr>
      <w:r>
        <w:rPr>
          <w:rFonts w:ascii="Times New Roman" w:cs="Times New Roman" w:eastAsia="Times New Roman" w:hAnsi="Times New Roman"/>
          <w:sz w:val="12"/>
          <w:szCs w:val="12"/>
          <w:color w:val="auto"/>
        </w:rPr>
        <w:t>Date: January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289560</wp:posOffset>
            </wp:positionV>
            <wp:extent cx="71780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5" w:name="page6"/>
    <w:bookmarkEnd w:id="5"/>
    <w:p>
      <w:pPr>
        <w:ind w:left="10620"/>
        <w:spacing w:after="0"/>
        <w:rPr>
          <w:sz w:val="20"/>
          <w:szCs w:val="20"/>
          <w:color w:val="auto"/>
        </w:rPr>
      </w:pPr>
      <w:r>
        <w:rPr>
          <w:rFonts w:ascii="Times New Roman" w:cs="Times New Roman" w:eastAsia="Times New Roman" w:hAnsi="Times New Roman"/>
          <w:sz w:val="14"/>
          <w:szCs w:val="14"/>
          <w:b w:val="1"/>
          <w:bCs w:val="1"/>
          <w:color w:val="auto"/>
        </w:rPr>
        <w:t>Exhibit 4.1</w:t>
      </w:r>
    </w:p>
    <w:p>
      <w:pPr>
        <w:spacing w:after="0" w:line="15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2"/>
          <w:szCs w:val="12"/>
          <w:color w:val="auto"/>
        </w:rPr>
        <w:t>NEITHER THIS SECURITY NOR THE SECURITIES FOR WHICH THIS SECURITY IS EXERCISABLE HAVE BEEN REGISTERED WITH THE SECURITIES AND EXCHANGE COMMISSION (THE “SEC”)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PRE-FUNDED COMMON STOCK PURCHASE WARRANT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CENTURY THERAPEUTICS, INC.</w:t>
      </w:r>
    </w:p>
    <w:p>
      <w:pPr>
        <w:sectPr>
          <w:pgSz w:w="11900" w:h="16838" w:orient="portrait"/>
          <w:cols w:equalWidth="0" w:num="1">
            <w:col w:w="11300"/>
          </w:cols>
          <w:pgMar w:left="300" w:top="281" w:right="299" w:bottom="1440" w:gutter="0" w:footer="0" w:header="0"/>
        </w:sectPr>
      </w:pP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Warrant Shares: _______</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Initial Exercise Date: January ___, 2026</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Issue Date: January ___, 2026</w:t>
      </w:r>
    </w:p>
    <w:p>
      <w:pPr>
        <w:spacing w:after="0" w:line="139" w:lineRule="exact"/>
        <w:rPr>
          <w:sz w:val="20"/>
          <w:szCs w:val="20"/>
          <w:color w:val="auto"/>
        </w:rPr>
      </w:pPr>
    </w:p>
    <w:p>
      <w:pPr>
        <w:sectPr>
          <w:pgSz w:w="11900" w:h="16838" w:orient="portrait"/>
          <w:cols w:equalWidth="0" w:num="2">
            <w:col w:w="8640" w:space="720"/>
            <w:col w:w="1940"/>
          </w:cols>
          <w:pgMar w:left="300" w:top="281" w:right="299"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2"/>
          <w:szCs w:val="12"/>
          <w:color w:val="auto"/>
        </w:rPr>
        <w:t>THIS PRE-FUNDED COMMON STOCK PURCHASE WARRANT (the “</w:t>
      </w:r>
      <w:r>
        <w:rPr>
          <w:rFonts w:ascii="Times New Roman" w:cs="Times New Roman" w:eastAsia="Times New Roman" w:hAnsi="Times New Roman"/>
          <w:sz w:val="12"/>
          <w:szCs w:val="12"/>
          <w:u w:val="single" w:color="auto"/>
          <w:color w:val="auto"/>
        </w:rPr>
        <w:t>Warrant</w:t>
      </w:r>
      <w:r>
        <w:rPr>
          <w:rFonts w:ascii="Times New Roman" w:cs="Times New Roman" w:eastAsia="Times New Roman" w:hAnsi="Times New Roman"/>
          <w:sz w:val="12"/>
          <w:szCs w:val="12"/>
          <w:color w:val="auto"/>
        </w:rPr>
        <w:t>”) certifies that, for value received, _____________ or its assigns (the “</w:t>
      </w:r>
      <w:r>
        <w:rPr>
          <w:rFonts w:ascii="Times New Roman" w:cs="Times New Roman" w:eastAsia="Times New Roman" w:hAnsi="Times New Roman"/>
          <w:sz w:val="12"/>
          <w:szCs w:val="12"/>
          <w:u w:val="single" w:color="auto"/>
          <w:color w:val="auto"/>
        </w:rPr>
        <w:t>Holder</w:t>
      </w:r>
      <w:r>
        <w:rPr>
          <w:rFonts w:ascii="Times New Roman" w:cs="Times New Roman" w:eastAsia="Times New Roman" w:hAnsi="Times New Roman"/>
          <w:sz w:val="12"/>
          <w:szCs w:val="12"/>
          <w:color w:val="auto"/>
        </w:rPr>
        <w:t>”) is entitled, upon the terms and subject to the limitations on</w:t>
      </w:r>
    </w:p>
    <w:p>
      <w:pPr>
        <w:spacing w:after="0" w:line="1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2"/>
          <w:szCs w:val="12"/>
          <w:color w:val="auto"/>
        </w:rPr>
        <w:t>exercise and the conditions hereinafter set forth, at any time on or after the date hereof (the “</w:t>
      </w:r>
      <w:r>
        <w:rPr>
          <w:rFonts w:ascii="Times New Roman" w:cs="Times New Roman" w:eastAsia="Times New Roman" w:hAnsi="Times New Roman"/>
          <w:sz w:val="12"/>
          <w:szCs w:val="12"/>
          <w:u w:val="single" w:color="auto"/>
          <w:color w:val="auto"/>
        </w:rPr>
        <w:t>Initial Exercise Date</w:t>
      </w:r>
      <w:r>
        <w:rPr>
          <w:rFonts w:ascii="Times New Roman" w:cs="Times New Roman" w:eastAsia="Times New Roman" w:hAnsi="Times New Roman"/>
          <w:sz w:val="12"/>
          <w:szCs w:val="12"/>
          <w:color w:val="auto"/>
        </w:rPr>
        <w:t>”) until exercised in full (the “</w:t>
      </w:r>
      <w:r>
        <w:rPr>
          <w:rFonts w:ascii="Times New Roman" w:cs="Times New Roman" w:eastAsia="Times New Roman" w:hAnsi="Times New Roman"/>
          <w:sz w:val="12"/>
          <w:szCs w:val="12"/>
          <w:u w:val="single" w:color="auto"/>
          <w:color w:val="auto"/>
        </w:rPr>
        <w:t>Termination Date</w:t>
      </w:r>
      <w:r>
        <w:rPr>
          <w:rFonts w:ascii="Times New Roman" w:cs="Times New Roman" w:eastAsia="Times New Roman" w:hAnsi="Times New Roman"/>
          <w:sz w:val="12"/>
          <w:szCs w:val="12"/>
          <w:color w:val="auto"/>
        </w:rPr>
        <w:t>”) but not thereafter, to subscribe for and purchase from Century Therapeutics, Inc., a Delaware corporation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up to ______ shares (as subject to adjustment hereunder, the “</w:t>
      </w:r>
      <w:r>
        <w:rPr>
          <w:rFonts w:ascii="Times New Roman" w:cs="Times New Roman" w:eastAsia="Times New Roman" w:hAnsi="Times New Roman"/>
          <w:sz w:val="12"/>
          <w:szCs w:val="12"/>
          <w:u w:val="single" w:color="auto"/>
          <w:color w:val="auto"/>
        </w:rPr>
        <w:t>Warrant Shares</w:t>
      </w:r>
      <w:r>
        <w:rPr>
          <w:rFonts w:ascii="Times New Roman" w:cs="Times New Roman" w:eastAsia="Times New Roman" w:hAnsi="Times New Roman"/>
          <w:sz w:val="12"/>
          <w:szCs w:val="12"/>
          <w:color w:val="auto"/>
        </w:rPr>
        <w:t>”) of common stock, par value $0.0001 per share (“</w:t>
      </w:r>
      <w:r>
        <w:rPr>
          <w:rFonts w:ascii="Times New Roman" w:cs="Times New Roman" w:eastAsia="Times New Roman" w:hAnsi="Times New Roman"/>
          <w:sz w:val="12"/>
          <w:szCs w:val="12"/>
          <w:u w:val="single" w:color="auto"/>
          <w:color w:val="auto"/>
        </w:rPr>
        <w:t>Common Stock</w:t>
      </w:r>
      <w:r>
        <w:rPr>
          <w:rFonts w:ascii="Times New Roman" w:cs="Times New Roman" w:eastAsia="Times New Roman" w:hAnsi="Times New Roman"/>
          <w:sz w:val="12"/>
          <w:szCs w:val="12"/>
          <w:color w:val="auto"/>
        </w:rPr>
        <w:t>”). The purchase price of one share of Common Stock under this Warrant shall be equal to the Exercise Price, as defined in Section 2(b).</w:t>
      </w:r>
    </w:p>
    <w:p>
      <w:pPr>
        <w:spacing w:after="0" w:line="125"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u w:val="single" w:color="auto"/>
          <w:color w:val="auto"/>
        </w:rPr>
        <w:t>Section 1. Definitions</w:t>
      </w:r>
      <w:r>
        <w:rPr>
          <w:rFonts w:ascii="Times New Roman" w:cs="Times New Roman" w:eastAsia="Times New Roman" w:hAnsi="Times New Roman"/>
          <w:sz w:val="12"/>
          <w:szCs w:val="12"/>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2"/>
          <w:szCs w:val="12"/>
          <w:u w:val="single" w:color="auto"/>
          <w:color w:val="auto"/>
        </w:rPr>
        <w:t>Purchase Agreement</w:t>
      </w:r>
      <w:r>
        <w:rPr>
          <w:rFonts w:ascii="Times New Roman" w:cs="Times New Roman" w:eastAsia="Times New Roman" w:hAnsi="Times New Roman"/>
          <w:sz w:val="12"/>
          <w:szCs w:val="12"/>
          <w:color w:val="auto"/>
        </w:rPr>
        <w:t>”), dated January 7, 2026, among the Company and the purchasers signatory thereto (the “Purchasers”).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Section 2. Exercise</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right="40" w:firstLine="208"/>
        <w:spacing w:after="0" w:line="253" w:lineRule="auto"/>
        <w:tabs>
          <w:tab w:leader="none" w:pos="339"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Exercise of Warrant</w:t>
      </w:r>
      <w:r>
        <w:rPr>
          <w:rFonts w:ascii="Times New Roman" w:cs="Times New Roman" w:eastAsia="Times New Roman" w:hAnsi="Times New Roman"/>
          <w:sz w:val="12"/>
          <w:szCs w:val="12"/>
          <w:color w:val="auto"/>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and delivered in accordance with the notice requirements set forth in Section 5(h) (the “</w:t>
      </w:r>
      <w:r>
        <w:rPr>
          <w:rFonts w:ascii="Times New Roman" w:cs="Times New Roman" w:eastAsia="Times New Roman" w:hAnsi="Times New Roman"/>
          <w:sz w:val="12"/>
          <w:szCs w:val="12"/>
          <w:u w:val="single" w:color="auto"/>
          <w:color w:val="auto"/>
        </w:rPr>
        <w:t>Notice of</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Exercise</w:t>
      </w:r>
      <w:r>
        <w:rPr>
          <w:rFonts w:ascii="Times New Roman" w:cs="Times New Roman" w:eastAsia="Times New Roman" w:hAnsi="Times New Roman"/>
          <w:sz w:val="12"/>
          <w:szCs w:val="12"/>
          <w:color w:val="auto"/>
        </w:rPr>
        <w:t xml:space="preserve">”). Within the earlier of (i) one (1) Trading Day and (ii) the number of Trading Days comprising the Standard Settlement Period (as defined in Section 2(d)(i) herein) following the date of exercise as aforesaid, the Holder shall deliver the aggregate Exercise Price (as defined below) for the Warrant Shares specified in the applicable Notice of Exercise by wire transfer or cashier’s check drawn on a United States bank unless the cashless exercise procedure specified in Section 2(c) below is applicable and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 w:cs="Times New Roman" w:eastAsia="Times New Roman" w:hAnsi="Times New Roman"/>
          <w:sz w:val="12"/>
          <w:szCs w:val="12"/>
          <w:b w:val="1"/>
          <w:bCs w:val="1"/>
          <w:color w:val="auto"/>
        </w:rPr>
        <w:t>The Holder and any assignee, by acceptance of this Warrant, acknowledge and agree that, by reason of the provisions of this paragraph, following the purchase of a portion of the Warrant Shares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hereunder, the number of Warrant Shares available for purchase hereunder at any given time may be less than the amount stated on the face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283210</wp:posOffset>
            </wp:positionV>
            <wp:extent cx="717804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81" w:right="299" w:bottom="1440" w:gutter="0" w:footer="0" w:header="0"/>
          <w:type w:val="continuous"/>
        </w:sectPr>
      </w:pPr>
    </w:p>
    <w:bookmarkStart w:id="6" w:name="page7"/>
    <w:bookmarkEnd w:id="6"/>
    <w:p>
      <w:pPr>
        <w:ind w:left="8" w:right="100" w:firstLine="208"/>
        <w:spacing w:after="0" w:line="260" w:lineRule="auto"/>
        <w:tabs>
          <w:tab w:leader="none" w:pos="354" w:val="left"/>
        </w:tabs>
        <w:numPr>
          <w:ilvl w:val="1"/>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Exercise Price</w:t>
      </w:r>
      <w:r>
        <w:rPr>
          <w:rFonts w:ascii="Times New Roman" w:cs="Times New Roman" w:eastAsia="Times New Roman" w:hAnsi="Times New Roman"/>
          <w:sz w:val="12"/>
          <w:szCs w:val="12"/>
          <w:color w:val="auto"/>
        </w:rPr>
        <w:t>. The aggregate exercise price of this Warrant, except for a nominal exercise price of $0.0001 per Warrant Share, was pre-funded to the Company on or prior to the Initial Exercise Date and, consequently, no additional consideration (other than the nominal exercise price of $0.0001 per Warrant Share) shall be required to be paid by the Holder to any Person to effect any exercise of this Warrant. The Holder shall not be entitled to the return or refund of all, or any portion, of such pre-paid aggregate exercise price under any circumstance or for any reason whatsoever, including in the event this Warrant shall not have been exercised prior to the Termination Date. The remaining unpaid exercise price per share of Common Stock under this Warrant shall be $0.0001, subject to adjustment hereunder (the “</w:t>
      </w:r>
      <w:r>
        <w:rPr>
          <w:rFonts w:ascii="Times New Roman" w:cs="Times New Roman" w:eastAsia="Times New Roman" w:hAnsi="Times New Roman"/>
          <w:sz w:val="12"/>
          <w:szCs w:val="12"/>
          <w:u w:val="single" w:color="auto"/>
          <w:color w:val="auto"/>
        </w:rPr>
        <w:t>Exercise Price</w:t>
      </w:r>
      <w:r>
        <w:rPr>
          <w:rFonts w:ascii="Times New Roman" w:cs="Times New Roman" w:eastAsia="Times New Roman" w:hAnsi="Times New Roman"/>
          <w:sz w:val="12"/>
          <w:szCs w:val="12"/>
          <w:color w:val="auto"/>
        </w:rPr>
        <w:t>”).</w:t>
      </w:r>
    </w:p>
    <w:p>
      <w:pPr>
        <w:spacing w:after="0" w:line="122" w:lineRule="exact"/>
        <w:rPr>
          <w:rFonts w:ascii="Times New Roman" w:cs="Times New Roman" w:eastAsia="Times New Roman" w:hAnsi="Times New Roman"/>
          <w:sz w:val="12"/>
          <w:szCs w:val="12"/>
          <w:color w:val="auto"/>
        </w:rPr>
      </w:pPr>
    </w:p>
    <w:p>
      <w:pPr>
        <w:ind w:left="8" w:right="420" w:firstLine="208"/>
        <w:spacing w:after="0" w:line="279" w:lineRule="auto"/>
        <w:tabs>
          <w:tab w:leader="none" w:pos="347" w:val="left"/>
        </w:tabs>
        <w:numPr>
          <w:ilvl w:val="1"/>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Cashless Exercise</w:t>
      </w:r>
      <w:r>
        <w:rPr>
          <w:rFonts w:ascii="Times New Roman" w:cs="Times New Roman" w:eastAsia="Times New Roman" w:hAnsi="Times New Roman"/>
          <w:sz w:val="12"/>
          <w:szCs w:val="12"/>
          <w:color w:val="auto"/>
        </w:rPr>
        <w:t>. This Warrant may also be exercised, in whole or in part, at such time by means of a “cashless exercise” in which the Holder shall be entitled to receive a number of Warrant Shares equal to the quotient obtained by dividing [(A-B) (X)] by (A), where:</w:t>
      </w:r>
    </w:p>
    <w:p>
      <w:pPr>
        <w:spacing w:after="0" w:line="111" w:lineRule="exact"/>
        <w:rPr>
          <w:rFonts w:ascii="Times New Roman" w:cs="Times New Roman" w:eastAsia="Times New Roman" w:hAnsi="Times New Roman"/>
          <w:sz w:val="12"/>
          <w:szCs w:val="12"/>
          <w:color w:val="auto"/>
        </w:rPr>
      </w:pPr>
    </w:p>
    <w:p>
      <w:pPr>
        <w:ind w:left="8" w:hanging="8"/>
        <w:spacing w:after="0" w:line="284" w:lineRule="auto"/>
        <w:tabs>
          <w:tab w:leader="none" w:pos="205"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as applicable: (i) the VWAP (as defined below)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(as defined below)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09" w:lineRule="exact"/>
        <w:rPr>
          <w:rFonts w:ascii="Times New Roman" w:cs="Times New Roman" w:eastAsia="Times New Roman" w:hAnsi="Times New Roman"/>
          <w:sz w:val="11"/>
          <w:szCs w:val="11"/>
          <w:color w:val="auto"/>
        </w:rPr>
      </w:pPr>
    </w:p>
    <w:p>
      <w:pPr>
        <w:ind w:left="188" w:hanging="188"/>
        <w:spacing w:after="0"/>
        <w:tabs>
          <w:tab w:leader="none" w:pos="188"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the Exercise Price of this Warrant, as adjusted hereunder; and</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(X) = the number of Warrant Shares that would be issuable upon exercise of this Warrant in accordance with the terms of this Warrant if such exercise were by means of a cash exercise rather than a cashless exercise.</w:t>
      </w:r>
    </w:p>
    <w:p>
      <w:pPr>
        <w:spacing w:after="0" w:line="150" w:lineRule="exact"/>
        <w:rPr>
          <w:sz w:val="20"/>
          <w:szCs w:val="20"/>
          <w:color w:val="auto"/>
        </w:rPr>
      </w:pPr>
    </w:p>
    <w:p>
      <w:pPr>
        <w:ind w:left="8" w:right="120"/>
        <w:spacing w:after="0" w:line="265" w:lineRule="auto"/>
        <w:rPr>
          <w:sz w:val="20"/>
          <w:szCs w:val="20"/>
          <w:color w:val="auto"/>
        </w:rPr>
      </w:pPr>
      <w:r>
        <w:rPr>
          <w:rFonts w:ascii="Times New Roman" w:cs="Times New Roman" w:eastAsia="Times New Roman" w:hAnsi="Times New Roman"/>
          <w:sz w:val="12"/>
          <w:szCs w:val="12"/>
          <w:color w:val="auto"/>
        </w:rPr>
        <w:t>If Warrant Shares are issued in such a cashless exercise, the parties acknowledge and agree that in accordance with Section 3(a)(9) of the Securities Act, the Warrant Shares shall take on the characteristics of the Warrants being exercised, and for purposes of Rule 144 under the Securities Act, the holding period of the Warrant Shares being issued may be tacked on to the holding period of this Warrant. The Company agrees not to take any position contrary to this Section 2(c), except to the extent required by applicable law, rule or regulation.</w:t>
      </w:r>
    </w:p>
    <w:p>
      <w:pPr>
        <w:spacing w:after="0" w:line="119" w:lineRule="exact"/>
        <w:rPr>
          <w:sz w:val="20"/>
          <w:szCs w:val="20"/>
          <w:color w:val="auto"/>
        </w:rPr>
      </w:pPr>
    </w:p>
    <w:p>
      <w:pPr>
        <w:ind w:left="8" w:right="120"/>
        <w:spacing w:after="0" w:line="25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Bid Price</w:t>
      </w:r>
      <w:r>
        <w:rPr>
          <w:rFonts w:ascii="Times New Roman" w:cs="Times New Roman" w:eastAsia="Times New Roman" w:hAnsi="Times New Roman"/>
          <w:sz w:val="12"/>
          <w:szCs w:val="12"/>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in good faith by the Board of Directors of the Company.</w:t>
      </w:r>
    </w:p>
    <w:p>
      <w:pPr>
        <w:spacing w:after="0" w:line="125" w:lineRule="exact"/>
        <w:rPr>
          <w:sz w:val="20"/>
          <w:szCs w:val="20"/>
          <w:color w:val="auto"/>
        </w:rPr>
      </w:pPr>
    </w:p>
    <w:p>
      <w:pPr>
        <w:ind w:left="8"/>
        <w:spacing w:after="0" w:line="25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VWAP</w:t>
      </w:r>
      <w:r>
        <w:rPr>
          <w:rFonts w:ascii="Times New Roman" w:cs="Times New Roman" w:eastAsia="Times New Roman" w:hAnsi="Times New Roman"/>
          <w:sz w:val="12"/>
          <w:szCs w:val="12"/>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the Board of Directors of the Company and reasonably agreed to by the Purchasers of a majority in interest of the Warrants then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280670</wp:posOffset>
            </wp:positionV>
            <wp:extent cx="717804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8"/>
          </w:cols>
          <w:pgMar w:left="292" w:top="651" w:right="319" w:bottom="1440" w:gutter="0" w:footer="0" w:header="0"/>
        </w:sectPr>
      </w:pPr>
    </w:p>
    <w:bookmarkStart w:id="7" w:name="page8"/>
    <w:bookmarkEnd w:id="7"/>
    <w:p>
      <w:pPr>
        <w:ind w:left="348" w:hanging="132"/>
        <w:spacing w:after="0"/>
        <w:tabs>
          <w:tab w:leader="none" w:pos="34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Mechanics of Exercise</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8" w:right="60" w:firstLine="432"/>
        <w:spacing w:after="0" w:line="275" w:lineRule="auto"/>
        <w:rPr>
          <w:sz w:val="20"/>
          <w:szCs w:val="20"/>
          <w:color w:val="auto"/>
        </w:rPr>
      </w:pPr>
      <w:r>
        <w:rPr>
          <w:rFonts w:ascii="Times New Roman" w:cs="Times New Roman" w:eastAsia="Times New Roman" w:hAnsi="Times New Roman"/>
          <w:sz w:val="11"/>
          <w:szCs w:val="11"/>
          <w:color w:val="auto"/>
        </w:rPr>
        <w:t>i.           </w:t>
      </w:r>
      <w:r>
        <w:rPr>
          <w:rFonts w:ascii="Times New Roman" w:cs="Times New Roman" w:eastAsia="Times New Roman" w:hAnsi="Times New Roman"/>
          <w:sz w:val="11"/>
          <w:szCs w:val="11"/>
          <w:u w:val="single" w:color="auto"/>
          <w:color w:val="auto"/>
        </w:rPr>
        <w:t>  Delivery of Warrant Shares Upon Exercise</w:t>
      </w:r>
      <w:r>
        <w:rPr>
          <w:rFonts w:ascii="Times New Roman" w:cs="Times New Roman" w:eastAsia="Times New Roman" w:hAnsi="Times New Roman"/>
          <w:sz w:val="11"/>
          <w:szCs w:val="11"/>
          <w:color w:val="auto"/>
        </w:rPr>
        <w:t>. Provided the Company has received the aggregate Exercise Price from the Holder (other than in the case of a cashless exercise),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1"/>
          <w:szCs w:val="11"/>
          <w:u w:val="single" w:color="auto"/>
          <w:color w:val="auto"/>
        </w:rPr>
        <w:t>DWAC</w:t>
      </w:r>
      <w:r>
        <w:rPr>
          <w:rFonts w:ascii="Times New Roman" w:cs="Times New Roman" w:eastAsia="Times New Roman" w:hAnsi="Times New Roman"/>
          <w:sz w:val="11"/>
          <w:szCs w:val="11"/>
          <w:color w:val="auto"/>
        </w:rPr>
        <w:t>”) if the Company’s transfer agent is then a participant in such system and either (A) there is an effective registration statement covering the resale of the Warrant Shares by the Holder or (B) in the case of a cashless exercise of the Warrant, the Warrant Shares are eligible for resale by the Holder without volume or manner-of-sale limitations pursuant to Rule 144, and in each case, at the request of the Holder, in electronic book entry form to the account of the Holder or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not later than the number of Trading Days comprising the Standard Settlement Period after the delivery to the Company of the Notice of Exercise (such date, the “</w:t>
      </w:r>
      <w:r>
        <w:rPr>
          <w:rFonts w:ascii="Times New Roman" w:cs="Times New Roman" w:eastAsia="Times New Roman" w:hAnsi="Times New Roman"/>
          <w:sz w:val="11"/>
          <w:szCs w:val="11"/>
          <w:u w:val="single" w:color="auto"/>
          <w:color w:val="auto"/>
        </w:rPr>
        <w:t>Warrant Share Delivery Date</w:t>
      </w:r>
      <w:r>
        <w:rPr>
          <w:rFonts w:ascii="Times New Roman" w:cs="Times New Roman" w:eastAsia="Times New Roman" w:hAnsi="Times New Roman"/>
          <w:sz w:val="11"/>
          <w:szCs w:val="11"/>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w:t>
      </w:r>
    </w:p>
    <w:p>
      <w:pPr>
        <w:spacing w:after="0" w:line="3" w:lineRule="exact"/>
        <w:rPr>
          <w:sz w:val="20"/>
          <w:szCs w:val="20"/>
          <w:color w:val="auto"/>
        </w:rPr>
      </w:pPr>
    </w:p>
    <w:p>
      <w:pPr>
        <w:jc w:val="both"/>
        <w:ind w:left="8" w:right="40" w:hanging="8"/>
        <w:spacing w:after="0" w:line="255" w:lineRule="auto"/>
        <w:tabs>
          <w:tab w:leader="none" w:pos="176"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Trading Day and (ii) the number of Trading Days comprising the Standard Settlement Period following delivery to the Company of the Notice of Exercise. The Company agrees to maintain a transfer agent that is a participant in the FAST program so long as this Warrant remains outstanding and exercisable. As used herein, “Standard Settlement Period” means the standard settlement period, expressed in a number of Trading Days, on the Principal Trading Market with respect to the Common Stock as in effect on the date of delivery of the Notice of Exercise.</w:t>
      </w:r>
    </w:p>
    <w:p>
      <w:pPr>
        <w:spacing w:after="0" w:line="125" w:lineRule="exact"/>
        <w:rPr>
          <w:sz w:val="20"/>
          <w:szCs w:val="20"/>
          <w:color w:val="auto"/>
        </w:rPr>
      </w:pPr>
    </w:p>
    <w:p>
      <w:pPr>
        <w:ind w:left="8" w:right="60" w:firstLine="432"/>
        <w:spacing w:after="0" w:line="279" w:lineRule="auto"/>
        <w:rPr>
          <w:sz w:val="20"/>
          <w:szCs w:val="20"/>
          <w:color w:val="auto"/>
        </w:rPr>
      </w:pPr>
      <w:r>
        <w:rPr>
          <w:rFonts w:ascii="Times New Roman" w:cs="Times New Roman" w:eastAsia="Times New Roman" w:hAnsi="Times New Roman"/>
          <w:sz w:val="12"/>
          <w:szCs w:val="12"/>
          <w:color w:val="auto"/>
        </w:rPr>
        <w:t>ii.          </w:t>
      </w:r>
      <w:r>
        <w:rPr>
          <w:rFonts w:ascii="Times New Roman" w:cs="Times New Roman" w:eastAsia="Times New Roman" w:hAnsi="Times New Roman"/>
          <w:sz w:val="12"/>
          <w:szCs w:val="12"/>
          <w:u w:val="single" w:color="auto"/>
          <w:color w:val="auto"/>
        </w:rPr>
        <w:t>  Delivery of New Warrants Upon Exercise</w:t>
      </w:r>
      <w:r>
        <w:rPr>
          <w:rFonts w:ascii="Times New Roman" w:cs="Times New Roman" w:eastAsia="Times New Roman" w:hAnsi="Times New Roman"/>
          <w:sz w:val="12"/>
          <w:szCs w:val="12"/>
          <w:color w:val="auto"/>
        </w:rPr>
        <w:t>. If this Warrant shall have been exercised in part, the Company shall, at the request of a Holder and upon surrender of this Warrant,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11" w:lineRule="exact"/>
        <w:rPr>
          <w:sz w:val="20"/>
          <w:szCs w:val="20"/>
          <w:color w:val="auto"/>
        </w:rPr>
      </w:pPr>
    </w:p>
    <w:p>
      <w:pPr>
        <w:ind w:left="8" w:firstLine="432"/>
        <w:spacing w:after="0" w:line="253" w:lineRule="auto"/>
        <w:rPr>
          <w:sz w:val="20"/>
          <w:szCs w:val="20"/>
          <w:color w:val="auto"/>
        </w:rPr>
      </w:pPr>
      <w:r>
        <w:rPr>
          <w:rFonts w:ascii="Times New Roman" w:cs="Times New Roman" w:eastAsia="Times New Roman" w:hAnsi="Times New Roman"/>
          <w:sz w:val="12"/>
          <w:szCs w:val="12"/>
          <w:color w:val="auto"/>
        </w:rPr>
        <w:t>iii.         </w:t>
      </w:r>
      <w:r>
        <w:rPr>
          <w:rFonts w:ascii="Times New Roman" w:cs="Times New Roman" w:eastAsia="Times New Roman" w:hAnsi="Times New Roman"/>
          <w:sz w:val="12"/>
          <w:szCs w:val="12"/>
          <w:u w:val="single" w:color="auto"/>
          <w:color w:val="auto"/>
        </w:rPr>
        <w:t>  Compensation for Buy-In on Failure to Timely Deliver Warrant Shares Upon Exercise</w:t>
      </w:r>
      <w:r>
        <w:rPr>
          <w:rFonts w:ascii="Times New Roman" w:cs="Times New Roman" w:eastAsia="Times New Roman" w:hAnsi="Times New Roman"/>
          <w:sz w:val="12"/>
          <w:szCs w:val="12"/>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(other than a failure solely caused by incorrect or incomplete information provided by the Holder to the Company),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2"/>
          <w:szCs w:val="12"/>
          <w:u w:val="single" w:color="auto"/>
          <w:color w:val="auto"/>
        </w:rPr>
        <w:t>Buy-In</w:t>
      </w:r>
      <w:r>
        <w:rPr>
          <w:rFonts w:ascii="Times New Roman" w:cs="Times New Roman" w:eastAsia="Times New Roman" w:hAnsi="Times New Roman"/>
          <w:sz w:val="12"/>
          <w:szCs w:val="12"/>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within two (2) Trading Days after the occurrence of a Buy-In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281305</wp:posOffset>
            </wp:positionV>
            <wp:extent cx="717804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8"/>
          </w:cols>
          <w:pgMar w:left="292" w:top="651" w:right="319" w:bottom="1440" w:gutter="0" w:footer="0" w:header="0"/>
        </w:sectPr>
      </w:pPr>
    </w:p>
    <w:bookmarkStart w:id="8" w:name="page9"/>
    <w:bookmarkEnd w:id="8"/>
    <w:p>
      <w:pPr>
        <w:ind w:right="160" w:firstLine="432"/>
        <w:spacing w:after="0" w:line="327" w:lineRule="auto"/>
        <w:rPr>
          <w:sz w:val="20"/>
          <w:szCs w:val="20"/>
          <w:color w:val="auto"/>
        </w:rPr>
      </w:pPr>
      <w:r>
        <w:rPr>
          <w:rFonts w:ascii="Times New Roman" w:cs="Times New Roman" w:eastAsia="Times New Roman" w:hAnsi="Times New Roman"/>
          <w:sz w:val="11"/>
          <w:szCs w:val="11"/>
          <w:color w:val="auto"/>
        </w:rPr>
        <w:t>iv.         </w:t>
      </w:r>
      <w:r>
        <w:rPr>
          <w:rFonts w:ascii="Times New Roman" w:cs="Times New Roman" w:eastAsia="Times New Roman" w:hAnsi="Times New Roman"/>
          <w:sz w:val="11"/>
          <w:szCs w:val="11"/>
          <w:u w:val="single" w:color="auto"/>
          <w:color w:val="auto"/>
        </w:rPr>
        <w:t>  No Fractional Shares or Scrip</w:t>
      </w:r>
      <w:r>
        <w:rPr>
          <w:rFonts w:ascii="Times New Roman" w:cs="Times New Roman" w:eastAsia="Times New Roman" w:hAnsi="Times New Roman"/>
          <w:sz w:val="11"/>
          <w:szCs w:val="11"/>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87" w:lineRule="exact"/>
        <w:rPr>
          <w:sz w:val="20"/>
          <w:szCs w:val="20"/>
          <w:color w:val="auto"/>
        </w:rPr>
      </w:pPr>
    </w:p>
    <w:p>
      <w:pPr>
        <w:ind w:firstLine="432"/>
        <w:spacing w:after="0" w:line="257" w:lineRule="auto"/>
        <w:rPr>
          <w:sz w:val="20"/>
          <w:szCs w:val="20"/>
          <w:color w:val="auto"/>
        </w:rPr>
      </w:pPr>
      <w:r>
        <w:rPr>
          <w:rFonts w:ascii="Times New Roman" w:cs="Times New Roman" w:eastAsia="Times New Roman" w:hAnsi="Times New Roman"/>
          <w:sz w:val="12"/>
          <w:szCs w:val="12"/>
          <w:color w:val="auto"/>
        </w:rPr>
        <w:t>v.          </w:t>
      </w:r>
      <w:r>
        <w:rPr>
          <w:rFonts w:ascii="Times New Roman" w:cs="Times New Roman" w:eastAsia="Times New Roman" w:hAnsi="Times New Roman"/>
          <w:sz w:val="12"/>
          <w:szCs w:val="12"/>
          <w:u w:val="single" w:color="auto"/>
          <w:color w:val="auto"/>
        </w:rPr>
        <w:t>  Charges, Taxes and Expenses</w:t>
      </w:r>
      <w:r>
        <w:rPr>
          <w:rFonts w:ascii="Times New Roman" w:cs="Times New Roman" w:eastAsia="Times New Roman" w:hAnsi="Times New Roman"/>
          <w:sz w:val="12"/>
          <w:szCs w:val="12"/>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to the extent applicable, pay all Transfer Agent fees required for processing of any Notice of Exercise and all fees to the Depository Trust Company (or another established clearing corporation performing similar functions) required for electronic delivery of the Warrant Shares.</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vii.        </w:t>
      </w:r>
      <w:r>
        <w:rPr>
          <w:rFonts w:ascii="Times New Roman" w:cs="Times New Roman" w:eastAsia="Times New Roman" w:hAnsi="Times New Roman"/>
          <w:sz w:val="12"/>
          <w:szCs w:val="12"/>
          <w:u w:val="single" w:color="auto"/>
          <w:color w:val="auto"/>
        </w:rPr>
        <w:t>  Closing of Books</w:t>
      </w:r>
      <w:r>
        <w:rPr>
          <w:rFonts w:ascii="Times New Roman" w:cs="Times New Roman" w:eastAsia="Times New Roman" w:hAnsi="Times New Roman"/>
          <w:sz w:val="12"/>
          <w:szCs w:val="12"/>
          <w:color w:val="auto"/>
        </w:rPr>
        <w:t>. The Company will not close its stockholder books or records in any manner which prevents the timely exercise of this Warrant, pursuant to the terms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7804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0"/>
          </w:cols>
          <w:pgMar w:left="300" w:top="651" w:right="339" w:bottom="1440" w:gutter="0" w:footer="0" w:header="0"/>
        </w:sectPr>
      </w:pPr>
    </w:p>
    <w:bookmarkStart w:id="9" w:name="page10"/>
    <w:bookmarkEnd w:id="9"/>
    <w:p>
      <w:pPr>
        <w:ind w:left="-208" w:firstLine="208"/>
        <w:spacing w:after="0" w:line="251" w:lineRule="auto"/>
        <w:tabs>
          <w:tab w:leader="none" w:pos="131"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Holder’s Exercise Limitations</w:t>
      </w:r>
      <w:r>
        <w:rPr>
          <w:rFonts w:ascii="Times New Roman" w:cs="Times New Roman" w:eastAsia="Times New Roman" w:hAnsi="Times New Roman"/>
          <w:sz w:val="12"/>
          <w:szCs w:val="12"/>
          <w:color w:val="auto"/>
        </w:rPr>
        <w:t>. The Company shall not effect any exercise of this Warrant, and a Holder shall not have the right to exercise any portion of this Warrant, pursuant to Section 2 or otherwise, and any such exercise shall be null and void ab initio and treated as if the exercise had not been made, to the extent that after giving effect to such issuance after exercise as set forth on the applicable Notice of Exercise, the Holder (together with (i) the Holder’s Affiliates, (ii) any investment vehicle, including, any funds, feeder funds or managed accounts, currently, or from time to time after the date hereof, directly or indirectly managed or advised by the Holder’s investment manager or any of its Affiliates or principals, (iii) any other Persons acting or who could be deemed to be acting as a group together with the Holder or any Attribution Party, and (iv) any other Persons whose beneficial ownership of the Common Stock would or could be aggregated with the Holder’s and/or any other Attribution Parties for purposes of Section 13(d) or Section 16 of the Securities Exchange Act of 1934, as amended (the “</w:t>
      </w:r>
      <w:r>
        <w:rPr>
          <w:rFonts w:ascii="Times New Roman" w:cs="Times New Roman" w:eastAsia="Times New Roman" w:hAnsi="Times New Roman"/>
          <w:sz w:val="12"/>
          <w:szCs w:val="12"/>
          <w:u w:val="single" w:color="auto"/>
          <w:color w:val="auto"/>
        </w:rPr>
        <w:t>Exchange Act</w:t>
      </w:r>
      <w:r>
        <w:rPr>
          <w:rFonts w:ascii="Times New Roman" w:cs="Times New Roman" w:eastAsia="Times New Roman" w:hAnsi="Times New Roman"/>
          <w:sz w:val="12"/>
          <w:szCs w:val="12"/>
          <w:color w:val="auto"/>
        </w:rPr>
        <w:t>”) (such Persons set forth in clause (i) through (ivi) above, “</w:t>
      </w:r>
      <w:r>
        <w:rPr>
          <w:rFonts w:ascii="Times New Roman" w:cs="Times New Roman" w:eastAsia="Times New Roman" w:hAnsi="Times New Roman"/>
          <w:sz w:val="12"/>
          <w:szCs w:val="12"/>
          <w:u w:val="single" w:color="auto"/>
          <w:color w:val="auto"/>
        </w:rPr>
        <w:t>Attribution Parties</w:t>
      </w:r>
      <w:r>
        <w:rPr>
          <w:rFonts w:ascii="Times New Roman" w:cs="Times New Roman" w:eastAsia="Times New Roman" w:hAnsi="Times New Roman"/>
          <w:sz w:val="12"/>
          <w:szCs w:val="12"/>
          <w:color w:val="auto"/>
        </w:rPr>
        <w:t>”)), would beneficially own in excess of the Beneficial Ownership Limitation (as defined below). For purposes of the foregoing sentence, the number of shares of Common Stock beneficially owned by the Holder and its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Attribution Parties.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or forms required to be filed in accordance therewith. To the extent that the limitation contained in this Section 2(e) applies, the determination of whether this Warrant is exercisable (in relation to other securities owned by the Holder together with any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SEC, as the case may be, (B) a more recent public announcement by the Company or (C) a more recent written notice from the Company or the Transfer Agent to the Holder setting forth the number of shares of Common Stock outstanding (such issued and outstanding shares, the “</w:t>
      </w:r>
      <w:r>
        <w:rPr>
          <w:rFonts w:ascii="Times New Roman" w:cs="Times New Roman" w:eastAsia="Times New Roman" w:hAnsi="Times New Roman"/>
          <w:sz w:val="12"/>
          <w:szCs w:val="12"/>
          <w:u w:val="single" w:color="auto"/>
          <w:color w:val="auto"/>
        </w:rPr>
        <w:t>Reported Outstanding Share Number</w:t>
      </w:r>
      <w:r>
        <w:rPr>
          <w:rFonts w:ascii="Times New Roman" w:cs="Times New Roman" w:eastAsia="Times New Roman" w:hAnsi="Times New Roman"/>
          <w:sz w:val="12"/>
          <w:szCs w:val="12"/>
          <w:color w:val="auto"/>
        </w:rPr>
        <w:t>”). Upon the written or oral request of a Holder, the Company shall within one (1) Trading Day confirm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Attribution Parties since the date as of which such number of outstanding shares of Common Stock was reported.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together with the Attribution Parties’, beneficial ownership, as determined pursuant to this Section 2(e), to exceed the Beneficial Ownership Limitation, the Holder must notify the Company of a reduced number of Warrant Shares to be purchased pursuant to such Exercise Notice (the number of shares by which such purchase is reduced, the “</w:t>
      </w:r>
      <w:r>
        <w:rPr>
          <w:rFonts w:ascii="Times New Roman" w:cs="Times New Roman" w:eastAsia="Times New Roman" w:hAnsi="Times New Roman"/>
          <w:sz w:val="12"/>
          <w:szCs w:val="12"/>
          <w:u w:val="single" w:color="auto"/>
          <w:color w:val="auto"/>
        </w:rPr>
        <w:t>Reduction Shares</w:t>
      </w:r>
      <w:r>
        <w:rPr>
          <w:rFonts w:ascii="Times New Roman" w:cs="Times New Roman" w:eastAsia="Times New Roman" w:hAnsi="Times New Roman"/>
          <w:sz w:val="12"/>
          <w:szCs w:val="12"/>
          <w:color w:val="auto"/>
        </w:rPr>
        <w:t>”) and (ii) as soon as reasonably practicable, the Company shall return to the Holder any exercise price paid by the Holder for the Reduction Shares. In the event that the issuance of Common Stock to the Holder upon exercise of this Warrant results in the Holder, together with the Attribution Parties, being deemed to beneficially own, in the aggregate, more than the Maximum Percentage of the number of outstanding shares of Common Stock (as determined under Section 13(d) of the Exchange Act), the number of shares so issued by which the Holder’s, together with the Attribution Parties’, aggregate beneficial ownership exceeds the Beneficial Ownership Limitation (the “Excess Shares”) shall be deemed null and void and shall be cancelled ab initio, and the Holder and/or the Attribution Parties shall not have the power to vote or to transfer the Excess Shares. As soon as reasonably practicable after the issuance of the Excess Shares has been deemed null and void, the Company shall return to the Holder the exercise price paid by the Holder for the Excess Shares. The “</w:t>
      </w:r>
      <w:r>
        <w:rPr>
          <w:rFonts w:ascii="Times New Roman" w:cs="Times New Roman" w:eastAsia="Times New Roman" w:hAnsi="Times New Roman"/>
          <w:sz w:val="12"/>
          <w:szCs w:val="12"/>
          <w:u w:val="single" w:color="auto"/>
          <w:color w:val="auto"/>
        </w:rPr>
        <w:t>Beneficial Ownership Limitation</w:t>
      </w:r>
      <w:r>
        <w:rPr>
          <w:rFonts w:ascii="Times New Roman" w:cs="Times New Roman" w:eastAsia="Times New Roman" w:hAnsi="Times New Roman"/>
          <w:sz w:val="12"/>
          <w:szCs w:val="12"/>
          <w:color w:val="auto"/>
        </w:rPr>
        <w:t>” shall be [4.99%][9.99]%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revised Beneficial Ownership Limitation in no event exceeds 19.99% of the number of shares of the Common Stock outstanding immediately after giving effect to the issuance of shares of Common Stock upon exercise of this Warrant held by the Holder and the provisions of this Section 2(e) shall continue to apply. Any increase or decrease in the Beneficial Ownership Limitation will not be effective until the 61st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285750</wp:posOffset>
            </wp:positionV>
            <wp:extent cx="717804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092"/>
          </w:cols>
          <w:pgMar w:left="508" w:top="651" w:right="299" w:bottom="1440" w:gutter="0" w:footer="0" w:header="0"/>
        </w:sectPr>
      </w:pPr>
    </w:p>
    <w:bookmarkStart w:id="10" w:name="page11"/>
    <w:bookmarkEnd w:id="10"/>
    <w:p>
      <w:pPr>
        <w:spacing w:after="0" w:line="254" w:lineRule="auto"/>
        <w:rPr>
          <w:sz w:val="20"/>
          <w:szCs w:val="20"/>
          <w:color w:val="auto"/>
        </w:rPr>
      </w:pPr>
      <w:r>
        <w:rPr>
          <w:rFonts w:ascii="Times New Roman" w:cs="Times New Roman" w:eastAsia="Times New Roman" w:hAnsi="Times New Roman"/>
          <w:sz w:val="12"/>
          <w:szCs w:val="12"/>
          <w:color w:val="auto"/>
        </w:rPr>
        <w:t>Notwithstanding anything to the contrary contained herein, the Company shall not effect any exercise of this Warrant, and the Holder shall not be entitled to exercise this Warrant for a number of Warrant Shares in excess of that number of Warrant Shares which, upon giving effect to such exercise, would cause (i) the aggregate number of shares of Common Stock beneficially owned by the Holder and its Attribution Parties to exceed 19.99% of the total number of issued and outstanding shares of Common Stock of the Company following such exercise, or (ii) the combined voting power of the securities of the Company beneficially owned by the Holder and its Attribution Parties to exceed 19.99% of the combined voting power of all of the securities of the Company then outstanding following such exercise. For purposes of this Section 2(e), the aggregate number of shares of Common Stock or voting securities beneficially owned by the Holder and its Attribution Parties shall include the shares of Common Stock issuable upon the exercise of this Warrant with respect to which such determination is being made, but shall exclude the number of shares of Common Stock which would be issuable upon (x) exercise of the remaining unexercised and non-cancelled portion of this Warrant by the Holder and (y) exercise or conversion of the unexercised, non-converted or non-cancelled portion of any other securities of the Company that do not have voting power (including without limitation any securities of the Company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 is subject to a limitation on conversion or exercise analogous to the limitation contained herein and is beneficially owned by the Holder or any of its Attribution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281305</wp:posOffset>
            </wp:positionV>
            <wp:extent cx="717804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0"/>
          </w:cols>
          <w:pgMar w:left="300" w:top="65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2"/>
          <w:szCs w:val="12"/>
          <w:u w:val="single" w:color="auto"/>
          <w:color w:val="auto"/>
        </w:rPr>
        <w:t>Section 3. Certain Adjustments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firstLine="208"/>
        <w:spacing w:after="0" w:line="255" w:lineRule="auto"/>
        <w:tabs>
          <w:tab w:leader="none" w:pos="339"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Stock Dividends and Splits</w:t>
      </w:r>
      <w:r>
        <w:rPr>
          <w:rFonts w:ascii="Times New Roman" w:cs="Times New Roman" w:eastAsia="Times New Roman" w:hAnsi="Times New Roman"/>
          <w:sz w:val="12"/>
          <w:szCs w:val="12"/>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of Common Stock,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25" w:lineRule="exact"/>
        <w:rPr>
          <w:rFonts w:ascii="Times New Roman" w:cs="Times New Roman" w:eastAsia="Times New Roman" w:hAnsi="Times New Roman"/>
          <w:sz w:val="12"/>
          <w:szCs w:val="12"/>
          <w:color w:val="auto"/>
        </w:rPr>
      </w:pPr>
    </w:p>
    <w:p>
      <w:pPr>
        <w:ind w:right="60" w:firstLine="208"/>
        <w:spacing w:after="0" w:line="254" w:lineRule="auto"/>
        <w:tabs>
          <w:tab w:leader="none" w:pos="346"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Pro Rata Distributions</w:t>
      </w:r>
      <w:r>
        <w:rPr>
          <w:rFonts w:ascii="Times New Roman" w:cs="Times New Roman" w:eastAsia="Times New Roman" w:hAnsi="Times New Roman"/>
          <w:sz w:val="12"/>
          <w:szCs w:val="12"/>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2"/>
          <w:szCs w:val="12"/>
          <w:u w:val="single" w:color="auto"/>
          <w:color w:val="auto"/>
        </w:rPr>
        <w:t>Distribution</w:t>
      </w:r>
      <w:r>
        <w:rPr>
          <w:rFonts w:ascii="Times New Roman" w:cs="Times New Roman" w:eastAsia="Times New Roman" w:hAnsi="Times New Roman"/>
          <w:sz w:val="12"/>
          <w:szCs w:val="12"/>
          <w:color w:val="auto"/>
        </w:rPr>
        <w:t xml:space="preserve">”),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to the extent that the Holder’s right to participate in any such Distribution would result in the Holder and the other Attribution Parties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and the other Attribution Parties exceeding the Beneficial Ownership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282575</wp:posOffset>
            </wp:positionV>
            <wp:extent cx="717804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1" w:right="319" w:bottom="1440" w:gutter="0" w:footer="0" w:header="0"/>
        </w:sectPr>
      </w:pPr>
    </w:p>
    <w:bookmarkStart w:id="12" w:name="page13"/>
    <w:bookmarkEnd w:id="12"/>
    <w:p>
      <w:pPr>
        <w:ind w:firstLine="208"/>
        <w:spacing w:after="0" w:line="251" w:lineRule="auto"/>
        <w:tabs>
          <w:tab w:leader="none" w:pos="339"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Fundamental Transaction</w:t>
      </w:r>
      <w:r>
        <w:rPr>
          <w:rFonts w:ascii="Times New Roman" w:cs="Times New Roman" w:eastAsia="Times New Roman" w:hAnsi="Times New Roman"/>
          <w:sz w:val="12"/>
          <w:szCs w:val="12"/>
          <w:color w:val="auto"/>
        </w:rPr>
        <w:t>. If, at any time while this Warrant is outstanding, (i) the Company, directly or indirectly, in one or more related transactions effects any merger or consolidation of the Company with or into another Person, (ii) the Company,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more than 50%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and in connection with such transaction the Common Stock is converted into or exchanged for other securities, cash or property (each a “</w:t>
      </w:r>
      <w:r>
        <w:rPr>
          <w:rFonts w:ascii="Times New Roman" w:cs="Times New Roman" w:eastAsia="Times New Roman" w:hAnsi="Times New Roman"/>
          <w:sz w:val="12"/>
          <w:szCs w:val="12"/>
          <w:u w:val="single" w:color="auto"/>
          <w:color w:val="auto"/>
        </w:rPr>
        <w:t>Fundamental Transaction</w:t>
      </w:r>
      <w:r>
        <w:rPr>
          <w:rFonts w:ascii="Times New Roman" w:cs="Times New Roman" w:eastAsia="Times New Roman" w:hAnsi="Times New Roman"/>
          <w:sz w:val="12"/>
          <w:szCs w:val="12"/>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securities, cash and other property of the successor or acquiring corporation (or ultimate parent thereof) or of the Company, if it is the surviving corporation, as applicable, (the “</w:t>
      </w:r>
      <w:r>
        <w:rPr>
          <w:rFonts w:ascii="Times New Roman" w:cs="Times New Roman" w:eastAsia="Times New Roman" w:hAnsi="Times New Roman"/>
          <w:sz w:val="12"/>
          <w:szCs w:val="12"/>
          <w:u w:val="single" w:color="auto"/>
          <w:color w:val="auto"/>
        </w:rPr>
        <w:t>Alternate Consideration</w:t>
      </w:r>
      <w:r>
        <w:rPr>
          <w:rFonts w:ascii="Times New Roman" w:cs="Times New Roman" w:eastAsia="Times New Roman" w:hAnsi="Times New Roman"/>
          <w:sz w:val="12"/>
          <w:szCs w:val="12"/>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 w:cs="Times New Roman" w:eastAsia="Times New Roman" w:hAnsi="Times New Roman"/>
          <w:sz w:val="12"/>
          <w:szCs w:val="12"/>
          <w:u w:val="single" w:color="auto"/>
          <w:color w:val="auto"/>
        </w:rPr>
        <w:t>Successor Entity</w:t>
      </w:r>
      <w:r>
        <w:rPr>
          <w:rFonts w:ascii="Times New Roman" w:cs="Times New Roman" w:eastAsia="Times New Roman" w:hAnsi="Times New Roman"/>
          <w:sz w:val="12"/>
          <w:szCs w:val="12"/>
          <w:color w:val="auto"/>
        </w:rPr>
        <w:t>”) to assume in writing all of the obligations of the Company under this Warrant prior to such Fundamental Transaction in accordance with the provisions of this Section 3(d) and shall, at the option of the Holder, deliver to the Holder in exchange for this Warrant a security of the Successor Entity evidenced by a written instrument substantially similar in form and substance to this Warrant which is exercisable for the Alternate Consideration, and with an exercise price which applies the exercise price hereunder to such Alternate Consideration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w:t>
      </w:r>
    </w:p>
    <w:p>
      <w:pPr>
        <w:spacing w:after="0" w:line="136" w:lineRule="exact"/>
        <w:rPr>
          <w:rFonts w:ascii="Times New Roman" w:cs="Times New Roman" w:eastAsia="Times New Roman" w:hAnsi="Times New Roman"/>
          <w:sz w:val="12"/>
          <w:szCs w:val="12"/>
          <w:color w:val="auto"/>
        </w:rPr>
      </w:pPr>
    </w:p>
    <w:p>
      <w:pPr>
        <w:ind w:right="280" w:firstLine="208"/>
        <w:spacing w:after="0" w:line="279" w:lineRule="auto"/>
        <w:tabs>
          <w:tab w:leader="none" w:pos="346"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Calculations</w:t>
      </w:r>
      <w:r>
        <w:rPr>
          <w:rFonts w:ascii="Times New Roman" w:cs="Times New Roman" w:eastAsia="Times New Roman" w:hAnsi="Times New Roman"/>
          <w:sz w:val="12"/>
          <w:szCs w:val="12"/>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11" w:lineRule="exact"/>
        <w:rPr>
          <w:rFonts w:ascii="Times New Roman" w:cs="Times New Roman" w:eastAsia="Times New Roman" w:hAnsi="Times New Roman"/>
          <w:sz w:val="12"/>
          <w:szCs w:val="12"/>
          <w:color w:val="auto"/>
        </w:rPr>
      </w:pPr>
    </w:p>
    <w:p>
      <w:pPr>
        <w:ind w:left="340" w:hanging="132"/>
        <w:spacing w:after="0"/>
        <w:tabs>
          <w:tab w:leader="none" w:pos="34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Notice to Holder</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right="60" w:firstLine="432"/>
        <w:spacing w:after="0" w:line="279" w:lineRule="auto"/>
        <w:rPr>
          <w:sz w:val="20"/>
          <w:szCs w:val="20"/>
          <w:color w:val="auto"/>
        </w:rPr>
      </w:pPr>
      <w:r>
        <w:rPr>
          <w:rFonts w:ascii="Times New Roman" w:cs="Times New Roman" w:eastAsia="Times New Roman" w:hAnsi="Times New Roman"/>
          <w:sz w:val="12"/>
          <w:szCs w:val="12"/>
          <w:color w:val="auto"/>
        </w:rPr>
        <w:t>i.          </w:t>
      </w:r>
      <w:r>
        <w:rPr>
          <w:rFonts w:ascii="Times New Roman" w:cs="Times New Roman" w:eastAsia="Times New Roman" w:hAnsi="Times New Roman"/>
          <w:sz w:val="12"/>
          <w:szCs w:val="12"/>
          <w:u w:val="single" w:color="auto"/>
          <w:color w:val="auto"/>
        </w:rPr>
        <w:t>  Adjustment to Exercise Price</w:t>
      </w:r>
      <w:r>
        <w:rPr>
          <w:rFonts w:ascii="Times New Roman" w:cs="Times New Roman" w:eastAsia="Times New Roman" w:hAnsi="Times New Roman"/>
          <w:sz w:val="12"/>
          <w:szCs w:val="12"/>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271780</wp:posOffset>
            </wp:positionV>
            <wp:extent cx="717804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0"/>
          </w:cols>
          <w:pgMar w:left="300" w:top="651" w:right="339" w:bottom="1440" w:gutter="0" w:footer="0" w:header="0"/>
        </w:sectPr>
      </w:pPr>
    </w:p>
    <w:bookmarkStart w:id="13" w:name="page14"/>
    <w:bookmarkEnd w:id="13"/>
    <w:p>
      <w:pPr>
        <w:ind w:right="20" w:firstLine="432"/>
        <w:spacing w:after="0" w:line="253" w:lineRule="auto"/>
        <w:rPr>
          <w:sz w:val="20"/>
          <w:szCs w:val="20"/>
          <w:color w:val="auto"/>
        </w:rPr>
      </w:pPr>
      <w:r>
        <w:rPr>
          <w:rFonts w:ascii="Times New Roman" w:cs="Times New Roman" w:eastAsia="Times New Roman" w:hAnsi="Times New Roman"/>
          <w:sz w:val="12"/>
          <w:szCs w:val="12"/>
          <w:color w:val="auto"/>
        </w:rPr>
        <w:t>ii.          </w:t>
      </w:r>
      <w:r>
        <w:rPr>
          <w:rFonts w:ascii="Times New Roman" w:cs="Times New Roman" w:eastAsia="Times New Roman" w:hAnsi="Times New Roman"/>
          <w:sz w:val="12"/>
          <w:szCs w:val="12"/>
          <w:u w:val="single" w:color="auto"/>
          <w:color w:val="auto"/>
        </w:rPr>
        <w:t>  Notice to Allow Exercise by Holder</w:t>
      </w:r>
      <w:r>
        <w:rPr>
          <w:rFonts w:ascii="Times New Roman" w:cs="Times New Roman" w:eastAsia="Times New Roman" w:hAnsi="Times New Roman"/>
          <w:sz w:val="12"/>
          <w:szCs w:val="12"/>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(and all of its subsidiaries, taken as a whole)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(as defined below),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SEC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u w:val="single" w:color="auto"/>
          <w:color w:val="auto"/>
        </w:rPr>
        <w:t>Section 4. Transfer of Warrant</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right="20" w:firstLine="208"/>
        <w:spacing w:after="0" w:line="255" w:lineRule="auto"/>
        <w:tabs>
          <w:tab w:leader="none" w:pos="339"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Transferability</w:t>
      </w:r>
      <w:r>
        <w:rPr>
          <w:rFonts w:ascii="Times New Roman" w:cs="Times New Roman" w:eastAsia="Times New Roman" w:hAnsi="Times New Roman"/>
          <w:sz w:val="12"/>
          <w:szCs w:val="12"/>
          <w:color w:val="auto"/>
        </w:rPr>
        <w:t>. Subject to compliance with any applicable securities laws and the conditions set forth in Section 4(d) hereof,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25" w:lineRule="exact"/>
        <w:rPr>
          <w:rFonts w:ascii="Times New Roman" w:cs="Times New Roman" w:eastAsia="Times New Roman" w:hAnsi="Times New Roman"/>
          <w:sz w:val="12"/>
          <w:szCs w:val="12"/>
          <w:color w:val="auto"/>
        </w:rPr>
      </w:pPr>
    </w:p>
    <w:p>
      <w:pPr>
        <w:ind w:right="40" w:firstLine="208"/>
        <w:spacing w:after="0" w:line="260" w:lineRule="auto"/>
        <w:tabs>
          <w:tab w:leader="none" w:pos="346"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New Warrants</w:t>
      </w:r>
      <w:r>
        <w:rPr>
          <w:rFonts w:ascii="Times New Roman" w:cs="Times New Roman" w:eastAsia="Times New Roman" w:hAnsi="Times New Roman"/>
          <w:sz w:val="12"/>
          <w:szCs w:val="12"/>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spacing w:after="0" w:line="122" w:lineRule="exact"/>
        <w:rPr>
          <w:rFonts w:ascii="Times New Roman" w:cs="Times New Roman" w:eastAsia="Times New Roman" w:hAnsi="Times New Roman"/>
          <w:sz w:val="12"/>
          <w:szCs w:val="12"/>
          <w:color w:val="auto"/>
        </w:rPr>
      </w:pPr>
    </w:p>
    <w:p>
      <w:pPr>
        <w:ind w:firstLine="208"/>
        <w:spacing w:after="0" w:line="279" w:lineRule="auto"/>
        <w:tabs>
          <w:tab w:leader="none" w:pos="339"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Warrant Register</w:t>
      </w:r>
      <w:r>
        <w:rPr>
          <w:rFonts w:ascii="Times New Roman" w:cs="Times New Roman" w:eastAsia="Times New Roman" w:hAnsi="Times New Roman"/>
          <w:sz w:val="12"/>
          <w:szCs w:val="12"/>
          <w:color w:val="auto"/>
        </w:rPr>
        <w:t>. The Company shall register this Warrant, upon records to be maintained by the Company for that purpose (the “</w:t>
      </w:r>
      <w:r>
        <w:rPr>
          <w:rFonts w:ascii="Times New Roman" w:cs="Times New Roman" w:eastAsia="Times New Roman" w:hAnsi="Times New Roman"/>
          <w:sz w:val="12"/>
          <w:szCs w:val="12"/>
          <w:u w:val="single" w:color="auto"/>
          <w:color w:val="auto"/>
        </w:rPr>
        <w:t>Warrant Register</w:t>
      </w:r>
      <w:r>
        <w:rPr>
          <w:rFonts w:ascii="Times New Roman" w:cs="Times New Roman" w:eastAsia="Times New Roman" w:hAnsi="Times New Roman"/>
          <w:sz w:val="12"/>
          <w:szCs w:val="12"/>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11" w:lineRule="exact"/>
        <w:rPr>
          <w:rFonts w:ascii="Times New Roman" w:cs="Times New Roman" w:eastAsia="Times New Roman" w:hAnsi="Times New Roman"/>
          <w:sz w:val="12"/>
          <w:szCs w:val="12"/>
          <w:color w:val="auto"/>
        </w:rPr>
      </w:pPr>
    </w:p>
    <w:p>
      <w:pPr>
        <w:jc w:val="both"/>
        <w:ind w:right="20" w:firstLine="208"/>
        <w:spacing w:after="0" w:line="265" w:lineRule="auto"/>
        <w:tabs>
          <w:tab w:leader="none" w:pos="346"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Transfer Restrictions</w:t>
      </w:r>
      <w:r>
        <w:rPr>
          <w:rFonts w:ascii="Times New Roman" w:cs="Times New Roman" w:eastAsia="Times New Roman" w:hAnsi="Times New Roman"/>
          <w:sz w:val="12"/>
          <w:szCs w:val="12"/>
          <w:color w:val="auto"/>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9.1 of the Purchase Agreement.</w:t>
      </w:r>
    </w:p>
    <w:p>
      <w:pPr>
        <w:spacing w:after="0" w:line="118" w:lineRule="exact"/>
        <w:rPr>
          <w:rFonts w:ascii="Times New Roman" w:cs="Times New Roman" w:eastAsia="Times New Roman" w:hAnsi="Times New Roman"/>
          <w:sz w:val="12"/>
          <w:szCs w:val="12"/>
          <w:color w:val="auto"/>
        </w:rPr>
      </w:pPr>
    </w:p>
    <w:p>
      <w:pPr>
        <w:ind w:right="20" w:firstLine="208"/>
        <w:spacing w:after="0" w:line="265" w:lineRule="auto"/>
        <w:tabs>
          <w:tab w:leader="none" w:pos="339"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Representation by the Holder</w:t>
      </w:r>
      <w:r>
        <w:rPr>
          <w:rFonts w:ascii="Times New Roman" w:cs="Times New Roman" w:eastAsia="Times New Roman" w:hAnsi="Times New Roman"/>
          <w:sz w:val="12"/>
          <w:szCs w:val="12"/>
          <w:color w:val="auto"/>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17804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4" w:name="page15"/>
    <w:bookmarkEnd w:id="14"/>
    <w:p>
      <w:pPr>
        <w:ind w:left="8"/>
        <w:spacing w:after="0"/>
        <w:rPr>
          <w:sz w:val="20"/>
          <w:szCs w:val="20"/>
          <w:color w:val="auto"/>
        </w:rPr>
      </w:pPr>
      <w:r>
        <w:rPr>
          <w:rFonts w:ascii="Times New Roman" w:cs="Times New Roman" w:eastAsia="Times New Roman" w:hAnsi="Times New Roman"/>
          <w:sz w:val="12"/>
          <w:szCs w:val="12"/>
          <w:u w:val="single" w:color="auto"/>
          <w:color w:val="auto"/>
        </w:rPr>
        <w:t>Section 5. Miscellaneous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8" w:right="80" w:firstLine="208"/>
        <w:spacing w:after="0" w:line="259" w:lineRule="auto"/>
        <w:tabs>
          <w:tab w:leader="none" w:pos="347" w:val="left"/>
        </w:tabs>
        <w:numPr>
          <w:ilvl w:val="1"/>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Rights as Stockholder Until Exercise; No Settlement in Cash</w:t>
      </w:r>
      <w:r>
        <w:rPr>
          <w:rFonts w:ascii="Times New Roman" w:cs="Times New Roman" w:eastAsia="Times New Roman" w:hAnsi="Times New Roman"/>
          <w:sz w:val="12"/>
          <w:szCs w:val="12"/>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w:t>
      </w:r>
    </w:p>
    <w:p>
      <w:pPr>
        <w:spacing w:after="0" w:line="1"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herein, in no event shall the Company be required to net cash settle an exercise of this Warrant.</w:t>
      </w:r>
    </w:p>
    <w:p>
      <w:pPr>
        <w:spacing w:after="0" w:line="139" w:lineRule="exact"/>
        <w:rPr>
          <w:rFonts w:ascii="Times New Roman" w:cs="Times New Roman" w:eastAsia="Times New Roman" w:hAnsi="Times New Roman"/>
          <w:sz w:val="12"/>
          <w:szCs w:val="12"/>
          <w:color w:val="auto"/>
        </w:rPr>
      </w:pPr>
    </w:p>
    <w:p>
      <w:pPr>
        <w:ind w:left="8" w:right="200" w:firstLine="208"/>
        <w:spacing w:after="0" w:line="300" w:lineRule="auto"/>
        <w:tabs>
          <w:tab w:leader="none" w:pos="354" w:val="left"/>
        </w:tabs>
        <w:numPr>
          <w:ilvl w:val="1"/>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u w:val="single" w:color="auto"/>
          <w:color w:val="auto"/>
        </w:rPr>
        <w:t>Loss, Theft, Destruction or Mutilation of Warrant</w:t>
      </w:r>
      <w:r>
        <w:rPr>
          <w:rFonts w:ascii="Times New Roman" w:cs="Times New Roman" w:eastAsia="Times New Roman" w:hAnsi="Times New Roman"/>
          <w:sz w:val="11"/>
          <w:szCs w:val="11"/>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01" w:lineRule="exact"/>
        <w:rPr>
          <w:rFonts w:ascii="Times New Roman" w:cs="Times New Roman" w:eastAsia="Times New Roman" w:hAnsi="Times New Roman"/>
          <w:sz w:val="11"/>
          <w:szCs w:val="11"/>
          <w:color w:val="auto"/>
        </w:rPr>
      </w:pPr>
    </w:p>
    <w:p>
      <w:pPr>
        <w:ind w:left="8" w:right="120" w:firstLine="208"/>
        <w:spacing w:after="0" w:line="279" w:lineRule="auto"/>
        <w:tabs>
          <w:tab w:leader="none" w:pos="347" w:val="left"/>
        </w:tabs>
        <w:numPr>
          <w:ilvl w:val="1"/>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Saturdays, Sundays, Holidays, etc</w:t>
      </w:r>
      <w:r>
        <w:rPr>
          <w:rFonts w:ascii="Times New Roman" w:cs="Times New Roman" w:eastAsia="Times New Roman" w:hAnsi="Times New Roman"/>
          <w:sz w:val="12"/>
          <w:szCs w:val="12"/>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111" w:lineRule="exact"/>
        <w:rPr>
          <w:rFonts w:ascii="Times New Roman" w:cs="Times New Roman" w:eastAsia="Times New Roman" w:hAnsi="Times New Roman"/>
          <w:sz w:val="12"/>
          <w:szCs w:val="12"/>
          <w:color w:val="auto"/>
        </w:rPr>
      </w:pPr>
    </w:p>
    <w:p>
      <w:pPr>
        <w:ind w:left="348" w:hanging="132"/>
        <w:spacing w:after="0"/>
        <w:tabs>
          <w:tab w:leader="none" w:pos="348" w:val="left"/>
        </w:tabs>
        <w:numPr>
          <w:ilvl w:val="1"/>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Authorized Shares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8" w:firstLine="216"/>
        <w:spacing w:after="0" w:line="255" w:lineRule="auto"/>
        <w:rPr>
          <w:sz w:val="20"/>
          <w:szCs w:val="20"/>
          <w:color w:val="auto"/>
        </w:rPr>
      </w:pPr>
      <w:r>
        <w:rPr>
          <w:rFonts w:ascii="Times New Roman" w:cs="Times New Roman" w:eastAsia="Times New Roman" w:hAnsi="Times New Roman"/>
          <w:sz w:val="12"/>
          <w:szCs w:val="12"/>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(without regard to any limitations or restrictions on exercise of this Warrant, including without limitation, the Beneficial Ownership Limitation).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26" w:lineRule="exact"/>
        <w:rPr>
          <w:sz w:val="20"/>
          <w:szCs w:val="20"/>
          <w:color w:val="auto"/>
        </w:rPr>
      </w:pPr>
    </w:p>
    <w:p>
      <w:pPr>
        <w:ind w:left="8" w:right="40" w:firstLine="216"/>
        <w:spacing w:after="0" w:line="257" w:lineRule="auto"/>
        <w:rPr>
          <w:sz w:val="20"/>
          <w:szCs w:val="20"/>
          <w:color w:val="auto"/>
        </w:rPr>
      </w:pPr>
      <w:r>
        <w:rPr>
          <w:rFonts w:ascii="Times New Roman" w:cs="Times New Roman" w:eastAsia="Times New Roman" w:hAnsi="Times New Roman"/>
          <w:sz w:val="12"/>
          <w:szCs w:val="12"/>
          <w:color w:val="auto"/>
        </w:rPr>
        <w:t>Except and to the extent as waived or consented to by the Holder, the Company shall not by any action, including, without limitation, amending its certificate of incorporation or through any reorganization, recapitalization, transfer of assets, consolidation, domestication, merger, continuance, waiver, statutory conversion,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and (ii) take all such action as may be necessary or appropriate in order that the Company may validly and legally issue fully paid and nonassessable Warrant Shares upon the exercise of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280670</wp:posOffset>
            </wp:positionV>
            <wp:extent cx="717804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5" w:name="page16"/>
    <w:bookmarkEnd w:id="15"/>
    <w:p>
      <w:pPr>
        <w:ind w:left="8" w:right="20" w:firstLine="208"/>
        <w:spacing w:after="0" w:line="254" w:lineRule="auto"/>
        <w:tabs>
          <w:tab w:leader="none" w:pos="347" w:val="left"/>
        </w:tabs>
        <w:numPr>
          <w:ilvl w:val="1"/>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Governing Law</w:t>
      </w:r>
      <w:r>
        <w:rPr>
          <w:rFonts w:ascii="Times New Roman" w:cs="Times New Roman" w:eastAsia="Times New Roman" w:hAnsi="Times New Roman"/>
          <w:sz w:val="12"/>
          <w:szCs w:val="12"/>
          <w:color w:val="auto"/>
        </w:rPr>
        <w:t>. All questions concerning the construction, validity, enforcement and interpretation of this Warrant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Warrant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spacing w:after="0" w:line="125" w:lineRule="exact"/>
        <w:rPr>
          <w:rFonts w:ascii="Times New Roman" w:cs="Times New Roman" w:eastAsia="Times New Roman" w:hAnsi="Times New Roman"/>
          <w:sz w:val="12"/>
          <w:szCs w:val="12"/>
          <w:color w:val="auto"/>
        </w:rPr>
      </w:pPr>
    </w:p>
    <w:p>
      <w:pPr>
        <w:ind w:left="8" w:right="160" w:firstLine="208"/>
        <w:spacing w:after="0" w:line="279" w:lineRule="auto"/>
        <w:tabs>
          <w:tab w:leader="none" w:pos="334" w:val="left"/>
        </w:tabs>
        <w:numPr>
          <w:ilvl w:val="1"/>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Restrictions</w:t>
      </w:r>
      <w:r>
        <w:rPr>
          <w:rFonts w:ascii="Times New Roman" w:cs="Times New Roman" w:eastAsia="Times New Roman" w:hAnsi="Times New Roman"/>
          <w:sz w:val="12"/>
          <w:szCs w:val="12"/>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11" w:lineRule="exact"/>
        <w:rPr>
          <w:rFonts w:ascii="Times New Roman" w:cs="Times New Roman" w:eastAsia="Times New Roman" w:hAnsi="Times New Roman"/>
          <w:sz w:val="12"/>
          <w:szCs w:val="12"/>
          <w:color w:val="auto"/>
        </w:rPr>
      </w:pPr>
    </w:p>
    <w:p>
      <w:pPr>
        <w:jc w:val="both"/>
        <w:ind w:left="8" w:right="120" w:firstLine="208"/>
        <w:spacing w:after="0" w:line="260" w:lineRule="auto"/>
        <w:tabs>
          <w:tab w:leader="none" w:pos="354" w:val="left"/>
        </w:tabs>
        <w:numPr>
          <w:ilvl w:val="1"/>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Nonwaiver and Expenses</w:t>
      </w:r>
      <w:r>
        <w:rPr>
          <w:rFonts w:ascii="Times New Roman" w:cs="Times New Roman" w:eastAsia="Times New Roman" w:hAnsi="Times New Roman"/>
          <w:sz w:val="12"/>
          <w:szCs w:val="12"/>
          <w:color w:val="auto"/>
        </w:rPr>
        <w:t>. No course of dealing or any delay or failure to exercise any right hereunder on the part of Holder shall operate as a waiver of such right or otherwise prejudice the Holder’s rights, powers or remedies (notwithstanding the fact that the right to exercise this Warrant terminates on the Termination Date).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22" w:lineRule="exact"/>
        <w:rPr>
          <w:rFonts w:ascii="Times New Roman" w:cs="Times New Roman" w:eastAsia="Times New Roman" w:hAnsi="Times New Roman"/>
          <w:sz w:val="12"/>
          <w:szCs w:val="12"/>
          <w:color w:val="auto"/>
        </w:rPr>
      </w:pPr>
    </w:p>
    <w:p>
      <w:pPr>
        <w:ind w:left="8" w:firstLine="208"/>
        <w:spacing w:after="0" w:line="254" w:lineRule="auto"/>
        <w:tabs>
          <w:tab w:leader="none" w:pos="354" w:val="left"/>
        </w:tabs>
        <w:numPr>
          <w:ilvl w:val="1"/>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Notices</w:t>
      </w:r>
      <w:r>
        <w:rPr>
          <w:rFonts w:ascii="Times New Roman" w:cs="Times New Roman" w:eastAsia="Times New Roman" w:hAnsi="Times New Roman"/>
          <w:sz w:val="12"/>
          <w:szCs w:val="12"/>
          <w:color w:val="auto"/>
        </w:rPr>
        <w:t>.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25 N. 38th Street 11th Floor Philadelphia, PA 19104, Attn: Principal Financial Officer, [***], 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address or address of such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prior to 5:30 p.m. (New York City time) on any date with no mail undeliverable or other rejection notice, (ii) the next Trading Day after the time of transmission, if such notice or communication is delivered via e-mail at the e-mail address set forth in this Section on a day that is not a Trading Day or later than 5:30 p.m. (New York City time) on any Trading Day with no mail undeliverable or other rejection notice, (iii) the second Trading Day following the date of mailing, if sent by U.S. nationally recognized overnight courier service, or (iv) upon actual receipt by the party to whom such notice is required to be given.</w:t>
      </w:r>
    </w:p>
    <w:p>
      <w:pPr>
        <w:spacing w:after="0" w:line="127" w:lineRule="exact"/>
        <w:rPr>
          <w:rFonts w:ascii="Times New Roman" w:cs="Times New Roman" w:eastAsia="Times New Roman" w:hAnsi="Times New Roman"/>
          <w:sz w:val="12"/>
          <w:szCs w:val="12"/>
          <w:color w:val="auto"/>
        </w:rPr>
      </w:pPr>
    </w:p>
    <w:p>
      <w:pPr>
        <w:ind w:left="8" w:right="160" w:firstLine="208"/>
        <w:spacing w:after="0" w:line="279" w:lineRule="auto"/>
        <w:tabs>
          <w:tab w:leader="none" w:pos="327" w:val="left"/>
        </w:tabs>
        <w:numPr>
          <w:ilvl w:val="1"/>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Limitation of Liability</w:t>
      </w:r>
      <w:r>
        <w:rPr>
          <w:rFonts w:ascii="Times New Roman" w:cs="Times New Roman" w:eastAsia="Times New Roman" w:hAnsi="Times New Roman"/>
          <w:sz w:val="12"/>
          <w:szCs w:val="12"/>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11" w:lineRule="exact"/>
        <w:rPr>
          <w:rFonts w:ascii="Times New Roman" w:cs="Times New Roman" w:eastAsia="Times New Roman" w:hAnsi="Times New Roman"/>
          <w:sz w:val="12"/>
          <w:szCs w:val="12"/>
          <w:color w:val="auto"/>
        </w:rPr>
      </w:pPr>
    </w:p>
    <w:p>
      <w:pPr>
        <w:ind w:left="8" w:firstLine="208"/>
        <w:spacing w:after="0" w:line="265" w:lineRule="auto"/>
        <w:tabs>
          <w:tab w:leader="none" w:pos="327" w:val="left"/>
        </w:tabs>
        <w:numPr>
          <w:ilvl w:val="1"/>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Remedies</w:t>
      </w:r>
      <w:r>
        <w:rPr>
          <w:rFonts w:ascii="Times New Roman" w:cs="Times New Roman" w:eastAsia="Times New Roman" w:hAnsi="Times New Roman"/>
          <w:sz w:val="12"/>
          <w:szCs w:val="12"/>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18" w:lineRule="exact"/>
        <w:rPr>
          <w:rFonts w:ascii="Times New Roman" w:cs="Times New Roman" w:eastAsia="Times New Roman" w:hAnsi="Times New Roman"/>
          <w:sz w:val="12"/>
          <w:szCs w:val="12"/>
          <w:color w:val="auto"/>
        </w:rPr>
      </w:pPr>
    </w:p>
    <w:p>
      <w:pPr>
        <w:ind w:left="8" w:right="100" w:hanging="8"/>
        <w:spacing w:after="0" w:line="327" w:lineRule="auto"/>
        <w:tabs>
          <w:tab w:leader="none" w:pos="138" w:val="left"/>
        </w:tabs>
        <w:numPr>
          <w:ilvl w:val="0"/>
          <w:numId w:val="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u w:val="single" w:color="auto"/>
          <w:color w:val="auto"/>
        </w:rPr>
        <w:t>Successors and Assigns</w:t>
      </w:r>
      <w:r>
        <w:rPr>
          <w:rFonts w:ascii="Times New Roman" w:cs="Times New Roman" w:eastAsia="Times New Roman" w:hAnsi="Times New Roman"/>
          <w:sz w:val="11"/>
          <w:szCs w:val="11"/>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256540</wp:posOffset>
            </wp:positionV>
            <wp:extent cx="717804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8"/>
          </w:cols>
          <w:pgMar w:left="292" w:top="651" w:right="339" w:bottom="1440" w:gutter="0" w:footer="0" w:header="0"/>
        </w:sectPr>
      </w:pPr>
    </w:p>
    <w:bookmarkStart w:id="16" w:name="page17"/>
    <w:bookmarkEnd w:id="16"/>
    <w:p>
      <w:pPr>
        <w:ind w:left="120" w:hanging="112"/>
        <w:spacing w:after="0"/>
        <w:tabs>
          <w:tab w:leader="none" w:pos="1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Amendment</w:t>
      </w:r>
      <w:r>
        <w:rPr>
          <w:rFonts w:ascii="Times New Roman" w:cs="Times New Roman" w:eastAsia="Times New Roman" w:hAnsi="Times New Roman"/>
          <w:sz w:val="12"/>
          <w:szCs w:val="12"/>
          <w:color w:val="auto"/>
        </w:rPr>
        <w:t>. This Warrant may be modified or amended or the provisions hereof waived with the written consent of the Company, on the one hand, and the Holder, on the other hand.</w:t>
      </w:r>
    </w:p>
    <w:p>
      <w:pPr>
        <w:spacing w:after="0" w:line="150" w:lineRule="exact"/>
        <w:rPr>
          <w:rFonts w:ascii="Times New Roman" w:cs="Times New Roman" w:eastAsia="Times New Roman" w:hAnsi="Times New Roman"/>
          <w:sz w:val="12"/>
          <w:szCs w:val="12"/>
          <w:color w:val="auto"/>
        </w:rPr>
      </w:pPr>
    </w:p>
    <w:p>
      <w:pPr>
        <w:ind w:left="-200" w:firstLine="208"/>
        <w:spacing w:after="0" w:line="279" w:lineRule="auto"/>
        <w:tabs>
          <w:tab w:leader="none" w:pos="179"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Severability</w:t>
      </w:r>
      <w:r>
        <w:rPr>
          <w:rFonts w:ascii="Times New Roman" w:cs="Times New Roman" w:eastAsia="Times New Roman" w:hAnsi="Times New Roman"/>
          <w:sz w:val="12"/>
          <w:szCs w:val="12"/>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11" w:lineRule="exact"/>
        <w:rPr>
          <w:rFonts w:ascii="Times New Roman" w:cs="Times New Roman" w:eastAsia="Times New Roman" w:hAnsi="Times New Roman"/>
          <w:sz w:val="12"/>
          <w:szCs w:val="12"/>
          <w:color w:val="auto"/>
        </w:rPr>
      </w:pPr>
    </w:p>
    <w:p>
      <w:pPr>
        <w:ind w:left="140" w:hanging="132"/>
        <w:spacing w:after="0"/>
        <w:tabs>
          <w:tab w:leader="none" w:pos="14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Headings</w:t>
      </w:r>
      <w:r>
        <w:rPr>
          <w:rFonts w:ascii="Times New Roman" w:cs="Times New Roman" w:eastAsia="Times New Roman" w:hAnsi="Times New Roman"/>
          <w:sz w:val="12"/>
          <w:szCs w:val="12"/>
          <w:color w:val="auto"/>
        </w:rPr>
        <w:t>. The headings used in this Warrant are for the convenience of reference only and shall not, for any purpose, be deemed a part of this Warrant.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296545</wp:posOffset>
            </wp:positionV>
            <wp:extent cx="717804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500" w:top="651" w:right="519" w:bottom="1440" w:gutter="0" w:footer="0" w:header="0"/>
        </w:sectPr>
      </w:pPr>
    </w:p>
    <w:bookmarkStart w:id="17" w:name="page18"/>
    <w:bookmarkEnd w:id="17"/>
    <w:p>
      <w:pPr>
        <w:ind w:left="200"/>
        <w:spacing w:after="0"/>
        <w:rPr>
          <w:sz w:val="20"/>
          <w:szCs w:val="20"/>
          <w:color w:val="auto"/>
        </w:rPr>
      </w:pPr>
      <w:r>
        <w:rPr>
          <w:rFonts w:ascii="Times New Roman" w:cs="Times New Roman" w:eastAsia="Times New Roman" w:hAnsi="Times New Roman"/>
          <w:sz w:val="12"/>
          <w:szCs w:val="12"/>
          <w:color w:val="auto"/>
        </w:rPr>
        <w:t>IN WITNESS WHEREOF, the Company has caused this Warrant to be executed by its officer thereunto duly authorized as of the date first above indicated.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CENTURY THERAPEUTICS, INC.</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340" w:type="dxa"/>
            <w:vAlign w:val="bottom"/>
          </w:tcPr>
          <w:p>
            <w:pPr>
              <w:spacing w:after="0"/>
              <w:rPr>
                <w:sz w:val="10"/>
                <w:szCs w:val="10"/>
                <w:color w:val="auto"/>
              </w:rPr>
            </w:pPr>
          </w:p>
        </w:tc>
        <w:tc>
          <w:tcPr>
            <w:tcW w:w="44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4860" w:type="dxa"/>
            <w:vAlign w:val="bottom"/>
            <w:tcBorders>
              <w:top w:val="single" w:sz="8" w:color="auto"/>
            </w:tcBorders>
          </w:tcPr>
          <w:p>
            <w:pPr>
              <w:ind w:left="120"/>
              <w:spacing w:after="0" w:line="122" w:lineRule="exact"/>
              <w:rPr>
                <w:sz w:val="20"/>
                <w:szCs w:val="20"/>
                <w:color w:val="auto"/>
              </w:rPr>
            </w:pPr>
            <w:r>
              <w:rPr>
                <w:rFonts w:ascii="Times New Roman" w:cs="Times New Roman" w:eastAsia="Times New Roman" w:hAnsi="Times New Roman"/>
                <w:sz w:val="12"/>
                <w:szCs w:val="12"/>
                <w:color w:val="auto"/>
              </w:rPr>
              <w:t>Brent Pfeiffenberger, Pharm D</w:t>
            </w:r>
          </w:p>
        </w:tc>
        <w:tc>
          <w:tcPr>
            <w:tcW w:w="5660" w:type="dxa"/>
            <w:vAlign w:val="bottom"/>
          </w:tcPr>
          <w:p>
            <w:pPr>
              <w:spacing w:after="0"/>
              <w:rPr>
                <w:sz w:val="10"/>
                <w:szCs w:val="10"/>
                <w:color w:val="auto"/>
              </w:rPr>
            </w:pPr>
          </w:p>
        </w:tc>
      </w:tr>
      <w:tr>
        <w:trPr>
          <w:trHeight w:val="155"/>
        </w:trPr>
        <w:tc>
          <w:tcPr>
            <w:tcW w:w="340" w:type="dxa"/>
            <w:vAlign w:val="bottom"/>
          </w:tcPr>
          <w:p>
            <w:pPr>
              <w:spacing w:after="0"/>
              <w:rPr>
                <w:sz w:val="13"/>
                <w:szCs w:val="13"/>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48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President and Chief Executive Officer</w:t>
            </w:r>
          </w:p>
        </w:tc>
        <w:tc>
          <w:tcPr>
            <w:tcW w:w="5660" w:type="dxa"/>
            <w:vAlign w:val="bottom"/>
          </w:tcPr>
          <w:p>
            <w:pPr>
              <w:spacing w:after="0"/>
              <w:rPr>
                <w:sz w:val="13"/>
                <w:szCs w:val="13"/>
                <w:color w:val="auto"/>
              </w:rPr>
            </w:pPr>
          </w:p>
        </w:tc>
      </w:tr>
      <w:tr>
        <w:trPr>
          <w:trHeight w:val="450"/>
        </w:trPr>
        <w:tc>
          <w:tcPr>
            <w:tcW w:w="3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51" w:right="299" w:bottom="1440" w:gutter="0" w:footer="0" w:header="0"/>
        </w:sectPr>
      </w:pPr>
    </w:p>
    <w:bookmarkStart w:id="18" w:name="page19"/>
    <w:bookmarkEnd w:id="18"/>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NOTICE OF EXERCISE</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xml:space="preserve">TO: </w:t>
      </w:r>
      <w:r>
        <w:rPr>
          <w:rFonts w:ascii="Times New Roman" w:cs="Times New Roman" w:eastAsia="Times New Roman" w:hAnsi="Times New Roman"/>
          <w:sz w:val="12"/>
          <w:szCs w:val="12"/>
          <w:b w:val="1"/>
          <w:bCs w:val="1"/>
          <w:color w:val="auto"/>
        </w:rPr>
        <w:t>CENTURY THERAPEUTICS, INC.</w:t>
      </w:r>
    </w:p>
    <w:p>
      <w:pPr>
        <w:spacing w:after="0" w:line="154" w:lineRule="exact"/>
        <w:rPr>
          <w:sz w:val="20"/>
          <w:szCs w:val="20"/>
          <w:color w:val="auto"/>
        </w:rPr>
      </w:pPr>
    </w:p>
    <w:p>
      <w:pPr>
        <w:ind w:left="8" w:right="80" w:firstLine="640"/>
        <w:spacing w:after="0" w:line="279" w:lineRule="auto"/>
        <w:tabs>
          <w:tab w:leader="none" w:pos="824"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11" w:lineRule="exact"/>
        <w:rPr>
          <w:rFonts w:ascii="Times New Roman" w:cs="Times New Roman" w:eastAsia="Times New Roman" w:hAnsi="Times New Roman"/>
          <w:sz w:val="12"/>
          <w:szCs w:val="12"/>
          <w:color w:val="auto"/>
        </w:rPr>
      </w:pPr>
    </w:p>
    <w:p>
      <w:pPr>
        <w:ind w:left="808" w:hanging="160"/>
        <w:spacing w:after="0"/>
        <w:tabs>
          <w:tab w:leader="none" w:pos="808"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Payment shall take the form of (check applicable box):</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 in lawful money of the United States; or</w:t>
      </w:r>
    </w:p>
    <w:p>
      <w:pPr>
        <w:spacing w:after="0" w:line="150" w:lineRule="exact"/>
        <w:rPr>
          <w:sz w:val="20"/>
          <w:szCs w:val="20"/>
          <w:color w:val="auto"/>
        </w:rPr>
      </w:pPr>
    </w:p>
    <w:p>
      <w:pPr>
        <w:ind w:left="8" w:hanging="8"/>
        <w:spacing w:after="0" w:line="279" w:lineRule="auto"/>
        <w:tabs>
          <w:tab w:leader="none" w:pos="78"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11" w:lineRule="exact"/>
        <w:rPr>
          <w:rFonts w:ascii="Times New Roman" w:cs="Times New Roman" w:eastAsia="Times New Roman" w:hAnsi="Times New Roman"/>
          <w:sz w:val="12"/>
          <w:szCs w:val="12"/>
          <w:color w:val="auto"/>
        </w:rPr>
      </w:pPr>
    </w:p>
    <w:p>
      <w:pPr>
        <w:ind w:left="808" w:hanging="160"/>
        <w:spacing w:after="0"/>
        <w:tabs>
          <w:tab w:leader="none" w:pos="808" w:val="left"/>
        </w:tabs>
        <w:numPr>
          <w:ilvl w:val="1"/>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Please issue said Warrant Shares in the name of the undersigned or in such other name as is specified below:</w:t>
      </w:r>
    </w:p>
    <w:p>
      <w:pPr>
        <w:spacing w:after="0" w:line="200" w:lineRule="exact"/>
        <w:rPr>
          <w:rFonts w:ascii="Times New Roman" w:cs="Times New Roman" w:eastAsia="Times New Roman" w:hAnsi="Times New Roman"/>
          <w:sz w:val="12"/>
          <w:szCs w:val="12"/>
          <w:color w:val="auto"/>
        </w:rPr>
      </w:pPr>
    </w:p>
    <w:p>
      <w:pPr>
        <w:spacing w:after="0" w:line="247" w:lineRule="exact"/>
        <w:rPr>
          <w:rFonts w:ascii="Times New Roman" w:cs="Times New Roman" w:eastAsia="Times New Roman" w:hAnsi="Times New Roman"/>
          <w:sz w:val="12"/>
          <w:szCs w:val="12"/>
          <w:color w:val="auto"/>
        </w:rPr>
      </w:pPr>
    </w:p>
    <w:p>
      <w:pPr>
        <w:ind w:left="8" w:right="80" w:firstLine="640"/>
        <w:spacing w:after="0" w:line="279" w:lineRule="auto"/>
        <w:tabs>
          <w:tab w:leader="none" w:pos="826" w:val="left"/>
        </w:tabs>
        <w:numPr>
          <w:ilvl w:val="1"/>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By its delivery of this Notice of Exercise, the undersigned represents and warrants to the Company that in giving effect to the exercise evidenced hereby the Holder will not beneficially own in excess of the number of shares of Common Stock (as determined in accordance with Section 13(d) of the Securities Exchange Act of 1934, as amended) permitted to be owned under Section 2(e) of the Warrant to which this notice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-293370</wp:posOffset>
            </wp:positionV>
            <wp:extent cx="645795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57950" cy="5715"/>
                    </a:xfrm>
                    <a:prstGeom prst="rect">
                      <a:avLst/>
                    </a:prstGeom>
                    <a:noFill/>
                  </pic:spPr>
                </pic:pic>
              </a:graphicData>
            </a:graphic>
          </wp:anchor>
        </w:drawing>
      </w:r>
    </w:p>
    <w:p>
      <w:pPr>
        <w:spacing w:after="0" w:line="9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Warrant Shares shall be delivered to the following DWAC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387985</wp:posOffset>
            </wp:positionV>
            <wp:extent cx="645795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57950" cy="5715"/>
                    </a:xfrm>
                    <a:prstGeom prst="rect">
                      <a:avLst/>
                    </a:prstGeom>
                    <a:noFill/>
                  </pic:spPr>
                </pic:pic>
              </a:graphicData>
            </a:graphic>
          </wp:anchor>
        </w:drawing>
        <w:drawing>
          <wp:anchor simplePos="0" relativeHeight="251657728" behindDoc="1" locked="0" layoutInCell="0" allowOverlap="1">
            <wp:simplePos x="0" y="0"/>
            <wp:positionH relativeFrom="column">
              <wp:posOffset>720090</wp:posOffset>
            </wp:positionH>
            <wp:positionV relativeFrom="paragraph">
              <wp:posOffset>290830</wp:posOffset>
            </wp:positionV>
            <wp:extent cx="645795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57950" cy="5715"/>
                    </a:xfrm>
                    <a:prstGeom prst="rect">
                      <a:avLst/>
                    </a:prstGeom>
                    <a:noFill/>
                  </pic:spPr>
                </pic:pic>
              </a:graphicData>
            </a:graphic>
          </wp:anchor>
        </w:drawing>
        <w:drawing>
          <wp:anchor simplePos="0" relativeHeight="251657728" behindDoc="1" locked="0" layoutInCell="0" allowOverlap="1">
            <wp:simplePos x="0" y="0"/>
            <wp:positionH relativeFrom="column">
              <wp:posOffset>720090</wp:posOffset>
            </wp:positionH>
            <wp:positionV relativeFrom="paragraph">
              <wp:posOffset>193675</wp:posOffset>
            </wp:positionV>
            <wp:extent cx="645795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5795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[SIGNATURE OF HOLDER]</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Name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10795</wp:posOffset>
            </wp:positionV>
            <wp:extent cx="595503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55030" cy="5715"/>
                    </a:xfrm>
                    <a:prstGeom prst="rect">
                      <a:avLst/>
                    </a:prstGeom>
                    <a:noFill/>
                  </pic:spPr>
                </pic:pic>
              </a:graphicData>
            </a:graphic>
          </wp:anchor>
        </w:drawing>
      </w:r>
    </w:p>
    <w:p>
      <w:pPr>
        <w:spacing w:after="0" w:line="13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Signature of Authorized Signatory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2588895</wp:posOffset>
            </wp:positionH>
            <wp:positionV relativeFrom="paragraph">
              <wp:posOffset>12065</wp:posOffset>
            </wp:positionV>
            <wp:extent cx="4589145"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589145" cy="5715"/>
                    </a:xfrm>
                    <a:prstGeom prst="rect">
                      <a:avLst/>
                    </a:prstGeom>
                    <a:noFill/>
                  </pic:spPr>
                </pic:pic>
              </a:graphicData>
            </a:graphic>
          </wp:anchor>
        </w:drawing>
      </w:r>
    </w:p>
    <w:p>
      <w:pPr>
        <w:spacing w:after="0" w:line="14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1508760</wp:posOffset>
            </wp:positionH>
            <wp:positionV relativeFrom="paragraph">
              <wp:posOffset>10795</wp:posOffset>
            </wp:positionV>
            <wp:extent cx="566928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69280" cy="5715"/>
                    </a:xfrm>
                    <a:prstGeom prst="rect">
                      <a:avLst/>
                    </a:prstGeom>
                    <a:noFill/>
                  </pic:spPr>
                </pic:pic>
              </a:graphicData>
            </a:graphic>
          </wp:anchor>
        </w:drawing>
      </w:r>
    </w:p>
    <w:p>
      <w:pPr>
        <w:spacing w:after="0" w:line="13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1508760</wp:posOffset>
            </wp:positionH>
            <wp:positionV relativeFrom="paragraph">
              <wp:posOffset>10795</wp:posOffset>
            </wp:positionV>
            <wp:extent cx="566928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69280" cy="5715"/>
                    </a:xfrm>
                    <a:prstGeom prst="rect">
                      <a:avLst/>
                    </a:prstGeom>
                    <a:noFill/>
                  </pic:spPr>
                </pic:pic>
              </a:graphicData>
            </a:graphic>
          </wp:anchor>
        </w:drawing>
      </w:r>
    </w:p>
    <w:p>
      <w:pPr>
        <w:spacing w:after="0" w:line="13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10795</wp:posOffset>
            </wp:positionV>
            <wp:extent cx="6817995"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1799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302260</wp:posOffset>
            </wp:positionV>
            <wp:extent cx="717804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8"/>
          </w:cols>
          <w:pgMar w:left="292" w:top="647" w:right="319" w:bottom="1440" w:gutter="0" w:footer="0" w:header="0"/>
        </w:sectPr>
      </w:pPr>
    </w:p>
    <w:bookmarkStart w:id="19" w:name="page20"/>
    <w:bookmarkEnd w:id="19"/>
    <w:p>
      <w:pPr>
        <w:ind w:left="5040"/>
        <w:spacing w:after="0"/>
        <w:rPr>
          <w:sz w:val="20"/>
          <w:szCs w:val="20"/>
          <w:color w:val="auto"/>
        </w:rPr>
      </w:pPr>
      <w:r>
        <w:rPr>
          <w:rFonts w:ascii="Times New Roman" w:cs="Times New Roman" w:eastAsia="Times New Roman" w:hAnsi="Times New Roman"/>
          <w:sz w:val="12"/>
          <w:szCs w:val="12"/>
          <w:b w:val="1"/>
          <w:bCs w:val="1"/>
          <w:color w:val="auto"/>
        </w:rPr>
        <w:t>ASSIGNMENT FORM</w:t>
      </w:r>
    </w:p>
    <w:p>
      <w:pPr>
        <w:spacing w:after="0" w:line="1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(To assign the foregoing Warrant, execute this form and supply required information. Do not use this form to purchase shares.)</w:t>
      </w:r>
    </w:p>
    <w:p>
      <w:pPr>
        <w:spacing w:after="0" w:line="1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FOR VALUE RECEIVED, the foregoing Warrant and all rights evidenced thereby are hereby assigned to</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5166995</wp:posOffset>
            </wp:positionH>
            <wp:positionV relativeFrom="paragraph">
              <wp:posOffset>10795</wp:posOffset>
            </wp:positionV>
            <wp:extent cx="1868805"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68805" cy="5715"/>
                    </a:xfrm>
                    <a:prstGeom prst="rect">
                      <a:avLst/>
                    </a:prstGeom>
                    <a:noFill/>
                  </pic:spPr>
                </pic:pic>
              </a:graphicData>
            </a:graphic>
          </wp:anchor>
        </w:drawing>
      </w:r>
    </w:p>
    <w:p>
      <w:pPr>
        <w:spacing w:after="0" w:line="139" w:lineRule="exact"/>
        <w:rPr>
          <w:sz w:val="20"/>
          <w:szCs w:val="20"/>
          <w:color w:val="auto"/>
        </w:rPr>
      </w:pPr>
    </w:p>
    <w:p>
      <w:pPr>
        <w:jc w:val="right"/>
        <w:ind w:right="1259"/>
        <w:spacing w:after="0"/>
        <w:rPr>
          <w:sz w:val="20"/>
          <w:szCs w:val="20"/>
          <w:color w:val="auto"/>
        </w:rPr>
      </w:pPr>
      <w:r>
        <w:rPr>
          <w:rFonts w:ascii="Times New Roman" w:cs="Times New Roman" w:eastAsia="Times New Roman" w:hAnsi="Times New Roman"/>
          <w:sz w:val="12"/>
          <w:szCs w:val="12"/>
          <w:color w:val="auto"/>
        </w:rPr>
        <w:t>(Please Print)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5166995</wp:posOffset>
            </wp:positionH>
            <wp:positionV relativeFrom="paragraph">
              <wp:posOffset>10795</wp:posOffset>
            </wp:positionV>
            <wp:extent cx="1868805"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68805" cy="5715"/>
                    </a:xfrm>
                    <a:prstGeom prst="rect">
                      <a:avLst/>
                    </a:prstGeom>
                    <a:noFill/>
                  </pic:spPr>
                </pic:pic>
              </a:graphicData>
            </a:graphic>
          </wp:anchor>
        </w:drawing>
      </w:r>
    </w:p>
    <w:p>
      <w:pPr>
        <w:spacing w:after="0" w:line="139" w:lineRule="exact"/>
        <w:rPr>
          <w:sz w:val="20"/>
          <w:szCs w:val="20"/>
          <w:color w:val="auto"/>
        </w:rPr>
      </w:pPr>
    </w:p>
    <w:p>
      <w:pPr>
        <w:jc w:val="right"/>
        <w:ind w:right="1259"/>
        <w:spacing w:after="0"/>
        <w:rPr>
          <w:sz w:val="20"/>
          <w:szCs w:val="20"/>
          <w:color w:val="auto"/>
        </w:rPr>
      </w:pPr>
      <w:r>
        <w:rPr>
          <w:rFonts w:ascii="Times New Roman" w:cs="Times New Roman" w:eastAsia="Times New Roman" w:hAnsi="Times New Roman"/>
          <w:sz w:val="12"/>
          <w:szCs w:val="12"/>
          <w:color w:val="auto"/>
        </w:rPr>
        <w:t>(Please Print)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5166995</wp:posOffset>
            </wp:positionH>
            <wp:positionV relativeFrom="paragraph">
              <wp:posOffset>10795</wp:posOffset>
            </wp:positionV>
            <wp:extent cx="1868805"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68805" cy="5715"/>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5166995</wp:posOffset>
            </wp:positionH>
            <wp:positionV relativeFrom="paragraph">
              <wp:posOffset>10795</wp:posOffset>
            </wp:positionV>
            <wp:extent cx="1868805"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68805" cy="5715"/>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Dated: _______________ __, ______</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Holder’s Signature: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7804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47" w:right="1440" w:bottom="1440" w:gutter="0" w:footer="0" w:header="0"/>
        </w:sectPr>
      </w:pPr>
    </w:p>
    <w:bookmarkStart w:id="20" w:name="page21"/>
    <w:bookmarkEnd w:id="20"/>
    <w:p>
      <w:pPr>
        <w:ind w:left="10628"/>
        <w:spacing w:after="0"/>
        <w:rPr>
          <w:sz w:val="20"/>
          <w:szCs w:val="20"/>
          <w:color w:val="auto"/>
        </w:rPr>
      </w:pPr>
      <w:r>
        <w:rPr>
          <w:rFonts w:ascii="Times New Roman" w:cs="Times New Roman" w:eastAsia="Times New Roman" w:hAnsi="Times New Roman"/>
          <w:sz w:val="14"/>
          <w:szCs w:val="14"/>
          <w:b w:val="1"/>
          <w:bCs w:val="1"/>
          <w:color w:val="auto"/>
        </w:rPr>
        <w:t>Exhibit 4.2</w:t>
      </w:r>
    </w:p>
    <w:p>
      <w:pPr>
        <w:spacing w:after="0" w:line="154" w:lineRule="exact"/>
        <w:rPr>
          <w:sz w:val="20"/>
          <w:szCs w:val="20"/>
          <w:color w:val="auto"/>
        </w:rPr>
      </w:pPr>
    </w:p>
    <w:p>
      <w:pPr>
        <w:ind w:left="8" w:right="20"/>
        <w:spacing w:after="0" w:line="257" w:lineRule="auto"/>
        <w:rPr>
          <w:sz w:val="20"/>
          <w:szCs w:val="20"/>
          <w:color w:val="auto"/>
        </w:rPr>
      </w:pPr>
      <w:r>
        <w:rPr>
          <w:rFonts w:ascii="Times New Roman" w:cs="Times New Roman" w:eastAsia="Times New Roman" w:hAnsi="Times New Roman"/>
          <w:sz w:val="12"/>
          <w:szCs w:val="12"/>
          <w:color w:val="auto"/>
        </w:rPr>
        <w:t>NEITHER THIS SECURITY NOR THE SECURITIES FOR WHICH THIS SECURITY IS EXERCISABLE HAVE BEEN REGISTERED WITH THE SECURITIES AND EXCHANGE COMMISSION (THE “SEC”)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WARRANT TO PURCHASE SHARES OF COMMON STOCK OR PRE-FUNDED WARRANTS</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CENTURY THERAPEUTICS, INC.</w:t>
      </w:r>
    </w:p>
    <w:p>
      <w:pPr>
        <w:sectPr>
          <w:pgSz w:w="11900" w:h="16838" w:orient="portrait"/>
          <w:cols w:equalWidth="0" w:num="1">
            <w:col w:w="11308"/>
          </w:cols>
          <w:pgMar w:left="292" w:top="281" w:right="299" w:bottom="1440" w:gutter="0" w:footer="0" w:header="0"/>
        </w:sectPr>
      </w:pP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Warrant Shares: _______</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Initial Exercise Date: January ___, 2026</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Issue Date: January ___, 2026</w:t>
      </w:r>
    </w:p>
    <w:p>
      <w:pPr>
        <w:spacing w:after="0" w:line="139" w:lineRule="exact"/>
        <w:rPr>
          <w:sz w:val="20"/>
          <w:szCs w:val="20"/>
          <w:color w:val="auto"/>
        </w:rPr>
      </w:pPr>
    </w:p>
    <w:p>
      <w:pPr>
        <w:sectPr>
          <w:pgSz w:w="11900" w:h="16838" w:orient="portrait"/>
          <w:cols w:equalWidth="0" w:num="2">
            <w:col w:w="8648" w:space="720"/>
            <w:col w:w="1940"/>
          </w:cols>
          <w:pgMar w:left="292" w:top="281" w:right="299" w:bottom="1440" w:gutter="0" w:footer="0" w:header="0"/>
          <w:type w:val="continuous"/>
        </w:sectPr>
      </w:pPr>
    </w:p>
    <w:p>
      <w:pPr>
        <w:ind w:left="208"/>
        <w:spacing w:after="0"/>
        <w:rPr>
          <w:sz w:val="20"/>
          <w:szCs w:val="20"/>
          <w:color w:val="auto"/>
        </w:rPr>
      </w:pPr>
      <w:r>
        <w:rPr>
          <w:rFonts w:ascii="Times New Roman" w:cs="Times New Roman" w:eastAsia="Times New Roman" w:hAnsi="Times New Roman"/>
          <w:sz w:val="12"/>
          <w:szCs w:val="12"/>
          <w:color w:val="auto"/>
        </w:rPr>
        <w:t>THIS COMMON STOCK PURCHASE WARRANT (the “</w:t>
      </w:r>
      <w:r>
        <w:rPr>
          <w:rFonts w:ascii="Times New Roman" w:cs="Times New Roman" w:eastAsia="Times New Roman" w:hAnsi="Times New Roman"/>
          <w:sz w:val="12"/>
          <w:szCs w:val="12"/>
          <w:u w:val="single" w:color="auto"/>
          <w:color w:val="auto"/>
        </w:rPr>
        <w:t>Warrant</w:t>
      </w:r>
      <w:r>
        <w:rPr>
          <w:rFonts w:ascii="Times New Roman" w:cs="Times New Roman" w:eastAsia="Times New Roman" w:hAnsi="Times New Roman"/>
          <w:sz w:val="12"/>
          <w:szCs w:val="12"/>
          <w:color w:val="auto"/>
        </w:rPr>
        <w:t>”) certifies that, for value received, _____________ or its assigns (the “</w:t>
      </w:r>
      <w:r>
        <w:rPr>
          <w:rFonts w:ascii="Times New Roman" w:cs="Times New Roman" w:eastAsia="Times New Roman" w:hAnsi="Times New Roman"/>
          <w:sz w:val="12"/>
          <w:szCs w:val="12"/>
          <w:u w:val="single" w:color="auto"/>
          <w:color w:val="auto"/>
        </w:rPr>
        <w:t>Holder</w:t>
      </w:r>
      <w:r>
        <w:rPr>
          <w:rFonts w:ascii="Times New Roman" w:cs="Times New Roman" w:eastAsia="Times New Roman" w:hAnsi="Times New Roman"/>
          <w:sz w:val="12"/>
          <w:szCs w:val="12"/>
          <w:color w:val="auto"/>
        </w:rPr>
        <w:t>”) is entitled, upon the terms and subject to the limitations on exercise and the</w:t>
      </w:r>
    </w:p>
    <w:p>
      <w:pPr>
        <w:spacing w:after="0" w:line="17" w:lineRule="exact"/>
        <w:rPr>
          <w:sz w:val="20"/>
          <w:szCs w:val="20"/>
          <w:color w:val="auto"/>
        </w:rPr>
      </w:pPr>
    </w:p>
    <w:p>
      <w:pPr>
        <w:ind w:left="8" w:right="140"/>
        <w:spacing w:after="0" w:line="273" w:lineRule="auto"/>
        <w:rPr>
          <w:sz w:val="20"/>
          <w:szCs w:val="20"/>
          <w:color w:val="auto"/>
        </w:rPr>
      </w:pPr>
      <w:r>
        <w:rPr>
          <w:rFonts w:ascii="Times New Roman" w:cs="Times New Roman" w:eastAsia="Times New Roman" w:hAnsi="Times New Roman"/>
          <w:sz w:val="11"/>
          <w:szCs w:val="11"/>
          <w:color w:val="auto"/>
        </w:rPr>
        <w:t>conditions hereinafter set forth, at any time on or after the date hereof (the “</w:t>
      </w:r>
      <w:r>
        <w:rPr>
          <w:rFonts w:ascii="Times New Roman" w:cs="Times New Roman" w:eastAsia="Times New Roman" w:hAnsi="Times New Roman"/>
          <w:sz w:val="11"/>
          <w:szCs w:val="11"/>
          <w:u w:val="single" w:color="auto"/>
          <w:color w:val="auto"/>
        </w:rPr>
        <w:t>Initial Exercise Date</w:t>
      </w:r>
      <w:r>
        <w:rPr>
          <w:rFonts w:ascii="Times New Roman" w:cs="Times New Roman" w:eastAsia="Times New Roman" w:hAnsi="Times New Roman"/>
          <w:sz w:val="11"/>
          <w:szCs w:val="11"/>
          <w:color w:val="auto"/>
        </w:rPr>
        <w:t>”) and until the earlier of (a) 30 days after the public announcement of initial Phase 1 clinical data for the Company’s product candidate, CNTY-813, including at least n=1 patient with at least 3 months follow-up and measurement of serum C-Peptide (marker of endogenous insulin production) at 90 days post transplantation of CNTY-813 (the “</w:t>
      </w:r>
      <w:r>
        <w:rPr>
          <w:rFonts w:ascii="Times New Roman" w:cs="Times New Roman" w:eastAsia="Times New Roman" w:hAnsi="Times New Roman"/>
          <w:sz w:val="11"/>
          <w:szCs w:val="11"/>
          <w:u w:val="single" w:color="auto"/>
          <w:color w:val="auto"/>
        </w:rPr>
        <w:t>Clinical Milestone</w:t>
      </w:r>
      <w:r>
        <w:rPr>
          <w:rFonts w:ascii="Times New Roman" w:cs="Times New Roman" w:eastAsia="Times New Roman" w:hAnsi="Times New Roman"/>
          <w:sz w:val="11"/>
          <w:szCs w:val="11"/>
          <w:color w:val="auto"/>
        </w:rPr>
        <w:t>”) and</w:t>
      </w:r>
    </w:p>
    <w:p>
      <w:pPr>
        <w:ind w:left="8" w:right="20" w:hanging="8"/>
        <w:spacing w:after="0" w:line="253" w:lineRule="auto"/>
        <w:tabs>
          <w:tab w:leader="none" w:pos="178"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third anniversary of the Closing (the “</w:t>
      </w:r>
      <w:r>
        <w:rPr>
          <w:rFonts w:ascii="Times New Roman" w:cs="Times New Roman" w:eastAsia="Times New Roman" w:hAnsi="Times New Roman"/>
          <w:sz w:val="12"/>
          <w:szCs w:val="12"/>
          <w:u w:val="single" w:color="auto"/>
          <w:color w:val="auto"/>
        </w:rPr>
        <w:t>Termination Date</w:t>
      </w:r>
      <w:r>
        <w:rPr>
          <w:rFonts w:ascii="Times New Roman" w:cs="Times New Roman" w:eastAsia="Times New Roman" w:hAnsi="Times New Roman"/>
          <w:sz w:val="12"/>
          <w:szCs w:val="12"/>
          <w:color w:val="auto"/>
        </w:rPr>
        <w:t>”) but not thereafter, to subscribe for and purchase from Century Therapeutics, Inc., a Delaware corporation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up to ______ shares (as subject to adjustment hereunder, the “</w:t>
      </w:r>
      <w:r>
        <w:rPr>
          <w:rFonts w:ascii="Times New Roman" w:cs="Times New Roman" w:eastAsia="Times New Roman" w:hAnsi="Times New Roman"/>
          <w:sz w:val="12"/>
          <w:szCs w:val="12"/>
          <w:u w:val="single" w:color="auto"/>
          <w:color w:val="auto"/>
        </w:rPr>
        <w:t>Warrant Shares</w:t>
      </w:r>
      <w:r>
        <w:rPr>
          <w:rFonts w:ascii="Times New Roman" w:cs="Times New Roman" w:eastAsia="Times New Roman" w:hAnsi="Times New Roman"/>
          <w:sz w:val="12"/>
          <w:szCs w:val="12"/>
          <w:color w:val="auto"/>
        </w:rPr>
        <w:t>”) of common stock, par value $0.0001 per share (“</w:t>
      </w:r>
      <w:r>
        <w:rPr>
          <w:rFonts w:ascii="Times New Roman" w:cs="Times New Roman" w:eastAsia="Times New Roman" w:hAnsi="Times New Roman"/>
          <w:sz w:val="12"/>
          <w:szCs w:val="12"/>
          <w:u w:val="single" w:color="auto"/>
          <w:color w:val="auto"/>
        </w:rPr>
        <w:t>Common Stock</w:t>
      </w:r>
      <w:r>
        <w:rPr>
          <w:rFonts w:ascii="Times New Roman" w:cs="Times New Roman" w:eastAsia="Times New Roman" w:hAnsi="Times New Roman"/>
          <w:sz w:val="12"/>
          <w:szCs w:val="12"/>
          <w:color w:val="auto"/>
        </w:rPr>
        <w:t xml:space="preserve">”), or in lieu thereof, pre-funded warrants to purchase same number of Warrant Shares as to which this Warrant is being exercised in the form of a pre-funded warrant attached as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xml:space="preserve"> hereto (a “</w:t>
      </w:r>
      <w:r>
        <w:rPr>
          <w:rFonts w:ascii="Times New Roman" w:cs="Times New Roman" w:eastAsia="Times New Roman" w:hAnsi="Times New Roman"/>
          <w:sz w:val="12"/>
          <w:szCs w:val="12"/>
          <w:u w:val="single" w:color="auto"/>
          <w:color w:val="auto"/>
        </w:rPr>
        <w:t>Pre-Funded Warrant</w:t>
      </w:r>
      <w:r>
        <w:rPr>
          <w:rFonts w:ascii="Times New Roman" w:cs="Times New Roman" w:eastAsia="Times New Roman" w:hAnsi="Times New Roman"/>
          <w:sz w:val="12"/>
          <w:szCs w:val="12"/>
          <w:color w:val="auto"/>
        </w:rPr>
        <w:t>”) (as subject to adjustment hereunder), each with an exercise price of $0.0001 per share of Common Stock (the “</w:t>
      </w:r>
      <w:r>
        <w:rPr>
          <w:rFonts w:ascii="Times New Roman" w:cs="Times New Roman" w:eastAsia="Times New Roman" w:hAnsi="Times New Roman"/>
          <w:sz w:val="12"/>
          <w:szCs w:val="12"/>
          <w:u w:val="single" w:color="auto"/>
          <w:color w:val="auto"/>
        </w:rPr>
        <w:t>Pre-Funded Warrant Exercise Price</w:t>
      </w:r>
      <w:r>
        <w:rPr>
          <w:rFonts w:ascii="Times New Roman" w:cs="Times New Roman" w:eastAsia="Times New Roman" w:hAnsi="Times New Roman"/>
          <w:sz w:val="12"/>
          <w:szCs w:val="12"/>
          <w:color w:val="auto"/>
        </w:rPr>
        <w:t>”). The purchase price of one share of Common Stock under this Warrant shall be the Exercise Price, as defined in Section 2(b). The purchase price of one Pre-Funded Warrant shall be the Exercise Price minus the Pre-Funded Warrant Exercise Price.</w:t>
      </w:r>
    </w:p>
    <w:p>
      <w:pPr>
        <w:spacing w:after="0" w:line="126" w:lineRule="exact"/>
        <w:rPr>
          <w:sz w:val="20"/>
          <w:szCs w:val="20"/>
          <w:color w:val="auto"/>
        </w:rPr>
      </w:pPr>
    </w:p>
    <w:p>
      <w:pPr>
        <w:ind w:left="8" w:right="120"/>
        <w:spacing w:after="0" w:line="279" w:lineRule="auto"/>
        <w:rPr>
          <w:sz w:val="20"/>
          <w:szCs w:val="20"/>
          <w:color w:val="auto"/>
        </w:rPr>
      </w:pPr>
      <w:r>
        <w:rPr>
          <w:rFonts w:ascii="Times New Roman" w:cs="Times New Roman" w:eastAsia="Times New Roman" w:hAnsi="Times New Roman"/>
          <w:sz w:val="12"/>
          <w:szCs w:val="12"/>
          <w:u w:val="single" w:color="auto"/>
          <w:color w:val="auto"/>
        </w:rPr>
        <w:t>Section 1. Definitions</w:t>
      </w:r>
      <w:r>
        <w:rPr>
          <w:rFonts w:ascii="Times New Roman" w:cs="Times New Roman" w:eastAsia="Times New Roman" w:hAnsi="Times New Roman"/>
          <w:sz w:val="12"/>
          <w:szCs w:val="12"/>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2"/>
          <w:szCs w:val="12"/>
          <w:u w:val="single" w:color="auto"/>
          <w:color w:val="auto"/>
        </w:rPr>
        <w:t>Purchase Agreement</w:t>
      </w:r>
      <w:r>
        <w:rPr>
          <w:rFonts w:ascii="Times New Roman" w:cs="Times New Roman" w:eastAsia="Times New Roman" w:hAnsi="Times New Roman"/>
          <w:sz w:val="12"/>
          <w:szCs w:val="12"/>
          <w:color w:val="auto"/>
        </w:rPr>
        <w:t>”), dated January 7, 2026, among the Company and the purchasers signatory thereto (the “Purchasers”).</w:t>
      </w:r>
    </w:p>
    <w:p>
      <w:pPr>
        <w:spacing w:after="0" w:line="1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u w:val="single" w:color="auto"/>
          <w:color w:val="auto"/>
        </w:rPr>
        <w:t>Section 2. Exercise</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8" w:right="20" w:firstLine="208"/>
        <w:spacing w:after="0" w:line="253" w:lineRule="auto"/>
        <w:tabs>
          <w:tab w:leader="none" w:pos="347"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Exercise of Warrant</w:t>
      </w:r>
      <w:r>
        <w:rPr>
          <w:rFonts w:ascii="Times New Roman" w:cs="Times New Roman" w:eastAsia="Times New Roman" w:hAnsi="Times New Roman"/>
          <w:sz w:val="12"/>
          <w:szCs w:val="12"/>
          <w:color w:val="auto"/>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and delivered in accordance with the notice requirements set forth in Section 5(h) (the “</w:t>
      </w:r>
      <w:r>
        <w:rPr>
          <w:rFonts w:ascii="Times New Roman" w:cs="Times New Roman" w:eastAsia="Times New Roman" w:hAnsi="Times New Roman"/>
          <w:sz w:val="12"/>
          <w:szCs w:val="12"/>
          <w:u w:val="single" w:color="auto"/>
          <w:color w:val="auto"/>
        </w:rPr>
        <w:t>Notice of</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Exercise</w:t>
      </w:r>
      <w:r>
        <w:rPr>
          <w:rFonts w:ascii="Times New Roman" w:cs="Times New Roman" w:eastAsia="Times New Roman" w:hAnsi="Times New Roman"/>
          <w:sz w:val="12"/>
          <w:szCs w:val="12"/>
          <w:color w:val="auto"/>
        </w:rPr>
        <w:t xml:space="preserve">”). Within the earlier of (i) one (1) Trading Day and (ii) the number of Trading Days comprising the Standard Settlement Period (as defined in Section 2(d)(i) herein) following the date of exercise as aforesaid, the Holder shall deliver (a) the aggregate Exercise Price (as defined below) for the Warrant Shares or (b) the aggregate Exercise Price (as defined below) minus the aggregate Pre-Funded Warrant Exercise Price, if this Warrant is being exercised for Pre-Funded Warrants, specified in the applicable Notice of Exercise by wire transfer or cashier’s check drawn on a United States bank unless the cashless exercise procedure specified in Section 2(c) below is applicable and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Partial exercises of this Warrant resulting in purchases of a portion of the total number of Warrant Shares or Pre-Funded Warrants available hereunder shall have the effect of lowering the outstanding number of Warrant Shares or Pre-Funded Warrants purchasable hereunder in an amount equal to the applicable number of Warrant Shares or Pre-Funded Warrants purchased. The Holder and the Company shall maintain records showing the number of Warrant Shares or Pre-Funded Warrants purchased and the date of such purchases. The Company shall deliver any objection to any Notice of Exercise within one (1) Trading Day of receipt of such notice. </w:t>
      </w:r>
      <w:r>
        <w:rPr>
          <w:rFonts w:ascii="Times New Roman" w:cs="Times New Roman" w:eastAsia="Times New Roman" w:hAnsi="Times New Roman"/>
          <w:sz w:val="12"/>
          <w:szCs w:val="12"/>
          <w:b w:val="1"/>
          <w:bCs w:val="1"/>
          <w:color w:val="auto"/>
        </w:rPr>
        <w:t>The Holder and any assignee, by acceptance of this Warrant, acknowledge and agree that, by reason of the provisions of this paragraph, following the purchase of</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a portion of the Warrant Shares or Pre-Funded Warrants hereunder, the number of Warrant Shares or Pre-Funded Warrants available for purchase hereunder at any given time may be less than the amount stated on the face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281305</wp:posOffset>
            </wp:positionV>
            <wp:extent cx="717804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81" w:right="299" w:bottom="1440" w:gutter="0" w:footer="0" w:header="0"/>
          <w:type w:val="continuous"/>
        </w:sectPr>
      </w:pPr>
    </w:p>
    <w:bookmarkStart w:id="21" w:name="page22"/>
    <w:bookmarkEnd w:id="21"/>
    <w:p>
      <w:pPr>
        <w:ind w:left="348" w:hanging="132"/>
        <w:spacing w:after="0"/>
        <w:tabs>
          <w:tab w:leader="none" w:pos="348" w:val="left"/>
        </w:tabs>
        <w:numPr>
          <w:ilvl w:val="1"/>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Exercise Price</w:t>
      </w:r>
      <w:r>
        <w:rPr>
          <w:rFonts w:ascii="Times New Roman" w:cs="Times New Roman" w:eastAsia="Times New Roman" w:hAnsi="Times New Roman"/>
          <w:sz w:val="12"/>
          <w:szCs w:val="12"/>
          <w:color w:val="auto"/>
        </w:rPr>
        <w:t>. The exercise price per share of Common Stock under this Warrant shall be $2.60 (the “</w:t>
      </w:r>
      <w:r>
        <w:rPr>
          <w:rFonts w:ascii="Times New Roman" w:cs="Times New Roman" w:eastAsia="Times New Roman" w:hAnsi="Times New Roman"/>
          <w:sz w:val="12"/>
          <w:szCs w:val="12"/>
          <w:u w:val="single" w:color="auto"/>
          <w:color w:val="auto"/>
        </w:rPr>
        <w:t>Exercise Price</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jc w:val="both"/>
        <w:ind w:left="8" w:right="140" w:firstLine="208"/>
        <w:spacing w:after="0" w:line="265" w:lineRule="auto"/>
        <w:tabs>
          <w:tab w:leader="none" w:pos="347" w:val="left"/>
        </w:tabs>
        <w:numPr>
          <w:ilvl w:val="1"/>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Cashless Exercise</w:t>
      </w:r>
      <w:r>
        <w:rPr>
          <w:rFonts w:ascii="Times New Roman" w:cs="Times New Roman" w:eastAsia="Times New Roman" w:hAnsi="Times New Roman"/>
          <w:sz w:val="12"/>
          <w:szCs w:val="12"/>
          <w:color w:val="auto"/>
        </w:rPr>
        <w:t>. If at the time of exercise hereof there is no effective registration statement registering, or the prospectus contained therein is not available for the resale of the Warrant Shares by the Holder, then this Warrant may also be exercised, in whole or in part, at such time by means of a “cashless exercise” in which the Holder shall be entitled to receive a number of Warrant Shares or Pre-Funded Warrants equal to the quotient obtained by dividing [(A-B) (X)] by (A), where:</w:t>
      </w:r>
    </w:p>
    <w:p>
      <w:pPr>
        <w:spacing w:after="0" w:line="118" w:lineRule="exact"/>
        <w:rPr>
          <w:rFonts w:ascii="Times New Roman" w:cs="Times New Roman" w:eastAsia="Times New Roman" w:hAnsi="Times New Roman"/>
          <w:sz w:val="12"/>
          <w:szCs w:val="12"/>
          <w:color w:val="auto"/>
        </w:rPr>
      </w:pPr>
    </w:p>
    <w:p>
      <w:pPr>
        <w:ind w:left="8" w:hanging="8"/>
        <w:spacing w:after="0" w:line="284" w:lineRule="auto"/>
        <w:tabs>
          <w:tab w:leader="none" w:pos="205"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as applicable: (i) the VWAP (as defined below)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(as defined below)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09" w:lineRule="exact"/>
        <w:rPr>
          <w:rFonts w:ascii="Times New Roman" w:cs="Times New Roman" w:eastAsia="Times New Roman" w:hAnsi="Times New Roman"/>
          <w:sz w:val="11"/>
          <w:szCs w:val="11"/>
          <w:color w:val="auto"/>
        </w:rPr>
      </w:pPr>
    </w:p>
    <w:p>
      <w:pPr>
        <w:ind w:left="188" w:hanging="188"/>
        <w:spacing w:after="0"/>
        <w:tabs>
          <w:tab w:leader="none" w:pos="188"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the Exercise Price of this Warrant, as adjusted hereunder; and</w:t>
      </w:r>
    </w:p>
    <w:p>
      <w:pPr>
        <w:spacing w:after="0" w:line="150" w:lineRule="exact"/>
        <w:rPr>
          <w:sz w:val="20"/>
          <w:szCs w:val="20"/>
          <w:color w:val="auto"/>
        </w:rPr>
      </w:pPr>
    </w:p>
    <w:p>
      <w:pPr>
        <w:ind w:left="8" w:right="220" w:hanging="8"/>
        <w:spacing w:after="0" w:line="279" w:lineRule="auto"/>
        <w:tabs>
          <w:tab w:leader="none" w:pos="205"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the number of Warrant Shares or Pre-Funded Warrants that would be issuable upon exercise of this Warrant in accordance with the terms of this Warrant if such exercise were by means of a cash exercise rather than a cashless exercise.</w:t>
      </w:r>
    </w:p>
    <w:p>
      <w:pPr>
        <w:spacing w:after="0" w:line="111" w:lineRule="exact"/>
        <w:rPr>
          <w:sz w:val="20"/>
          <w:szCs w:val="20"/>
          <w:color w:val="auto"/>
        </w:rPr>
      </w:pPr>
    </w:p>
    <w:p>
      <w:pPr>
        <w:ind w:left="8" w:right="120"/>
        <w:spacing w:after="0" w:line="265" w:lineRule="auto"/>
        <w:rPr>
          <w:sz w:val="20"/>
          <w:szCs w:val="20"/>
          <w:color w:val="auto"/>
        </w:rPr>
      </w:pPr>
      <w:r>
        <w:rPr>
          <w:rFonts w:ascii="Times New Roman" w:cs="Times New Roman" w:eastAsia="Times New Roman" w:hAnsi="Times New Roman"/>
          <w:sz w:val="12"/>
          <w:szCs w:val="12"/>
          <w:color w:val="auto"/>
        </w:rPr>
        <w:t>If Warrant Shares are issued in such a cashless exercise, the parties acknowledge and agree that in accordance with Section 3(a)(9) of the Securities Act, the Warrant Shares shall take on the characteristics of the Warrants being exercised, and for purposes of Rule 144 under the Securities Act, the holding period of the Warrant Shares being issued may be tacked on to the holding period of this Warrant. The Company agrees not to take any position contrary to this Section 2(c), except to the extent required by applicable law, rule or regulation.</w:t>
      </w:r>
    </w:p>
    <w:p>
      <w:pPr>
        <w:spacing w:after="0" w:line="119" w:lineRule="exact"/>
        <w:rPr>
          <w:sz w:val="20"/>
          <w:szCs w:val="20"/>
          <w:color w:val="auto"/>
        </w:rPr>
      </w:pPr>
    </w:p>
    <w:p>
      <w:pPr>
        <w:ind w:left="8" w:right="120"/>
        <w:spacing w:after="0" w:line="25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Bid Price</w:t>
      </w:r>
      <w:r>
        <w:rPr>
          <w:rFonts w:ascii="Times New Roman" w:cs="Times New Roman" w:eastAsia="Times New Roman" w:hAnsi="Times New Roman"/>
          <w:sz w:val="12"/>
          <w:szCs w:val="12"/>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in good faith by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280670</wp:posOffset>
            </wp:positionV>
            <wp:extent cx="717804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8"/>
          </w:cols>
          <w:pgMar w:left="292" w:top="651" w:right="319" w:bottom="1440" w:gutter="0" w:footer="0" w:header="0"/>
        </w:sectPr>
      </w:pPr>
    </w:p>
    <w:bookmarkStart w:id="22" w:name="page23"/>
    <w:bookmarkEnd w:id="22"/>
    <w:p>
      <w:pPr>
        <w:spacing w:after="0" w:line="25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VWAP</w:t>
      </w:r>
      <w:r>
        <w:rPr>
          <w:rFonts w:ascii="Times New Roman" w:cs="Times New Roman" w:eastAsia="Times New Roman" w:hAnsi="Times New Roman"/>
          <w:sz w:val="12"/>
          <w:szCs w:val="12"/>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the Board of Directors of the Company and reasonably agreed to by the Purchasers of a majority in interest of the Warrants then outstanding.</w:t>
      </w:r>
    </w:p>
    <w:p>
      <w:pPr>
        <w:spacing w:after="0" w:line="125" w:lineRule="exact"/>
        <w:rPr>
          <w:sz w:val="20"/>
          <w:szCs w:val="20"/>
          <w:color w:val="auto"/>
        </w:rPr>
      </w:pPr>
    </w:p>
    <w:p>
      <w:pPr>
        <w:ind w:left="340" w:hanging="132"/>
        <w:spacing w:after="0"/>
        <w:tabs>
          <w:tab w:leader="none" w:pos="34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Mechanics of Exercise</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2"/>
          <w:szCs w:val="12"/>
          <w:color w:val="auto"/>
        </w:rPr>
        <w:t>i.           </w:t>
      </w:r>
      <w:r>
        <w:rPr>
          <w:rFonts w:ascii="Times New Roman" w:cs="Times New Roman" w:eastAsia="Times New Roman" w:hAnsi="Times New Roman"/>
          <w:sz w:val="12"/>
          <w:szCs w:val="12"/>
          <w:u w:val="single" w:color="auto"/>
          <w:color w:val="auto"/>
        </w:rPr>
        <w:t>  Delivery of Warrant Shares Upon Exercise</w:t>
      </w:r>
      <w:r>
        <w:rPr>
          <w:rFonts w:ascii="Times New Roman" w:cs="Times New Roman" w:eastAsia="Times New Roman" w:hAnsi="Times New Roman"/>
          <w:sz w:val="12"/>
          <w:szCs w:val="12"/>
          <w:color w:val="auto"/>
        </w:rPr>
        <w:t>. If this Warrant is being exercised for Warrant Shares, provided the Company has received the aggregate Exercise Price from the Holder (other than in the case of a cashless exercise),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2"/>
          <w:szCs w:val="12"/>
          <w:u w:val="single" w:color="auto"/>
          <w:color w:val="auto"/>
        </w:rPr>
        <w:t>DWAC</w:t>
      </w:r>
      <w:r>
        <w:rPr>
          <w:rFonts w:ascii="Times New Roman" w:cs="Times New Roman" w:eastAsia="Times New Roman" w:hAnsi="Times New Roman"/>
          <w:sz w:val="12"/>
          <w:szCs w:val="12"/>
          <w:color w:val="auto"/>
        </w:rPr>
        <w:t>”) if the Company’s transfer agent is then a participant in such system and either (A) there is an effective registration statement covering the resale of the Warrant Shares by the Holder or (B) in the case of a cashless exercise of the Warrant, the Warrant Shares are eligible for resale by the Holder without volume or manner-of-sale limitations pursuant to Rule 144, and in each case, at the request of the Holder, in electronic book entry form to the account of the Holder or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not later than the number of Trading Days comprising the Standard Settlement Period after the delivery to the Company of the Notice of Exercise (such date, the “</w:t>
      </w:r>
      <w:r>
        <w:rPr>
          <w:rFonts w:ascii="Times New Roman" w:cs="Times New Roman" w:eastAsia="Times New Roman" w:hAnsi="Times New Roman"/>
          <w:sz w:val="12"/>
          <w:szCs w:val="12"/>
          <w:u w:val="single" w:color="auto"/>
          <w:color w:val="auto"/>
        </w:rPr>
        <w:t>Warrant Share Delivery Date</w:t>
      </w:r>
      <w:r>
        <w:rPr>
          <w:rFonts w:ascii="Times New Roman" w:cs="Times New Roman" w:eastAsia="Times New Roman" w:hAnsi="Times New Roman"/>
          <w:sz w:val="12"/>
          <w:szCs w:val="12"/>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following delivery to the Company of the Notice of Exercise. The Company agrees to maintain a transfer agent that is a participant in the FAST program so long as this Warrant remains outstanding and exercisable. As used herein, “Standard Settlement Period” means the standard settlement period, expressed in a number of Trading Days, on the Principal Trading Market with respect to the Common Stock as in effect on the date of delivery of the Notice of Exercise.</w:t>
      </w:r>
    </w:p>
    <w:p>
      <w:pPr>
        <w:spacing w:after="0" w:line="128" w:lineRule="exact"/>
        <w:rPr>
          <w:sz w:val="20"/>
          <w:szCs w:val="20"/>
          <w:color w:val="auto"/>
        </w:rPr>
      </w:pPr>
    </w:p>
    <w:p>
      <w:pPr>
        <w:ind w:right="20" w:firstLine="432"/>
        <w:spacing w:after="0" w:line="260" w:lineRule="auto"/>
        <w:rPr>
          <w:sz w:val="20"/>
          <w:szCs w:val="20"/>
          <w:color w:val="auto"/>
        </w:rPr>
      </w:pPr>
      <w:r>
        <w:rPr>
          <w:rFonts w:ascii="Times New Roman" w:cs="Times New Roman" w:eastAsia="Times New Roman" w:hAnsi="Times New Roman"/>
          <w:sz w:val="12"/>
          <w:szCs w:val="12"/>
          <w:color w:val="auto"/>
        </w:rPr>
        <w:t>ii.          </w:t>
      </w:r>
      <w:r>
        <w:rPr>
          <w:rFonts w:ascii="Times New Roman" w:cs="Times New Roman" w:eastAsia="Times New Roman" w:hAnsi="Times New Roman"/>
          <w:sz w:val="12"/>
          <w:szCs w:val="12"/>
          <w:u w:val="single" w:color="auto"/>
          <w:color w:val="auto"/>
        </w:rPr>
        <w:t>  Delivery of Pre-Funded Warrants Upon Exercise</w:t>
      </w:r>
      <w:r>
        <w:rPr>
          <w:rFonts w:ascii="Times New Roman" w:cs="Times New Roman" w:eastAsia="Times New Roman" w:hAnsi="Times New Roman"/>
          <w:sz w:val="12"/>
          <w:szCs w:val="12"/>
          <w:color w:val="auto"/>
        </w:rPr>
        <w:t>. If this Warrant is being exercised for Pre-Funded Warrants, provided the Company has received the aggregate Exercise Price minus the aggregate Pre-Funded Warrant Exercise Price from the Holder the Company shall issue and dispatch by overnight courier to the address as specified in the Exercise Notice, Pre-Funded Warrants to purchase a number of shares of Common Stock with respect to which this Warrant is being exercised by the date that is the latest of (i) five (5) Trading Days after the delivery to the Company of the Exercise Notice, (ii) five (5) Trading Days after delivery of the aggregate Exercise Price less the aggregate Pre-Funded Warrant Exercise Price to the Company and (iii) the number of Trading Days comprising the Standard Settlement Period after the delivery to the Company of the Exercise Notice.</w:t>
      </w:r>
    </w:p>
    <w:p>
      <w:pPr>
        <w:spacing w:after="0" w:line="122" w:lineRule="exact"/>
        <w:rPr>
          <w:sz w:val="20"/>
          <w:szCs w:val="20"/>
          <w:color w:val="auto"/>
        </w:rPr>
      </w:pPr>
    </w:p>
    <w:p>
      <w:pPr>
        <w:ind w:right="80" w:firstLine="432"/>
        <w:spacing w:after="0" w:line="265" w:lineRule="auto"/>
        <w:rPr>
          <w:sz w:val="20"/>
          <w:szCs w:val="20"/>
          <w:color w:val="auto"/>
        </w:rPr>
      </w:pPr>
      <w:r>
        <w:rPr>
          <w:rFonts w:ascii="Times New Roman" w:cs="Times New Roman" w:eastAsia="Times New Roman" w:hAnsi="Times New Roman"/>
          <w:sz w:val="12"/>
          <w:szCs w:val="12"/>
          <w:color w:val="auto"/>
        </w:rPr>
        <w:t>iii.         </w:t>
      </w:r>
      <w:r>
        <w:rPr>
          <w:rFonts w:ascii="Times New Roman" w:cs="Times New Roman" w:eastAsia="Times New Roman" w:hAnsi="Times New Roman"/>
          <w:sz w:val="12"/>
          <w:szCs w:val="12"/>
          <w:u w:val="single" w:color="auto"/>
          <w:color w:val="auto"/>
        </w:rPr>
        <w:t>  Delivery of New Warrants Upon Exercise</w:t>
      </w:r>
      <w:r>
        <w:rPr>
          <w:rFonts w:ascii="Times New Roman" w:cs="Times New Roman" w:eastAsia="Times New Roman" w:hAnsi="Times New Roman"/>
          <w:sz w:val="12"/>
          <w:szCs w:val="12"/>
          <w:color w:val="auto"/>
        </w:rPr>
        <w:t>. If this Warrant shall have been exercised in part, the Company shall, at the request of a Holder and upon surrender of this Warrant, at the time of delivery of the Warrant Shares or Pre-Funded Warrants, deliver to the Holder a new Warrant evidencing the rights of the Holder to purchase the unpurchased Warrant Shares or Pre-Funded Warrants called for by this Warrant, which new Warrant shall in all other respects be identical with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17804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1" w:right="319" w:bottom="1440" w:gutter="0" w:footer="0" w:header="0"/>
        </w:sectPr>
      </w:pPr>
    </w:p>
    <w:bookmarkStart w:id="23" w:name="page24"/>
    <w:bookmarkEnd w:id="23"/>
    <w:p>
      <w:pPr>
        <w:ind w:right="20" w:firstLine="432"/>
        <w:spacing w:after="0" w:line="253" w:lineRule="auto"/>
        <w:rPr>
          <w:sz w:val="20"/>
          <w:szCs w:val="20"/>
          <w:color w:val="auto"/>
        </w:rPr>
      </w:pPr>
      <w:r>
        <w:rPr>
          <w:rFonts w:ascii="Times New Roman" w:cs="Times New Roman" w:eastAsia="Times New Roman" w:hAnsi="Times New Roman"/>
          <w:sz w:val="12"/>
          <w:szCs w:val="12"/>
          <w:color w:val="auto"/>
        </w:rPr>
        <w:t>iv.         </w:t>
      </w:r>
      <w:r>
        <w:rPr>
          <w:rFonts w:ascii="Times New Roman" w:cs="Times New Roman" w:eastAsia="Times New Roman" w:hAnsi="Times New Roman"/>
          <w:sz w:val="12"/>
          <w:szCs w:val="12"/>
          <w:u w:val="single" w:color="auto"/>
          <w:color w:val="auto"/>
        </w:rPr>
        <w:t>  Compensation for Buy-In on Failure to Timely Deliver Warrant Shares Upon Exercise</w:t>
      </w:r>
      <w:r>
        <w:rPr>
          <w:rFonts w:ascii="Times New Roman" w:cs="Times New Roman" w:eastAsia="Times New Roman" w:hAnsi="Times New Roman"/>
          <w:sz w:val="12"/>
          <w:szCs w:val="12"/>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(other than a failure solely caused by incorrect or incomplete information provided by the Holder to the Company),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2"/>
          <w:szCs w:val="12"/>
          <w:u w:val="single" w:color="auto"/>
          <w:color w:val="auto"/>
        </w:rPr>
        <w:t>Buy-In</w:t>
      </w:r>
      <w:r>
        <w:rPr>
          <w:rFonts w:ascii="Times New Roman" w:cs="Times New Roman" w:eastAsia="Times New Roman" w:hAnsi="Times New Roman"/>
          <w:sz w:val="12"/>
          <w:szCs w:val="12"/>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within two (2) Trading Days after the occurrence of a Buy-In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26" w:lineRule="exact"/>
        <w:rPr>
          <w:sz w:val="20"/>
          <w:szCs w:val="20"/>
          <w:color w:val="auto"/>
        </w:rPr>
      </w:pPr>
    </w:p>
    <w:p>
      <w:pPr>
        <w:ind w:right="240" w:firstLine="432"/>
        <w:spacing w:after="0" w:line="327" w:lineRule="auto"/>
        <w:rPr>
          <w:sz w:val="20"/>
          <w:szCs w:val="20"/>
          <w:color w:val="auto"/>
        </w:rPr>
      </w:pPr>
      <w:r>
        <w:rPr>
          <w:rFonts w:ascii="Times New Roman" w:cs="Times New Roman" w:eastAsia="Times New Roman" w:hAnsi="Times New Roman"/>
          <w:sz w:val="11"/>
          <w:szCs w:val="11"/>
          <w:color w:val="auto"/>
        </w:rPr>
        <w:t>v.         </w:t>
      </w:r>
      <w:r>
        <w:rPr>
          <w:rFonts w:ascii="Times New Roman" w:cs="Times New Roman" w:eastAsia="Times New Roman" w:hAnsi="Times New Roman"/>
          <w:sz w:val="11"/>
          <w:szCs w:val="11"/>
          <w:u w:val="single" w:color="auto"/>
          <w:color w:val="auto"/>
        </w:rPr>
        <w:t>  No Fractional Shares or Scrip</w:t>
      </w:r>
      <w:r>
        <w:rPr>
          <w:rFonts w:ascii="Times New Roman" w:cs="Times New Roman" w:eastAsia="Times New Roman" w:hAnsi="Times New Roman"/>
          <w:sz w:val="11"/>
          <w:szCs w:val="11"/>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87"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2"/>
          <w:szCs w:val="12"/>
          <w:color w:val="auto"/>
        </w:rPr>
        <w:t>vi.        </w:t>
      </w:r>
      <w:r>
        <w:rPr>
          <w:rFonts w:ascii="Times New Roman" w:cs="Times New Roman" w:eastAsia="Times New Roman" w:hAnsi="Times New Roman"/>
          <w:sz w:val="12"/>
          <w:szCs w:val="12"/>
          <w:u w:val="single" w:color="auto"/>
          <w:color w:val="auto"/>
        </w:rPr>
        <w:t>  Charges, Taxes and Expenses</w:t>
      </w:r>
      <w:r>
        <w:rPr>
          <w:rFonts w:ascii="Times New Roman" w:cs="Times New Roman" w:eastAsia="Times New Roman" w:hAnsi="Times New Roman"/>
          <w:sz w:val="12"/>
          <w:szCs w:val="12"/>
          <w:color w:val="auto"/>
        </w:rPr>
        <w:t xml:space="preserve">. Issuance of Warrant Shares or Pre-Funded Warrants shall be made without charge to the Holder for any issue or transfer tax or other incidental expense in respect of the issuance of such Warrant Shares or Pre-Funded Warrants, all of which taxes and expenses shall be paid by the Company, and such Warrant Shares or Pre-Funded Warrants shall be issued in the name of the Holder or in such name or names as may be directed by the Holder;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in the event that Warrant Shares or Pre-Funded Warrants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to the extent applicable, pay all Transfer Agent fees required for processing of any Notice of Exercise and all fees to the Depository Trust Company (or another established clearing corporation performing similar functions) required for electronic delivery of the Warrant Shares.</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vii.        </w:t>
      </w:r>
      <w:r>
        <w:rPr>
          <w:rFonts w:ascii="Times New Roman" w:cs="Times New Roman" w:eastAsia="Times New Roman" w:hAnsi="Times New Roman"/>
          <w:sz w:val="12"/>
          <w:szCs w:val="12"/>
          <w:u w:val="single" w:color="auto"/>
          <w:color w:val="auto"/>
        </w:rPr>
        <w:t>  Closing of Books</w:t>
      </w:r>
      <w:r>
        <w:rPr>
          <w:rFonts w:ascii="Times New Roman" w:cs="Times New Roman" w:eastAsia="Times New Roman" w:hAnsi="Times New Roman"/>
          <w:sz w:val="12"/>
          <w:szCs w:val="12"/>
          <w:color w:val="auto"/>
        </w:rPr>
        <w:t>. The Company will not close its stockholder books or records in any manner which prevents the timely exercise of this Warrant, pursuant to the terms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7804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24" w:name="page25"/>
    <w:bookmarkEnd w:id="24"/>
    <w:p>
      <w:pPr>
        <w:ind w:left="-208" w:firstLine="208"/>
        <w:spacing w:after="0" w:line="251" w:lineRule="auto"/>
        <w:tabs>
          <w:tab w:leader="none" w:pos="131"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Holder’s Exercise Limitations</w:t>
      </w:r>
      <w:r>
        <w:rPr>
          <w:rFonts w:ascii="Times New Roman" w:cs="Times New Roman" w:eastAsia="Times New Roman" w:hAnsi="Times New Roman"/>
          <w:sz w:val="12"/>
          <w:szCs w:val="12"/>
          <w:color w:val="auto"/>
        </w:rPr>
        <w:t>. The Company shall not effect any exercise of this Warrant, and a Holder shall not have the right to exercise any portion of this Warrant, pursuant to Section 2 or otherwise, and any such exercise shall be null and void ab initio and treated as if the exercise had not been made, to the extent that after giving effect to such issuance after exercise as set forth on the applicable Notice of Exercise, the Holder (together with (i) the Holder’s Affiliates, (ii) any investment vehicle, including, any funds, feeder funds or managed accounts, currently, or from time to time after the date hereof, directly or indirectly managed or advised by the Holder’s investment manager or any of its Affiliates or principals, (iii) any other Persons acting or who could be deemed to be acting as a group together with the Holder or any Attribution Parties, and (iv) any other Persons whose beneficial ownership of the Common Stock would or could be aggregated with the Holder’s and/or any other Attribution Parties for purposes of Section 13(d) or Section 16 of the Securities Exchange Act of 1934, as amended (the “</w:t>
      </w:r>
      <w:r>
        <w:rPr>
          <w:rFonts w:ascii="Times New Roman" w:cs="Times New Roman" w:eastAsia="Times New Roman" w:hAnsi="Times New Roman"/>
          <w:sz w:val="12"/>
          <w:szCs w:val="12"/>
          <w:u w:val="single" w:color="auto"/>
          <w:color w:val="auto"/>
        </w:rPr>
        <w:t>Exchange Act</w:t>
      </w:r>
      <w:r>
        <w:rPr>
          <w:rFonts w:ascii="Times New Roman" w:cs="Times New Roman" w:eastAsia="Times New Roman" w:hAnsi="Times New Roman"/>
          <w:sz w:val="12"/>
          <w:szCs w:val="12"/>
          <w:color w:val="auto"/>
        </w:rPr>
        <w:t>”) (such Persons set forth in clause (i) through (iv) above, “</w:t>
      </w:r>
      <w:r>
        <w:rPr>
          <w:rFonts w:ascii="Times New Roman" w:cs="Times New Roman" w:eastAsia="Times New Roman" w:hAnsi="Times New Roman"/>
          <w:sz w:val="12"/>
          <w:szCs w:val="12"/>
          <w:u w:val="single" w:color="auto"/>
          <w:color w:val="auto"/>
        </w:rPr>
        <w:t>Attribution Parties</w:t>
      </w:r>
      <w:r>
        <w:rPr>
          <w:rFonts w:ascii="Times New Roman" w:cs="Times New Roman" w:eastAsia="Times New Roman" w:hAnsi="Times New Roman"/>
          <w:sz w:val="12"/>
          <w:szCs w:val="12"/>
          <w:color w:val="auto"/>
        </w:rPr>
        <w:t>”)), would beneficially own in excess of the Beneficial Ownership Limitation (as defined below). For purposes of the foregoing sentence, the number of shares of Common Stock beneficially owned by the Holder and its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Attribution Parties.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or forms required to be filed in accordance therewith. To the extent that the limitation contained in this Section 2(e) applies, the determination of whether this Warrant is exercisable (in relation to other securities owned by the Holder together with any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SEC, as the case may be, (B) a more recent public announcement by the Company or (C) a more recent written notice from the Company or the Transfer Agent to the Holder setting forth the number of shares of Common Stock outstanding (such issued and outstanding shares, the “</w:t>
      </w:r>
      <w:r>
        <w:rPr>
          <w:rFonts w:ascii="Times New Roman" w:cs="Times New Roman" w:eastAsia="Times New Roman" w:hAnsi="Times New Roman"/>
          <w:sz w:val="12"/>
          <w:szCs w:val="12"/>
          <w:u w:val="single" w:color="auto"/>
          <w:color w:val="auto"/>
        </w:rPr>
        <w:t>Reported Outstanding Share Number</w:t>
      </w:r>
      <w:r>
        <w:rPr>
          <w:rFonts w:ascii="Times New Roman" w:cs="Times New Roman" w:eastAsia="Times New Roman" w:hAnsi="Times New Roman"/>
          <w:sz w:val="12"/>
          <w:szCs w:val="12"/>
          <w:color w:val="auto"/>
        </w:rPr>
        <w:t>”). Upon the written or oral request of a Holder, the Company shall within one (1) Trading Day confirm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Attribution Parties since the date as of which such number of outstanding shares of Common Stock was reported.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together with the Attribution Parties’, beneficial ownership, as determined pursuant to this Section 2(e), to exceed the Beneficial Ownership Limitation, the Holder must notify the Company of a reduced number of Warrant Shares to be purchased pursuant to such Exercise Notice (the number of shares by which such purchase is reduced, the “</w:t>
      </w:r>
      <w:r>
        <w:rPr>
          <w:rFonts w:ascii="Times New Roman" w:cs="Times New Roman" w:eastAsia="Times New Roman" w:hAnsi="Times New Roman"/>
          <w:sz w:val="12"/>
          <w:szCs w:val="12"/>
          <w:u w:val="single" w:color="auto"/>
          <w:color w:val="auto"/>
        </w:rPr>
        <w:t>Reduction Shares</w:t>
      </w:r>
      <w:r>
        <w:rPr>
          <w:rFonts w:ascii="Times New Roman" w:cs="Times New Roman" w:eastAsia="Times New Roman" w:hAnsi="Times New Roman"/>
          <w:sz w:val="12"/>
          <w:szCs w:val="12"/>
          <w:color w:val="auto"/>
        </w:rPr>
        <w:t>”) and (ii) as soon as reasonably practicable, the Company shall return to the Holder any exercise price paid by the Holder for the Reduction Shares. In the event that the issuance of Common Stock to the Holder upon exercise of this Warrant results in the Holder, together with the Attribution Parties, being deemed to beneficially own, in the aggregate, more than the Maximum Percentage of the number of outstanding shares of Common Stock (as determined under Section 13(d) of the Exchange Act), the number of shares so issued by which the Holder’s, together with the Attribution Parties’, aggregate beneficial ownership exceeds the Beneficial Ownership Limitation (the “Excess Shares”) shall be deemed null and void and shall be cancelled ab initio, and the Holder and/or the Attribution Parties shall not have the power to vote or to transfer the Excess Shares. As soon as reasonably practicable after the issuance of the Excess Shares has been deemed null and void, the Company shall return to the Holder the exercise price paid by the Holder for the Excess Shares. The “</w:t>
      </w:r>
      <w:r>
        <w:rPr>
          <w:rFonts w:ascii="Times New Roman" w:cs="Times New Roman" w:eastAsia="Times New Roman" w:hAnsi="Times New Roman"/>
          <w:sz w:val="12"/>
          <w:szCs w:val="12"/>
          <w:u w:val="single" w:color="auto"/>
          <w:color w:val="auto"/>
        </w:rPr>
        <w:t>Beneficial Ownership Limitation</w:t>
      </w:r>
      <w:r>
        <w:rPr>
          <w:rFonts w:ascii="Times New Roman" w:cs="Times New Roman" w:eastAsia="Times New Roman" w:hAnsi="Times New Roman"/>
          <w:sz w:val="12"/>
          <w:szCs w:val="12"/>
          <w:color w:val="auto"/>
        </w:rPr>
        <w:t>” shall be [4.99%][9.99]%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revised Beneficial Ownership Limitation in no event exceeds 19.99% of the number of shares of the Common Stock outstanding immediately after giving effect to the issuance of shares of Common Stock upon exercise of this Warrant held by the Holder and the provisions of this Section 2(e) shall continue to apply. Any increase or decrease in the Beneficial Ownership Limitation will not be effective until the 61st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285750</wp:posOffset>
            </wp:positionV>
            <wp:extent cx="717804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092"/>
          </w:cols>
          <w:pgMar w:left="508" w:top="651" w:right="299" w:bottom="1440" w:gutter="0" w:footer="0" w:header="0"/>
        </w:sectPr>
      </w:pPr>
    </w:p>
    <w:bookmarkStart w:id="25" w:name="page26"/>
    <w:bookmarkEnd w:id="25"/>
    <w:p>
      <w:pPr>
        <w:ind w:right="20"/>
        <w:spacing w:after="0" w:line="254" w:lineRule="auto"/>
        <w:rPr>
          <w:sz w:val="20"/>
          <w:szCs w:val="20"/>
          <w:color w:val="auto"/>
        </w:rPr>
      </w:pPr>
      <w:r>
        <w:rPr>
          <w:rFonts w:ascii="Times New Roman" w:cs="Times New Roman" w:eastAsia="Times New Roman" w:hAnsi="Times New Roman"/>
          <w:sz w:val="12"/>
          <w:szCs w:val="12"/>
          <w:color w:val="auto"/>
        </w:rPr>
        <w:t>Notwithstanding anything to the contrary contained herein, the Company shall not effect any exercise of this Warrant, and the Holder shall not be entitled to exercise this Warrant for a number of Warrant Shares in excess of that number of Warrant Shares which, upon giving effect to such exercise, would cause (i) the aggregate number of shares of Common Stock beneficially owned by the Holder and its Attribution Parties to exceed 19.99% of the total number of issued and outstanding shares of Common Stock of the Company following such exercise, or (ii) the combined voting power of the securities of the Company beneficially owned by the Holder and its Attribution Parties to exceed 19.99% of the combined voting power of all of the securities of the Company then outstanding following such exercise. For purposes of this Section 2(e), the aggregate number of shares of Common Stock or voting securities beneficially owned by the Holder and its Attribution Parties shall include the shares of Common Stock issuable upon the exercise of this Warrant with respect to which such determination is being made, but shall exclude the number of shares of Common Stock which would be issuable upon (x) exercise of the remaining unexercised and non-cancelled portion of this Warrant by the Holder and (y) exercise or conversion of the unexercised, non-converted or non-cancelled portion of any other securities of the Company that do not have voting power (including without limitation any securities of the Company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 is subject to a limitation on conversion or exercise analogous to the limitation contained herein and is beneficially owned by the Holder or any of its Attribution Parties.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Section 3. Certain Adjustments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firstLine="208"/>
        <w:spacing w:after="0" w:line="255" w:lineRule="auto"/>
        <w:tabs>
          <w:tab w:leader="none" w:pos="339"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Stock Dividends and Splits</w:t>
      </w:r>
      <w:r>
        <w:rPr>
          <w:rFonts w:ascii="Times New Roman" w:cs="Times New Roman" w:eastAsia="Times New Roman" w:hAnsi="Times New Roman"/>
          <w:sz w:val="12"/>
          <w:szCs w:val="12"/>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of Common Stock,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25" w:lineRule="exact"/>
        <w:rPr>
          <w:rFonts w:ascii="Times New Roman" w:cs="Times New Roman" w:eastAsia="Times New Roman" w:hAnsi="Times New Roman"/>
          <w:sz w:val="12"/>
          <w:szCs w:val="12"/>
          <w:color w:val="auto"/>
        </w:rPr>
      </w:pPr>
    </w:p>
    <w:p>
      <w:pPr>
        <w:ind w:right="60" w:firstLine="208"/>
        <w:spacing w:after="0" w:line="254" w:lineRule="auto"/>
        <w:tabs>
          <w:tab w:leader="none" w:pos="346"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Pro Rata Distributions</w:t>
      </w:r>
      <w:r>
        <w:rPr>
          <w:rFonts w:ascii="Times New Roman" w:cs="Times New Roman" w:eastAsia="Times New Roman" w:hAnsi="Times New Roman"/>
          <w:sz w:val="12"/>
          <w:szCs w:val="12"/>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2"/>
          <w:szCs w:val="12"/>
          <w:u w:val="single" w:color="auto"/>
          <w:color w:val="auto"/>
        </w:rPr>
        <w:t>Distribution</w:t>
      </w:r>
      <w:r>
        <w:rPr>
          <w:rFonts w:ascii="Times New Roman" w:cs="Times New Roman" w:eastAsia="Times New Roman" w:hAnsi="Times New Roman"/>
          <w:sz w:val="12"/>
          <w:szCs w:val="12"/>
          <w:color w:val="auto"/>
        </w:rPr>
        <w:t xml:space="preserve">”),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to the extent that the Holder’s right to participate in any such Distribution would result in the Holder and the other Attribution Parties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and the other Attribution Parties exceeding the Beneficial Ownership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282575</wp:posOffset>
            </wp:positionV>
            <wp:extent cx="717804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1" w:right="319" w:bottom="1440" w:gutter="0" w:footer="0" w:header="0"/>
        </w:sectPr>
      </w:pPr>
    </w:p>
    <w:bookmarkStart w:id="26" w:name="page27"/>
    <w:bookmarkEnd w:id="26"/>
    <w:p>
      <w:pPr>
        <w:ind w:left="-208" w:firstLine="208"/>
        <w:spacing w:after="0" w:line="251" w:lineRule="auto"/>
        <w:tabs>
          <w:tab w:leader="none" w:pos="131"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Fundamental Transaction</w:t>
      </w:r>
      <w:r>
        <w:rPr>
          <w:rFonts w:ascii="Times New Roman" w:cs="Times New Roman" w:eastAsia="Times New Roman" w:hAnsi="Times New Roman"/>
          <w:sz w:val="12"/>
          <w:szCs w:val="12"/>
          <w:color w:val="auto"/>
        </w:rPr>
        <w:t>. If, at any time while this Warrant is outstanding, (i) the Company, directly or indirectly, in one or more related transactions effects any merger or consolidation of the Company with or into another Person, (ii) the Company,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more than 50%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and in connection with such transaction the Common Stock is converted into or exchanged for other securities, cash or property (each a “</w:t>
      </w:r>
      <w:r>
        <w:rPr>
          <w:rFonts w:ascii="Times New Roman" w:cs="Times New Roman" w:eastAsia="Times New Roman" w:hAnsi="Times New Roman"/>
          <w:sz w:val="12"/>
          <w:szCs w:val="12"/>
          <w:u w:val="single" w:color="auto"/>
          <w:color w:val="auto"/>
        </w:rPr>
        <w:t>Fundamental Transaction</w:t>
      </w:r>
      <w:r>
        <w:rPr>
          <w:rFonts w:ascii="Times New Roman" w:cs="Times New Roman" w:eastAsia="Times New Roman" w:hAnsi="Times New Roman"/>
          <w:sz w:val="12"/>
          <w:szCs w:val="12"/>
          <w:color w:val="auto"/>
        </w:rPr>
        <w:t>”), then, upon any subsequent exercise of this Warrant, the Holder shall have the right to receive, for each Warrant Share or Pre-Funded Warrant that would have been issuable upon such exercise immediately prior to the occurrence of such Fundamental Transaction, at the option of the Holder (without regard to any limitation in Section 2(e) on the exercise of this Warrant), the securities, cash and other property of the successor or acquiring corporation (or ultimate parent thereof) or of the Company, if it is the surviving corporation, as applicable, (the “</w:t>
      </w:r>
      <w:r>
        <w:rPr>
          <w:rFonts w:ascii="Times New Roman" w:cs="Times New Roman" w:eastAsia="Times New Roman" w:hAnsi="Times New Roman"/>
          <w:sz w:val="12"/>
          <w:szCs w:val="12"/>
          <w:u w:val="single" w:color="auto"/>
          <w:color w:val="auto"/>
        </w:rPr>
        <w:t>Alternate Consideration</w:t>
      </w:r>
      <w:r>
        <w:rPr>
          <w:rFonts w:ascii="Times New Roman" w:cs="Times New Roman" w:eastAsia="Times New Roman" w:hAnsi="Times New Roman"/>
          <w:sz w:val="12"/>
          <w:szCs w:val="12"/>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 w:cs="Times New Roman" w:eastAsia="Times New Roman" w:hAnsi="Times New Roman"/>
          <w:sz w:val="12"/>
          <w:szCs w:val="12"/>
          <w:u w:val="single" w:color="auto"/>
          <w:color w:val="auto"/>
        </w:rPr>
        <w:t>Successor Entity</w:t>
      </w:r>
      <w:r>
        <w:rPr>
          <w:rFonts w:ascii="Times New Roman" w:cs="Times New Roman" w:eastAsia="Times New Roman" w:hAnsi="Times New Roman"/>
          <w:sz w:val="12"/>
          <w:szCs w:val="12"/>
          <w:color w:val="auto"/>
        </w:rPr>
        <w:t>”) to assume in writing all of the obligations of the Company under this Warrant prior to such Fundamental Transaction in accordance with the provisions of this Section 3(d) and shall, at the option of the Holder, deliver to the Holder in exchange for this Warrant a security of the Successor Entity evidenced by a written instrument substantially similar in form and substance to this Warrant which is exercisable for the Alternate Consideration, and with an exercise price which applies the exercise price hereunder to such Alternate Consideration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w:t>
      </w:r>
    </w:p>
    <w:p>
      <w:pPr>
        <w:spacing w:after="0" w:line="136" w:lineRule="exact"/>
        <w:rPr>
          <w:rFonts w:ascii="Times New Roman" w:cs="Times New Roman" w:eastAsia="Times New Roman" w:hAnsi="Times New Roman"/>
          <w:sz w:val="12"/>
          <w:szCs w:val="12"/>
          <w:color w:val="auto"/>
        </w:rPr>
      </w:pPr>
    </w:p>
    <w:p>
      <w:pPr>
        <w:ind w:left="-208" w:right="280" w:firstLine="208"/>
        <w:spacing w:after="0" w:line="279" w:lineRule="auto"/>
        <w:tabs>
          <w:tab w:leader="none" w:pos="138"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Calculations</w:t>
      </w:r>
      <w:r>
        <w:rPr>
          <w:rFonts w:ascii="Times New Roman" w:cs="Times New Roman" w:eastAsia="Times New Roman" w:hAnsi="Times New Roman"/>
          <w:sz w:val="12"/>
          <w:szCs w:val="12"/>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271780</wp:posOffset>
            </wp:positionV>
            <wp:extent cx="717804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052"/>
          </w:cols>
          <w:pgMar w:left="508" w:top="651" w:right="339" w:bottom="1440" w:gutter="0" w:footer="0" w:header="0"/>
        </w:sectPr>
      </w:pPr>
    </w:p>
    <w:bookmarkStart w:id="27" w:name="page28"/>
    <w:bookmarkEnd w:id="27"/>
    <w:p>
      <w:pPr>
        <w:ind w:left="340" w:hanging="132"/>
        <w:spacing w:after="0"/>
        <w:tabs>
          <w:tab w:leader="none" w:pos="34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Notice to Holder</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right="80" w:firstLine="432"/>
        <w:spacing w:after="0" w:line="279" w:lineRule="auto"/>
        <w:rPr>
          <w:sz w:val="20"/>
          <w:szCs w:val="20"/>
          <w:color w:val="auto"/>
        </w:rPr>
      </w:pPr>
      <w:r>
        <w:rPr>
          <w:rFonts w:ascii="Times New Roman" w:cs="Times New Roman" w:eastAsia="Times New Roman" w:hAnsi="Times New Roman"/>
          <w:sz w:val="12"/>
          <w:szCs w:val="12"/>
          <w:color w:val="auto"/>
        </w:rPr>
        <w:t>i.          </w:t>
      </w:r>
      <w:r>
        <w:rPr>
          <w:rFonts w:ascii="Times New Roman" w:cs="Times New Roman" w:eastAsia="Times New Roman" w:hAnsi="Times New Roman"/>
          <w:sz w:val="12"/>
          <w:szCs w:val="12"/>
          <w:u w:val="single" w:color="auto"/>
          <w:color w:val="auto"/>
        </w:rPr>
        <w:t>  Adjustment to Exercise Price</w:t>
      </w:r>
      <w:r>
        <w:rPr>
          <w:rFonts w:ascii="Times New Roman" w:cs="Times New Roman" w:eastAsia="Times New Roman" w:hAnsi="Times New Roman"/>
          <w:sz w:val="12"/>
          <w:szCs w:val="12"/>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or Pre-Funded Warrants and setting forth a brief statement of the facts requiring such adjustment.</w:t>
      </w:r>
    </w:p>
    <w:p>
      <w:pPr>
        <w:spacing w:after="0" w:line="111"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2"/>
          <w:szCs w:val="12"/>
          <w:color w:val="auto"/>
        </w:rPr>
        <w:t>ii.          </w:t>
      </w:r>
      <w:r>
        <w:rPr>
          <w:rFonts w:ascii="Times New Roman" w:cs="Times New Roman" w:eastAsia="Times New Roman" w:hAnsi="Times New Roman"/>
          <w:sz w:val="12"/>
          <w:szCs w:val="12"/>
          <w:u w:val="single" w:color="auto"/>
          <w:color w:val="auto"/>
        </w:rPr>
        <w:t>  Notice to Allow Exercise by Holder</w:t>
      </w:r>
      <w:r>
        <w:rPr>
          <w:rFonts w:ascii="Times New Roman" w:cs="Times New Roman" w:eastAsia="Times New Roman" w:hAnsi="Times New Roman"/>
          <w:sz w:val="12"/>
          <w:szCs w:val="12"/>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(and all of its subsidiaries, taken as a whole)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(as defined below),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SEC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u w:val="single" w:color="auto"/>
          <w:color w:val="auto"/>
        </w:rPr>
        <w:t>Section 4. Transfer of Warrant</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firstLine="208"/>
        <w:spacing w:after="0" w:line="255" w:lineRule="auto"/>
        <w:tabs>
          <w:tab w:leader="none" w:pos="339"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Transferability</w:t>
      </w:r>
      <w:r>
        <w:rPr>
          <w:rFonts w:ascii="Times New Roman" w:cs="Times New Roman" w:eastAsia="Times New Roman" w:hAnsi="Times New Roman"/>
          <w:sz w:val="12"/>
          <w:szCs w:val="12"/>
          <w:color w:val="auto"/>
        </w:rPr>
        <w:t>. Subject to compliance with any applicable securities laws and the conditions set forth in Section 4(d) hereof,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or Pre-Funded Warrants without having a new Warrant issued.</w:t>
      </w:r>
    </w:p>
    <w:p>
      <w:pPr>
        <w:spacing w:after="0" w:line="125" w:lineRule="exact"/>
        <w:rPr>
          <w:rFonts w:ascii="Times New Roman" w:cs="Times New Roman" w:eastAsia="Times New Roman" w:hAnsi="Times New Roman"/>
          <w:sz w:val="12"/>
          <w:szCs w:val="12"/>
          <w:color w:val="auto"/>
        </w:rPr>
      </w:pPr>
    </w:p>
    <w:p>
      <w:pPr>
        <w:ind w:right="20" w:firstLine="208"/>
        <w:spacing w:after="0" w:line="260" w:lineRule="auto"/>
        <w:tabs>
          <w:tab w:leader="none" w:pos="346"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New Warrants</w:t>
      </w:r>
      <w:r>
        <w:rPr>
          <w:rFonts w:ascii="Times New Roman" w:cs="Times New Roman" w:eastAsia="Times New Roman" w:hAnsi="Times New Roman"/>
          <w:sz w:val="12"/>
          <w:szCs w:val="12"/>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or Pre-Funded Warrants issuable pursuant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278765</wp:posOffset>
            </wp:positionV>
            <wp:extent cx="717804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1" w:right="319" w:bottom="1440" w:gutter="0" w:footer="0" w:header="0"/>
        </w:sectPr>
      </w:pPr>
    </w:p>
    <w:bookmarkStart w:id="28" w:name="page29"/>
    <w:bookmarkEnd w:id="28"/>
    <w:p>
      <w:pPr>
        <w:ind w:left="8" w:firstLine="208"/>
        <w:spacing w:after="0" w:line="279" w:lineRule="auto"/>
        <w:tabs>
          <w:tab w:leader="none" w:pos="347"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Warrant Register</w:t>
      </w:r>
      <w:r>
        <w:rPr>
          <w:rFonts w:ascii="Times New Roman" w:cs="Times New Roman" w:eastAsia="Times New Roman" w:hAnsi="Times New Roman"/>
          <w:sz w:val="12"/>
          <w:szCs w:val="12"/>
          <w:color w:val="auto"/>
        </w:rPr>
        <w:t>. The Company shall register this Warrant, upon records to be maintained by the Company for that purpose (the “</w:t>
      </w:r>
      <w:r>
        <w:rPr>
          <w:rFonts w:ascii="Times New Roman" w:cs="Times New Roman" w:eastAsia="Times New Roman" w:hAnsi="Times New Roman"/>
          <w:sz w:val="12"/>
          <w:szCs w:val="12"/>
          <w:u w:val="single" w:color="auto"/>
          <w:color w:val="auto"/>
        </w:rPr>
        <w:t>Warrant Register</w:t>
      </w:r>
      <w:r>
        <w:rPr>
          <w:rFonts w:ascii="Times New Roman" w:cs="Times New Roman" w:eastAsia="Times New Roman" w:hAnsi="Times New Roman"/>
          <w:sz w:val="12"/>
          <w:szCs w:val="12"/>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11" w:lineRule="exact"/>
        <w:rPr>
          <w:rFonts w:ascii="Times New Roman" w:cs="Times New Roman" w:eastAsia="Times New Roman" w:hAnsi="Times New Roman"/>
          <w:sz w:val="12"/>
          <w:szCs w:val="12"/>
          <w:color w:val="auto"/>
        </w:rPr>
      </w:pPr>
    </w:p>
    <w:p>
      <w:pPr>
        <w:jc w:val="both"/>
        <w:ind w:left="8" w:right="20" w:firstLine="208"/>
        <w:spacing w:after="0" w:line="265" w:lineRule="auto"/>
        <w:tabs>
          <w:tab w:leader="none" w:pos="354"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Transfer Restrictions</w:t>
      </w:r>
      <w:r>
        <w:rPr>
          <w:rFonts w:ascii="Times New Roman" w:cs="Times New Roman" w:eastAsia="Times New Roman" w:hAnsi="Times New Roman"/>
          <w:sz w:val="12"/>
          <w:szCs w:val="12"/>
          <w:color w:val="auto"/>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9.1 of the Purchase Agreement.</w:t>
      </w:r>
    </w:p>
    <w:p>
      <w:pPr>
        <w:spacing w:after="0" w:line="118" w:lineRule="exact"/>
        <w:rPr>
          <w:rFonts w:ascii="Times New Roman" w:cs="Times New Roman" w:eastAsia="Times New Roman" w:hAnsi="Times New Roman"/>
          <w:sz w:val="12"/>
          <w:szCs w:val="12"/>
          <w:color w:val="auto"/>
        </w:rPr>
      </w:pPr>
    </w:p>
    <w:p>
      <w:pPr>
        <w:ind w:left="8" w:right="100" w:firstLine="208"/>
        <w:spacing w:after="0" w:line="265" w:lineRule="auto"/>
        <w:tabs>
          <w:tab w:leader="none" w:pos="347"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Representation by the Holder</w:t>
      </w:r>
      <w:r>
        <w:rPr>
          <w:rFonts w:ascii="Times New Roman" w:cs="Times New Roman" w:eastAsia="Times New Roman" w:hAnsi="Times New Roman"/>
          <w:sz w:val="12"/>
          <w:szCs w:val="12"/>
          <w:color w:val="auto"/>
        </w:rPr>
        <w:t>. The Holder, by the acceptance hereof, represents and warrants that it is acquiring this Warrant and, upon any exercise hereof, will acquire the Warrant Shares or Pre-Funded Warrants issuable upon such exercise, for its own account and not with a view to or for distributing or reselling such Warrant Shares or Pre-Funded Warrants or any part thereof in violation of the Securities Act or any applicable state securities law, except pursuant to sales registered or exempted under the Securities Act.</w:t>
      </w:r>
    </w:p>
    <w:p>
      <w:pPr>
        <w:spacing w:after="0" w:line="1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u w:val="single" w:color="auto"/>
          <w:color w:val="auto"/>
        </w:rPr>
        <w:t>Section 5. Miscellaneous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8" w:right="80" w:firstLine="208"/>
        <w:spacing w:after="0" w:line="259" w:lineRule="auto"/>
        <w:tabs>
          <w:tab w:leader="none" w:pos="347" w:val="left"/>
        </w:tabs>
        <w:numPr>
          <w:ilvl w:val="1"/>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Rights as Stockholder Until Exercise; No Settlement in Cash</w:t>
      </w:r>
      <w:r>
        <w:rPr>
          <w:rFonts w:ascii="Times New Roman" w:cs="Times New Roman" w:eastAsia="Times New Roman" w:hAnsi="Times New Roman"/>
          <w:sz w:val="12"/>
          <w:szCs w:val="12"/>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w:t>
      </w:r>
    </w:p>
    <w:p>
      <w:pPr>
        <w:spacing w:after="0" w:line="1"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herein, in no event shall the Company be required to net cash settle an exercise of this Warrant.</w:t>
      </w:r>
    </w:p>
    <w:p>
      <w:pPr>
        <w:spacing w:after="0" w:line="139" w:lineRule="exact"/>
        <w:rPr>
          <w:rFonts w:ascii="Times New Roman" w:cs="Times New Roman" w:eastAsia="Times New Roman" w:hAnsi="Times New Roman"/>
          <w:sz w:val="12"/>
          <w:szCs w:val="12"/>
          <w:color w:val="auto"/>
        </w:rPr>
      </w:pPr>
    </w:p>
    <w:p>
      <w:pPr>
        <w:ind w:left="8" w:right="40" w:firstLine="208"/>
        <w:spacing w:after="0" w:line="260" w:lineRule="auto"/>
        <w:tabs>
          <w:tab w:leader="none" w:pos="354" w:val="left"/>
        </w:tabs>
        <w:numPr>
          <w:ilvl w:val="1"/>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Loss, Theft, Destruction or Mutilation of Warrant</w:t>
      </w:r>
      <w:r>
        <w:rPr>
          <w:rFonts w:ascii="Times New Roman" w:cs="Times New Roman" w:eastAsia="Times New Roman" w:hAnsi="Times New Roman"/>
          <w:sz w:val="12"/>
          <w:szCs w:val="12"/>
          <w:color w:val="auto"/>
        </w:rPr>
        <w:t>. The Company covenants that upon receipt by the Company of evidence reasonably satisfactory to it of the loss, theft, destruction or mutilation of this Warrant, any stock certificate relating to the Warrant Shares, or Pre-Funded Warrant, and in case of loss, theft or destruction, of indemnity or security reasonably satisfactory to it (which, in the case of the Warrant, shall not include the posting of any bond), and upon surrender and cancellation of such Warrant, stock certificate or Pre-Funded Warrant, if mutilated, the Company will make and deliver a new Warrant, stock certificate or Pre-Funded Warrant of like tenor and dated as of such cancellation, in lieu of such Warrant, stock certificate or Pre-Funded Warrant.</w:t>
      </w:r>
    </w:p>
    <w:p>
      <w:pPr>
        <w:spacing w:after="0" w:line="122" w:lineRule="exact"/>
        <w:rPr>
          <w:rFonts w:ascii="Times New Roman" w:cs="Times New Roman" w:eastAsia="Times New Roman" w:hAnsi="Times New Roman"/>
          <w:sz w:val="12"/>
          <w:szCs w:val="12"/>
          <w:color w:val="auto"/>
        </w:rPr>
      </w:pPr>
    </w:p>
    <w:p>
      <w:pPr>
        <w:ind w:left="8" w:right="120" w:firstLine="208"/>
        <w:spacing w:after="0" w:line="279" w:lineRule="auto"/>
        <w:tabs>
          <w:tab w:leader="none" w:pos="347" w:val="left"/>
        </w:tabs>
        <w:numPr>
          <w:ilvl w:val="1"/>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Saturdays, Sundays, Holidays, etc</w:t>
      </w:r>
      <w:r>
        <w:rPr>
          <w:rFonts w:ascii="Times New Roman" w:cs="Times New Roman" w:eastAsia="Times New Roman" w:hAnsi="Times New Roman"/>
          <w:sz w:val="12"/>
          <w:szCs w:val="12"/>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111" w:lineRule="exact"/>
        <w:rPr>
          <w:rFonts w:ascii="Times New Roman" w:cs="Times New Roman" w:eastAsia="Times New Roman" w:hAnsi="Times New Roman"/>
          <w:sz w:val="12"/>
          <w:szCs w:val="12"/>
          <w:color w:val="auto"/>
        </w:rPr>
      </w:pPr>
    </w:p>
    <w:p>
      <w:pPr>
        <w:ind w:left="348" w:hanging="132"/>
        <w:spacing w:after="0"/>
        <w:tabs>
          <w:tab w:leader="none" w:pos="348" w:val="left"/>
        </w:tabs>
        <w:numPr>
          <w:ilvl w:val="1"/>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Authorized Shares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8" w:right="80" w:firstLine="216"/>
        <w:spacing w:after="0" w:line="255" w:lineRule="auto"/>
        <w:rPr>
          <w:sz w:val="20"/>
          <w:szCs w:val="20"/>
          <w:color w:val="auto"/>
        </w:rPr>
      </w:pPr>
      <w:r>
        <w:rPr>
          <w:rFonts w:ascii="Times New Roman" w:cs="Times New Roman" w:eastAsia="Times New Roman" w:hAnsi="Times New Roman"/>
          <w:sz w:val="12"/>
          <w:szCs w:val="12"/>
          <w:color w:val="auto"/>
        </w:rPr>
        <w:t>The Company covenants that, during the period the Warrant is outstanding, it will reserve from its authorized and unissued Common Stock a sufficient number of shares to provide for the issuance of the Warrant Shares or Pre-Funded Warrants upon the exercise of any purchase rights under this Warrant (without regard to any limitations or restrictions on exercise of this Warrant, including without limitation, the Beneficial Ownership Limitation). The Company further covenants that its issuance of this Warrant shall constitute full authority to its officers who are charged with the duty of issuing the necessary Warrant Shares or Pre-Funded Warrants upon the exercise of the purchase rights under this Warrant. The Company will take all such reasonable action as may be necessary to assure that such Warrant Shares or Pre-Funded Warrants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281305</wp:posOffset>
            </wp:positionV>
            <wp:extent cx="717804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29" w:name="page30"/>
    <w:bookmarkEnd w:id="29"/>
    <w:p>
      <w:pPr>
        <w:ind w:firstLine="216"/>
        <w:spacing w:after="0" w:line="257" w:lineRule="auto"/>
        <w:rPr>
          <w:sz w:val="20"/>
          <w:szCs w:val="20"/>
          <w:color w:val="auto"/>
        </w:rPr>
      </w:pPr>
      <w:r>
        <w:rPr>
          <w:rFonts w:ascii="Times New Roman" w:cs="Times New Roman" w:eastAsia="Times New Roman" w:hAnsi="Times New Roman"/>
          <w:sz w:val="12"/>
          <w:szCs w:val="12"/>
          <w:color w:val="auto"/>
        </w:rPr>
        <w:t>Except and to the extent as waived or consented to by the Holder, the Company shall not by any action, including, without limitation, amending its certificate of incorporation or through any reorganization, recapitalization, transfer of assets, consolidation, domestication, merger, continuance, waiver, statutory conversion,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and (ii) take all such action as may be necessary or appropriate in order that the Company may validly and legally issue fully paid and nonassessable Warrant Shares upon the exercise of this Warrant.</w:t>
      </w:r>
    </w:p>
    <w:p>
      <w:pPr>
        <w:spacing w:after="0" w:line="125" w:lineRule="exact"/>
        <w:rPr>
          <w:sz w:val="20"/>
          <w:szCs w:val="20"/>
          <w:color w:val="auto"/>
        </w:rPr>
      </w:pPr>
    </w:p>
    <w:p>
      <w:pPr>
        <w:ind w:right="20" w:firstLine="208"/>
        <w:spacing w:after="0" w:line="254" w:lineRule="auto"/>
        <w:tabs>
          <w:tab w:leader="none" w:pos="339"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Governing Law</w:t>
      </w:r>
      <w:r>
        <w:rPr>
          <w:rFonts w:ascii="Times New Roman" w:cs="Times New Roman" w:eastAsia="Times New Roman" w:hAnsi="Times New Roman"/>
          <w:sz w:val="12"/>
          <w:szCs w:val="12"/>
          <w:color w:val="auto"/>
        </w:rPr>
        <w:t>. All questions concerning the construction, validity, enforcement and interpretation of this Warrant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Warrant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spacing w:after="0" w:line="125" w:lineRule="exact"/>
        <w:rPr>
          <w:rFonts w:ascii="Times New Roman" w:cs="Times New Roman" w:eastAsia="Times New Roman" w:hAnsi="Times New Roman"/>
          <w:sz w:val="12"/>
          <w:szCs w:val="12"/>
          <w:color w:val="auto"/>
        </w:rPr>
      </w:pPr>
    </w:p>
    <w:p>
      <w:pPr>
        <w:ind w:right="160" w:firstLine="208"/>
        <w:spacing w:after="0" w:line="279" w:lineRule="auto"/>
        <w:tabs>
          <w:tab w:leader="none" w:pos="326"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Restrictions</w:t>
      </w:r>
      <w:r>
        <w:rPr>
          <w:rFonts w:ascii="Times New Roman" w:cs="Times New Roman" w:eastAsia="Times New Roman" w:hAnsi="Times New Roman"/>
          <w:sz w:val="12"/>
          <w:szCs w:val="12"/>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11" w:lineRule="exact"/>
        <w:rPr>
          <w:rFonts w:ascii="Times New Roman" w:cs="Times New Roman" w:eastAsia="Times New Roman" w:hAnsi="Times New Roman"/>
          <w:sz w:val="12"/>
          <w:szCs w:val="12"/>
          <w:color w:val="auto"/>
        </w:rPr>
      </w:pPr>
    </w:p>
    <w:p>
      <w:pPr>
        <w:jc w:val="both"/>
        <w:ind w:right="120" w:firstLine="208"/>
        <w:spacing w:after="0" w:line="260" w:lineRule="auto"/>
        <w:tabs>
          <w:tab w:leader="none" w:pos="346"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Nonwaiver and Expenses</w:t>
      </w:r>
      <w:r>
        <w:rPr>
          <w:rFonts w:ascii="Times New Roman" w:cs="Times New Roman" w:eastAsia="Times New Roman" w:hAnsi="Times New Roman"/>
          <w:sz w:val="12"/>
          <w:szCs w:val="12"/>
          <w:color w:val="auto"/>
        </w:rPr>
        <w:t>. No course of dealing or any delay or failure to exercise any right hereunder on the part of Holder shall operate as a waiver of such right or otherwise prejudice the Holder’s rights, powers or remedies (notwithstanding the fact that the right to exercise this Warrant terminates on the Termination Date).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22" w:lineRule="exact"/>
        <w:rPr>
          <w:rFonts w:ascii="Times New Roman" w:cs="Times New Roman" w:eastAsia="Times New Roman" w:hAnsi="Times New Roman"/>
          <w:sz w:val="12"/>
          <w:szCs w:val="12"/>
          <w:color w:val="auto"/>
        </w:rPr>
      </w:pPr>
    </w:p>
    <w:p>
      <w:pPr>
        <w:ind w:firstLine="208"/>
        <w:spacing w:after="0" w:line="254" w:lineRule="auto"/>
        <w:tabs>
          <w:tab w:leader="none" w:pos="346"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Notices</w:t>
      </w:r>
      <w:r>
        <w:rPr>
          <w:rFonts w:ascii="Times New Roman" w:cs="Times New Roman" w:eastAsia="Times New Roman" w:hAnsi="Times New Roman"/>
          <w:sz w:val="12"/>
          <w:szCs w:val="12"/>
          <w:color w:val="auto"/>
        </w:rPr>
        <w:t>.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25 N. 38th Street 11th Floor Philadelphia, PA 19104, Attn: Principal Financial Officer, [***], 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address or address of such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prior to 5:30 p.m. (New York City time) on any date with no mail undeliverable or other rejection notice, (ii) the next Trading Day after the time of transmission, if such notice or communication is delivered via e-mail at the e-mail address set forth in this Section on a day that is not a Trading Day or later than 5:30 p.m. (New York City time) on any Trading Day with no mail undeliverable or other rejection notice, (iii) the second Trading Day following the date of mailing, if sent by U.S. nationally recognized overnight courier service, or (iv) upon actual receipt by the party to whom such notice is required to be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282575</wp:posOffset>
            </wp:positionV>
            <wp:extent cx="717804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0"/>
          </w:cols>
          <w:pgMar w:left="300" w:top="651" w:right="339" w:bottom="1440" w:gutter="0" w:footer="0" w:header="0"/>
        </w:sectPr>
      </w:pPr>
    </w:p>
    <w:bookmarkStart w:id="30" w:name="page31"/>
    <w:bookmarkEnd w:id="30"/>
    <w:p>
      <w:pPr>
        <w:jc w:val="center"/>
        <w:ind w:left="-20" w:right="80" w:firstLine="208"/>
        <w:spacing w:after="0" w:line="327" w:lineRule="auto"/>
        <w:tabs>
          <w:tab w:leader="none" w:pos="299" w:val="left"/>
        </w:tabs>
        <w:numPr>
          <w:ilvl w:val="0"/>
          <w:numId w:val="3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u w:val="single" w:color="auto"/>
          <w:color w:val="auto"/>
        </w:rPr>
        <w:t>Limitation of Liability</w:t>
      </w:r>
      <w:r>
        <w:rPr>
          <w:rFonts w:ascii="Times New Roman" w:cs="Times New Roman" w:eastAsia="Times New Roman" w:hAnsi="Times New Roman"/>
          <w:sz w:val="11"/>
          <w:szCs w:val="11"/>
          <w:color w:val="auto"/>
        </w:rPr>
        <w:t>. No provision hereof, in the absence of any affirmative action by the Holder to exercise this Warrant to purchase Warrant Shares or Pre-Funded Warrants,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87" w:lineRule="exact"/>
        <w:rPr>
          <w:rFonts w:ascii="Times New Roman" w:cs="Times New Roman" w:eastAsia="Times New Roman" w:hAnsi="Times New Roman"/>
          <w:sz w:val="11"/>
          <w:szCs w:val="11"/>
          <w:color w:val="auto"/>
        </w:rPr>
      </w:pPr>
    </w:p>
    <w:p>
      <w:pPr>
        <w:ind w:left="-20" w:firstLine="208"/>
        <w:spacing w:after="0" w:line="265" w:lineRule="auto"/>
        <w:tabs>
          <w:tab w:leader="none" w:pos="299"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Remedies</w:t>
      </w:r>
      <w:r>
        <w:rPr>
          <w:rFonts w:ascii="Times New Roman" w:cs="Times New Roman" w:eastAsia="Times New Roman" w:hAnsi="Times New Roman"/>
          <w:sz w:val="12"/>
          <w:szCs w:val="12"/>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18" w:lineRule="exact"/>
        <w:rPr>
          <w:rFonts w:ascii="Times New Roman" w:cs="Times New Roman" w:eastAsia="Times New Roman" w:hAnsi="Times New Roman"/>
          <w:sz w:val="12"/>
          <w:szCs w:val="12"/>
          <w:color w:val="auto"/>
        </w:rPr>
      </w:pPr>
    </w:p>
    <w:p>
      <w:pPr>
        <w:ind w:left="-20" w:right="20" w:firstLine="208"/>
        <w:spacing w:after="0" w:line="265" w:lineRule="auto"/>
        <w:tabs>
          <w:tab w:leader="none" w:pos="326"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Successors and Assigns</w:t>
      </w:r>
      <w:r>
        <w:rPr>
          <w:rFonts w:ascii="Times New Roman" w:cs="Times New Roman" w:eastAsia="Times New Roman" w:hAnsi="Times New Roman"/>
          <w:sz w:val="12"/>
          <w:szCs w:val="12"/>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 or Pre-Funded Warrants.</w:t>
      </w:r>
    </w:p>
    <w:p>
      <w:pPr>
        <w:spacing w:after="0" w:line="118" w:lineRule="exact"/>
        <w:rPr>
          <w:rFonts w:ascii="Times New Roman" w:cs="Times New Roman" w:eastAsia="Times New Roman" w:hAnsi="Times New Roman"/>
          <w:sz w:val="12"/>
          <w:szCs w:val="12"/>
          <w:color w:val="auto"/>
        </w:rPr>
      </w:pPr>
    </w:p>
    <w:p>
      <w:pPr>
        <w:ind w:left="300" w:hanging="112"/>
        <w:spacing w:after="0"/>
        <w:tabs>
          <w:tab w:leader="none" w:pos="30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Amendment</w:t>
      </w:r>
      <w:r>
        <w:rPr>
          <w:rFonts w:ascii="Times New Roman" w:cs="Times New Roman" w:eastAsia="Times New Roman" w:hAnsi="Times New Roman"/>
          <w:sz w:val="12"/>
          <w:szCs w:val="12"/>
          <w:color w:val="auto"/>
        </w:rPr>
        <w:t>. This Warrant may be modified or amended or the provisions hereof waived with the written consent of the Company, on the one hand, and the Holder, on the other hand.</w:t>
      </w:r>
    </w:p>
    <w:p>
      <w:pPr>
        <w:spacing w:after="0" w:line="150" w:lineRule="exact"/>
        <w:rPr>
          <w:rFonts w:ascii="Times New Roman" w:cs="Times New Roman" w:eastAsia="Times New Roman" w:hAnsi="Times New Roman"/>
          <w:sz w:val="12"/>
          <w:szCs w:val="12"/>
          <w:color w:val="auto"/>
        </w:rPr>
      </w:pPr>
    </w:p>
    <w:p>
      <w:pPr>
        <w:ind w:left="-20" w:right="180" w:firstLine="208"/>
        <w:spacing w:after="0" w:line="279" w:lineRule="auto"/>
        <w:tabs>
          <w:tab w:leader="none" w:pos="359"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Severability</w:t>
      </w:r>
      <w:r>
        <w:rPr>
          <w:rFonts w:ascii="Times New Roman" w:cs="Times New Roman" w:eastAsia="Times New Roman" w:hAnsi="Times New Roman"/>
          <w:sz w:val="12"/>
          <w:szCs w:val="12"/>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11" w:lineRule="exact"/>
        <w:rPr>
          <w:rFonts w:ascii="Times New Roman" w:cs="Times New Roman" w:eastAsia="Times New Roman" w:hAnsi="Times New Roman"/>
          <w:sz w:val="12"/>
          <w:szCs w:val="12"/>
          <w:color w:val="auto"/>
        </w:rPr>
      </w:pPr>
    </w:p>
    <w:p>
      <w:pPr>
        <w:ind w:left="320" w:hanging="132"/>
        <w:spacing w:after="0"/>
        <w:tabs>
          <w:tab w:leader="none" w:pos="3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Headings</w:t>
      </w:r>
      <w:r>
        <w:rPr>
          <w:rFonts w:ascii="Times New Roman" w:cs="Times New Roman" w:eastAsia="Times New Roman" w:hAnsi="Times New Roman"/>
          <w:sz w:val="12"/>
          <w:szCs w:val="12"/>
          <w:color w:val="auto"/>
        </w:rPr>
        <w:t>. The headings used in this Warrant are for the convenience of reference only and shall not, for any purpose, be deemed a part of this Warrant.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296545</wp:posOffset>
            </wp:positionV>
            <wp:extent cx="717804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31" w:name="page32"/>
    <w:bookmarkEnd w:id="31"/>
    <w:p>
      <w:pPr>
        <w:ind w:left="200"/>
        <w:spacing w:after="0"/>
        <w:rPr>
          <w:sz w:val="20"/>
          <w:szCs w:val="20"/>
          <w:color w:val="auto"/>
        </w:rPr>
      </w:pPr>
      <w:r>
        <w:rPr>
          <w:rFonts w:ascii="Times New Roman" w:cs="Times New Roman" w:eastAsia="Times New Roman" w:hAnsi="Times New Roman"/>
          <w:sz w:val="12"/>
          <w:szCs w:val="12"/>
          <w:color w:val="auto"/>
        </w:rPr>
        <w:t>IN WITNESS WHEREOF, the Company has caused this Warrant to be executed by its officer thereunto duly authorized as of the date first above indicated.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CENTURY THERAPEUTICS, INC.</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340" w:type="dxa"/>
            <w:vAlign w:val="bottom"/>
          </w:tcPr>
          <w:p>
            <w:pPr>
              <w:spacing w:after="0"/>
              <w:rPr>
                <w:sz w:val="10"/>
                <w:szCs w:val="10"/>
                <w:color w:val="auto"/>
              </w:rPr>
            </w:pPr>
          </w:p>
        </w:tc>
        <w:tc>
          <w:tcPr>
            <w:tcW w:w="44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4860" w:type="dxa"/>
            <w:vAlign w:val="bottom"/>
            <w:tcBorders>
              <w:top w:val="single" w:sz="8" w:color="auto"/>
            </w:tcBorders>
          </w:tcPr>
          <w:p>
            <w:pPr>
              <w:ind w:left="120"/>
              <w:spacing w:after="0" w:line="122" w:lineRule="exact"/>
              <w:rPr>
                <w:sz w:val="20"/>
                <w:szCs w:val="20"/>
                <w:color w:val="auto"/>
              </w:rPr>
            </w:pPr>
            <w:r>
              <w:rPr>
                <w:rFonts w:ascii="Times New Roman" w:cs="Times New Roman" w:eastAsia="Times New Roman" w:hAnsi="Times New Roman"/>
                <w:sz w:val="12"/>
                <w:szCs w:val="12"/>
                <w:color w:val="auto"/>
              </w:rPr>
              <w:t>Brent Pfeiffenberger, Pharm D</w:t>
            </w:r>
          </w:p>
        </w:tc>
        <w:tc>
          <w:tcPr>
            <w:tcW w:w="5660" w:type="dxa"/>
            <w:vAlign w:val="bottom"/>
          </w:tcPr>
          <w:p>
            <w:pPr>
              <w:spacing w:after="0"/>
              <w:rPr>
                <w:sz w:val="10"/>
                <w:szCs w:val="10"/>
                <w:color w:val="auto"/>
              </w:rPr>
            </w:pPr>
          </w:p>
        </w:tc>
      </w:tr>
      <w:tr>
        <w:trPr>
          <w:trHeight w:val="155"/>
        </w:trPr>
        <w:tc>
          <w:tcPr>
            <w:tcW w:w="340" w:type="dxa"/>
            <w:vAlign w:val="bottom"/>
          </w:tcPr>
          <w:p>
            <w:pPr>
              <w:spacing w:after="0"/>
              <w:rPr>
                <w:sz w:val="13"/>
                <w:szCs w:val="13"/>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48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President and Chief Executive Officer</w:t>
            </w:r>
          </w:p>
        </w:tc>
        <w:tc>
          <w:tcPr>
            <w:tcW w:w="5660" w:type="dxa"/>
            <w:vAlign w:val="bottom"/>
          </w:tcPr>
          <w:p>
            <w:pPr>
              <w:spacing w:after="0"/>
              <w:rPr>
                <w:sz w:val="13"/>
                <w:szCs w:val="13"/>
                <w:color w:val="auto"/>
              </w:rPr>
            </w:pPr>
          </w:p>
        </w:tc>
      </w:tr>
      <w:tr>
        <w:trPr>
          <w:trHeight w:val="450"/>
        </w:trPr>
        <w:tc>
          <w:tcPr>
            <w:tcW w:w="3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51" w:right="299" w:bottom="1440" w:gutter="0" w:footer="0" w:header="0"/>
        </w:sectPr>
      </w:pPr>
    </w:p>
    <w:bookmarkStart w:id="32" w:name="page33"/>
    <w:bookmarkEnd w:id="32"/>
    <w:p>
      <w:pPr>
        <w:jc w:val="center"/>
        <w:ind w:right="-87"/>
        <w:spacing w:after="0"/>
        <w:rPr>
          <w:sz w:val="20"/>
          <w:szCs w:val="20"/>
          <w:color w:val="auto"/>
        </w:rPr>
      </w:pPr>
      <w:r>
        <w:rPr>
          <w:rFonts w:ascii="Times New Roman" w:cs="Times New Roman" w:eastAsia="Times New Roman" w:hAnsi="Times New Roman"/>
          <w:sz w:val="12"/>
          <w:szCs w:val="12"/>
          <w:b w:val="1"/>
          <w:bCs w:val="1"/>
          <w:color w:val="auto"/>
        </w:rPr>
        <w:t>NOTICE OF EXERCISE</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xml:space="preserve">TO: </w:t>
      </w:r>
      <w:r>
        <w:rPr>
          <w:rFonts w:ascii="Times New Roman" w:cs="Times New Roman" w:eastAsia="Times New Roman" w:hAnsi="Times New Roman"/>
          <w:sz w:val="12"/>
          <w:szCs w:val="12"/>
          <w:b w:val="1"/>
          <w:bCs w:val="1"/>
          <w:color w:val="auto"/>
        </w:rPr>
        <w:t>CENTURY THERAPEUTICS, INC.</w:t>
      </w:r>
    </w:p>
    <w:p>
      <w:pPr>
        <w:spacing w:after="0" w:line="154" w:lineRule="exact"/>
        <w:rPr>
          <w:sz w:val="20"/>
          <w:szCs w:val="20"/>
          <w:color w:val="auto"/>
        </w:rPr>
      </w:pPr>
    </w:p>
    <w:p>
      <w:pPr>
        <w:ind w:left="8" w:right="60" w:firstLine="640"/>
        <w:spacing w:after="0" w:line="279" w:lineRule="auto"/>
        <w:tabs>
          <w:tab w:leader="none" w:pos="824"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undersigned hereby elects to purchase ________ Warrant Shares or Pre-Funded Warrants of the Company pursuant to the terms of the attached Warrant (only if exercised in full), and tenders herewith payment of the exercise price in full, together with all applicable transfer taxes, if any.</w:t>
      </w:r>
    </w:p>
    <w:p>
      <w:pPr>
        <w:spacing w:after="0" w:line="111" w:lineRule="exact"/>
        <w:rPr>
          <w:rFonts w:ascii="Times New Roman" w:cs="Times New Roman" w:eastAsia="Times New Roman" w:hAnsi="Times New Roman"/>
          <w:sz w:val="12"/>
          <w:szCs w:val="12"/>
          <w:color w:val="auto"/>
        </w:rPr>
      </w:pPr>
    </w:p>
    <w:p>
      <w:pPr>
        <w:ind w:left="808" w:hanging="160"/>
        <w:spacing w:after="0"/>
        <w:tabs>
          <w:tab w:leader="none" w:pos="808"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Payment shall take the form of (check applicable box):</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 in lawful money of the United States; or</w:t>
      </w:r>
    </w:p>
    <w:p>
      <w:pPr>
        <w:spacing w:after="0" w:line="150" w:lineRule="exact"/>
        <w:rPr>
          <w:sz w:val="20"/>
          <w:szCs w:val="20"/>
          <w:color w:val="auto"/>
        </w:rPr>
      </w:pPr>
    </w:p>
    <w:p>
      <w:pPr>
        <w:ind w:left="8" w:right="120" w:hanging="8"/>
        <w:spacing w:after="0" w:line="279" w:lineRule="auto"/>
        <w:tabs>
          <w:tab w:leader="none" w:pos="78"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if permitted, the cancellation of such number of Warrant Shares or Pre-Funded Warrants as is necessary, in accordance with the formula set forth in subsection 2(c), to exercise this Warrant with respect to the maximum number of Warrant Shares or Pre-Funded Warrants purchasable pursuant to the cashless exercise procedure set forth in subsection 2(c).</w:t>
      </w:r>
    </w:p>
    <w:p>
      <w:pPr>
        <w:spacing w:after="0" w:line="111" w:lineRule="exact"/>
        <w:rPr>
          <w:rFonts w:ascii="Times New Roman" w:cs="Times New Roman" w:eastAsia="Times New Roman" w:hAnsi="Times New Roman"/>
          <w:sz w:val="12"/>
          <w:szCs w:val="12"/>
          <w:color w:val="auto"/>
        </w:rPr>
      </w:pPr>
    </w:p>
    <w:p>
      <w:pPr>
        <w:ind w:left="8" w:firstLine="640"/>
        <w:spacing w:after="0" w:line="279" w:lineRule="auto"/>
        <w:tabs>
          <w:tab w:leader="none" w:pos="826" w:val="left"/>
        </w:tabs>
        <w:numPr>
          <w:ilvl w:val="1"/>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 The Holder hereby elects to receive a Pre-Funded Warrant (in the form attached hereto as Exhibit A) to purchase an identical number of shares of Common Stock that it would receive if it had exercised this Warrant for shares of Common Stock in lieu of receiving the Warrant Shares in accordance with this Warrant.</w:t>
      </w:r>
    </w:p>
    <w:p>
      <w:pPr>
        <w:spacing w:after="0" w:line="111" w:lineRule="exact"/>
        <w:rPr>
          <w:rFonts w:ascii="Times New Roman" w:cs="Times New Roman" w:eastAsia="Times New Roman" w:hAnsi="Times New Roman"/>
          <w:sz w:val="12"/>
          <w:szCs w:val="12"/>
          <w:color w:val="auto"/>
        </w:rPr>
      </w:pPr>
    </w:p>
    <w:p>
      <w:pPr>
        <w:ind w:left="808" w:hanging="160"/>
        <w:spacing w:after="0"/>
        <w:tabs>
          <w:tab w:leader="none" w:pos="808" w:val="left"/>
        </w:tabs>
        <w:numPr>
          <w:ilvl w:val="1"/>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Please issue said Warrant Shares or Pre-Funded Warrants in the name of the undersigned or in such other name as is specified below:</w:t>
      </w:r>
    </w:p>
    <w:p>
      <w:pPr>
        <w:spacing w:after="0" w:line="200" w:lineRule="exact"/>
        <w:rPr>
          <w:rFonts w:ascii="Times New Roman" w:cs="Times New Roman" w:eastAsia="Times New Roman" w:hAnsi="Times New Roman"/>
          <w:sz w:val="12"/>
          <w:szCs w:val="12"/>
          <w:color w:val="auto"/>
        </w:rPr>
      </w:pPr>
    </w:p>
    <w:p>
      <w:pPr>
        <w:spacing w:after="0" w:line="247" w:lineRule="exact"/>
        <w:rPr>
          <w:rFonts w:ascii="Times New Roman" w:cs="Times New Roman" w:eastAsia="Times New Roman" w:hAnsi="Times New Roman"/>
          <w:sz w:val="12"/>
          <w:szCs w:val="12"/>
          <w:color w:val="auto"/>
        </w:rPr>
      </w:pPr>
    </w:p>
    <w:p>
      <w:pPr>
        <w:ind w:left="8" w:right="20" w:firstLine="640"/>
        <w:spacing w:after="0" w:line="279" w:lineRule="auto"/>
        <w:tabs>
          <w:tab w:leader="none" w:pos="826" w:val="left"/>
        </w:tabs>
        <w:numPr>
          <w:ilvl w:val="1"/>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By its delivery of this Notice of Exercise, the undersigned represents and warrants to the Company that in giving effect to the exercise evidenced hereby the Holder will not beneficially own in excess of the number of shares of Common Stock (as determined in accordance with Section 13(d) of the Securities Exchange Act of 1934, as amended) permitted to be owned under Section 2(e) of the Warrant to which this notice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-293370</wp:posOffset>
            </wp:positionV>
            <wp:extent cx="645795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457950" cy="5715"/>
                    </a:xfrm>
                    <a:prstGeom prst="rect">
                      <a:avLst/>
                    </a:prstGeom>
                    <a:noFill/>
                  </pic:spPr>
                </pic:pic>
              </a:graphicData>
            </a:graphic>
          </wp:anchor>
        </w:drawing>
      </w:r>
    </w:p>
    <w:p>
      <w:pPr>
        <w:spacing w:after="0" w:line="9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Warrant Shares shall be delivered to the following DWAC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387985</wp:posOffset>
            </wp:positionV>
            <wp:extent cx="645795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457950" cy="5715"/>
                    </a:xfrm>
                    <a:prstGeom prst="rect">
                      <a:avLst/>
                    </a:prstGeom>
                    <a:noFill/>
                  </pic:spPr>
                </pic:pic>
              </a:graphicData>
            </a:graphic>
          </wp:anchor>
        </w:drawing>
        <w:drawing>
          <wp:anchor simplePos="0" relativeHeight="251657728" behindDoc="1" locked="0" layoutInCell="0" allowOverlap="1">
            <wp:simplePos x="0" y="0"/>
            <wp:positionH relativeFrom="column">
              <wp:posOffset>720090</wp:posOffset>
            </wp:positionH>
            <wp:positionV relativeFrom="paragraph">
              <wp:posOffset>290830</wp:posOffset>
            </wp:positionV>
            <wp:extent cx="645795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457950" cy="5715"/>
                    </a:xfrm>
                    <a:prstGeom prst="rect">
                      <a:avLst/>
                    </a:prstGeom>
                    <a:noFill/>
                  </pic:spPr>
                </pic:pic>
              </a:graphicData>
            </a:graphic>
          </wp:anchor>
        </w:drawing>
        <w:drawing>
          <wp:anchor simplePos="0" relativeHeight="251657728" behindDoc="1" locked="0" layoutInCell="0" allowOverlap="1">
            <wp:simplePos x="0" y="0"/>
            <wp:positionH relativeFrom="column">
              <wp:posOffset>720090</wp:posOffset>
            </wp:positionH>
            <wp:positionV relativeFrom="paragraph">
              <wp:posOffset>193675</wp:posOffset>
            </wp:positionV>
            <wp:extent cx="645795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45795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[SIGNATURE OF HOLDER]</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Name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10795</wp:posOffset>
            </wp:positionV>
            <wp:extent cx="595503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55030" cy="5715"/>
                    </a:xfrm>
                    <a:prstGeom prst="rect">
                      <a:avLst/>
                    </a:prstGeom>
                    <a:noFill/>
                  </pic:spPr>
                </pic:pic>
              </a:graphicData>
            </a:graphic>
          </wp:anchor>
        </w:drawing>
      </w:r>
    </w:p>
    <w:p>
      <w:pPr>
        <w:spacing w:after="0" w:line="13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Signature of Authorized Signatory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2588895</wp:posOffset>
            </wp:positionH>
            <wp:positionV relativeFrom="paragraph">
              <wp:posOffset>12065</wp:posOffset>
            </wp:positionV>
            <wp:extent cx="4589145"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589145" cy="5715"/>
                    </a:xfrm>
                    <a:prstGeom prst="rect">
                      <a:avLst/>
                    </a:prstGeom>
                    <a:noFill/>
                  </pic:spPr>
                </pic:pic>
              </a:graphicData>
            </a:graphic>
          </wp:anchor>
        </w:drawing>
      </w:r>
    </w:p>
    <w:p>
      <w:pPr>
        <w:spacing w:after="0" w:line="14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1508760</wp:posOffset>
            </wp:positionH>
            <wp:positionV relativeFrom="paragraph">
              <wp:posOffset>10795</wp:posOffset>
            </wp:positionV>
            <wp:extent cx="566928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69280" cy="5715"/>
                    </a:xfrm>
                    <a:prstGeom prst="rect">
                      <a:avLst/>
                    </a:prstGeom>
                    <a:noFill/>
                  </pic:spPr>
                </pic:pic>
              </a:graphicData>
            </a:graphic>
          </wp:anchor>
        </w:drawing>
      </w:r>
    </w:p>
    <w:p>
      <w:pPr>
        <w:spacing w:after="0" w:line="13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1508760</wp:posOffset>
            </wp:positionH>
            <wp:positionV relativeFrom="paragraph">
              <wp:posOffset>10795</wp:posOffset>
            </wp:positionV>
            <wp:extent cx="566928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69280" cy="5715"/>
                    </a:xfrm>
                    <a:prstGeom prst="rect">
                      <a:avLst/>
                    </a:prstGeom>
                    <a:noFill/>
                  </pic:spPr>
                </pic:pic>
              </a:graphicData>
            </a:graphic>
          </wp:anchor>
        </w:drawing>
      </w:r>
    </w:p>
    <w:p>
      <w:pPr>
        <w:spacing w:after="0" w:line="13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10795</wp:posOffset>
            </wp:positionV>
            <wp:extent cx="681799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1799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302260</wp:posOffset>
            </wp:positionV>
            <wp:extent cx="717804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28"/>
          </w:cols>
          <w:pgMar w:left="292" w:top="647" w:right="379" w:bottom="1440" w:gutter="0" w:footer="0" w:header="0"/>
        </w:sectPr>
      </w:pPr>
    </w:p>
    <w:bookmarkStart w:id="33" w:name="page34"/>
    <w:bookmarkEnd w:id="33"/>
    <w:p>
      <w:pPr>
        <w:ind w:left="5040"/>
        <w:spacing w:after="0"/>
        <w:rPr>
          <w:sz w:val="20"/>
          <w:szCs w:val="20"/>
          <w:color w:val="auto"/>
        </w:rPr>
      </w:pPr>
      <w:r>
        <w:rPr>
          <w:rFonts w:ascii="Times New Roman" w:cs="Times New Roman" w:eastAsia="Times New Roman" w:hAnsi="Times New Roman"/>
          <w:sz w:val="12"/>
          <w:szCs w:val="12"/>
          <w:b w:val="1"/>
          <w:bCs w:val="1"/>
          <w:color w:val="auto"/>
        </w:rPr>
        <w:t>ASSIGNMENT FORM</w:t>
      </w:r>
    </w:p>
    <w:p>
      <w:pPr>
        <w:spacing w:after="0" w:line="1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(To assign the foregoing Warrant, execute this form and supply required information. Do not use this form to purchase shares.)</w:t>
      </w:r>
    </w:p>
    <w:p>
      <w:pPr>
        <w:spacing w:after="0" w:line="1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FOR VALUE RECEIVED, the foregoing Warrant and all rights evidenced thereby are hereby assigned to</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5166995</wp:posOffset>
            </wp:positionH>
            <wp:positionV relativeFrom="paragraph">
              <wp:posOffset>10795</wp:posOffset>
            </wp:positionV>
            <wp:extent cx="1868805"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68805" cy="5715"/>
                    </a:xfrm>
                    <a:prstGeom prst="rect">
                      <a:avLst/>
                    </a:prstGeom>
                    <a:noFill/>
                  </pic:spPr>
                </pic:pic>
              </a:graphicData>
            </a:graphic>
          </wp:anchor>
        </w:drawing>
      </w:r>
    </w:p>
    <w:p>
      <w:pPr>
        <w:spacing w:after="0" w:line="139" w:lineRule="exact"/>
        <w:rPr>
          <w:sz w:val="20"/>
          <w:szCs w:val="20"/>
          <w:color w:val="auto"/>
        </w:rPr>
      </w:pPr>
    </w:p>
    <w:p>
      <w:pPr>
        <w:jc w:val="right"/>
        <w:ind w:right="1259"/>
        <w:spacing w:after="0"/>
        <w:rPr>
          <w:sz w:val="20"/>
          <w:szCs w:val="20"/>
          <w:color w:val="auto"/>
        </w:rPr>
      </w:pPr>
      <w:r>
        <w:rPr>
          <w:rFonts w:ascii="Times New Roman" w:cs="Times New Roman" w:eastAsia="Times New Roman" w:hAnsi="Times New Roman"/>
          <w:sz w:val="12"/>
          <w:szCs w:val="12"/>
          <w:color w:val="auto"/>
        </w:rPr>
        <w:t>(Please Print)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5166995</wp:posOffset>
            </wp:positionH>
            <wp:positionV relativeFrom="paragraph">
              <wp:posOffset>10795</wp:posOffset>
            </wp:positionV>
            <wp:extent cx="1868805"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68805" cy="5715"/>
                    </a:xfrm>
                    <a:prstGeom prst="rect">
                      <a:avLst/>
                    </a:prstGeom>
                    <a:noFill/>
                  </pic:spPr>
                </pic:pic>
              </a:graphicData>
            </a:graphic>
          </wp:anchor>
        </w:drawing>
      </w:r>
    </w:p>
    <w:p>
      <w:pPr>
        <w:spacing w:after="0" w:line="139" w:lineRule="exact"/>
        <w:rPr>
          <w:sz w:val="20"/>
          <w:szCs w:val="20"/>
          <w:color w:val="auto"/>
        </w:rPr>
      </w:pPr>
    </w:p>
    <w:p>
      <w:pPr>
        <w:jc w:val="right"/>
        <w:ind w:right="1259"/>
        <w:spacing w:after="0"/>
        <w:rPr>
          <w:sz w:val="20"/>
          <w:szCs w:val="20"/>
          <w:color w:val="auto"/>
        </w:rPr>
      </w:pPr>
      <w:r>
        <w:rPr>
          <w:rFonts w:ascii="Times New Roman" w:cs="Times New Roman" w:eastAsia="Times New Roman" w:hAnsi="Times New Roman"/>
          <w:sz w:val="12"/>
          <w:szCs w:val="12"/>
          <w:color w:val="auto"/>
        </w:rPr>
        <w:t>(Please Print)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5166995</wp:posOffset>
            </wp:positionH>
            <wp:positionV relativeFrom="paragraph">
              <wp:posOffset>10795</wp:posOffset>
            </wp:positionV>
            <wp:extent cx="1868805"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68805" cy="5715"/>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5166995</wp:posOffset>
            </wp:positionH>
            <wp:positionV relativeFrom="paragraph">
              <wp:posOffset>10795</wp:posOffset>
            </wp:positionV>
            <wp:extent cx="1868805"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68805" cy="5715"/>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Dated: _______________ __, ______</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Holder’s Signature: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7804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47" w:right="1440"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Exhibit A</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306070</wp:posOffset>
            </wp:positionV>
            <wp:extent cx="717804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47" w:right="1440"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u w:val="single" w:color="auto"/>
          <w:color w:val="auto"/>
        </w:rPr>
        <w:t>SECURITIES PURCHASE AGREEMENT</w:t>
      </w:r>
    </w:p>
    <w:p>
      <w:pPr>
        <w:spacing w:after="0" w:line="154" w:lineRule="exact"/>
        <w:rPr>
          <w:sz w:val="20"/>
          <w:szCs w:val="20"/>
          <w:color w:val="auto"/>
        </w:rPr>
      </w:pPr>
    </w:p>
    <w:p>
      <w:pPr>
        <w:ind w:left="8" w:right="100" w:firstLine="216"/>
        <w:spacing w:after="0" w:line="279" w:lineRule="auto"/>
        <w:rPr>
          <w:sz w:val="20"/>
          <w:szCs w:val="20"/>
          <w:color w:val="auto"/>
        </w:rPr>
      </w:pPr>
      <w:r>
        <w:rPr>
          <w:rFonts w:ascii="Times New Roman" w:cs="Times New Roman" w:eastAsia="Times New Roman" w:hAnsi="Times New Roman"/>
          <w:sz w:val="12"/>
          <w:szCs w:val="12"/>
          <w:color w:val="auto"/>
        </w:rPr>
        <w:t>This SECURITIES PURCHASE AGREEMENT (this “</w:t>
      </w: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 is made and entered into as of January 7, 2026 by and among Century Therapeutics, Inc., a Delaware corporation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xml:space="preserve">”), and the Investors identified on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xml:space="preserve"> attached hereto (each an “</w:t>
      </w:r>
      <w:r>
        <w:rPr>
          <w:rFonts w:ascii="Times New Roman" w:cs="Times New Roman" w:eastAsia="Times New Roman" w:hAnsi="Times New Roman"/>
          <w:sz w:val="12"/>
          <w:szCs w:val="12"/>
          <w:u w:val="single" w:color="auto"/>
          <w:color w:val="auto"/>
        </w:rPr>
        <w:t>Investor</w:t>
      </w:r>
      <w:r>
        <w:rPr>
          <w:rFonts w:ascii="Times New Roman" w:cs="Times New Roman" w:eastAsia="Times New Roman" w:hAnsi="Times New Roman"/>
          <w:sz w:val="12"/>
          <w:szCs w:val="12"/>
          <w:color w:val="auto"/>
        </w:rPr>
        <w:t>” and collectively the “</w:t>
      </w:r>
      <w:r>
        <w:rPr>
          <w:rFonts w:ascii="Times New Roman" w:cs="Times New Roman" w:eastAsia="Times New Roman" w:hAnsi="Times New Roman"/>
          <w:sz w:val="12"/>
          <w:szCs w:val="12"/>
          <w:u w:val="single" w:color="auto"/>
          <w:color w:val="auto"/>
        </w:rPr>
        <w:t>Investors</w:t>
      </w:r>
      <w:r>
        <w:rPr>
          <w:rFonts w:ascii="Times New Roman" w:cs="Times New Roman" w:eastAsia="Times New Roman" w:hAnsi="Times New Roman"/>
          <w:sz w:val="12"/>
          <w:szCs w:val="12"/>
          <w:color w:val="auto"/>
        </w:rPr>
        <w:t>”).</w:t>
      </w:r>
    </w:p>
    <w:p>
      <w:pPr>
        <w:spacing w:after="0" w:line="10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RECITALS</w:t>
      </w:r>
    </w:p>
    <w:p>
      <w:pPr>
        <w:spacing w:after="0" w:line="154"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A. The Company and the Investors are executing and delivering this Agreement in reliance upon the exemption from securities registration afforded by the provisions of Section 4(a)(2) of the 1933 Act (as defined below);</w:t>
      </w:r>
    </w:p>
    <w:p>
      <w:pPr>
        <w:spacing w:after="0" w:line="150" w:lineRule="exact"/>
        <w:rPr>
          <w:sz w:val="20"/>
          <w:szCs w:val="20"/>
          <w:color w:val="auto"/>
        </w:rPr>
      </w:pPr>
    </w:p>
    <w:p>
      <w:pPr>
        <w:ind w:left="8" w:right="60" w:firstLine="216"/>
        <w:spacing w:after="0" w:line="259" w:lineRule="auto"/>
        <w:rPr>
          <w:sz w:val="20"/>
          <w:szCs w:val="20"/>
          <w:color w:val="auto"/>
        </w:rPr>
      </w:pPr>
      <w:r>
        <w:rPr>
          <w:rFonts w:ascii="Times New Roman" w:cs="Times New Roman" w:eastAsia="Times New Roman" w:hAnsi="Times New Roman"/>
          <w:sz w:val="12"/>
          <w:szCs w:val="12"/>
          <w:color w:val="auto"/>
        </w:rPr>
        <w:t>B. Each Investor, severally and not jointly, wishes to purchase from the Company, and the Company wishes to sell and issue, upon the terms and subject to the conditions stated in this Agreement, (i) (X) one share (the “</w:t>
      </w:r>
      <w:r>
        <w:rPr>
          <w:rFonts w:ascii="Times New Roman" w:cs="Times New Roman" w:eastAsia="Times New Roman" w:hAnsi="Times New Roman"/>
          <w:sz w:val="12"/>
          <w:szCs w:val="12"/>
          <w:u w:val="single" w:color="auto"/>
          <w:color w:val="auto"/>
        </w:rPr>
        <w:t>Shares</w:t>
      </w:r>
      <w:r>
        <w:rPr>
          <w:rFonts w:ascii="Times New Roman" w:cs="Times New Roman" w:eastAsia="Times New Roman" w:hAnsi="Times New Roman"/>
          <w:sz w:val="12"/>
          <w:szCs w:val="12"/>
          <w:color w:val="auto"/>
        </w:rPr>
        <w:t>”) of the Company’s Common Stock, par value $0.0001 per share (the “</w:t>
      </w:r>
      <w:r>
        <w:rPr>
          <w:rFonts w:ascii="Times New Roman" w:cs="Times New Roman" w:eastAsia="Times New Roman" w:hAnsi="Times New Roman"/>
          <w:sz w:val="12"/>
          <w:szCs w:val="12"/>
          <w:u w:val="single" w:color="auto"/>
          <w:color w:val="auto"/>
        </w:rPr>
        <w:t>Common Stock</w:t>
      </w:r>
      <w:r>
        <w:rPr>
          <w:rFonts w:ascii="Times New Roman" w:cs="Times New Roman" w:eastAsia="Times New Roman" w:hAnsi="Times New Roman"/>
          <w:sz w:val="12"/>
          <w:szCs w:val="12"/>
          <w:color w:val="auto"/>
        </w:rPr>
        <w:t>”) or (Y) one pre-funded warrant to purchase one share of Common Stock (the “</w:t>
      </w:r>
      <w:r>
        <w:rPr>
          <w:rFonts w:ascii="Times New Roman" w:cs="Times New Roman" w:eastAsia="Times New Roman" w:hAnsi="Times New Roman"/>
          <w:sz w:val="12"/>
          <w:szCs w:val="12"/>
          <w:u w:val="single" w:color="auto"/>
          <w:color w:val="auto"/>
        </w:rPr>
        <w:t>Pre-Funded Warrants</w:t>
      </w:r>
      <w:r>
        <w:rPr>
          <w:rFonts w:ascii="Times New Roman" w:cs="Times New Roman" w:eastAsia="Times New Roman" w:hAnsi="Times New Roman"/>
          <w:sz w:val="12"/>
          <w:szCs w:val="12"/>
          <w:color w:val="auto"/>
        </w:rPr>
        <w:t xml:space="preserve">”) in the form attached hereto as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and</w:t>
      </w:r>
    </w:p>
    <w:p>
      <w:pPr>
        <w:spacing w:after="0" w:line="1" w:lineRule="exact"/>
        <w:rPr>
          <w:sz w:val="20"/>
          <w:szCs w:val="20"/>
          <w:color w:val="auto"/>
        </w:rPr>
      </w:pPr>
    </w:p>
    <w:p>
      <w:pPr>
        <w:ind w:left="8" w:right="380" w:hanging="8"/>
        <w:spacing w:after="0" w:line="260" w:lineRule="auto"/>
        <w:tabs>
          <w:tab w:leader="none" w:pos="185"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one warrant to purchase one-half of a share of Common Stock (or pre-funded warrants in lieu of shares of Common Stock) in the form attached hereto as </w:t>
      </w:r>
      <w:r>
        <w:rPr>
          <w:rFonts w:ascii="Times New Roman" w:cs="Times New Roman" w:eastAsia="Times New Roman" w:hAnsi="Times New Roman"/>
          <w:sz w:val="12"/>
          <w:szCs w:val="12"/>
          <w:u w:val="single" w:color="auto"/>
          <w:color w:val="auto"/>
        </w:rPr>
        <w:t>Exhibit C</w:t>
      </w:r>
      <w:r>
        <w:rPr>
          <w:rFonts w:ascii="Times New Roman" w:cs="Times New Roman" w:eastAsia="Times New Roman" w:hAnsi="Times New Roman"/>
          <w:sz w:val="12"/>
          <w:szCs w:val="12"/>
          <w:color w:val="auto"/>
        </w:rPr>
        <w:t xml:space="preserve"> (each, a “</w:t>
      </w:r>
      <w:r>
        <w:rPr>
          <w:rFonts w:ascii="Times New Roman" w:cs="Times New Roman" w:eastAsia="Times New Roman" w:hAnsi="Times New Roman"/>
          <w:sz w:val="12"/>
          <w:szCs w:val="12"/>
          <w:u w:val="single" w:color="auto"/>
          <w:color w:val="auto"/>
        </w:rPr>
        <w:t>Common Warrant</w:t>
      </w:r>
      <w:r>
        <w:rPr>
          <w:rFonts w:ascii="Times New Roman" w:cs="Times New Roman" w:eastAsia="Times New Roman" w:hAnsi="Times New Roman"/>
          <w:sz w:val="12"/>
          <w:szCs w:val="12"/>
          <w:color w:val="auto"/>
        </w:rPr>
        <w:t>” and collectively, the “</w:t>
      </w:r>
      <w:r>
        <w:rPr>
          <w:rFonts w:ascii="Times New Roman" w:cs="Times New Roman" w:eastAsia="Times New Roman" w:hAnsi="Times New Roman"/>
          <w:sz w:val="12"/>
          <w:szCs w:val="12"/>
          <w:u w:val="single" w:color="auto"/>
          <w:color w:val="auto"/>
        </w:rPr>
        <w:t>Common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Warrants</w:t>
      </w:r>
      <w:r>
        <w:rPr>
          <w:rFonts w:ascii="Times New Roman" w:cs="Times New Roman" w:eastAsia="Times New Roman" w:hAnsi="Times New Roman"/>
          <w:sz w:val="12"/>
          <w:szCs w:val="12"/>
          <w:color w:val="auto"/>
        </w:rPr>
        <w:t>”); and</w:t>
      </w:r>
    </w:p>
    <w:p>
      <w:pPr>
        <w:spacing w:after="0" w:line="122"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 xml:space="preserve">C. Contemporaneously with the sale of the Shares, Pre-Funded Warrants and Common Warrants, the parties hereto will execute and deliver a Registration Rights Agreement, in the form attached hereto as </w:t>
      </w:r>
      <w:r>
        <w:rPr>
          <w:rFonts w:ascii="Times New Roman" w:cs="Times New Roman" w:eastAsia="Times New Roman" w:hAnsi="Times New Roman"/>
          <w:sz w:val="12"/>
          <w:szCs w:val="12"/>
          <w:u w:val="single" w:color="auto"/>
          <w:color w:val="auto"/>
        </w:rPr>
        <w:t>Exhibit D</w:t>
      </w:r>
      <w:r>
        <w:rPr>
          <w:rFonts w:ascii="Times New Roman" w:cs="Times New Roman" w:eastAsia="Times New Roman" w:hAnsi="Times New Roman"/>
          <w:sz w:val="12"/>
          <w:szCs w:val="12"/>
          <w:color w:val="auto"/>
        </w:rPr>
        <w:t xml:space="preserve"> (the</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Registration Rights Agreement</w:t>
      </w:r>
      <w:r>
        <w:rPr>
          <w:rFonts w:ascii="Times New Roman" w:cs="Times New Roman" w:eastAsia="Times New Roman" w:hAnsi="Times New Roman"/>
          <w:sz w:val="12"/>
          <w:szCs w:val="12"/>
          <w:color w:val="auto"/>
        </w:rPr>
        <w:t>”), pursuant to which the Company will agree to provide certain registration rights in respect of the Shares and the Warrant Shares (as defined below) under the 1933 Act and applicable state securities</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laws.</w:t>
      </w:r>
    </w:p>
    <w:p>
      <w:pPr>
        <w:spacing w:after="0" w:line="139"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In consideration of the mutual promises made herein and for other good and valuable consideration, the receipt and sufficiency of which are hereby acknowledged, the parties hereto agree as follows:</w:t>
      </w:r>
    </w:p>
    <w:p>
      <w:pPr>
        <w:spacing w:after="0" w:line="150"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 xml:space="preserve">1. </w:t>
      </w:r>
      <w:r>
        <w:rPr>
          <w:rFonts w:ascii="Times New Roman" w:cs="Times New Roman" w:eastAsia="Times New Roman" w:hAnsi="Times New Roman"/>
          <w:sz w:val="12"/>
          <w:szCs w:val="12"/>
          <w:u w:val="single" w:color="auto"/>
          <w:color w:val="auto"/>
        </w:rPr>
        <w:t>Definitions</w:t>
      </w:r>
      <w:r>
        <w:rPr>
          <w:rFonts w:ascii="Times New Roman" w:cs="Times New Roman" w:eastAsia="Times New Roman" w:hAnsi="Times New Roman"/>
          <w:sz w:val="12"/>
          <w:szCs w:val="12"/>
          <w:color w:val="auto"/>
        </w:rPr>
        <w:t>. For the purposes of this Agreement, the following terms shall have the meanings set forth below:</w:t>
      </w:r>
    </w:p>
    <w:p>
      <w:pPr>
        <w:spacing w:after="0" w:line="150" w:lineRule="exact"/>
        <w:rPr>
          <w:sz w:val="20"/>
          <w:szCs w:val="20"/>
          <w:color w:val="auto"/>
        </w:rPr>
      </w:pPr>
    </w:p>
    <w:p>
      <w:pPr>
        <w:ind w:left="8" w:right="120" w:firstLine="216"/>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Affiliate</w:t>
      </w:r>
      <w:r>
        <w:rPr>
          <w:rFonts w:ascii="Times New Roman" w:cs="Times New Roman" w:eastAsia="Times New Roman" w:hAnsi="Times New Roman"/>
          <w:sz w:val="12"/>
          <w:szCs w:val="12"/>
          <w:color w:val="auto"/>
        </w:rPr>
        <w:t>” means, with respect to any Person, any other Person which directly or indirectly through one or more intermediaries Controls, is controlled by, or is under common Control with such Person; provided that the Affiliates of any Person that is an investment fund shall not include any portfolio companies of such investment fund or any affiliated investment fund.</w:t>
      </w:r>
    </w:p>
    <w:p>
      <w:pPr>
        <w:spacing w:after="0" w:line="111" w:lineRule="exact"/>
        <w:rPr>
          <w:sz w:val="20"/>
          <w:szCs w:val="20"/>
          <w:color w:val="auto"/>
        </w:rPr>
      </w:pPr>
    </w:p>
    <w:p>
      <w:pPr>
        <w:ind w:left="8" w:right="160" w:firstLine="216"/>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Applicable Regulatory Authorities</w:t>
      </w:r>
      <w:r>
        <w:rPr>
          <w:rFonts w:ascii="Times New Roman" w:cs="Times New Roman" w:eastAsia="Times New Roman" w:hAnsi="Times New Roman"/>
          <w:sz w:val="12"/>
          <w:szCs w:val="12"/>
          <w:color w:val="auto"/>
        </w:rPr>
        <w:t>” means Health Care Laws (as defined below) of the Food and Drug Administration, the Department of Health and Human Services and any comparable foreign or other regulatory authority to which the Company is subject.</w:t>
      </w:r>
    </w:p>
    <w:p>
      <w:pPr>
        <w:spacing w:after="0" w:line="111"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Business Day</w:t>
      </w:r>
      <w:r>
        <w:rPr>
          <w:rFonts w:ascii="Times New Roman" w:cs="Times New Roman" w:eastAsia="Times New Roman" w:hAnsi="Times New Roman"/>
          <w:sz w:val="12"/>
          <w:szCs w:val="12"/>
          <w:color w:val="auto"/>
        </w:rPr>
        <w:t>” means a day, other than a Saturday or Sunday, on which banks in New York City are open for the general transaction of business.</w:t>
      </w:r>
    </w:p>
    <w:p>
      <w:pPr>
        <w:spacing w:after="0" w:line="150"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Closing</w:t>
      </w:r>
      <w:r>
        <w:rPr>
          <w:rFonts w:ascii="Times New Roman" w:cs="Times New Roman" w:eastAsia="Times New Roman" w:hAnsi="Times New Roman"/>
          <w:sz w:val="12"/>
          <w:szCs w:val="12"/>
          <w:color w:val="auto"/>
        </w:rPr>
        <w:t>” has the meaning set forth in Section 3.1.</w:t>
      </w:r>
    </w:p>
    <w:p>
      <w:pPr>
        <w:spacing w:after="0" w:line="150"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Closing Date</w:t>
      </w:r>
      <w:r>
        <w:rPr>
          <w:rFonts w:ascii="Times New Roman" w:cs="Times New Roman" w:eastAsia="Times New Roman" w:hAnsi="Times New Roman"/>
          <w:sz w:val="12"/>
          <w:szCs w:val="12"/>
          <w:color w:val="auto"/>
        </w:rPr>
        <w:t>” has the meaning set forth in Section 3.1.</w:t>
      </w:r>
    </w:p>
    <w:p>
      <w:pPr>
        <w:spacing w:after="0" w:line="150"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Common Stock</w:t>
      </w:r>
      <w:r>
        <w:rPr>
          <w:rFonts w:ascii="Times New Roman" w:cs="Times New Roman" w:eastAsia="Times New Roman" w:hAnsi="Times New Roman"/>
          <w:sz w:val="12"/>
          <w:szCs w:val="12"/>
          <w:color w:val="auto"/>
        </w:rPr>
        <w:t>” has the meaning set forth in the recitals to this Agreement.</w:t>
      </w:r>
    </w:p>
    <w:p>
      <w:pPr>
        <w:spacing w:after="0" w:line="150" w:lineRule="exact"/>
        <w:rPr>
          <w:sz w:val="20"/>
          <w:szCs w:val="20"/>
          <w:color w:val="auto"/>
        </w:rPr>
      </w:pPr>
    </w:p>
    <w:p>
      <w:pPr>
        <w:ind w:left="8" w:right="180" w:firstLine="216"/>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Common Stock Equivalents</w:t>
      </w:r>
      <w:r>
        <w:rPr>
          <w:rFonts w:ascii="Times New Roman" w:cs="Times New Roman" w:eastAsia="Times New Roman" w:hAnsi="Times New Roman"/>
          <w:sz w:val="12"/>
          <w:szCs w:val="12"/>
          <w:color w:val="auto"/>
        </w:rPr>
        <w:t>” means any securities of the Company that would entitle the holder thereof to acquire at any time Common Stock, including, without limitation, any debt, preferred stock, rights, options, warrants or other instrument that is at any time convertible into or exchangeable for, or otherwise entitles the holder thereof to receive, Common Stock.</w:t>
      </w:r>
    </w:p>
    <w:p>
      <w:pPr>
        <w:spacing w:after="0" w:line="111"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Common Warrants</w:t>
      </w:r>
      <w:r>
        <w:rPr>
          <w:rFonts w:ascii="Times New Roman" w:cs="Times New Roman" w:eastAsia="Times New Roman" w:hAnsi="Times New Roman"/>
          <w:sz w:val="12"/>
          <w:szCs w:val="12"/>
          <w:color w:val="auto"/>
        </w:rPr>
        <w:t>” has the meaning set forth in the recitals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296545</wp:posOffset>
            </wp:positionV>
            <wp:extent cx="717804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69" w:right="299" w:bottom="1440" w:gutter="0" w:footer="0" w:header="0"/>
        </w:sectPr>
      </w:pPr>
    </w:p>
    <w:bookmarkStart w:id="36" w:name="page37"/>
    <w:bookmarkEnd w:id="36"/>
    <w:p>
      <w:pPr>
        <w:ind w:left="20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Common Warrant Shares</w:t>
      </w:r>
      <w:r>
        <w:rPr>
          <w:rFonts w:ascii="Times New Roman" w:cs="Times New Roman" w:eastAsia="Times New Roman" w:hAnsi="Times New Roman"/>
          <w:sz w:val="12"/>
          <w:szCs w:val="12"/>
          <w:color w:val="auto"/>
        </w:rPr>
        <w:t>” means the shares of Common Stock issuable upon exercise of the Common Warrants.</w:t>
      </w:r>
    </w:p>
    <w:p>
      <w:pPr>
        <w:spacing w:after="0" w:line="150"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Company’s Knowledge</w:t>
      </w:r>
      <w:r>
        <w:rPr>
          <w:rFonts w:ascii="Times New Roman" w:cs="Times New Roman" w:eastAsia="Times New Roman" w:hAnsi="Times New Roman"/>
          <w:sz w:val="12"/>
          <w:szCs w:val="12"/>
          <w:color w:val="auto"/>
        </w:rPr>
        <w:t>” means the actual knowledge as of the date hereof of the executive officers (as defined in Rule 405 under the 1933 Act) of the Company.</w:t>
      </w:r>
    </w:p>
    <w:p>
      <w:pPr>
        <w:spacing w:after="0" w:line="150" w:lineRule="exact"/>
        <w:rPr>
          <w:sz w:val="20"/>
          <w:szCs w:val="20"/>
          <w:color w:val="auto"/>
        </w:rPr>
      </w:pPr>
    </w:p>
    <w:p>
      <w:pPr>
        <w:ind w:left="8" w:right="300" w:firstLine="216"/>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Control</w:t>
      </w:r>
      <w:r>
        <w:rPr>
          <w:rFonts w:ascii="Times New Roman" w:cs="Times New Roman" w:eastAsia="Times New Roman" w:hAnsi="Times New Roman"/>
          <w:sz w:val="12"/>
          <w:szCs w:val="12"/>
          <w:color w:val="auto"/>
        </w:rPr>
        <w:t>” (including the terms “controlling,” “controlled by” or “under common control with”) means the possession, direct or indirect, of the power to direct or cause the direction of the management and policies of a Person, whether through the ownership of voting securities, by contract or otherwise.</w:t>
      </w:r>
    </w:p>
    <w:p>
      <w:pPr>
        <w:spacing w:after="0" w:line="111"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Disclosure Date</w:t>
      </w:r>
      <w:r>
        <w:rPr>
          <w:rFonts w:ascii="Times New Roman" w:cs="Times New Roman" w:eastAsia="Times New Roman" w:hAnsi="Times New Roman"/>
          <w:sz w:val="12"/>
          <w:szCs w:val="12"/>
          <w:color w:val="auto"/>
        </w:rPr>
        <w:t>” shall mean January 8, 2026.</w:t>
      </w:r>
    </w:p>
    <w:p>
      <w:pPr>
        <w:spacing w:after="0" w:line="150"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DTC</w:t>
      </w:r>
      <w:r>
        <w:rPr>
          <w:rFonts w:ascii="Times New Roman" w:cs="Times New Roman" w:eastAsia="Times New Roman" w:hAnsi="Times New Roman"/>
          <w:sz w:val="12"/>
          <w:szCs w:val="12"/>
          <w:color w:val="auto"/>
        </w:rPr>
        <w:t>” means Depository Trust Company.</w:t>
      </w:r>
    </w:p>
    <w:p>
      <w:pPr>
        <w:spacing w:after="0" w:line="150"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EDGAR system</w:t>
      </w:r>
      <w:r>
        <w:rPr>
          <w:rFonts w:ascii="Times New Roman" w:cs="Times New Roman" w:eastAsia="Times New Roman" w:hAnsi="Times New Roman"/>
          <w:sz w:val="12"/>
          <w:szCs w:val="12"/>
          <w:color w:val="auto"/>
        </w:rPr>
        <w:t>” has the meaning set forth in Section 4.9.</w:t>
      </w:r>
    </w:p>
    <w:p>
      <w:pPr>
        <w:spacing w:after="0" w:line="150"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Environmental Laws</w:t>
      </w:r>
      <w:r>
        <w:rPr>
          <w:rFonts w:ascii="Times New Roman" w:cs="Times New Roman" w:eastAsia="Times New Roman" w:hAnsi="Times New Roman"/>
          <w:sz w:val="12"/>
          <w:szCs w:val="12"/>
          <w:color w:val="auto"/>
        </w:rPr>
        <w:t>” has the meaning set forth in Section 4.15.</w:t>
      </w:r>
    </w:p>
    <w:p>
      <w:pPr>
        <w:spacing w:after="0" w:line="150"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GAAP</w:t>
      </w:r>
      <w:r>
        <w:rPr>
          <w:rFonts w:ascii="Times New Roman" w:cs="Times New Roman" w:eastAsia="Times New Roman" w:hAnsi="Times New Roman"/>
          <w:sz w:val="12"/>
          <w:szCs w:val="12"/>
          <w:color w:val="auto"/>
        </w:rPr>
        <w:t>” has the meaning set forth in Section 4.17.</w:t>
      </w:r>
    </w:p>
    <w:p>
      <w:pPr>
        <w:spacing w:after="0" w:line="150" w:lineRule="exact"/>
        <w:rPr>
          <w:sz w:val="20"/>
          <w:szCs w:val="20"/>
          <w:color w:val="auto"/>
        </w:rPr>
      </w:pPr>
    </w:p>
    <w:p>
      <w:pPr>
        <w:ind w:left="8" w:right="100" w:firstLine="216"/>
        <w:spacing w:after="0" w:line="280" w:lineRule="auto"/>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u w:val="single" w:color="auto"/>
          <w:color w:val="auto"/>
        </w:rPr>
        <w:t>Health Care Laws</w:t>
      </w:r>
      <w:r>
        <w:rPr>
          <w:rFonts w:ascii="Times New Roman" w:cs="Times New Roman" w:eastAsia="Times New Roman" w:hAnsi="Times New Roman"/>
          <w:sz w:val="11"/>
          <w:szCs w:val="11"/>
          <w:color w:val="auto"/>
        </w:rPr>
        <w:t>” means Title XVIII of the Social Security Act, 42 U.S.C. §§ 1395-1395hhh (the Medicare statute); Title XIX of the Social Security Act, 42 U.S.C. §§ 1396-1396v (the Medicaid statute); the Federal Anti-Kickback Statute, 42 U.S.C. § 1320a-7b(b); the civil False Claims Act, 31 U.S.C. §§ 3729 et seq.; the criminal False Claims Act, 42 U.S.C. 1320a-7b(a); any criminal laws relating to health care fraud and abuse, including but not limited to 18 U.S.C. Sections 286 and 287 and the health care fraud criminal provisions under the Health Insurance Portability and Accountability Act of 1996, 42 U.S.C. §§ 1320d et seq.,; the Civil Monetary Penalties Law, 42 U.S.C.</w:t>
      </w:r>
    </w:p>
    <w:p>
      <w:pPr>
        <w:ind w:left="148" w:hanging="148"/>
        <w:spacing w:after="0"/>
        <w:tabs>
          <w:tab w:leader="none" w:pos="148"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1320a-7a and 1320a-7b; the Physician Payments Sunshine Act, 42 U.S.C. § 1320a-7h; the Exclusion Statute, 42 U.S.C. § 1320a-7; HIPAA, as amended by the Health Information Technology for Economic and Clinical Health Act,</w:t>
      </w:r>
    </w:p>
    <w:p>
      <w:pPr>
        <w:spacing w:after="0" w:line="6" w:lineRule="exact"/>
        <w:rPr>
          <w:rFonts w:ascii="Times New Roman" w:cs="Times New Roman" w:eastAsia="Times New Roman" w:hAnsi="Times New Roman"/>
          <w:sz w:val="12"/>
          <w:szCs w:val="12"/>
          <w:color w:val="auto"/>
        </w:rPr>
      </w:pPr>
    </w:p>
    <w:p>
      <w:pPr>
        <w:ind w:left="8" w:right="40"/>
        <w:spacing w:after="0" w:line="26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42 U.S.C. §§ 17921 et seq.; the Federal Food, Drug, and Cosmetic Act, 21 U.S.C. §§ 301 et seq.; the Public Health Service Act, 42 U.S.C. §§ 201 et seq.; the regulations promulgated pursuant to such laws; and any similar federal, state and local laws and regulations.</w:t>
      </w:r>
    </w:p>
    <w:p>
      <w:pPr>
        <w:spacing w:after="0" w:line="122"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Intellectual Property</w:t>
      </w:r>
      <w:r>
        <w:rPr>
          <w:rFonts w:ascii="Times New Roman" w:cs="Times New Roman" w:eastAsia="Times New Roman" w:hAnsi="Times New Roman"/>
          <w:sz w:val="12"/>
          <w:szCs w:val="12"/>
          <w:color w:val="auto"/>
        </w:rPr>
        <w:t>” has the meaning set forth in Section 4.14.</w:t>
      </w:r>
    </w:p>
    <w:p>
      <w:pPr>
        <w:spacing w:after="0" w:line="150"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Lock-Up Agreement</w:t>
      </w:r>
      <w:r>
        <w:rPr>
          <w:rFonts w:ascii="Times New Roman" w:cs="Times New Roman" w:eastAsia="Times New Roman" w:hAnsi="Times New Roman"/>
          <w:sz w:val="12"/>
          <w:szCs w:val="12"/>
          <w:color w:val="auto"/>
        </w:rPr>
        <w:t xml:space="preserve">” means the lock-up agreements for the Company’s directors and executive officers, each dated as of the date hereof in substantially the form of </w:t>
      </w:r>
      <w:r>
        <w:rPr>
          <w:rFonts w:ascii="Times New Roman" w:cs="Times New Roman" w:eastAsia="Times New Roman" w:hAnsi="Times New Roman"/>
          <w:sz w:val="12"/>
          <w:szCs w:val="12"/>
          <w:u w:val="single" w:color="auto"/>
          <w:color w:val="auto"/>
        </w:rPr>
        <w:t>Exhibit E</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8" w:right="140" w:firstLine="216"/>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Material Adverse Effect</w:t>
      </w:r>
      <w:r>
        <w:rPr>
          <w:rFonts w:ascii="Times New Roman" w:cs="Times New Roman" w:eastAsia="Times New Roman" w:hAnsi="Times New Roman"/>
          <w:sz w:val="12"/>
          <w:szCs w:val="12"/>
          <w:color w:val="auto"/>
        </w:rPr>
        <w:t>” means a material adverse effect on (i) the assets, liabilities, results of operations, financial condition or business of the Company and its subsidiaries taken as a whole, (ii) the legality or enforceability of any of the Transaction Documents or (iii) the ability of the Company to timely perform its obligations under the Transaction Documents, except that for purposes of Section 6.1(i) of this Agreement, in no event shall a change in the market price of the Common Stock alone constitute a “Material Adverse Effect”.</w:t>
      </w:r>
    </w:p>
    <w:p>
      <w:pPr>
        <w:spacing w:after="0" w:line="119" w:lineRule="exact"/>
        <w:rPr>
          <w:sz w:val="20"/>
          <w:szCs w:val="20"/>
          <w:color w:val="auto"/>
        </w:rPr>
      </w:pPr>
    </w:p>
    <w:p>
      <w:pPr>
        <w:ind w:left="8" w:firstLine="216"/>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Material Contract</w:t>
      </w:r>
      <w:r>
        <w:rPr>
          <w:rFonts w:ascii="Times New Roman" w:cs="Times New Roman" w:eastAsia="Times New Roman" w:hAnsi="Times New Roman"/>
          <w:sz w:val="12"/>
          <w:szCs w:val="12"/>
          <w:color w:val="auto"/>
        </w:rPr>
        <w:t>” means any contract, instrument or other agreement to which the Company is a party or by which it is bound that has been filed or was required to have been filed as an exhibit to the SEC Filings pursuant to Item 601(b)(4) or Item 601(b)(10) of Regulation S-K.</w:t>
      </w:r>
    </w:p>
    <w:p>
      <w:pPr>
        <w:spacing w:after="0" w:line="111"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Nasdaq</w:t>
      </w:r>
      <w:r>
        <w:rPr>
          <w:rFonts w:ascii="Times New Roman" w:cs="Times New Roman" w:eastAsia="Times New Roman" w:hAnsi="Times New Roman"/>
          <w:sz w:val="12"/>
          <w:szCs w:val="12"/>
          <w:color w:val="auto"/>
        </w:rPr>
        <w:t>” means the Nasdaq Capital Market.</w:t>
      </w:r>
    </w:p>
    <w:p>
      <w:pPr>
        <w:spacing w:after="0" w:line="150" w:lineRule="exact"/>
        <w:rPr>
          <w:sz w:val="20"/>
          <w:szCs w:val="20"/>
          <w:color w:val="auto"/>
        </w:rPr>
      </w:pPr>
    </w:p>
    <w:p>
      <w:pPr>
        <w:ind w:left="8" w:right="520" w:firstLine="216"/>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Per Share Purchase Price</w:t>
      </w:r>
      <w:r>
        <w:rPr>
          <w:rFonts w:ascii="Times New Roman" w:cs="Times New Roman" w:eastAsia="Times New Roman" w:hAnsi="Times New Roman"/>
          <w:sz w:val="12"/>
          <w:szCs w:val="12"/>
          <w:color w:val="auto"/>
        </w:rPr>
        <w:t>” equals $1.15, subject to adjustment for reverse and forward stock splits, stock dividends, stock combinations and other similar transactions of the Common Stock that occur after the date of this Agreement and prior to the Closing Date.</w:t>
      </w:r>
    </w:p>
    <w:p>
      <w:pPr>
        <w:spacing w:after="0" w:line="111" w:lineRule="exact"/>
        <w:rPr>
          <w:sz w:val="20"/>
          <w:szCs w:val="20"/>
          <w:color w:val="auto"/>
        </w:rPr>
      </w:pPr>
    </w:p>
    <w:p>
      <w:pPr>
        <w:ind w:left="8" w:right="20" w:firstLine="216"/>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Person</w:t>
      </w:r>
      <w:r>
        <w:rPr>
          <w:rFonts w:ascii="Times New Roman" w:cs="Times New Roman" w:eastAsia="Times New Roman" w:hAnsi="Times New Roman"/>
          <w:sz w:val="12"/>
          <w:szCs w:val="12"/>
          <w:color w:val="auto"/>
        </w:rPr>
        <w:t>” means an individual, corporation, partnership, limited liability company, trust, business trust, association, joint stock company, joint venture, sole proprietorship, unincorporated organization, governmental authority or any other form of entity not specifically listed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271780</wp:posOffset>
            </wp:positionV>
            <wp:extent cx="717804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37" w:name="page38"/>
    <w:bookmarkEnd w:id="37"/>
    <w:p>
      <w:pPr>
        <w:ind w:left="2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Placement Agents</w:t>
      </w:r>
      <w:r>
        <w:rPr>
          <w:rFonts w:ascii="Times New Roman" w:cs="Times New Roman" w:eastAsia="Times New Roman" w:hAnsi="Times New Roman"/>
          <w:sz w:val="12"/>
          <w:szCs w:val="12"/>
          <w:color w:val="auto"/>
        </w:rPr>
        <w:t>” means Leerink Partners LLC, TD Securities (USA) LLC and Mizuho Securities USA LLC.</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Placement Securities</w:t>
      </w:r>
      <w:r>
        <w:rPr>
          <w:rFonts w:ascii="Times New Roman" w:cs="Times New Roman" w:eastAsia="Times New Roman" w:hAnsi="Times New Roman"/>
          <w:sz w:val="12"/>
          <w:szCs w:val="12"/>
          <w:color w:val="auto"/>
        </w:rPr>
        <w:t>” means the Shares, Pre-Funded Warrants and Common Warrants.</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Pre-Funded Warrants</w:t>
      </w:r>
      <w:r>
        <w:rPr>
          <w:rFonts w:ascii="Times New Roman" w:cs="Times New Roman" w:eastAsia="Times New Roman" w:hAnsi="Times New Roman"/>
          <w:sz w:val="12"/>
          <w:szCs w:val="12"/>
          <w:color w:val="auto"/>
        </w:rPr>
        <w:t>” has the meaning set forth in the recitals to this Agreement.</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Pre-Funded Warrant Purchase Price</w:t>
      </w:r>
      <w:r>
        <w:rPr>
          <w:rFonts w:ascii="Times New Roman" w:cs="Times New Roman" w:eastAsia="Times New Roman" w:hAnsi="Times New Roman"/>
          <w:sz w:val="12"/>
          <w:szCs w:val="12"/>
          <w:color w:val="auto"/>
        </w:rPr>
        <w:t>” means the Per Share Purchase Price minus $0.001.</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Pre-Funded Warrant Shares</w:t>
      </w:r>
      <w:r>
        <w:rPr>
          <w:rFonts w:ascii="Times New Roman" w:cs="Times New Roman" w:eastAsia="Times New Roman" w:hAnsi="Times New Roman"/>
          <w:sz w:val="12"/>
          <w:szCs w:val="12"/>
          <w:color w:val="auto"/>
        </w:rPr>
        <w:t>” means the shares of Common Stock issuable upon exercise of the Pre-Funded Warrants.</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Press Release</w:t>
      </w:r>
      <w:r>
        <w:rPr>
          <w:rFonts w:ascii="Times New Roman" w:cs="Times New Roman" w:eastAsia="Times New Roman" w:hAnsi="Times New Roman"/>
          <w:sz w:val="12"/>
          <w:szCs w:val="12"/>
          <w:color w:val="auto"/>
        </w:rPr>
        <w:t>” has the meaning set forth in Section 9.7(b).</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u w:val="single" w:color="auto"/>
          <w:color w:val="auto"/>
        </w:rPr>
        <w:t>Principal Trading Market</w:t>
      </w:r>
      <w:r>
        <w:rPr>
          <w:rFonts w:ascii="Times New Roman" w:cs="Times New Roman" w:eastAsia="Times New Roman" w:hAnsi="Times New Roman"/>
          <w:sz w:val="11"/>
          <w:szCs w:val="11"/>
          <w:color w:val="auto"/>
        </w:rPr>
        <w:t>” means the Trading Market on which the Common Stock is primarily listed on and quoted for trading, which, as of the date of this Agreement and the Closing Date, shall be the Nasdaq Capital Market.</w:t>
      </w:r>
    </w:p>
    <w:p>
      <w:pPr>
        <w:spacing w:after="0" w:line="1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Registration Rights Agreement</w:t>
      </w:r>
      <w:r>
        <w:rPr>
          <w:rFonts w:ascii="Times New Roman" w:cs="Times New Roman" w:eastAsia="Times New Roman" w:hAnsi="Times New Roman"/>
          <w:sz w:val="12"/>
          <w:szCs w:val="12"/>
          <w:color w:val="auto"/>
        </w:rPr>
        <w:t>” has the meaning set forth in the recitals to this Agreement.</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Regulation D</w:t>
      </w:r>
      <w:r>
        <w:rPr>
          <w:rFonts w:ascii="Times New Roman" w:cs="Times New Roman" w:eastAsia="Times New Roman" w:hAnsi="Times New Roman"/>
          <w:sz w:val="12"/>
          <w:szCs w:val="12"/>
          <w:color w:val="auto"/>
        </w:rPr>
        <w:t>” means Regulation D as promulgated by the SEC under the 1933 Act.</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Required Investors</w:t>
      </w:r>
      <w:r>
        <w:rPr>
          <w:rFonts w:ascii="Times New Roman" w:cs="Times New Roman" w:eastAsia="Times New Roman" w:hAnsi="Times New Roman"/>
          <w:sz w:val="12"/>
          <w:szCs w:val="12"/>
          <w:color w:val="auto"/>
        </w:rPr>
        <w:t>” has the meaning set forth in the Registration Rights Agreement.</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SEC</w:t>
      </w:r>
      <w:r>
        <w:rPr>
          <w:rFonts w:ascii="Times New Roman" w:cs="Times New Roman" w:eastAsia="Times New Roman" w:hAnsi="Times New Roman"/>
          <w:sz w:val="12"/>
          <w:szCs w:val="12"/>
          <w:color w:val="auto"/>
        </w:rPr>
        <w:t>” means the U.S. Securities and Exchange Commission.</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SEC Filings</w:t>
      </w:r>
      <w:r>
        <w:rPr>
          <w:rFonts w:ascii="Times New Roman" w:cs="Times New Roman" w:eastAsia="Times New Roman" w:hAnsi="Times New Roman"/>
          <w:sz w:val="12"/>
          <w:szCs w:val="12"/>
          <w:color w:val="auto"/>
        </w:rPr>
        <w:t>” has the meaning set forth in Section 4.8.</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Securities</w:t>
      </w:r>
      <w:r>
        <w:rPr>
          <w:rFonts w:ascii="Times New Roman" w:cs="Times New Roman" w:eastAsia="Times New Roman" w:hAnsi="Times New Roman"/>
          <w:sz w:val="12"/>
          <w:szCs w:val="12"/>
          <w:color w:val="auto"/>
        </w:rPr>
        <w:t>” means the Placement Securities and the Warrant Shares.</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Shares</w:t>
      </w:r>
      <w:r>
        <w:rPr>
          <w:rFonts w:ascii="Times New Roman" w:cs="Times New Roman" w:eastAsia="Times New Roman" w:hAnsi="Times New Roman"/>
          <w:sz w:val="12"/>
          <w:szCs w:val="12"/>
          <w:color w:val="auto"/>
        </w:rPr>
        <w:t>” has the meaning set forth in the recitals to this Agreement.</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Short Sales</w:t>
      </w:r>
      <w:r>
        <w:rPr>
          <w:rFonts w:ascii="Times New Roman" w:cs="Times New Roman" w:eastAsia="Times New Roman" w:hAnsi="Times New Roman"/>
          <w:sz w:val="12"/>
          <w:szCs w:val="12"/>
          <w:color w:val="auto"/>
        </w:rPr>
        <w:t>” means all “short sales” as defined in Rule 200 of Regulation SHO under the 1934 Act (but shall not be deemed to include the location and/or reservation of borrowable shares of Common Stock).</w:t>
      </w:r>
    </w:p>
    <w:p>
      <w:pPr>
        <w:spacing w:after="0" w:line="150" w:lineRule="exact"/>
        <w:rPr>
          <w:sz w:val="20"/>
          <w:szCs w:val="20"/>
          <w:color w:val="auto"/>
        </w:rPr>
      </w:pPr>
    </w:p>
    <w:p>
      <w:pPr>
        <w:jc w:val="both"/>
        <w:ind w:right="60" w:firstLine="216"/>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Trading Day</w:t>
      </w:r>
      <w:r>
        <w:rPr>
          <w:rFonts w:ascii="Times New Roman" w:cs="Times New Roman" w:eastAsia="Times New Roman" w:hAnsi="Times New Roman"/>
          <w:sz w:val="12"/>
          <w:szCs w:val="12"/>
          <w:color w:val="auto"/>
        </w:rPr>
        <w:t>” means (i) a day on which the Common Stock is listed or quoted and traded on its Principal Trading Market or (ii) if the Common Stock is not quoted on any Trading Market, a day on which the Common Stock is quoted in the over-the-counter market as reported in the “pink sheets” by OTC Markets Group Inc. (or any similar organization or agency succeeding to its functions of reporting prices); provided, that in the event that the Common Stock is not listed or quoted as set forth in (i) or (ii) hereof, then Trading Day shall mean a Business Day.</w:t>
      </w:r>
    </w:p>
    <w:p>
      <w:pPr>
        <w:spacing w:after="0" w:line="119" w:lineRule="exact"/>
        <w:rPr>
          <w:sz w:val="20"/>
          <w:szCs w:val="20"/>
          <w:color w:val="auto"/>
        </w:rPr>
      </w:pPr>
    </w:p>
    <w:p>
      <w:pPr>
        <w:ind w:right="140" w:firstLine="216"/>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Trading Market</w:t>
      </w:r>
      <w:r>
        <w:rPr>
          <w:rFonts w:ascii="Times New Roman" w:cs="Times New Roman" w:eastAsia="Times New Roman" w:hAnsi="Times New Roman"/>
          <w:sz w:val="12"/>
          <w:szCs w:val="12"/>
          <w:color w:val="auto"/>
        </w:rPr>
        <w:t>” means whichever of the New York Stock Exchange, the NYSE American, the Nasdaq Global Select Market, the Nasdaq Global Market or the Nasdaq Capital Market on which the Common Stock is listed or quoted for trading on the date in question.</w:t>
      </w:r>
    </w:p>
    <w:p>
      <w:pPr>
        <w:spacing w:after="0" w:line="1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Transaction Documents</w:t>
      </w:r>
      <w:r>
        <w:rPr>
          <w:rFonts w:ascii="Times New Roman" w:cs="Times New Roman" w:eastAsia="Times New Roman" w:hAnsi="Times New Roman"/>
          <w:sz w:val="12"/>
          <w:szCs w:val="12"/>
          <w:color w:val="auto"/>
        </w:rPr>
        <w:t>” means this Agreement, the Pre-Funded Warrants, the Common Warrants, the Lock-Up Agreements and the Registration Rights Agreement.</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Transfer Agent</w:t>
      </w:r>
      <w:r>
        <w:rPr>
          <w:rFonts w:ascii="Times New Roman" w:cs="Times New Roman" w:eastAsia="Times New Roman" w:hAnsi="Times New Roman"/>
          <w:sz w:val="12"/>
          <w:szCs w:val="12"/>
          <w:color w:val="auto"/>
        </w:rPr>
        <w:t>” has the meaning set forth in Section 7.1(a).</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Warrants</w:t>
      </w:r>
      <w:r>
        <w:rPr>
          <w:rFonts w:ascii="Times New Roman" w:cs="Times New Roman" w:eastAsia="Times New Roman" w:hAnsi="Times New Roman"/>
          <w:sz w:val="12"/>
          <w:szCs w:val="12"/>
          <w:color w:val="auto"/>
        </w:rPr>
        <w:t>” means, collectively, the Pre-Funded Warrants and the Common Warrants.</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Warrant Shares</w:t>
      </w:r>
      <w:r>
        <w:rPr>
          <w:rFonts w:ascii="Times New Roman" w:cs="Times New Roman" w:eastAsia="Times New Roman" w:hAnsi="Times New Roman"/>
          <w:sz w:val="12"/>
          <w:szCs w:val="12"/>
          <w:color w:val="auto"/>
        </w:rPr>
        <w:t>” means the Common Warrant Shares and the Pre-Funded Warrant Shares.</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1933 Act</w:t>
      </w:r>
      <w:r>
        <w:rPr>
          <w:rFonts w:ascii="Times New Roman" w:cs="Times New Roman" w:eastAsia="Times New Roman" w:hAnsi="Times New Roman"/>
          <w:sz w:val="12"/>
          <w:szCs w:val="12"/>
          <w:color w:val="auto"/>
        </w:rPr>
        <w:t>” means the Securities Act of 1933, as amended, or any successor statute, and the rules and regulations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7804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40"/>
          </w:cols>
          <w:pgMar w:left="300" w:top="651" w:right="459" w:bottom="1440" w:gutter="0" w:footer="0" w:header="0"/>
        </w:sectPr>
      </w:pPr>
    </w:p>
    <w:bookmarkStart w:id="38" w:name="page39"/>
    <w:bookmarkEnd w:id="38"/>
    <w:p>
      <w:pPr>
        <w:ind w:left="2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1934 Act</w:t>
      </w:r>
      <w:r>
        <w:rPr>
          <w:rFonts w:ascii="Times New Roman" w:cs="Times New Roman" w:eastAsia="Times New Roman" w:hAnsi="Times New Roman"/>
          <w:sz w:val="12"/>
          <w:szCs w:val="12"/>
          <w:color w:val="auto"/>
        </w:rPr>
        <w:t>” means the Securities Exchange Act of 1934, as amended, or any successor statute, and the rules and regulations promulgated thereunder.</w:t>
      </w:r>
    </w:p>
    <w:p>
      <w:pPr>
        <w:spacing w:after="0" w:line="150" w:lineRule="exact"/>
        <w:rPr>
          <w:sz w:val="20"/>
          <w:szCs w:val="20"/>
          <w:color w:val="auto"/>
        </w:rPr>
      </w:pPr>
    </w:p>
    <w:p>
      <w:pPr>
        <w:ind w:right="100" w:firstLine="208"/>
        <w:spacing w:after="0" w:line="265" w:lineRule="auto"/>
        <w:tabs>
          <w:tab w:leader="none" w:pos="336"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Purchase and Sale of the Placement Securities</w:t>
      </w:r>
      <w:r>
        <w:rPr>
          <w:rFonts w:ascii="Times New Roman" w:cs="Times New Roman" w:eastAsia="Times New Roman" w:hAnsi="Times New Roman"/>
          <w:sz w:val="12"/>
          <w:szCs w:val="12"/>
          <w:color w:val="auto"/>
        </w:rPr>
        <w:t xml:space="preserve">. On the Closing Date, upon the terms and subject to the conditions set forth herein, the Company will issue and sell, and each Investor will purchase, severally and not jointly, the number and type of Securities, for the aggregate purchase price, set forth opposite the Investor’s name on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xml:space="preserve"> The purchase price per Share and the accompanying Common Warrant is equal to the Per Share Purchase Price. The purchase price per Pre-Funded Warrant and the accompanying Common Warrant is equal to the Pre-Funded Warrant Purchase Price.</w:t>
      </w:r>
    </w:p>
    <w:p>
      <w:pPr>
        <w:spacing w:after="0" w:line="118" w:lineRule="exact"/>
        <w:rPr>
          <w:rFonts w:ascii="Times New Roman" w:cs="Times New Roman" w:eastAsia="Times New Roman" w:hAnsi="Times New Roman"/>
          <w:sz w:val="12"/>
          <w:szCs w:val="12"/>
          <w:color w:val="auto"/>
        </w:rPr>
      </w:pPr>
    </w:p>
    <w:p>
      <w:pPr>
        <w:ind w:left="320" w:hanging="112"/>
        <w:spacing w:after="0"/>
        <w:tabs>
          <w:tab w:leader="none" w:pos="3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Closing</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right="80" w:firstLine="648"/>
        <w:spacing w:after="0" w:line="260" w:lineRule="auto"/>
        <w:rPr>
          <w:sz w:val="20"/>
          <w:szCs w:val="20"/>
          <w:color w:val="auto"/>
        </w:rPr>
      </w:pPr>
      <w:r>
        <w:rPr>
          <w:rFonts w:ascii="Times New Roman" w:cs="Times New Roman" w:eastAsia="Times New Roman" w:hAnsi="Times New Roman"/>
          <w:sz w:val="12"/>
          <w:szCs w:val="12"/>
          <w:color w:val="auto"/>
        </w:rPr>
        <w:t xml:space="preserve">3.1. Upon the satisfaction or waiver of the conditions set forth in </w:t>
      </w:r>
      <w:r>
        <w:rPr>
          <w:rFonts w:ascii="Times New Roman" w:cs="Times New Roman" w:eastAsia="Times New Roman" w:hAnsi="Times New Roman"/>
          <w:sz w:val="12"/>
          <w:szCs w:val="12"/>
          <w:u w:val="single" w:color="auto"/>
          <w:color w:val="auto"/>
        </w:rPr>
        <w:t>Section 6</w:t>
      </w:r>
      <w:r>
        <w:rPr>
          <w:rFonts w:ascii="Times New Roman" w:cs="Times New Roman" w:eastAsia="Times New Roman" w:hAnsi="Times New Roman"/>
          <w:sz w:val="12"/>
          <w:szCs w:val="12"/>
          <w:color w:val="auto"/>
        </w:rPr>
        <w:t>, the completion of the purchase and sale of the Placement Securities (the “</w:t>
      </w:r>
      <w:r>
        <w:rPr>
          <w:rFonts w:ascii="Times New Roman" w:cs="Times New Roman" w:eastAsia="Times New Roman" w:hAnsi="Times New Roman"/>
          <w:sz w:val="12"/>
          <w:szCs w:val="12"/>
          <w:u w:val="single" w:color="auto"/>
          <w:color w:val="auto"/>
        </w:rPr>
        <w:t>Closing</w:t>
      </w:r>
      <w:r>
        <w:rPr>
          <w:rFonts w:ascii="Times New Roman" w:cs="Times New Roman" w:eastAsia="Times New Roman" w:hAnsi="Times New Roman"/>
          <w:sz w:val="12"/>
          <w:szCs w:val="12"/>
          <w:color w:val="auto"/>
        </w:rPr>
        <w:t>”) shall occur remotely via exchange of documents and signatures at a time (the “</w:t>
      </w:r>
      <w:r>
        <w:rPr>
          <w:rFonts w:ascii="Times New Roman" w:cs="Times New Roman" w:eastAsia="Times New Roman" w:hAnsi="Times New Roman"/>
          <w:sz w:val="12"/>
          <w:szCs w:val="12"/>
          <w:u w:val="single" w:color="auto"/>
          <w:color w:val="auto"/>
        </w:rPr>
        <w:t>Closing Date</w:t>
      </w:r>
      <w:r>
        <w:rPr>
          <w:rFonts w:ascii="Times New Roman" w:cs="Times New Roman" w:eastAsia="Times New Roman" w:hAnsi="Times New Roman"/>
          <w:sz w:val="12"/>
          <w:szCs w:val="12"/>
          <w:color w:val="auto"/>
        </w:rPr>
        <w:t>”) to be agreed to by the Company and the Investors but (i) in no event earlier than the first Trading Day after the date hereof (or second trading Day following the date hereof if this Agreement is signed on a day that is not a Trading Day or after 4:00 p.m.) and (ii) in no event later than the fifth Trading Day after the date hereof, and of which the Investors will be notified in writing at least one Trading Day in advance by the Placement Agents.</w:t>
      </w:r>
    </w:p>
    <w:p>
      <w:pPr>
        <w:spacing w:after="0" w:line="122" w:lineRule="exact"/>
        <w:rPr>
          <w:sz w:val="20"/>
          <w:szCs w:val="20"/>
          <w:color w:val="auto"/>
        </w:rPr>
      </w:pPr>
    </w:p>
    <w:p>
      <w:pPr>
        <w:ind w:right="40" w:firstLine="648"/>
        <w:spacing w:after="0" w:line="291" w:lineRule="auto"/>
        <w:rPr>
          <w:sz w:val="20"/>
          <w:szCs w:val="20"/>
          <w:color w:val="auto"/>
        </w:rPr>
      </w:pPr>
      <w:r>
        <w:rPr>
          <w:rFonts w:ascii="Times New Roman" w:cs="Times New Roman" w:eastAsia="Times New Roman" w:hAnsi="Times New Roman"/>
          <w:sz w:val="11"/>
          <w:szCs w:val="11"/>
          <w:color w:val="auto"/>
        </w:rPr>
        <w:t xml:space="preserve">3.2. On or before the Closing Date, each Investor shall deliver or cause to be delivered to the Company, via wire transfer of immediately available funds pursuant to the wire instructions delivered to such Investor by the Company at least one Trading Day prior to the Closing Date, an amount equal to the purchase price to be paid by the Investor for the Placement Securities to be acquired by it as set forth opposite the name of such Investor under the heading “Aggregate Purchase Price of Placement Securities” on </w:t>
      </w:r>
      <w:r>
        <w:rPr>
          <w:rFonts w:ascii="Times New Roman" w:cs="Times New Roman" w:eastAsia="Times New Roman" w:hAnsi="Times New Roman"/>
          <w:sz w:val="11"/>
          <w:szCs w:val="11"/>
          <w:u w:val="single" w:color="auto"/>
          <w:color w:val="auto"/>
        </w:rPr>
        <w:t>Exhibit A</w:t>
      </w:r>
      <w:r>
        <w:rPr>
          <w:rFonts w:ascii="Times New Roman" w:cs="Times New Roman" w:eastAsia="Times New Roman" w:hAnsi="Times New Roman"/>
          <w:sz w:val="11"/>
          <w:szCs w:val="11"/>
          <w:color w:val="auto"/>
        </w:rPr>
        <w:t xml:space="preserve"> attached hereto. If the Closing has not occurred for any reason on or prior to the fifth Trading Day after the date hereof and the Agreement has been terminated by an Investor pursuant to Section 6.3, the applicable purchase price shall be promptly (but not later than one Business Day thereafter) returned to the applicable Investor (if previously wired by the applicable Investor to the Company).</w:t>
      </w:r>
    </w:p>
    <w:p>
      <w:pPr>
        <w:spacing w:after="0" w:line="1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3.3. At the Closing, the Company shall deliver or cause to be delivered to each Investor:</w:t>
      </w:r>
    </w:p>
    <w:p>
      <w:pPr>
        <w:spacing w:after="0" w:line="150" w:lineRule="exact"/>
        <w:rPr>
          <w:sz w:val="20"/>
          <w:szCs w:val="20"/>
          <w:color w:val="auto"/>
        </w:rPr>
      </w:pPr>
    </w:p>
    <w:p>
      <w:pPr>
        <w:ind w:right="100" w:firstLine="856"/>
        <w:spacing w:after="0" w:line="260" w:lineRule="auto"/>
        <w:tabs>
          <w:tab w:leader="none" w:pos="1007"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 number of Shares, registered in the name of the Investor (or its nominee in accordance with its delivery instructions), equal to the number of Shares set forth opposite the name of such Investor under the heading “Number of Shares to be Purchased” on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xml:space="preserve"> attached hereto, if any. The Shares shall be delivered via a book-entry record through the Company’s transfer agent and the Company shall provide to each Investor evidence in form reasonably satisfactory to the Investor from the Transfer Agent evidencing the issuance of such Shares. Unless the Company and an Investor otherwise mutually agree with respect to such Investor’s Shares, at Closing settlement shall occur on a “delivery versus payment” basis.</w:t>
      </w:r>
    </w:p>
    <w:p>
      <w:pPr>
        <w:spacing w:after="0" w:line="122" w:lineRule="exact"/>
        <w:rPr>
          <w:rFonts w:ascii="Times New Roman" w:cs="Times New Roman" w:eastAsia="Times New Roman" w:hAnsi="Times New Roman"/>
          <w:sz w:val="12"/>
          <w:szCs w:val="12"/>
          <w:color w:val="auto"/>
        </w:rPr>
      </w:pPr>
    </w:p>
    <w:p>
      <w:pPr>
        <w:ind w:right="60" w:firstLine="856"/>
        <w:spacing w:after="0" w:line="279" w:lineRule="auto"/>
        <w:tabs>
          <w:tab w:leader="none" w:pos="1041"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Pre-Funded Warrant, registered in the name of the Investor (or its nominee in accordance with its delivery instructions), to purchase up to the number of Pre-Funded Warrant Shares set forth opposite the name of such Investor under the heading “Number of Pre-Funded Warrant Shares Underlying Pre-Funded Warrant Purchased” on Exhibit A attached hereto, if any.</w:t>
      </w:r>
    </w:p>
    <w:p>
      <w:pPr>
        <w:spacing w:after="0" w:line="111" w:lineRule="exact"/>
        <w:rPr>
          <w:rFonts w:ascii="Times New Roman" w:cs="Times New Roman" w:eastAsia="Times New Roman" w:hAnsi="Times New Roman"/>
          <w:sz w:val="12"/>
          <w:szCs w:val="12"/>
          <w:color w:val="auto"/>
        </w:rPr>
      </w:pPr>
    </w:p>
    <w:p>
      <w:pPr>
        <w:ind w:firstLine="856"/>
        <w:spacing w:after="0" w:line="265" w:lineRule="auto"/>
        <w:tabs>
          <w:tab w:leader="none" w:pos="1074"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 Common Warrant, registered in the name of the Investor (or its nominee in accordance with its delivery instructions), to purchase up to the number of Common Warrant Shares set forth opposite the name of such Investor under the heading “Number of Common Warrant Shares Underlying Common Warrant Purchased” on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xml:space="preserve"> attached hereto, which number shall be equal to 50% of the sum of such Investor’s Shares plus the Pre-Funded Warrant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17804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1" w:right="319" w:bottom="1440" w:gutter="0" w:footer="0" w:header="0"/>
        </w:sectPr>
      </w:pPr>
    </w:p>
    <w:bookmarkStart w:id="39" w:name="page40"/>
    <w:bookmarkEnd w:id="39"/>
    <w:p>
      <w:pPr>
        <w:ind w:right="20" w:firstLine="208"/>
        <w:spacing w:after="0" w:line="260" w:lineRule="auto"/>
        <w:tabs>
          <w:tab w:leader="none" w:pos="336"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Representations and Warranties of the Company</w:t>
      </w:r>
      <w:r>
        <w:rPr>
          <w:rFonts w:ascii="Times New Roman" w:cs="Times New Roman" w:eastAsia="Times New Roman" w:hAnsi="Times New Roman"/>
          <w:sz w:val="12"/>
          <w:szCs w:val="12"/>
          <w:color w:val="auto"/>
        </w:rPr>
        <w:t>. The Company hereby represents and warrants to the Investors and the Placement Agents that, except (a) as described in the Company’s SEC Filings (as defined below) (excluding any disclosures set forth under the headings “Risk Factors” or disclosure of risks set forth in any “forward-looking statements” disclosure; it being understood that any factual information contained within such headings or disclosure shall not be excluded) or (b) as set forth on the disclosure schedule delivered herewith (which is arranged in numbered and lettered sections corresponding to the numbered and lettered sections contained in this Section 4) (the “</w:t>
      </w:r>
      <w:r>
        <w:rPr>
          <w:rFonts w:ascii="Times New Roman" w:cs="Times New Roman" w:eastAsia="Times New Roman" w:hAnsi="Times New Roman"/>
          <w:sz w:val="12"/>
          <w:szCs w:val="12"/>
          <w:u w:val="single" w:color="auto"/>
          <w:color w:val="auto"/>
        </w:rPr>
        <w:t>Disclosure Schedule</w:t>
      </w:r>
      <w:r>
        <w:rPr>
          <w:rFonts w:ascii="Times New Roman" w:cs="Times New Roman" w:eastAsia="Times New Roman" w:hAnsi="Times New Roman"/>
          <w:sz w:val="12"/>
          <w:szCs w:val="12"/>
          <w:color w:val="auto"/>
        </w:rPr>
        <w:t>”), each of which qualify these representations and warranties in their entirety:</w:t>
      </w:r>
    </w:p>
    <w:p>
      <w:pPr>
        <w:spacing w:after="0" w:line="12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2"/>
          <w:szCs w:val="12"/>
          <w:color w:val="auto"/>
        </w:rPr>
        <w:t xml:space="preserve">4.1. </w:t>
      </w:r>
      <w:r>
        <w:rPr>
          <w:rFonts w:ascii="Times New Roman" w:cs="Times New Roman" w:eastAsia="Times New Roman" w:hAnsi="Times New Roman"/>
          <w:sz w:val="12"/>
          <w:szCs w:val="12"/>
          <w:u w:val="single" w:color="auto"/>
          <w:color w:val="auto"/>
        </w:rPr>
        <w:t>Organization, Good Standing and Qualification</w:t>
      </w:r>
      <w:r>
        <w:rPr>
          <w:rFonts w:ascii="Times New Roman" w:cs="Times New Roman" w:eastAsia="Times New Roman" w:hAnsi="Times New Roman"/>
          <w:sz w:val="12"/>
          <w:szCs w:val="12"/>
          <w:color w:val="auto"/>
        </w:rPr>
        <w:t>. The Company is a corporation duly organized, validly existing and in good standing under the laws of the jurisdiction of its incorporation and has all requisite corporate power and authority to carry on its business as now conducted and to own or lease its properties, except where the failure to be in good standing has not had and would not reasonably be expected to have a Material Adverse Effect. The Company is duly qualified to do business as a foreign corporation and is in good standing in each jurisdiction in which the conduct of its business or its ownership or leasing of property makes such qualification or leasing necessary unless the failure to so qualify has not had and would not reasonably be expected to have a Material Adverse Effect. The Company’s subsidiaries are set forth on Exhibit 21.1 to its most recent Annual Report on Form 10-K, and the Company owns, directly or indirectly, 100% of the outstanding equity securities of such subsidiaries. The Company’s subsidiaries are duly organized, validly existing and in good standing under the laws of their jurisdiction of incorporation and have all requisite power and authority to carry on their business as now conducted and to own or lease their properties, except where the failure to be in good standing has not had and would not reasonably be expected to have a Material Adverse Effect. The Company’s subsidiaries are duly qualified to do business as foreign corporations and are in good standing in each jurisdiction in which the conduct of their business or their ownership or leasing of property makes such qualification or leasing necessary unless the failure to so qualify has not had and would not reasonably be expected to have a Material Adverse Effect.</w:t>
      </w:r>
    </w:p>
    <w:p>
      <w:pPr>
        <w:spacing w:after="0" w:line="128" w:lineRule="exact"/>
        <w:rPr>
          <w:sz w:val="20"/>
          <w:szCs w:val="20"/>
          <w:color w:val="auto"/>
        </w:rPr>
      </w:pPr>
    </w:p>
    <w:p>
      <w:pPr>
        <w:ind w:right="160" w:firstLine="648"/>
        <w:spacing w:after="0" w:line="260" w:lineRule="auto"/>
        <w:rPr>
          <w:sz w:val="20"/>
          <w:szCs w:val="20"/>
          <w:color w:val="auto"/>
        </w:rPr>
      </w:pPr>
      <w:r>
        <w:rPr>
          <w:rFonts w:ascii="Times New Roman" w:cs="Times New Roman" w:eastAsia="Times New Roman" w:hAnsi="Times New Roman"/>
          <w:sz w:val="12"/>
          <w:szCs w:val="12"/>
          <w:color w:val="auto"/>
        </w:rPr>
        <w:t xml:space="preserve">4.2. </w:t>
      </w:r>
      <w:r>
        <w:rPr>
          <w:rFonts w:ascii="Times New Roman" w:cs="Times New Roman" w:eastAsia="Times New Roman" w:hAnsi="Times New Roman"/>
          <w:sz w:val="12"/>
          <w:szCs w:val="12"/>
          <w:u w:val="single" w:color="auto"/>
          <w:color w:val="auto"/>
        </w:rPr>
        <w:t>Authorization</w:t>
      </w:r>
      <w:r>
        <w:rPr>
          <w:rFonts w:ascii="Times New Roman" w:cs="Times New Roman" w:eastAsia="Times New Roman" w:hAnsi="Times New Roman"/>
          <w:sz w:val="12"/>
          <w:szCs w:val="12"/>
          <w:color w:val="auto"/>
        </w:rPr>
        <w:t>. The Company has the requisite corporate power and authority and has taken all requisite corporate action necessary for, and no further action on the part of the Company, its officers, directors and stockholders is necessary for, (i) the authorization, execution and delivery of the Transaction Documents, (ii) the authorization of the performance of all obligations of the Company hereunder or thereunder, and (iii) the authorization, issuance (or reservation for issuance) and delivery of the Securities. The Transaction Documents constitute the legal, valid and binding obligations of the Company, enforceable against the Company in accordance with their terms, subject to bankruptcy, insolvency, fraudulent transfer, reorganization, moratorium and similar laws of general applicability, relating to or affecting creditors’ rights generally and to general equitable principles.</w:t>
      </w:r>
    </w:p>
    <w:p>
      <w:pPr>
        <w:spacing w:after="0" w:line="12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2"/>
          <w:szCs w:val="12"/>
          <w:color w:val="auto"/>
        </w:rPr>
        <w:t xml:space="preserve">4.3. </w:t>
      </w:r>
      <w:r>
        <w:rPr>
          <w:rFonts w:ascii="Times New Roman" w:cs="Times New Roman" w:eastAsia="Times New Roman" w:hAnsi="Times New Roman"/>
          <w:sz w:val="12"/>
          <w:szCs w:val="12"/>
          <w:u w:val="single" w:color="auto"/>
          <w:color w:val="auto"/>
        </w:rPr>
        <w:t>Capitalization</w:t>
      </w:r>
      <w:r>
        <w:rPr>
          <w:rFonts w:ascii="Times New Roman" w:cs="Times New Roman" w:eastAsia="Times New Roman" w:hAnsi="Times New Roman"/>
          <w:sz w:val="12"/>
          <w:szCs w:val="12"/>
          <w:color w:val="auto"/>
        </w:rPr>
        <w:t>. The Company is authorized under its Certificate of Incorporation to issue 300,000,000 shares of Common Stock. The Company’s disclosure of its issued and outstanding capital stock in its most recent SEC Filing containing such disclosure was accurate in all material respects as of the date indicated in such SEC Filing. All of the issued and outstanding shares of the Company’s capital stock have been duly authorized and validly issued and are fully paid and nonassessable; none of such shares were issued in violation of any preemptive rights; and such shares were issued in compliance in all material respects with applicable state and federal securities law and any rights of third parties. No Person is entitled to preemptive or similar statutory or contractual rights with respect to the issuance by the Company of any securities of the Company, including, without limitation, the Securities. Except for stock options and restricted stock units approved pursuant to Company stock-based compensation plans or warrants described in the SEC Filings, there are no outstanding warrants, options, convertible securities or other rights, agreements or arrangements of any character under which the Company is or may be obligated to issue any equity securities of any kind, except as contemplated by this Agreement. There are no voting agreements, buy-sell agreements, option or right of first purchase agreements or other similar agreements among the Company and any of the securityholders of the Company relating to the securities of the Company held by them. No Person has the right to (a) require the Company to register any securities of the Company under the 1933 Act, whether on a demand basis or in connection with the registration of securities of the Company for its own account or for the account of any other Person or (b) prohibit the Company from filing a registration statement under the 1933 Act.</w:t>
      </w:r>
    </w:p>
    <w:p>
      <w:pPr>
        <w:spacing w:after="0" w:line="126" w:lineRule="exact"/>
        <w:rPr>
          <w:sz w:val="20"/>
          <w:szCs w:val="20"/>
          <w:color w:val="auto"/>
        </w:rPr>
      </w:pPr>
    </w:p>
    <w:p>
      <w:pPr>
        <w:ind w:right="100" w:firstLine="648"/>
        <w:spacing w:after="0" w:line="265" w:lineRule="auto"/>
        <w:rPr>
          <w:sz w:val="20"/>
          <w:szCs w:val="20"/>
          <w:color w:val="auto"/>
        </w:rPr>
      </w:pPr>
      <w:r>
        <w:rPr>
          <w:rFonts w:ascii="Times New Roman" w:cs="Times New Roman" w:eastAsia="Times New Roman" w:hAnsi="Times New Roman"/>
          <w:sz w:val="12"/>
          <w:szCs w:val="12"/>
          <w:color w:val="auto"/>
        </w:rPr>
        <w:t>The issuance and sale of the Placement Securities hereunder will not obligate the Company to issue shares of Common Stock or other securities to any other Person (other than the Investors) and will not result in the adjustment of the exercise, conversion, exchange or reset price of any outstanding security. The Company does not have outstanding stockholder purchase rights or a “poison pill” or any similar arrangement in effect giving any Person the right to purchase any equity interest in the Company upon the occurrence of certain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17804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40" w:name="page41"/>
    <w:bookmarkEnd w:id="40"/>
    <w:p>
      <w:pPr>
        <w:ind w:firstLine="648"/>
        <w:spacing w:after="0" w:line="257" w:lineRule="auto"/>
        <w:rPr>
          <w:sz w:val="20"/>
          <w:szCs w:val="20"/>
          <w:color w:val="auto"/>
        </w:rPr>
      </w:pPr>
      <w:r>
        <w:rPr>
          <w:rFonts w:ascii="Times New Roman" w:cs="Times New Roman" w:eastAsia="Times New Roman" w:hAnsi="Times New Roman"/>
          <w:sz w:val="12"/>
          <w:szCs w:val="12"/>
          <w:color w:val="auto"/>
        </w:rPr>
        <w:t xml:space="preserve">4.4. </w:t>
      </w:r>
      <w:r>
        <w:rPr>
          <w:rFonts w:ascii="Times New Roman" w:cs="Times New Roman" w:eastAsia="Times New Roman" w:hAnsi="Times New Roman"/>
          <w:sz w:val="12"/>
          <w:szCs w:val="12"/>
          <w:u w:val="single" w:color="auto"/>
          <w:color w:val="auto"/>
        </w:rPr>
        <w:t>Valid Issuance</w:t>
      </w:r>
      <w:r>
        <w:rPr>
          <w:rFonts w:ascii="Times New Roman" w:cs="Times New Roman" w:eastAsia="Times New Roman" w:hAnsi="Times New Roman"/>
          <w:sz w:val="12"/>
          <w:szCs w:val="12"/>
          <w:color w:val="auto"/>
        </w:rPr>
        <w:t>. The Shares have been duly and validly authorized and, when issued and paid for pursuant to this Agreement, will be validly issued, fully paid and nonassessable, and shall be free and clear of all encumbrances and restrictions (other than those created by any Investor with respect to Shares purchased by such Investor), except for restrictions on transfer set forth in the Transaction Documents or imposed by applicable securities laws. The Warrant Shares have been duly and validly authorized and reserved for issuance and, upon exercise of the Pre-Funded Warrants and the Common Warrants in accordance with their terms, including the payment of any exercise price therefor, will be validly issued, fully paid and nonassessable, and shall be free and clear of all encumbrances and restrictions (other than those created by any Investor with respect to Warrant Shares purchased by such Investor), except for restrictions on transfer set forth in the Transaction Documents or imposed by applicable securities laws.</w:t>
      </w:r>
    </w:p>
    <w:p>
      <w:pPr>
        <w:spacing w:after="0" w:line="12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2"/>
          <w:szCs w:val="12"/>
          <w:color w:val="auto"/>
        </w:rPr>
        <w:t xml:space="preserve">4.5. </w:t>
      </w:r>
      <w:r>
        <w:rPr>
          <w:rFonts w:ascii="Times New Roman" w:cs="Times New Roman" w:eastAsia="Times New Roman" w:hAnsi="Times New Roman"/>
          <w:sz w:val="12"/>
          <w:szCs w:val="12"/>
          <w:u w:val="single" w:color="auto"/>
          <w:color w:val="auto"/>
        </w:rPr>
        <w:t>Consents</w:t>
      </w:r>
      <w:r>
        <w:rPr>
          <w:rFonts w:ascii="Times New Roman" w:cs="Times New Roman" w:eastAsia="Times New Roman" w:hAnsi="Times New Roman"/>
          <w:sz w:val="12"/>
          <w:szCs w:val="12"/>
          <w:color w:val="auto"/>
        </w:rPr>
        <w:t>. Subject to the accuracy of the representations and warranties of each Investor set forth in Section 5 hereof, the execution, delivery and performance by the Company of the Transaction Documents and the offer, issuance and sale of the Securities require no consent of, action by or in respect of, or filing with, any Person, governmental body, agency, or official other than (a) filings that have been made pursuant to applicable state securities laws, (b) post-sale filings pursuant to applicable state and federal securities laws, (c) filings pursuant to the rules and regulations of Nasdaq and (d) filing of the registration statement required to be filed by the Registration Rights Agreement, each of which the Company has filed or undertakes to file within the applicable time. Subject to the accuracy of the representations and warranties of each Investor set forth in Section 5 hereof, the Company has taken all action necessary to exempt (i) the issuance and sale of the Securities and (ii) the other transactions contemplated by the Transaction Documents from the provisions of any stockholder rights plan or other “poison pill” arrangement, any anti-takeover, business combination or control share law or statute binding on the Company or to which the Company or any of its assets and properties is subject that is or could reasonably be expected to become applicable to the Investors as a result of the transactions contemplated hereby, including without limitation, the issuance of the Securities and the ownership, disposition or voting of the Shares or the Warrant Shares by the Investors or the exercise of any right granted to the Investors pursuant to the Transaction Documents.</w:t>
      </w:r>
    </w:p>
    <w:p>
      <w:pPr>
        <w:spacing w:after="0" w:line="128" w:lineRule="exact"/>
        <w:rPr>
          <w:sz w:val="20"/>
          <w:szCs w:val="20"/>
          <w:color w:val="auto"/>
        </w:rPr>
      </w:pPr>
    </w:p>
    <w:p>
      <w:pPr>
        <w:ind w:right="460" w:firstLine="648"/>
        <w:spacing w:after="0" w:line="279" w:lineRule="auto"/>
        <w:rPr>
          <w:sz w:val="20"/>
          <w:szCs w:val="20"/>
          <w:color w:val="auto"/>
        </w:rPr>
      </w:pPr>
      <w:r>
        <w:rPr>
          <w:rFonts w:ascii="Times New Roman" w:cs="Times New Roman" w:eastAsia="Times New Roman" w:hAnsi="Times New Roman"/>
          <w:sz w:val="12"/>
          <w:szCs w:val="12"/>
          <w:color w:val="auto"/>
        </w:rPr>
        <w:t xml:space="preserve">4.6. </w:t>
      </w:r>
      <w:r>
        <w:rPr>
          <w:rFonts w:ascii="Times New Roman" w:cs="Times New Roman" w:eastAsia="Times New Roman" w:hAnsi="Times New Roman"/>
          <w:sz w:val="12"/>
          <w:szCs w:val="12"/>
          <w:u w:val="single" w:color="auto"/>
          <w:color w:val="auto"/>
        </w:rPr>
        <w:t>Use of Proceeds</w:t>
      </w:r>
      <w:r>
        <w:rPr>
          <w:rFonts w:ascii="Times New Roman" w:cs="Times New Roman" w:eastAsia="Times New Roman" w:hAnsi="Times New Roman"/>
          <w:sz w:val="12"/>
          <w:szCs w:val="12"/>
          <w:color w:val="auto"/>
        </w:rPr>
        <w:t>. The net proceeds of the sale of the Securities hereunder shall be used by the Company primarily to fund research, clinical development, process development and manufacturing of its product candidates, working capital, capital expenditures and other general corporate purposes.</w:t>
      </w:r>
    </w:p>
    <w:p>
      <w:pPr>
        <w:spacing w:after="0" w:line="1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 xml:space="preserve">4.7. </w:t>
      </w:r>
      <w:r>
        <w:rPr>
          <w:rFonts w:ascii="Times New Roman" w:cs="Times New Roman" w:eastAsia="Times New Roman" w:hAnsi="Times New Roman"/>
          <w:sz w:val="12"/>
          <w:szCs w:val="12"/>
          <w:u w:val="single" w:color="auto"/>
          <w:color w:val="auto"/>
        </w:rPr>
        <w:t>No Material Adverse Change</w:t>
      </w:r>
      <w:r>
        <w:rPr>
          <w:rFonts w:ascii="Times New Roman" w:cs="Times New Roman" w:eastAsia="Times New Roman" w:hAnsi="Times New Roman"/>
          <w:sz w:val="12"/>
          <w:szCs w:val="12"/>
          <w:color w:val="auto"/>
        </w:rPr>
        <w:t>. Since September 30, 2025, other than as described in the SEC Filings, there has not been:</w:t>
      </w:r>
    </w:p>
    <w:p>
      <w:pPr>
        <w:spacing w:after="0" w:line="150" w:lineRule="exact"/>
        <w:rPr>
          <w:sz w:val="20"/>
          <w:szCs w:val="20"/>
          <w:color w:val="auto"/>
        </w:rPr>
      </w:pPr>
    </w:p>
    <w:p>
      <w:pPr>
        <w:ind w:right="20" w:firstLine="856"/>
        <w:spacing w:after="0" w:line="279" w:lineRule="auto"/>
        <w:tabs>
          <w:tab w:leader="none" w:pos="1007"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change in the consolidated assets, liabilities, financial condition or operating results of the Company from that reflected in the financial statements included in the Company’s Quarterly Report on Form 10-Q for the quarter ended September 30, 2025, except for changes in the ordinary course of business which have not had and would not reasonably be expected to have a Material Adverse Effect, individually or in the aggregate;</w:t>
      </w:r>
    </w:p>
    <w:p>
      <w:pPr>
        <w:spacing w:after="0" w:line="111" w:lineRule="exact"/>
        <w:rPr>
          <w:rFonts w:ascii="Times New Roman" w:cs="Times New Roman" w:eastAsia="Times New Roman" w:hAnsi="Times New Roman"/>
          <w:sz w:val="12"/>
          <w:szCs w:val="12"/>
          <w:color w:val="auto"/>
        </w:rPr>
      </w:pPr>
    </w:p>
    <w:p>
      <w:pPr>
        <w:ind w:right="120" w:firstLine="856"/>
        <w:spacing w:after="0" w:line="279" w:lineRule="auto"/>
        <w:tabs>
          <w:tab w:leader="none" w:pos="1041"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declaration or payment by the Company of any dividend, or any authorization or payment by the Company of any distribution, on any of the capital stock of the Company, or any redemption or repurchase by the Company of any securities of the Company;</w:t>
      </w:r>
    </w:p>
    <w:p>
      <w:pPr>
        <w:spacing w:after="0" w:line="111" w:lineRule="exact"/>
        <w:rPr>
          <w:rFonts w:ascii="Times New Roman" w:cs="Times New Roman" w:eastAsia="Times New Roman" w:hAnsi="Times New Roman"/>
          <w:sz w:val="12"/>
          <w:szCs w:val="12"/>
          <w:color w:val="auto"/>
        </w:rPr>
      </w:pPr>
    </w:p>
    <w:p>
      <w:pPr>
        <w:ind w:left="1060" w:hanging="204"/>
        <w:spacing w:after="0"/>
        <w:tabs>
          <w:tab w:leader="none" w:pos="106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has not entered into any transactions not in the ordinary course of business that are material, individually or in the aggregate, to the Company; or</w:t>
      </w:r>
    </w:p>
    <w:p>
      <w:pPr>
        <w:spacing w:after="0" w:line="150" w:lineRule="exact"/>
        <w:rPr>
          <w:rFonts w:ascii="Times New Roman" w:cs="Times New Roman" w:eastAsia="Times New Roman" w:hAnsi="Times New Roman"/>
          <w:sz w:val="12"/>
          <w:szCs w:val="12"/>
          <w:color w:val="auto"/>
        </w:rPr>
      </w:pPr>
    </w:p>
    <w:p>
      <w:pPr>
        <w:ind w:left="1060" w:hanging="204"/>
        <w:spacing w:after="0"/>
        <w:tabs>
          <w:tab w:leader="none" w:pos="106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event or condition that has had or would reasonably be expected to have a Material Adverse Effect.</w:t>
      </w:r>
    </w:p>
    <w:p>
      <w:pPr>
        <w:spacing w:after="0" w:line="150" w:lineRule="exact"/>
        <w:rPr>
          <w:sz w:val="20"/>
          <w:szCs w:val="20"/>
          <w:color w:val="auto"/>
        </w:rPr>
      </w:pPr>
    </w:p>
    <w:p>
      <w:pPr>
        <w:ind w:right="60" w:firstLine="648"/>
        <w:spacing w:after="0" w:line="265" w:lineRule="auto"/>
        <w:rPr>
          <w:sz w:val="20"/>
          <w:szCs w:val="20"/>
          <w:color w:val="auto"/>
        </w:rPr>
      </w:pPr>
      <w:r>
        <w:rPr>
          <w:rFonts w:ascii="Times New Roman" w:cs="Times New Roman" w:eastAsia="Times New Roman" w:hAnsi="Times New Roman"/>
          <w:sz w:val="12"/>
          <w:szCs w:val="12"/>
          <w:color w:val="auto"/>
        </w:rPr>
        <w:t xml:space="preserve">4.8. </w:t>
      </w:r>
      <w:r>
        <w:rPr>
          <w:rFonts w:ascii="Times New Roman" w:cs="Times New Roman" w:eastAsia="Times New Roman" w:hAnsi="Times New Roman"/>
          <w:sz w:val="12"/>
          <w:szCs w:val="12"/>
          <w:u w:val="single" w:color="auto"/>
          <w:color w:val="auto"/>
        </w:rPr>
        <w:t>SEC Filings</w:t>
      </w:r>
      <w:r>
        <w:rPr>
          <w:rFonts w:ascii="Times New Roman" w:cs="Times New Roman" w:eastAsia="Times New Roman" w:hAnsi="Times New Roman"/>
          <w:sz w:val="12"/>
          <w:szCs w:val="12"/>
          <w:color w:val="auto"/>
        </w:rPr>
        <w:t>. The Company has filed all reports, schedules, forms, statements and other documents required to be filed by the Company under the 1933 Act and the 1934 Act, including pursuant to Section 13(a) or 15(d) thereof, for the one-year period preceding the date hereof (collectively, the “</w:t>
      </w:r>
      <w:r>
        <w:rPr>
          <w:rFonts w:ascii="Times New Roman" w:cs="Times New Roman" w:eastAsia="Times New Roman" w:hAnsi="Times New Roman"/>
          <w:sz w:val="12"/>
          <w:szCs w:val="12"/>
          <w:u w:val="single" w:color="auto"/>
          <w:color w:val="auto"/>
        </w:rPr>
        <w:t>SEC Filings</w:t>
      </w:r>
      <w:r>
        <w:rPr>
          <w:rFonts w:ascii="Times New Roman" w:cs="Times New Roman" w:eastAsia="Times New Roman" w:hAnsi="Times New Roman"/>
          <w:sz w:val="12"/>
          <w:szCs w:val="12"/>
          <w:color w:val="auto"/>
        </w:rPr>
        <w:t>”). The Company meets the requirements for use of Form S-3 under the 1933 Act. At the time of filing thereof, the SEC Filings complied as to form in all material respects with the requirements of the 1933 Act or the 1934 Act, as applicable, and the rules and regulations of the SEC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17804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41" w:name="page42"/>
    <w:bookmarkEnd w:id="41"/>
    <w:p>
      <w:pPr>
        <w:ind w:firstLine="648"/>
        <w:spacing w:after="0" w:line="254" w:lineRule="auto"/>
        <w:rPr>
          <w:sz w:val="20"/>
          <w:szCs w:val="20"/>
          <w:color w:val="auto"/>
        </w:rPr>
      </w:pPr>
      <w:r>
        <w:rPr>
          <w:rFonts w:ascii="Times New Roman" w:cs="Times New Roman" w:eastAsia="Times New Roman" w:hAnsi="Times New Roman"/>
          <w:sz w:val="12"/>
          <w:szCs w:val="12"/>
          <w:color w:val="auto"/>
        </w:rPr>
        <w:t xml:space="preserve">4.9. </w:t>
      </w:r>
      <w:r>
        <w:rPr>
          <w:rFonts w:ascii="Times New Roman" w:cs="Times New Roman" w:eastAsia="Times New Roman" w:hAnsi="Times New Roman"/>
          <w:sz w:val="12"/>
          <w:szCs w:val="12"/>
          <w:u w:val="single" w:color="auto"/>
          <w:color w:val="auto"/>
        </w:rPr>
        <w:t>No Conflict, Breach, Violation or Default</w:t>
      </w:r>
      <w:r>
        <w:rPr>
          <w:rFonts w:ascii="Times New Roman" w:cs="Times New Roman" w:eastAsia="Times New Roman" w:hAnsi="Times New Roman"/>
          <w:sz w:val="12"/>
          <w:szCs w:val="12"/>
          <w:color w:val="auto"/>
        </w:rPr>
        <w:t>. The execution, delivery and performance of the Transaction Documents by the Company and the issuance and sale of the Securities in accordance with the provisions thereof will not, except (solely in the case of clauses (i)(b) and (ii)) for such violations, conflicts or defaults as would not reasonably be expected, individually or in the aggregate, to have a Material Adverse Effect, (i) conflict with or result in a breach or violation of (a) any of the terms and provisions of, or constitute a default under, the Company’s Certificate of Incorporation or the Company’s Bylaws, both as in effect on the date hereof (true and complete copies of which have been made available to the Investors through the Electronic Data Gathering, Analysis, and Retrieval system (the “</w:t>
      </w:r>
      <w:r>
        <w:rPr>
          <w:rFonts w:ascii="Times New Roman" w:cs="Times New Roman" w:eastAsia="Times New Roman" w:hAnsi="Times New Roman"/>
          <w:sz w:val="12"/>
          <w:szCs w:val="12"/>
          <w:u w:val="single" w:color="auto"/>
          <w:color w:val="auto"/>
        </w:rPr>
        <w:t>EDGAR system</w:t>
      </w:r>
      <w:r>
        <w:rPr>
          <w:rFonts w:ascii="Times New Roman" w:cs="Times New Roman" w:eastAsia="Times New Roman" w:hAnsi="Times New Roman"/>
          <w:sz w:val="12"/>
          <w:szCs w:val="12"/>
          <w:color w:val="auto"/>
        </w:rPr>
        <w:t>”)), or (b) assuming the accuracy of the representations and warranties in Section 5, any applicable statute, rule, regulation or order of any governmental agency or body or any court, domestic or foreign, having jurisdiction over the Company or its subsidiaries, or any of their assets or properties, or (ii) conflict with, or constitute a default (or an event that with notice or lapse of time or both would become a default) under, result in the creation of any lien, encumbrance or other adverse claim upon any of the properties or assets of the Company or its subsidiaries or give to others any rights of termination, amendment, acceleration or cancellation (with or without notice, lapse of time or both) of, any Material Contract. This Section 4.9 does not relate to matters with respect to tax status, which are the subject of Section 4.10, employee relations and labor matters, which are the subject of Section 4.13, intellectual property matters, which are the subject of Section 4.14, or environmental matters, which are the subject of Section 4.15.</w:t>
      </w:r>
    </w:p>
    <w:p>
      <w:pPr>
        <w:spacing w:after="0" w:line="12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2"/>
          <w:szCs w:val="12"/>
          <w:color w:val="auto"/>
        </w:rPr>
        <w:t xml:space="preserve">4.10. </w:t>
      </w:r>
      <w:r>
        <w:rPr>
          <w:rFonts w:ascii="Times New Roman" w:cs="Times New Roman" w:eastAsia="Times New Roman" w:hAnsi="Times New Roman"/>
          <w:sz w:val="12"/>
          <w:szCs w:val="12"/>
          <w:u w:val="single" w:color="auto"/>
          <w:color w:val="auto"/>
        </w:rPr>
        <w:t>Tax Matters</w:t>
      </w:r>
      <w:r>
        <w:rPr>
          <w:rFonts w:ascii="Times New Roman" w:cs="Times New Roman" w:eastAsia="Times New Roman" w:hAnsi="Times New Roman"/>
          <w:sz w:val="12"/>
          <w:szCs w:val="12"/>
          <w:color w:val="auto"/>
        </w:rPr>
        <w:t>. The Company and its subsidiaries have timely prepared and filed all material tax returns required to have been filed by them with all appropriate governmental agencies and timely paid all material taxes shown thereon or otherwise owed by them. There are no material unpaid assessments against the Company nor, to the Company’s Knowledge, any audits by any federal, state or local taxing authority. All material taxes that the Company is required to withhold or to collect for payment have been duly withheld and collected and paid to the proper governmental entity or third party when due. There are no tax liens pending or, to the Company’s Knowledge, threatened against the Company or any of its assets or property. With the exception of agreements or other arrangements that are not primarily related to taxes entered into in the ordinary course of business, there are no outstanding tax sharing agreements or other such arrangements between the Company and any other corporation or entity (other than a subsidiary of the Company). The Company is classified as a Subchapter C corporation for U.S. federal tax purposes.</w:t>
      </w:r>
    </w:p>
    <w:p>
      <w:pPr>
        <w:spacing w:after="0" w:line="125" w:lineRule="exact"/>
        <w:rPr>
          <w:sz w:val="20"/>
          <w:szCs w:val="20"/>
          <w:color w:val="auto"/>
        </w:rPr>
      </w:pPr>
    </w:p>
    <w:p>
      <w:pPr>
        <w:jc w:val="both"/>
        <w:ind w:right="160" w:firstLine="648"/>
        <w:spacing w:after="0" w:line="265" w:lineRule="auto"/>
        <w:rPr>
          <w:sz w:val="20"/>
          <w:szCs w:val="20"/>
          <w:color w:val="auto"/>
        </w:rPr>
      </w:pPr>
      <w:r>
        <w:rPr>
          <w:rFonts w:ascii="Times New Roman" w:cs="Times New Roman" w:eastAsia="Times New Roman" w:hAnsi="Times New Roman"/>
          <w:sz w:val="12"/>
          <w:szCs w:val="12"/>
          <w:color w:val="auto"/>
        </w:rPr>
        <w:t xml:space="preserve">4.11. </w:t>
      </w:r>
      <w:r>
        <w:rPr>
          <w:rFonts w:ascii="Times New Roman" w:cs="Times New Roman" w:eastAsia="Times New Roman" w:hAnsi="Times New Roman"/>
          <w:sz w:val="12"/>
          <w:szCs w:val="12"/>
          <w:u w:val="single" w:color="auto"/>
          <w:color w:val="auto"/>
        </w:rPr>
        <w:t>Title to Properties</w:t>
      </w:r>
      <w:r>
        <w:rPr>
          <w:rFonts w:ascii="Times New Roman" w:cs="Times New Roman" w:eastAsia="Times New Roman" w:hAnsi="Times New Roman"/>
          <w:sz w:val="12"/>
          <w:szCs w:val="12"/>
          <w:color w:val="auto"/>
        </w:rPr>
        <w:t>. The Company and its subsidiaries have good and marketable title to all real properties and all other properties and assets owned by them, in each case free from liens, encumbrances and defects, except such as would not reasonably be expected, individually or in the aggregate, to have a Material Adverse Effect; and the Company and its subsidiaries hold any leased real or personal property under valid and enforceable leases with no exceptions, except such as would not reasonably be expected, individually or in the aggregate, to have a Material Adverse Effect.</w:t>
      </w:r>
    </w:p>
    <w:p>
      <w:pPr>
        <w:spacing w:after="0" w:line="119" w:lineRule="exact"/>
        <w:rPr>
          <w:sz w:val="20"/>
          <w:szCs w:val="20"/>
          <w:color w:val="auto"/>
        </w:rPr>
      </w:pPr>
    </w:p>
    <w:p>
      <w:pPr>
        <w:jc w:val="both"/>
        <w:ind w:right="20" w:firstLine="648"/>
        <w:spacing w:after="0" w:line="265" w:lineRule="auto"/>
        <w:rPr>
          <w:sz w:val="20"/>
          <w:szCs w:val="20"/>
          <w:color w:val="auto"/>
        </w:rPr>
      </w:pPr>
      <w:r>
        <w:rPr>
          <w:rFonts w:ascii="Times New Roman" w:cs="Times New Roman" w:eastAsia="Times New Roman" w:hAnsi="Times New Roman"/>
          <w:sz w:val="12"/>
          <w:szCs w:val="12"/>
          <w:color w:val="auto"/>
        </w:rPr>
        <w:t xml:space="preserve">4.12. </w:t>
      </w:r>
      <w:r>
        <w:rPr>
          <w:rFonts w:ascii="Times New Roman" w:cs="Times New Roman" w:eastAsia="Times New Roman" w:hAnsi="Times New Roman"/>
          <w:sz w:val="12"/>
          <w:szCs w:val="12"/>
          <w:u w:val="single" w:color="auto"/>
          <w:color w:val="auto"/>
        </w:rPr>
        <w:t>Certificates, Authorities and Permits</w:t>
      </w:r>
      <w:r>
        <w:rPr>
          <w:rFonts w:ascii="Times New Roman" w:cs="Times New Roman" w:eastAsia="Times New Roman" w:hAnsi="Times New Roman"/>
          <w:sz w:val="12"/>
          <w:szCs w:val="12"/>
          <w:color w:val="auto"/>
        </w:rPr>
        <w:t>. The Company possesses adequate certificates, authorities or permits issued by appropriate governmental agencies or bodies necessary to conduct the business now operated by it, except where failure to so possess would not reasonably be expected, individually or in the aggregate, to result in a Material Adverse Effect. The Company has not received any written notice of proceedings relating to the revocation or modification of any such certificate, authority or permit that would reasonably be expected to have a Material Adverse Effect, individually or in the aggregate, on the Company.</w:t>
      </w:r>
    </w:p>
    <w:p>
      <w:pPr>
        <w:spacing w:after="0" w:line="119" w:lineRule="exact"/>
        <w:rPr>
          <w:sz w:val="20"/>
          <w:szCs w:val="20"/>
          <w:color w:val="auto"/>
        </w:rPr>
      </w:pPr>
    </w:p>
    <w:p>
      <w:pPr>
        <w:ind w:right="160" w:firstLine="648"/>
        <w:spacing w:after="0" w:line="279" w:lineRule="auto"/>
        <w:rPr>
          <w:sz w:val="20"/>
          <w:szCs w:val="20"/>
          <w:color w:val="auto"/>
        </w:rPr>
      </w:pPr>
      <w:r>
        <w:rPr>
          <w:rFonts w:ascii="Times New Roman" w:cs="Times New Roman" w:eastAsia="Times New Roman" w:hAnsi="Times New Roman"/>
          <w:sz w:val="12"/>
          <w:szCs w:val="12"/>
          <w:color w:val="auto"/>
        </w:rPr>
        <w:t xml:space="preserve">4.13. </w:t>
      </w:r>
      <w:r>
        <w:rPr>
          <w:rFonts w:ascii="Times New Roman" w:cs="Times New Roman" w:eastAsia="Times New Roman" w:hAnsi="Times New Roman"/>
          <w:sz w:val="12"/>
          <w:szCs w:val="12"/>
          <w:u w:val="single" w:color="auto"/>
          <w:color w:val="auto"/>
        </w:rPr>
        <w:t>Labor Matters</w:t>
      </w:r>
      <w:r>
        <w:rPr>
          <w:rFonts w:ascii="Times New Roman" w:cs="Times New Roman" w:eastAsia="Times New Roman" w:hAnsi="Times New Roman"/>
          <w:sz w:val="12"/>
          <w:szCs w:val="12"/>
          <w:color w:val="auto"/>
        </w:rPr>
        <w:t>. To the Company’s Knowledge, no material labor dispute with the employees of the Company, or with the employees of any principal supplier, manufacturer, customer or contractor of the Company, exists or, to the Company’s Knowledge, is threatened or imminent.</w:t>
      </w:r>
    </w:p>
    <w:p>
      <w:pPr>
        <w:spacing w:after="0" w:line="111"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2"/>
          <w:szCs w:val="12"/>
          <w:color w:val="auto"/>
        </w:rPr>
        <w:t xml:space="preserve">4.14. </w:t>
      </w:r>
      <w:r>
        <w:rPr>
          <w:rFonts w:ascii="Times New Roman" w:cs="Times New Roman" w:eastAsia="Times New Roman" w:hAnsi="Times New Roman"/>
          <w:sz w:val="12"/>
          <w:szCs w:val="12"/>
          <w:u w:val="single" w:color="auto"/>
          <w:color w:val="auto"/>
        </w:rPr>
        <w:t>Intellectual Property</w:t>
      </w:r>
      <w:r>
        <w:rPr>
          <w:rFonts w:ascii="Times New Roman" w:cs="Times New Roman" w:eastAsia="Times New Roman" w:hAnsi="Times New Roman"/>
          <w:sz w:val="12"/>
          <w:szCs w:val="12"/>
          <w:color w:val="auto"/>
        </w:rPr>
        <w:t>. The Company and its subsidiaries own, possess, license or have other rights to use, all patents, patent applications, trade and service marks, trade and service mark registrations, trade names, copyrights, licenses, inventions, trade secrets, technology, know-how and other intellectual property (collectively, the “</w:t>
      </w:r>
      <w:r>
        <w:rPr>
          <w:rFonts w:ascii="Times New Roman" w:cs="Times New Roman" w:eastAsia="Times New Roman" w:hAnsi="Times New Roman"/>
          <w:sz w:val="12"/>
          <w:szCs w:val="12"/>
          <w:u w:val="single" w:color="auto"/>
          <w:color w:val="auto"/>
        </w:rPr>
        <w:t>Intellectual Property</w:t>
      </w:r>
      <w:r>
        <w:rPr>
          <w:rFonts w:ascii="Times New Roman" w:cs="Times New Roman" w:eastAsia="Times New Roman" w:hAnsi="Times New Roman"/>
          <w:sz w:val="12"/>
          <w:szCs w:val="12"/>
          <w:color w:val="auto"/>
        </w:rPr>
        <w:t>”) necessary for the conduct of the Company’s business in all material respects as now conducted or as proposed in the SEC Filings to be conducted; and (a) to the Company’s Knowledge, there are no rights of third parties to any such Intellectual Property, including no liens, security interests or other encumbrances; (b) to the Company’s Knowledge, there is no material infringement by third parties of any such Intellectual Property; (c) there is no pending or, to the Company’s Knowledge, threatened action, suit, proceeding or claim by others challenging the Company’s rights in or to any such Intellectual Property; (d) to the Company’s Knowledge, such Intellectual Property that is described in the SEC Filings has not been adjudged by a court of competent jurisdiction invalid or unenforceable, in whole or in part; (e) there is no pending or, to the Company’s Knowledge, threatened action, suit, proceeding or claim by others challenging the validity or scope of any such Intellectual Property that is owned or licensed by the Company, including interferences, oppositions, reexaminations or government proceedings; (f) there is no pending or, to the Company’s Knowledge, threatened action, suit, proceeding or claim by others that the Company infringes, misappropriates, or otherwise violates any patent, trademark, copyright, trade secret or other proprietary rights of others; and (g) to the Company’s Knowledge, each Company employee involved with the development of Intellectual Property has entered into an invention assignment agreement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281305</wp:posOffset>
            </wp:positionV>
            <wp:extent cx="717804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1" w:right="319" w:bottom="1440" w:gutter="0" w:footer="0" w:header="0"/>
        </w:sectPr>
      </w:pPr>
    </w:p>
    <w:bookmarkStart w:id="42" w:name="page43"/>
    <w:bookmarkEnd w:id="42"/>
    <w:p>
      <w:pPr>
        <w:ind w:firstLine="648"/>
        <w:spacing w:after="0" w:line="257" w:lineRule="auto"/>
        <w:rPr>
          <w:sz w:val="20"/>
          <w:szCs w:val="20"/>
          <w:color w:val="auto"/>
        </w:rPr>
      </w:pPr>
      <w:r>
        <w:rPr>
          <w:rFonts w:ascii="Times New Roman" w:cs="Times New Roman" w:eastAsia="Times New Roman" w:hAnsi="Times New Roman"/>
          <w:sz w:val="12"/>
          <w:szCs w:val="12"/>
          <w:color w:val="auto"/>
        </w:rPr>
        <w:t xml:space="preserve">4.15. </w:t>
      </w:r>
      <w:r>
        <w:rPr>
          <w:rFonts w:ascii="Times New Roman" w:cs="Times New Roman" w:eastAsia="Times New Roman" w:hAnsi="Times New Roman"/>
          <w:sz w:val="12"/>
          <w:szCs w:val="12"/>
          <w:u w:val="single" w:color="auto"/>
          <w:color w:val="auto"/>
        </w:rPr>
        <w:t>Environmental Matters</w:t>
      </w:r>
      <w:r>
        <w:rPr>
          <w:rFonts w:ascii="Times New Roman" w:cs="Times New Roman" w:eastAsia="Times New Roman" w:hAnsi="Times New Roman"/>
          <w:sz w:val="12"/>
          <w:szCs w:val="12"/>
          <w:color w:val="auto"/>
        </w:rPr>
        <w:t>. The Company is not in violation of any statute, rule, regulation, decision or order of any governmental agency or body or any court, domestic or foreign, relating to the use, disposal or release of hazardous or toxic substances or relating to the protection or restoration of the environment or human exposure to hazardous or toxic substances (collectively, “</w:t>
      </w:r>
      <w:r>
        <w:rPr>
          <w:rFonts w:ascii="Times New Roman" w:cs="Times New Roman" w:eastAsia="Times New Roman" w:hAnsi="Times New Roman"/>
          <w:sz w:val="12"/>
          <w:szCs w:val="12"/>
          <w:u w:val="single" w:color="auto"/>
          <w:color w:val="auto"/>
        </w:rPr>
        <w:t>Environmental Laws</w:t>
      </w:r>
      <w:r>
        <w:rPr>
          <w:rFonts w:ascii="Times New Roman" w:cs="Times New Roman" w:eastAsia="Times New Roman" w:hAnsi="Times New Roman"/>
          <w:sz w:val="12"/>
          <w:szCs w:val="12"/>
          <w:color w:val="auto"/>
        </w:rPr>
        <w:t>”), has not released any hazardous substances regulated by Environmental Laws onto any real property that it owns or operates and has not received any written notice or claim that it is liable for any off-site disposal or contamination pursuant to any Environmental Laws, which violation, release, notice, claim, or liability would reasonably be expected, individually or in the aggregate, to have a Material Adverse Effect, and to the Company’s Knowledge, there is no pending or threatened investigation that would reasonably be expected to lead to such a claim.</w:t>
      </w:r>
    </w:p>
    <w:p>
      <w:pPr>
        <w:spacing w:after="0" w:line="125"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2"/>
          <w:szCs w:val="12"/>
          <w:color w:val="auto"/>
        </w:rPr>
        <w:t xml:space="preserve">4.16. </w:t>
      </w:r>
      <w:r>
        <w:rPr>
          <w:rFonts w:ascii="Times New Roman" w:cs="Times New Roman" w:eastAsia="Times New Roman" w:hAnsi="Times New Roman"/>
          <w:sz w:val="12"/>
          <w:szCs w:val="12"/>
          <w:u w:val="single" w:color="auto"/>
          <w:color w:val="auto"/>
        </w:rPr>
        <w:t>Legal Proceedings</w:t>
      </w:r>
      <w:r>
        <w:rPr>
          <w:rFonts w:ascii="Times New Roman" w:cs="Times New Roman" w:eastAsia="Times New Roman" w:hAnsi="Times New Roman"/>
          <w:sz w:val="12"/>
          <w:szCs w:val="12"/>
          <w:color w:val="auto"/>
        </w:rPr>
        <w:t>. There are no legal, governmental or regulatory investigations, actions, suits or proceedings pending or, to the Company’s Knowledge, threatened, to which the Company or its subsidiaries are or may reasonably be expected to become a party or to which any property of the Company or its subsidiaries are or may reasonably be expected to become the subject that, individually or in the aggregate, would reasonably be expected to have a Material Adverse Effect. The Company is not and has not been the subject of any action involving a claim of violation of or liability under federal or state securities laws or a claim of breach of fiduciary duty. There has not been, and to the Company’s Knowledge, there is not pending or contemplated, any investigation by the SEC involving the Company or, to the Company’s Knowledge, any current or former director or officer of the Company. The SEC has not issued any stop order or other order suspending the effectiveness of any registration statement filed by the Company or any subsidiary under the 1933 Act or the 1934 Act.</w:t>
      </w:r>
    </w:p>
    <w:p>
      <w:pPr>
        <w:spacing w:after="0" w:line="12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2"/>
          <w:szCs w:val="12"/>
          <w:color w:val="auto"/>
        </w:rPr>
        <w:t xml:space="preserve">4.17. </w:t>
      </w:r>
      <w:r>
        <w:rPr>
          <w:rFonts w:ascii="Times New Roman" w:cs="Times New Roman" w:eastAsia="Times New Roman" w:hAnsi="Times New Roman"/>
          <w:sz w:val="12"/>
          <w:szCs w:val="12"/>
          <w:u w:val="single" w:color="auto"/>
          <w:color w:val="auto"/>
        </w:rPr>
        <w:t>Financial Statements</w:t>
      </w:r>
      <w:r>
        <w:rPr>
          <w:rFonts w:ascii="Times New Roman" w:cs="Times New Roman" w:eastAsia="Times New Roman" w:hAnsi="Times New Roman"/>
          <w:sz w:val="12"/>
          <w:szCs w:val="12"/>
          <w:color w:val="auto"/>
        </w:rPr>
        <w:t>. The financial statements included in each SEC Filing comply in all material respects with applicable accounting requirements and the rules and regulations of the SEC with respect thereto as in effect at the time of filing (or to the extent corrected by a subsequent restatement) and present fairly, in all material respects, the consolidated financial position of the Company as of the dates shown and its consolidated results of operations and cash flows for the periods shown, subject in the case of unaudited financial statements to normal, immaterial year-end audit adjustments, and such consolidated financial statements have been prepared in conformity with United States generally accepted accounting principles applied on a consistent basis during the periods involved (“</w:t>
      </w:r>
      <w:r>
        <w:rPr>
          <w:rFonts w:ascii="Times New Roman" w:cs="Times New Roman" w:eastAsia="Times New Roman" w:hAnsi="Times New Roman"/>
          <w:sz w:val="12"/>
          <w:szCs w:val="12"/>
          <w:u w:val="single" w:color="auto"/>
          <w:color w:val="auto"/>
        </w:rPr>
        <w:t>GAAP</w:t>
      </w:r>
      <w:r>
        <w:rPr>
          <w:rFonts w:ascii="Times New Roman" w:cs="Times New Roman" w:eastAsia="Times New Roman" w:hAnsi="Times New Roman"/>
          <w:sz w:val="12"/>
          <w:szCs w:val="12"/>
          <w:color w:val="auto"/>
        </w:rPr>
        <w:t>”) (except as may be disclosed therein or in the notes thereto, and except that the unaudited financial statements may not contain all footnotes required by GAAP, and, in the case of quarterly financial statements, except as permitted by Form 10-Q under the 1934 Act). Except as set forth in the financial statements of the Company included in the SEC Filings filed prior to the date hereof, the Company has not incurred any liabilities, contingent or otherwise, except those incurred in the ordinary course of business, consistent (as to amount and nature) with past practices since the date of such financial statements, none of which, individually or in the aggregate, have had or would reasonably be expected to have a Material Adverse Effect.</w:t>
      </w:r>
    </w:p>
    <w:p>
      <w:pPr>
        <w:spacing w:after="0" w:line="126" w:lineRule="exact"/>
        <w:rPr>
          <w:sz w:val="20"/>
          <w:szCs w:val="20"/>
          <w:color w:val="auto"/>
        </w:rPr>
      </w:pPr>
    </w:p>
    <w:p>
      <w:pPr>
        <w:ind w:right="120" w:firstLine="648"/>
        <w:spacing w:after="0" w:line="279" w:lineRule="auto"/>
        <w:rPr>
          <w:sz w:val="20"/>
          <w:szCs w:val="20"/>
          <w:color w:val="auto"/>
        </w:rPr>
      </w:pPr>
      <w:r>
        <w:rPr>
          <w:rFonts w:ascii="Times New Roman" w:cs="Times New Roman" w:eastAsia="Times New Roman" w:hAnsi="Times New Roman"/>
          <w:sz w:val="12"/>
          <w:szCs w:val="12"/>
          <w:color w:val="auto"/>
        </w:rPr>
        <w:t xml:space="preserve">4.18. </w:t>
      </w:r>
      <w:r>
        <w:rPr>
          <w:rFonts w:ascii="Times New Roman" w:cs="Times New Roman" w:eastAsia="Times New Roman" w:hAnsi="Times New Roman"/>
          <w:sz w:val="12"/>
          <w:szCs w:val="12"/>
          <w:u w:val="single" w:color="auto"/>
          <w:color w:val="auto"/>
        </w:rPr>
        <w:t>Insurance Coverage</w:t>
      </w:r>
      <w:r>
        <w:rPr>
          <w:rFonts w:ascii="Times New Roman" w:cs="Times New Roman" w:eastAsia="Times New Roman" w:hAnsi="Times New Roman"/>
          <w:sz w:val="12"/>
          <w:szCs w:val="12"/>
          <w:color w:val="auto"/>
        </w:rPr>
        <w:t>. The Company maintains in full force and effect insurance coverage that is customary for comparably situated companies for the business being conducted and properties owned or leased by the Company, and the Company reasonably believes such insurance coverage to be adequate against all liabilities, claims and risks against which it is customary for comparably situated companies to insure.</w:t>
      </w:r>
    </w:p>
    <w:p>
      <w:pPr>
        <w:spacing w:after="0" w:line="111" w:lineRule="exact"/>
        <w:rPr>
          <w:sz w:val="20"/>
          <w:szCs w:val="20"/>
          <w:color w:val="auto"/>
        </w:rPr>
      </w:pPr>
    </w:p>
    <w:p>
      <w:pPr>
        <w:ind w:right="660" w:firstLine="648"/>
        <w:spacing w:after="0" w:line="279" w:lineRule="auto"/>
        <w:rPr>
          <w:sz w:val="20"/>
          <w:szCs w:val="20"/>
          <w:color w:val="auto"/>
        </w:rPr>
      </w:pPr>
      <w:r>
        <w:rPr>
          <w:rFonts w:ascii="Times New Roman" w:cs="Times New Roman" w:eastAsia="Times New Roman" w:hAnsi="Times New Roman"/>
          <w:sz w:val="12"/>
          <w:szCs w:val="12"/>
          <w:color w:val="auto"/>
        </w:rPr>
        <w:t xml:space="preserve">4.19. </w:t>
      </w:r>
      <w:r>
        <w:rPr>
          <w:rFonts w:ascii="Times New Roman" w:cs="Times New Roman" w:eastAsia="Times New Roman" w:hAnsi="Times New Roman"/>
          <w:sz w:val="12"/>
          <w:szCs w:val="12"/>
          <w:u w:val="single" w:color="auto"/>
          <w:color w:val="auto"/>
        </w:rPr>
        <w:t>Compliance with Nasdaq Continued Listing Requirements</w:t>
      </w:r>
      <w:r>
        <w:rPr>
          <w:rFonts w:ascii="Times New Roman" w:cs="Times New Roman" w:eastAsia="Times New Roman" w:hAnsi="Times New Roman"/>
          <w:sz w:val="12"/>
          <w:szCs w:val="12"/>
          <w:color w:val="auto"/>
        </w:rPr>
        <w:t>. Except as set forth on the Disclosure Schedule and in the SEC Filings, the Company is in compliance with applicable Nasdaq continued listing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271780</wp:posOffset>
            </wp:positionV>
            <wp:extent cx="717804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43" w:name="page44"/>
    <w:bookmarkEnd w:id="43"/>
    <w:p>
      <w:pPr>
        <w:ind w:left="8" w:right="80" w:firstLine="648"/>
        <w:spacing w:after="0" w:line="300" w:lineRule="auto"/>
        <w:rPr>
          <w:sz w:val="20"/>
          <w:szCs w:val="20"/>
          <w:color w:val="auto"/>
        </w:rPr>
      </w:pPr>
      <w:r>
        <w:rPr>
          <w:rFonts w:ascii="Times New Roman" w:cs="Times New Roman" w:eastAsia="Times New Roman" w:hAnsi="Times New Roman"/>
          <w:sz w:val="11"/>
          <w:szCs w:val="11"/>
          <w:color w:val="auto"/>
        </w:rPr>
        <w:t xml:space="preserve">4.20. </w:t>
      </w:r>
      <w:r>
        <w:rPr>
          <w:rFonts w:ascii="Times New Roman" w:cs="Times New Roman" w:eastAsia="Times New Roman" w:hAnsi="Times New Roman"/>
          <w:sz w:val="11"/>
          <w:szCs w:val="11"/>
          <w:u w:val="single" w:color="auto"/>
          <w:color w:val="auto"/>
        </w:rPr>
        <w:t>Brokers and Finders</w:t>
      </w:r>
      <w:r>
        <w:rPr>
          <w:rFonts w:ascii="Times New Roman" w:cs="Times New Roman" w:eastAsia="Times New Roman" w:hAnsi="Times New Roman"/>
          <w:sz w:val="11"/>
          <w:szCs w:val="11"/>
          <w:color w:val="auto"/>
        </w:rPr>
        <w:t>. Other than the Placement Agents, no Person will have, as a result of the transactions contemplated by the Transaction Documents, any valid right, interest or claim against or upon the Company or an Investor for any commission, fee or other compensation pursuant to any agreement, arrangement or understanding entered into by or on behalf of the Company. No Investor shall have any obligation with respect to any fees, or with respect to any claims made by or on behalf of other Persons for fees, in each case of the type contemplated by this Section 4.20 that may be due in connection with the transactions contemplated by the Transaction Documents.</w:t>
      </w:r>
    </w:p>
    <w:p>
      <w:pPr>
        <w:spacing w:after="0" w:line="102" w:lineRule="exact"/>
        <w:rPr>
          <w:sz w:val="20"/>
          <w:szCs w:val="20"/>
          <w:color w:val="auto"/>
        </w:rPr>
      </w:pPr>
    </w:p>
    <w:p>
      <w:pPr>
        <w:ind w:left="8" w:right="60" w:firstLine="648"/>
        <w:spacing w:after="0" w:line="279" w:lineRule="auto"/>
        <w:rPr>
          <w:sz w:val="20"/>
          <w:szCs w:val="20"/>
          <w:color w:val="auto"/>
        </w:rPr>
      </w:pPr>
      <w:r>
        <w:rPr>
          <w:rFonts w:ascii="Times New Roman" w:cs="Times New Roman" w:eastAsia="Times New Roman" w:hAnsi="Times New Roman"/>
          <w:sz w:val="12"/>
          <w:szCs w:val="12"/>
          <w:color w:val="auto"/>
        </w:rPr>
        <w:t xml:space="preserve">4.21. </w:t>
      </w:r>
      <w:r>
        <w:rPr>
          <w:rFonts w:ascii="Times New Roman" w:cs="Times New Roman" w:eastAsia="Times New Roman" w:hAnsi="Times New Roman"/>
          <w:sz w:val="12"/>
          <w:szCs w:val="12"/>
          <w:u w:val="single" w:color="auto"/>
          <w:color w:val="auto"/>
        </w:rPr>
        <w:t>No Directed Selling Efforts or General Solicitation</w:t>
      </w:r>
      <w:r>
        <w:rPr>
          <w:rFonts w:ascii="Times New Roman" w:cs="Times New Roman" w:eastAsia="Times New Roman" w:hAnsi="Times New Roman"/>
          <w:sz w:val="12"/>
          <w:szCs w:val="12"/>
          <w:color w:val="auto"/>
        </w:rPr>
        <w:t>. Neither the Company nor any Person acting on its behalf has conducted any general solicitation or general advertising (as those terms are used in Regulation D) in connection with the offer or sale of any of the Securities.</w:t>
      </w:r>
    </w:p>
    <w:p>
      <w:pPr>
        <w:spacing w:after="0" w:line="111" w:lineRule="exact"/>
        <w:rPr>
          <w:sz w:val="20"/>
          <w:szCs w:val="20"/>
          <w:color w:val="auto"/>
        </w:rPr>
      </w:pPr>
    </w:p>
    <w:p>
      <w:pPr>
        <w:ind w:left="8" w:firstLine="648"/>
        <w:spacing w:after="0" w:line="265" w:lineRule="auto"/>
        <w:rPr>
          <w:sz w:val="20"/>
          <w:szCs w:val="20"/>
          <w:color w:val="auto"/>
        </w:rPr>
      </w:pPr>
      <w:r>
        <w:rPr>
          <w:rFonts w:ascii="Times New Roman" w:cs="Times New Roman" w:eastAsia="Times New Roman" w:hAnsi="Times New Roman"/>
          <w:sz w:val="12"/>
          <w:szCs w:val="12"/>
          <w:color w:val="auto"/>
        </w:rPr>
        <w:t xml:space="preserve">4.22. </w:t>
      </w:r>
      <w:r>
        <w:rPr>
          <w:rFonts w:ascii="Times New Roman" w:cs="Times New Roman" w:eastAsia="Times New Roman" w:hAnsi="Times New Roman"/>
          <w:sz w:val="12"/>
          <w:szCs w:val="12"/>
          <w:u w:val="single" w:color="auto"/>
          <w:color w:val="auto"/>
        </w:rPr>
        <w:t>No Integrated Offering</w:t>
      </w:r>
      <w:r>
        <w:rPr>
          <w:rFonts w:ascii="Times New Roman" w:cs="Times New Roman" w:eastAsia="Times New Roman" w:hAnsi="Times New Roman"/>
          <w:sz w:val="12"/>
          <w:szCs w:val="12"/>
          <w:color w:val="auto"/>
        </w:rPr>
        <w:t>. Neither the Company nor its subsidiaries nor any Person acting on their behalf has, directly or indirectly, made any offers or sales of any Company security or solicited any offers to buy any Company security, under circumstances that would adversely affect reliance by the Company on Section 4(a)(2) for the exemption from registration for the transactions contemplated hereby or would require registration of the Securities under the 1933 Act.</w:t>
      </w:r>
    </w:p>
    <w:p>
      <w:pPr>
        <w:spacing w:after="0" w:line="119" w:lineRule="exact"/>
        <w:rPr>
          <w:sz w:val="20"/>
          <w:szCs w:val="20"/>
          <w:color w:val="auto"/>
        </w:rPr>
      </w:pPr>
    </w:p>
    <w:p>
      <w:pPr>
        <w:ind w:left="8" w:right="160" w:firstLine="648"/>
        <w:spacing w:after="0" w:line="279" w:lineRule="auto"/>
        <w:rPr>
          <w:sz w:val="20"/>
          <w:szCs w:val="20"/>
          <w:color w:val="auto"/>
        </w:rPr>
      </w:pPr>
      <w:r>
        <w:rPr>
          <w:rFonts w:ascii="Times New Roman" w:cs="Times New Roman" w:eastAsia="Times New Roman" w:hAnsi="Times New Roman"/>
          <w:sz w:val="12"/>
          <w:szCs w:val="12"/>
          <w:color w:val="auto"/>
        </w:rPr>
        <w:t xml:space="preserve">4.23. </w:t>
      </w:r>
      <w:r>
        <w:rPr>
          <w:rFonts w:ascii="Times New Roman" w:cs="Times New Roman" w:eastAsia="Times New Roman" w:hAnsi="Times New Roman"/>
          <w:sz w:val="12"/>
          <w:szCs w:val="12"/>
          <w:u w:val="single" w:color="auto"/>
          <w:color w:val="auto"/>
        </w:rPr>
        <w:t>Private Placement</w:t>
      </w:r>
      <w:r>
        <w:rPr>
          <w:rFonts w:ascii="Times New Roman" w:cs="Times New Roman" w:eastAsia="Times New Roman" w:hAnsi="Times New Roman"/>
          <w:sz w:val="12"/>
          <w:szCs w:val="12"/>
          <w:color w:val="auto"/>
        </w:rPr>
        <w:t>. Assuming the accuracy of the representations and warranties of the Investors set forth in Section 5, the offer and sale of the Securities to the Investors as contemplated hereby is exempt from the registration requirements of the 1933 Act. The issuance and sale of the Securities does not contravene the rules and regulations of Nasdaq.</w:t>
      </w:r>
    </w:p>
    <w:p>
      <w:pPr>
        <w:spacing w:after="0" w:line="111" w:lineRule="exact"/>
        <w:rPr>
          <w:sz w:val="20"/>
          <w:szCs w:val="20"/>
          <w:color w:val="auto"/>
        </w:rPr>
      </w:pPr>
    </w:p>
    <w:p>
      <w:pPr>
        <w:jc w:val="both"/>
        <w:ind w:left="8" w:right="20" w:firstLine="648"/>
        <w:spacing w:after="0" w:line="283" w:lineRule="auto"/>
        <w:rPr>
          <w:sz w:val="20"/>
          <w:szCs w:val="20"/>
          <w:color w:val="auto"/>
        </w:rPr>
      </w:pPr>
      <w:r>
        <w:rPr>
          <w:rFonts w:ascii="Times New Roman" w:cs="Times New Roman" w:eastAsia="Times New Roman" w:hAnsi="Times New Roman"/>
          <w:sz w:val="11"/>
          <w:szCs w:val="11"/>
          <w:color w:val="auto"/>
        </w:rPr>
        <w:t xml:space="preserve">4.24. </w:t>
      </w:r>
      <w:r>
        <w:rPr>
          <w:rFonts w:ascii="Times New Roman" w:cs="Times New Roman" w:eastAsia="Times New Roman" w:hAnsi="Times New Roman"/>
          <w:sz w:val="11"/>
          <w:szCs w:val="11"/>
          <w:u w:val="single" w:color="auto"/>
          <w:color w:val="auto"/>
        </w:rPr>
        <w:t>Unlawful Payments</w:t>
      </w:r>
      <w:r>
        <w:rPr>
          <w:rFonts w:ascii="Times New Roman" w:cs="Times New Roman" w:eastAsia="Times New Roman" w:hAnsi="Times New Roman"/>
          <w:sz w:val="11"/>
          <w:szCs w:val="11"/>
          <w:color w:val="auto"/>
        </w:rPr>
        <w:t>. Neither the Company nor its subsidiaries nor, to the Company’s Knowledge, any of their current or former directors, officers, employees, agents or other Persons acting on behalf of the Company or its subsidiaries, has on behalf of the Company or its subsidiaries in connection with their business: (a) used any corporate funds for unlawful contributions, gifts, entertainment or other unlawful expenses relating to political activity;</w:t>
      </w:r>
    </w:p>
    <w:p>
      <w:pPr>
        <w:spacing w:after="0" w:line="1" w:lineRule="exact"/>
        <w:rPr>
          <w:sz w:val="20"/>
          <w:szCs w:val="20"/>
          <w:color w:val="auto"/>
        </w:rPr>
      </w:pPr>
    </w:p>
    <w:p>
      <w:pPr>
        <w:ind w:left="8" w:right="400" w:hanging="8"/>
        <w:spacing w:after="0" w:line="260" w:lineRule="auto"/>
        <w:tabs>
          <w:tab w:leader="none" w:pos="178"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made any direct or indirect unlawful payments to any governmental officials or employees from corporate funds; (c) established or maintained any unlawful or unrecorded fund of corporate monies or other assets which is in violation of law; (d) made any false or fictitious entries on the books and records of the Company; or (e) made any unlawful bribe, rebate, payoff, influence payment, kickback or other unlawful payment of any nature.</w:t>
      </w:r>
    </w:p>
    <w:p>
      <w:pPr>
        <w:spacing w:after="0" w:line="122" w:lineRule="exact"/>
        <w:rPr>
          <w:sz w:val="20"/>
          <w:szCs w:val="20"/>
          <w:color w:val="auto"/>
        </w:rPr>
      </w:pPr>
    </w:p>
    <w:p>
      <w:pPr>
        <w:ind w:left="8" w:firstLine="648"/>
        <w:spacing w:after="0" w:line="257" w:lineRule="auto"/>
        <w:rPr>
          <w:sz w:val="20"/>
          <w:szCs w:val="20"/>
          <w:color w:val="auto"/>
        </w:rPr>
      </w:pPr>
      <w:r>
        <w:rPr>
          <w:rFonts w:ascii="Times New Roman" w:cs="Times New Roman" w:eastAsia="Times New Roman" w:hAnsi="Times New Roman"/>
          <w:sz w:val="12"/>
          <w:szCs w:val="12"/>
          <w:color w:val="auto"/>
        </w:rPr>
        <w:t xml:space="preserve">4.25. </w:t>
      </w:r>
      <w:r>
        <w:rPr>
          <w:rFonts w:ascii="Times New Roman" w:cs="Times New Roman" w:eastAsia="Times New Roman" w:hAnsi="Times New Roman"/>
          <w:sz w:val="12"/>
          <w:szCs w:val="12"/>
          <w:u w:val="single" w:color="auto"/>
          <w:color w:val="auto"/>
        </w:rPr>
        <w:t>Internal Controls</w:t>
      </w:r>
      <w:r>
        <w:rPr>
          <w:rFonts w:ascii="Times New Roman" w:cs="Times New Roman" w:eastAsia="Times New Roman" w:hAnsi="Times New Roman"/>
          <w:sz w:val="12"/>
          <w:szCs w:val="12"/>
          <w:color w:val="auto"/>
        </w:rPr>
        <w:t>. The Company has established and maintains disclosure controls and procedures (as defined in Rules 13a-15 and 15d-15 under the 1934 Act), which are designed to ensure that material information relating to the Company, including its subsidiaries, is made known to the Company’s principal executive officer and its principal financial officer by others within those entities. Since the end of the Company’s most recent audited fiscal year, there have been (a) no material weaknesses in the Company’s internal control over financial reporting (whether or not remediated) and (b) no change in the Company’s internal control over financial reporting that has materially affected, or would reasonably be expected to materially affect, the Company’s internal control over financial reporting. The Company is not aware of any change in its internal controls over financial reporting that has occurred during its most recent fiscal quarter that has materially affected, or would reasonably be expected to materially affect, the Company’s internal control over financial reporting.</w:t>
      </w:r>
    </w:p>
    <w:p>
      <w:pPr>
        <w:spacing w:after="0" w:line="125" w:lineRule="exact"/>
        <w:rPr>
          <w:sz w:val="20"/>
          <w:szCs w:val="20"/>
          <w:color w:val="auto"/>
        </w:rPr>
      </w:pPr>
    </w:p>
    <w:p>
      <w:pPr>
        <w:ind w:left="8" w:right="40" w:firstLine="648"/>
        <w:spacing w:after="0" w:line="260" w:lineRule="auto"/>
        <w:rPr>
          <w:sz w:val="20"/>
          <w:szCs w:val="20"/>
          <w:color w:val="auto"/>
        </w:rPr>
      </w:pPr>
      <w:r>
        <w:rPr>
          <w:rFonts w:ascii="Times New Roman" w:cs="Times New Roman" w:eastAsia="Times New Roman" w:hAnsi="Times New Roman"/>
          <w:sz w:val="12"/>
          <w:szCs w:val="12"/>
          <w:color w:val="auto"/>
        </w:rPr>
        <w:t xml:space="preserve">4.26. </w:t>
      </w:r>
      <w:r>
        <w:rPr>
          <w:rFonts w:ascii="Times New Roman" w:cs="Times New Roman" w:eastAsia="Times New Roman" w:hAnsi="Times New Roman"/>
          <w:sz w:val="12"/>
          <w:szCs w:val="12"/>
          <w:u w:val="single" w:color="auto"/>
          <w:color w:val="auto"/>
        </w:rPr>
        <w:t>Disclosures</w:t>
      </w:r>
      <w:r>
        <w:rPr>
          <w:rFonts w:ascii="Times New Roman" w:cs="Times New Roman" w:eastAsia="Times New Roman" w:hAnsi="Times New Roman"/>
          <w:sz w:val="12"/>
          <w:szCs w:val="12"/>
          <w:color w:val="auto"/>
        </w:rPr>
        <w:t>. Neither the Company nor any Person acting on its behalf has provided the Investors or their agents or counsel with any information that constitutes or would reasonably be expected to constitute material non-public information concerning the Company or its subsidiaries, other than (A) with respect to the transactions contemplated hereby, which will be disclosed in the Press Release (as defined below) and (B) as set forth on the Disclosure Schedule. At the time of filing thereof, the SEC Filings did not contain any untrue statement of a material fact or omit to state a material fact necessary in order to make the statements contained therein, in light of the circumstances under which they were made, not misleading. The Company understands and confirms that the Investors will rely on the foregoing representations in effecting transactions in securities of the Company.</w:t>
      </w:r>
    </w:p>
    <w:p>
      <w:pPr>
        <w:spacing w:after="0" w:line="122" w:lineRule="exact"/>
        <w:rPr>
          <w:sz w:val="20"/>
          <w:szCs w:val="20"/>
          <w:color w:val="auto"/>
        </w:rPr>
      </w:pPr>
    </w:p>
    <w:p>
      <w:pPr>
        <w:ind w:left="8" w:right="60" w:firstLine="648"/>
        <w:spacing w:after="0" w:line="260" w:lineRule="auto"/>
        <w:rPr>
          <w:sz w:val="20"/>
          <w:szCs w:val="20"/>
          <w:color w:val="auto"/>
        </w:rPr>
      </w:pPr>
      <w:r>
        <w:rPr>
          <w:rFonts w:ascii="Times New Roman" w:cs="Times New Roman" w:eastAsia="Times New Roman" w:hAnsi="Times New Roman"/>
          <w:sz w:val="12"/>
          <w:szCs w:val="12"/>
          <w:color w:val="auto"/>
        </w:rPr>
        <w:t xml:space="preserve">4.27. </w:t>
      </w:r>
      <w:r>
        <w:rPr>
          <w:rFonts w:ascii="Times New Roman" w:cs="Times New Roman" w:eastAsia="Times New Roman" w:hAnsi="Times New Roman"/>
          <w:sz w:val="12"/>
          <w:szCs w:val="12"/>
          <w:u w:val="single" w:color="auto"/>
          <w:color w:val="auto"/>
        </w:rPr>
        <w:t>Required Filings</w:t>
      </w:r>
      <w:r>
        <w:rPr>
          <w:rFonts w:ascii="Times New Roman" w:cs="Times New Roman" w:eastAsia="Times New Roman" w:hAnsi="Times New Roman"/>
          <w:sz w:val="12"/>
          <w:szCs w:val="12"/>
          <w:color w:val="auto"/>
        </w:rPr>
        <w:t>. Except for (A) the transactions contemplated by this Agreement, including the acquisition of the Securities contemplated hereby and (B) as set forth on the Disclosure Schedule, no event or circumstance has occurred or information exists with respect to the Company or its business, properties, operations or financial condition, which, under applicable law, rule or regulation, requires public disclosure or announcement by the Company but which has not been so publicly announced or disclosed (assuming for this purpose that the SEC Filings are being incorporated by reference into an effective registration statement filed by the Company under the 1933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278765</wp:posOffset>
            </wp:positionV>
            <wp:extent cx="717804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8"/>
          </w:cols>
          <w:pgMar w:left="292" w:top="651" w:right="319" w:bottom="1440" w:gutter="0" w:footer="0" w:header="0"/>
        </w:sectPr>
      </w:pPr>
    </w:p>
    <w:bookmarkStart w:id="44" w:name="page45"/>
    <w:bookmarkEnd w:id="44"/>
    <w:p>
      <w:pPr>
        <w:ind w:right="280" w:firstLine="648"/>
        <w:spacing w:after="0" w:line="279" w:lineRule="auto"/>
        <w:rPr>
          <w:sz w:val="20"/>
          <w:szCs w:val="20"/>
          <w:color w:val="auto"/>
        </w:rPr>
      </w:pPr>
      <w:r>
        <w:rPr>
          <w:rFonts w:ascii="Times New Roman" w:cs="Times New Roman" w:eastAsia="Times New Roman" w:hAnsi="Times New Roman"/>
          <w:sz w:val="12"/>
          <w:szCs w:val="12"/>
          <w:color w:val="auto"/>
        </w:rPr>
        <w:t xml:space="preserve">4.28. </w:t>
      </w:r>
      <w:r>
        <w:rPr>
          <w:rFonts w:ascii="Times New Roman" w:cs="Times New Roman" w:eastAsia="Times New Roman" w:hAnsi="Times New Roman"/>
          <w:sz w:val="12"/>
          <w:szCs w:val="12"/>
          <w:u w:val="single" w:color="auto"/>
          <w:color w:val="auto"/>
        </w:rPr>
        <w:t>Investment Company</w:t>
      </w:r>
      <w:r>
        <w:rPr>
          <w:rFonts w:ascii="Times New Roman" w:cs="Times New Roman" w:eastAsia="Times New Roman" w:hAnsi="Times New Roman"/>
          <w:sz w:val="12"/>
          <w:szCs w:val="12"/>
          <w:color w:val="auto"/>
        </w:rPr>
        <w:t>. The Company is not required to be registered as, and immediately following the Closing will not be required to register as, an “investment company” within the meaning of the Investment Company Act of 1940, as amended.</w:t>
      </w:r>
    </w:p>
    <w:p>
      <w:pPr>
        <w:spacing w:after="0" w:line="11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2"/>
          <w:szCs w:val="12"/>
          <w:color w:val="auto"/>
        </w:rPr>
        <w:t xml:space="preserve">4.29. </w:t>
      </w:r>
      <w:r>
        <w:rPr>
          <w:rFonts w:ascii="Times New Roman" w:cs="Times New Roman" w:eastAsia="Times New Roman" w:hAnsi="Times New Roman"/>
          <w:sz w:val="12"/>
          <w:szCs w:val="12"/>
          <w:u w:val="single" w:color="auto"/>
          <w:color w:val="auto"/>
        </w:rPr>
        <w:t>Preclinical and Clinical Studies</w:t>
      </w:r>
      <w:r>
        <w:rPr>
          <w:rFonts w:ascii="Times New Roman" w:cs="Times New Roman" w:eastAsia="Times New Roman" w:hAnsi="Times New Roman"/>
          <w:sz w:val="12"/>
          <w:szCs w:val="12"/>
          <w:color w:val="auto"/>
        </w:rPr>
        <w:t>. The preclinical and clinical studies conducted by or, to the Company’s Knowledge, on behalf of or sponsored by the Company or its subsidiaries, or in which the Company or its subsidiaries have participated, that are described in the SEC Filings, or the results of which are referred to in the SEC Filings, were, and if still pending are, being conducted in all material respects in accordance with standard medical and scientific research standards and procedures for products or product candidates comparable to those being developed by the Company and all applicable provisions of the Health Care Laws; the descriptions in the SEC Filings of the results of such studies are accurate and complete descriptions in all material respects and fairly present the data derived therefrom; to the Company’s Knowledge, there are no studies not described in the SEC Filings, the results of which are materially inconsistent with or call into question the results described or referred to in the SEC Filings; the Company and its subsidiaries have operated at all times and are currently in compliance with all applicable provisions of the Health Care Laws including Good Clinical Practice and Good Laboratory Practice requirements, except where such non-compliance would not, individually or in the aggregate, have a Material Adverse Effect; the Company has provided the Placement Agents with all material written notices, correspondence and summaries of all other communications from the Applicable Regulatory Authorities; and neither the Company nor its subsidiaries have received any written notices, correspondence or other communications from the Applicable Regulatory Authorities or any other governmental agency requiring or threatening the termination, material modification or suspension of any preclinical or clinical studies that are described in the SEC Filings or the results of which are referred to in the SEC Filings, other than ordinary course communications with respect to modifications in connection with the design and implementation of such studies or trials, and, to the Company’s Knowledge, there are no reasonable grounds for the same.</w:t>
      </w:r>
    </w:p>
    <w:p>
      <w:pPr>
        <w:spacing w:after="0" w:line="129" w:lineRule="exact"/>
        <w:rPr>
          <w:sz w:val="20"/>
          <w:szCs w:val="20"/>
          <w:color w:val="auto"/>
        </w:rPr>
      </w:pPr>
    </w:p>
    <w:p>
      <w:pPr>
        <w:ind w:right="420" w:firstLine="648"/>
        <w:spacing w:after="0" w:line="279" w:lineRule="auto"/>
        <w:rPr>
          <w:sz w:val="20"/>
          <w:szCs w:val="20"/>
          <w:color w:val="auto"/>
        </w:rPr>
      </w:pPr>
      <w:r>
        <w:rPr>
          <w:rFonts w:ascii="Times New Roman" w:cs="Times New Roman" w:eastAsia="Times New Roman" w:hAnsi="Times New Roman"/>
          <w:sz w:val="12"/>
          <w:szCs w:val="12"/>
          <w:color w:val="auto"/>
        </w:rPr>
        <w:t xml:space="preserve">4.30. </w:t>
      </w:r>
      <w:r>
        <w:rPr>
          <w:rFonts w:ascii="Times New Roman" w:cs="Times New Roman" w:eastAsia="Times New Roman" w:hAnsi="Times New Roman"/>
          <w:sz w:val="12"/>
          <w:szCs w:val="12"/>
          <w:u w:val="single" w:color="auto"/>
          <w:color w:val="auto"/>
        </w:rPr>
        <w:t>No Stabilization</w:t>
      </w:r>
      <w:r>
        <w:rPr>
          <w:rFonts w:ascii="Times New Roman" w:cs="Times New Roman" w:eastAsia="Times New Roman" w:hAnsi="Times New Roman"/>
          <w:sz w:val="12"/>
          <w:szCs w:val="12"/>
          <w:color w:val="auto"/>
        </w:rPr>
        <w:t>. The Company has not taken, nor will it take, and, to the Company’s Knowledge, no Person acting on its behalf has taken, directly or indirectly, any action designed to cause or to result in the stabilization or manipulation of the price of any security of the Company to facilitate the sale or resale of any of the Securities.</w:t>
      </w:r>
    </w:p>
    <w:p>
      <w:pPr>
        <w:spacing w:after="0" w:line="111"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2"/>
          <w:szCs w:val="12"/>
          <w:color w:val="auto"/>
        </w:rPr>
        <w:t xml:space="preserve">4.31. </w:t>
      </w:r>
      <w:r>
        <w:rPr>
          <w:rFonts w:ascii="Times New Roman" w:cs="Times New Roman" w:eastAsia="Times New Roman" w:hAnsi="Times New Roman"/>
          <w:sz w:val="12"/>
          <w:szCs w:val="12"/>
          <w:u w:val="single" w:color="auto"/>
          <w:color w:val="auto"/>
        </w:rPr>
        <w:t>Anti-Bribery and Anti-Money Laundering Laws</w:t>
      </w:r>
      <w:r>
        <w:rPr>
          <w:rFonts w:ascii="Times New Roman" w:cs="Times New Roman" w:eastAsia="Times New Roman" w:hAnsi="Times New Roman"/>
          <w:sz w:val="12"/>
          <w:szCs w:val="12"/>
          <w:color w:val="auto"/>
        </w:rPr>
        <w:t>. Each of the Company, its subsidiaries and any of their respective officers, directors, supervisors, managers, agents, or employees are and have at all times been in compliance with and its participation in the offering will not violate: (A) anti-bribery laws, including but not limited to, any applicable law, rule, or regulation of any locality,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the U.K. Bribery Act 2010, or any other law, rule or regulation of similar purposes and scope or (B) anti-money laundering laws, including, but not limited to, applicable federal, state, international, foreign or other laws, regulations or government guidance regarding anti-money laundering, including, without limitation, Title 18 US. Code sections 1956 and 1957, the Patriot Act,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 The Company will not directly or indirectly use the proceeds of the offering of the Securities contemplated hereby, or lend, contribute or otherwise make available such proceeds to any subsidiary, joint venture partner or other person or entity in violation of any anti-corruption, anti-bribery, or anti-money laundering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281305</wp:posOffset>
            </wp:positionV>
            <wp:extent cx="717804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1" w:right="319" w:bottom="1440" w:gutter="0" w:footer="0" w:header="0"/>
        </w:sectPr>
      </w:pPr>
    </w:p>
    <w:bookmarkStart w:id="45" w:name="page46"/>
    <w:bookmarkEnd w:id="45"/>
    <w:p>
      <w:pPr>
        <w:ind w:right="40" w:firstLine="648"/>
        <w:spacing w:after="0" w:line="279" w:lineRule="auto"/>
        <w:rPr>
          <w:sz w:val="20"/>
          <w:szCs w:val="20"/>
          <w:color w:val="auto"/>
        </w:rPr>
      </w:pPr>
      <w:r>
        <w:rPr>
          <w:rFonts w:ascii="Times New Roman" w:cs="Times New Roman" w:eastAsia="Times New Roman" w:hAnsi="Times New Roman"/>
          <w:sz w:val="11"/>
          <w:szCs w:val="11"/>
          <w:color w:val="auto"/>
        </w:rPr>
        <w:t xml:space="preserve">4.32. </w:t>
      </w:r>
      <w:r>
        <w:rPr>
          <w:rFonts w:ascii="Times New Roman" w:cs="Times New Roman" w:eastAsia="Times New Roman" w:hAnsi="Times New Roman"/>
          <w:sz w:val="11"/>
          <w:szCs w:val="11"/>
          <w:u w:val="single" w:color="auto"/>
          <w:color w:val="auto"/>
        </w:rPr>
        <w:t>No Conflicts with Sanctions Laws</w:t>
      </w:r>
      <w:r>
        <w:rPr>
          <w:rFonts w:ascii="Times New Roman" w:cs="Times New Roman" w:eastAsia="Times New Roman" w:hAnsi="Times New Roman"/>
          <w:sz w:val="11"/>
          <w:szCs w:val="11"/>
          <w:color w:val="auto"/>
        </w:rPr>
        <w:t>. Neither the Company nor any of its subsidiaries, directors, officers or employees, nor, to the knowledge of the Company, any agent, Affiliate or other person associated with or acting on behalf of the Company or any of its subsidiaries is currently the subject or the target of any sanctions administered or enforced by the United States government, (including, without limitation, the Office of Foreign Assets Control of the U.S. Department of the Treasury or the U.S. Department of State and including, without limitation, the designation as a “specially designated national” or “blocked person”), the United Nations Security Council, the European Union, His Majesty’s Treasury, or other relevant sanctions authority (collectively, “</w:t>
      </w:r>
      <w:r>
        <w:rPr>
          <w:rFonts w:ascii="Times New Roman" w:cs="Times New Roman" w:eastAsia="Times New Roman" w:hAnsi="Times New Roman"/>
          <w:sz w:val="11"/>
          <w:szCs w:val="11"/>
          <w:u w:val="single" w:color="auto"/>
          <w:color w:val="auto"/>
        </w:rPr>
        <w:t>Sanctions</w:t>
      </w:r>
      <w:r>
        <w:rPr>
          <w:rFonts w:ascii="Times New Roman" w:cs="Times New Roman" w:eastAsia="Times New Roman" w:hAnsi="Times New Roman"/>
          <w:sz w:val="11"/>
          <w:szCs w:val="11"/>
          <w:color w:val="auto"/>
        </w:rPr>
        <w:t>”), nor is the Company or any of its subsidiaries located, organized or resident in a country or territory that is the subject or the target of Sanctions, including, without limitation, Cuba, Donetsk People’s Republic, Iran, Luhansk People’s Republic, North Korea, Syria and the Crimea Region of the Ukraine (each, a “</w:t>
      </w:r>
      <w:r>
        <w:rPr>
          <w:rFonts w:ascii="Times New Roman" w:cs="Times New Roman" w:eastAsia="Times New Roman" w:hAnsi="Times New Roman"/>
          <w:sz w:val="11"/>
          <w:szCs w:val="11"/>
          <w:u w:val="single" w:color="auto"/>
          <w:color w:val="auto"/>
        </w:rPr>
        <w:t>Sanctioned Country</w:t>
      </w:r>
      <w:r>
        <w:rPr>
          <w:rFonts w:ascii="Times New Roman" w:cs="Times New Roman" w:eastAsia="Times New Roman" w:hAnsi="Times New Roman"/>
          <w:sz w:val="11"/>
          <w:szCs w:val="11"/>
          <w:color w:val="auto"/>
        </w:rPr>
        <w:t>”); and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that, at the time of such funding or facilitation, is the subject or the target of Sanctions, (ii) to fund or facilitate any activities of or business in any Sanctioned Country or (iii) in any other manner that will result in a violation by any person (including any person participating in the transaction, whether as underwriter, advisor, investor or otherwise) of Sanctions. For the past five years, the Company and its subsidiaries have not knowingly engaged in and are not now knowingly engaged in any dealings or transactions with any person that at the time of the dealing or transaction is or was the subject or the target of Sanctions or with any Sanctioned Country.</w:t>
      </w:r>
    </w:p>
    <w:p>
      <w:pPr>
        <w:spacing w:after="0" w:line="117" w:lineRule="exact"/>
        <w:rPr>
          <w:sz w:val="20"/>
          <w:szCs w:val="20"/>
          <w:color w:val="auto"/>
        </w:rPr>
      </w:pPr>
    </w:p>
    <w:p>
      <w:pPr>
        <w:ind w:right="140" w:firstLine="648"/>
        <w:spacing w:after="0" w:line="279" w:lineRule="auto"/>
        <w:rPr>
          <w:sz w:val="20"/>
          <w:szCs w:val="20"/>
          <w:color w:val="auto"/>
        </w:rPr>
      </w:pPr>
      <w:r>
        <w:rPr>
          <w:rFonts w:ascii="Times New Roman" w:cs="Times New Roman" w:eastAsia="Times New Roman" w:hAnsi="Times New Roman"/>
          <w:sz w:val="12"/>
          <w:szCs w:val="12"/>
          <w:color w:val="auto"/>
        </w:rPr>
        <w:t xml:space="preserve">4.33. </w:t>
      </w:r>
      <w:r>
        <w:rPr>
          <w:rFonts w:ascii="Times New Roman" w:cs="Times New Roman" w:eastAsia="Times New Roman" w:hAnsi="Times New Roman"/>
          <w:sz w:val="12"/>
          <w:szCs w:val="12"/>
          <w:u w:val="single" w:color="auto"/>
          <w:color w:val="auto"/>
        </w:rPr>
        <w:t>No Additional Agreements</w:t>
      </w:r>
      <w:r>
        <w:rPr>
          <w:rFonts w:ascii="Times New Roman" w:cs="Times New Roman" w:eastAsia="Times New Roman" w:hAnsi="Times New Roman"/>
          <w:sz w:val="12"/>
          <w:szCs w:val="12"/>
          <w:color w:val="auto"/>
        </w:rPr>
        <w:t>. The Company has no other agreements or understandings (including, without limitation, side letters) with any Investor to purchase Placement Securities on terms more favorable to such Investor than as set forth herein.</w:t>
      </w:r>
    </w:p>
    <w:p>
      <w:pPr>
        <w:spacing w:after="0" w:line="1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 xml:space="preserve">4.34. </w:t>
      </w:r>
      <w:r>
        <w:rPr>
          <w:rFonts w:ascii="Times New Roman" w:cs="Times New Roman" w:eastAsia="Times New Roman" w:hAnsi="Times New Roman"/>
          <w:sz w:val="12"/>
          <w:szCs w:val="12"/>
          <w:u w:val="single" w:color="auto"/>
          <w:color w:val="auto"/>
        </w:rPr>
        <w:t>Shell Company Status</w:t>
      </w:r>
      <w:r>
        <w:rPr>
          <w:rFonts w:ascii="Times New Roman" w:cs="Times New Roman" w:eastAsia="Times New Roman" w:hAnsi="Times New Roman"/>
          <w:sz w:val="12"/>
          <w:szCs w:val="12"/>
          <w:color w:val="auto"/>
        </w:rPr>
        <w:t>. The Company is not, and has never been, an issuer identified in Rule 144(i)(1).</w:t>
      </w:r>
    </w:p>
    <w:p>
      <w:pPr>
        <w:spacing w:after="0" w:line="150" w:lineRule="exact"/>
        <w:rPr>
          <w:sz w:val="20"/>
          <w:szCs w:val="20"/>
          <w:color w:val="auto"/>
        </w:rPr>
      </w:pPr>
    </w:p>
    <w:p>
      <w:pPr>
        <w:ind w:right="40" w:firstLine="648"/>
        <w:spacing w:after="0" w:line="279" w:lineRule="auto"/>
        <w:rPr>
          <w:sz w:val="20"/>
          <w:szCs w:val="20"/>
          <w:color w:val="auto"/>
        </w:rPr>
      </w:pPr>
      <w:r>
        <w:rPr>
          <w:rFonts w:ascii="Times New Roman" w:cs="Times New Roman" w:eastAsia="Times New Roman" w:hAnsi="Times New Roman"/>
          <w:sz w:val="12"/>
          <w:szCs w:val="12"/>
          <w:color w:val="auto"/>
        </w:rPr>
        <w:t xml:space="preserve">4.35. </w:t>
      </w:r>
      <w:r>
        <w:rPr>
          <w:rFonts w:ascii="Times New Roman" w:cs="Times New Roman" w:eastAsia="Times New Roman" w:hAnsi="Times New Roman"/>
          <w:sz w:val="12"/>
          <w:szCs w:val="12"/>
          <w:u w:val="single" w:color="auto"/>
          <w:color w:val="auto"/>
        </w:rPr>
        <w:t>Sarbanes-Oxley Act of 2002 Compliance</w:t>
      </w:r>
      <w:r>
        <w:rPr>
          <w:rFonts w:ascii="Times New Roman" w:cs="Times New Roman" w:eastAsia="Times New Roman" w:hAnsi="Times New Roman"/>
          <w:sz w:val="12"/>
          <w:szCs w:val="12"/>
          <w:color w:val="auto"/>
        </w:rPr>
        <w:t>. Other than as described in the SEC Filings, the Company is in compliance in all material respects with applicable provisions of the Sarbanes-Oxley Act of 2002, as amended, and the rules and regulations thereunder (collectively, “</w:t>
      </w:r>
      <w:r>
        <w:rPr>
          <w:rFonts w:ascii="Times New Roman" w:cs="Times New Roman" w:eastAsia="Times New Roman" w:hAnsi="Times New Roman"/>
          <w:sz w:val="12"/>
          <w:szCs w:val="12"/>
          <w:u w:val="single" w:color="auto"/>
          <w:color w:val="auto"/>
        </w:rPr>
        <w:t>Sarbanes-Oxley</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ind w:right="140" w:firstLine="648"/>
        <w:spacing w:after="0" w:line="279" w:lineRule="auto"/>
        <w:rPr>
          <w:sz w:val="20"/>
          <w:szCs w:val="20"/>
          <w:color w:val="auto"/>
        </w:rPr>
      </w:pPr>
      <w:r>
        <w:rPr>
          <w:rFonts w:ascii="Times New Roman" w:cs="Times New Roman" w:eastAsia="Times New Roman" w:hAnsi="Times New Roman"/>
          <w:sz w:val="12"/>
          <w:szCs w:val="12"/>
          <w:color w:val="auto"/>
        </w:rPr>
        <w:t xml:space="preserve">4.36. </w:t>
      </w:r>
      <w:r>
        <w:rPr>
          <w:rFonts w:ascii="Times New Roman" w:cs="Times New Roman" w:eastAsia="Times New Roman" w:hAnsi="Times New Roman"/>
          <w:sz w:val="12"/>
          <w:szCs w:val="12"/>
          <w:u w:val="single" w:color="auto"/>
          <w:color w:val="auto"/>
        </w:rPr>
        <w:t>Regulation M Compliance</w:t>
      </w:r>
      <w:r>
        <w:rPr>
          <w:rFonts w:ascii="Times New Roman" w:cs="Times New Roman" w:eastAsia="Times New Roman" w:hAnsi="Times New Roman"/>
          <w:sz w:val="12"/>
          <w:szCs w:val="12"/>
          <w:color w:val="auto"/>
        </w:rPr>
        <w:t>. The Company represents, warrants, covenants and agrees that neither the Company, nor any of its subsidiaries or Affiliates, has taken or shall take any action prohibited by Regulation M under the 1934 Act, in connection with the offer, sale and delivery of the Placement Securities contemplated hereby.</w:t>
      </w:r>
    </w:p>
    <w:p>
      <w:pPr>
        <w:spacing w:after="0" w:line="11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2"/>
          <w:szCs w:val="12"/>
          <w:color w:val="auto"/>
        </w:rPr>
        <w:t xml:space="preserve">4.37. </w:t>
      </w:r>
      <w:r>
        <w:rPr>
          <w:rFonts w:ascii="Times New Roman" w:cs="Times New Roman" w:eastAsia="Times New Roman" w:hAnsi="Times New Roman"/>
          <w:sz w:val="12"/>
          <w:szCs w:val="12"/>
          <w:u w:val="single" w:color="auto"/>
          <w:color w:val="auto"/>
        </w:rPr>
        <w:t>Cybersecurity; Data Protection</w:t>
      </w:r>
      <w:r>
        <w:rPr>
          <w:rFonts w:ascii="Times New Roman" w:cs="Times New Roman" w:eastAsia="Times New Roman" w:hAnsi="Times New Roman"/>
          <w:sz w:val="12"/>
          <w:szCs w:val="12"/>
          <w:color w:val="auto"/>
        </w:rPr>
        <w:t>. Except as would not reasonably be expected, individually or in the aggregate, to have a Material Adverse Effect: (i) the Company and its subsidiaries’ information technology assets and equipment, computers, systems, networks, hardware, software, websites, applications, and databases (collectively, “</w:t>
      </w:r>
      <w:r>
        <w:rPr>
          <w:rFonts w:ascii="Times New Roman" w:cs="Times New Roman" w:eastAsia="Times New Roman" w:hAnsi="Times New Roman"/>
          <w:sz w:val="12"/>
          <w:szCs w:val="12"/>
          <w:u w:val="single" w:color="auto"/>
          <w:color w:val="auto"/>
        </w:rPr>
        <w:t>IT Systems</w:t>
      </w:r>
      <w:r>
        <w:rPr>
          <w:rFonts w:ascii="Times New Roman" w:cs="Times New Roman" w:eastAsia="Times New Roman" w:hAnsi="Times New Roman"/>
          <w:sz w:val="12"/>
          <w:szCs w:val="12"/>
          <w:color w:val="auto"/>
        </w:rPr>
        <w:t>”)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(ii) the Company and its subsidiaries have implemented and maintained commercially reasonable controls, policies, procedures, and safeguards necessary to maintain and protect their material confidential information and the integrity, continuous operation, redundancy and security of all IT Systems and data (including all Personal Data (as defined below) and all sensitive, confidential, or proprietary data (collectively, with Personal Data, “</w:t>
      </w:r>
      <w:r>
        <w:rPr>
          <w:rFonts w:ascii="Times New Roman" w:cs="Times New Roman" w:eastAsia="Times New Roman" w:hAnsi="Times New Roman"/>
          <w:sz w:val="12"/>
          <w:szCs w:val="12"/>
          <w:u w:val="single" w:color="auto"/>
          <w:color w:val="auto"/>
        </w:rPr>
        <w:t>Sensitive Data</w:t>
      </w:r>
      <w:r>
        <w:rPr>
          <w:rFonts w:ascii="Times New Roman" w:cs="Times New Roman" w:eastAsia="Times New Roman" w:hAnsi="Times New Roman"/>
          <w:sz w:val="12"/>
          <w:szCs w:val="12"/>
          <w:color w:val="auto"/>
        </w:rPr>
        <w:t>”)) used in connection with their businesses. “Personal Data” includes, without limitation (A) a natural person’s name, street address, telephone number, e-mail address, photograph, social security number or tax identification number, driver’s license number, passport number, credit card number, bank information, or customer or account number; (B) any information which would qualify as “personally identifying information” under the Federal Trade Commission Act, as amended; (C) “personal data” as defined by the European Union General Data Protection Regulation (“</w:t>
      </w:r>
      <w:r>
        <w:rPr>
          <w:rFonts w:ascii="Times New Roman" w:cs="Times New Roman" w:eastAsia="Times New Roman" w:hAnsi="Times New Roman"/>
          <w:sz w:val="12"/>
          <w:szCs w:val="12"/>
          <w:u w:val="single" w:color="auto"/>
          <w:color w:val="auto"/>
        </w:rPr>
        <w:t>GDPR</w:t>
      </w:r>
      <w:r>
        <w:rPr>
          <w:rFonts w:ascii="Times New Roman" w:cs="Times New Roman" w:eastAsia="Times New Roman" w:hAnsi="Times New Roman"/>
          <w:sz w:val="12"/>
          <w:szCs w:val="12"/>
          <w:color w:val="auto"/>
        </w:rPr>
        <w:t>”) (EU 2016/679); (D) any information which would qualify as “protected health information” under HIPAA; and (E) any “personal information” as defined by the California Consumer Privacy Act (“</w:t>
      </w:r>
      <w:r>
        <w:rPr>
          <w:rFonts w:ascii="Times New Roman" w:cs="Times New Roman" w:eastAsia="Times New Roman" w:hAnsi="Times New Roman"/>
          <w:sz w:val="12"/>
          <w:szCs w:val="12"/>
          <w:u w:val="single" w:color="auto"/>
          <w:color w:val="auto"/>
        </w:rPr>
        <w:t>CCPA</w:t>
      </w:r>
      <w:r>
        <w:rPr>
          <w:rFonts w:ascii="Times New Roman" w:cs="Times New Roman" w:eastAsia="Times New Roman" w:hAnsi="Times New Roman"/>
          <w:sz w:val="12"/>
          <w:szCs w:val="12"/>
          <w:color w:val="auto"/>
        </w:rPr>
        <w:t>”); and (F) any other piece of information that allows the identification of such natural person, or his or her family, or permits the collection or analysis of any data related to an identified person’s health or sexual orientation. There have been no breaches, violations, outages or unauthorized uses of or accesses to Sensitive Data, except for those that have been remedied without material cost or liability or the duty to notify any other person, nor any incidents under internal review or investigations relating to the same, and (iii) the Company and its subsidiaries are, and at all prior times were, in material compliance with all applicable state and federal data privacy and security laws and regulations, including without limitation HIPAA, CCPA, and GDPR (collectively, the “</w:t>
      </w:r>
      <w:r>
        <w:rPr>
          <w:rFonts w:ascii="Times New Roman" w:cs="Times New Roman" w:eastAsia="Times New Roman" w:hAnsi="Times New Roman"/>
          <w:sz w:val="12"/>
          <w:szCs w:val="12"/>
          <w:u w:val="single" w:color="auto"/>
          <w:color w:val="auto"/>
        </w:rPr>
        <w:t>Privacy Laws</w:t>
      </w:r>
      <w:r>
        <w:rPr>
          <w:rFonts w:ascii="Times New Roman" w:cs="Times New Roman" w:eastAsia="Times New Roman" w:hAnsi="Times New Roman"/>
          <w:sz w:val="12"/>
          <w:szCs w:val="12"/>
          <w:color w:val="auto"/>
        </w:rPr>
        <w:t>”), and all internal policies and contractual obligations relating to the privacy and security of IT Systems and Sensitive Data and to the protection of such IT Systems and Sensitive Data from unauthorized use, access, misappropriation or modification. The Company and its subsidiaries have at all times made all disclosures to users or customers required by applicable Privacy Laws, except where the failure to do so would not, individually or in the aggregate, have a Material Adverse Effect, and none of such disclosures made have been inaccurate or in violation of any applicable Privacy Laws in any material respect. The Company further certifies that neither it nor any subsidiary: (A) has received notice of any actual or potential liability under or relating to, or actual or potential violation of, any of the Privacy Laws, and has no knowledge of any event or condition that would reasonably be expected to result in any such notice; (B) is currently conducting or paying for, in whole or in part, any investigation, remediation, or other corrective action pursuant to any Privacy Law; or (C) is a party to any order, decree, or agreement that imposes any obligation or liability by any governmental or regulatory authority under any Privacy Law, except, in the case of (A), (B) or (C), where such violation, investigation, remediation, order, decree or agreement would not, individually or in the aggregate,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282575</wp:posOffset>
            </wp:positionV>
            <wp:extent cx="717804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46" w:name="page47"/>
    <w:bookmarkEnd w:id="46"/>
    <w:p>
      <w:pPr>
        <w:ind w:right="380" w:firstLine="648"/>
        <w:spacing w:after="0" w:line="260" w:lineRule="auto"/>
        <w:rPr>
          <w:sz w:val="20"/>
          <w:szCs w:val="20"/>
          <w:color w:val="auto"/>
        </w:rPr>
      </w:pPr>
      <w:r>
        <w:rPr>
          <w:rFonts w:ascii="Times New Roman" w:cs="Times New Roman" w:eastAsia="Times New Roman" w:hAnsi="Times New Roman"/>
          <w:sz w:val="12"/>
          <w:szCs w:val="12"/>
          <w:color w:val="auto"/>
        </w:rPr>
        <w:t xml:space="preserve">4.38. </w:t>
      </w:r>
      <w:r>
        <w:rPr>
          <w:rFonts w:ascii="Times New Roman" w:cs="Times New Roman" w:eastAsia="Times New Roman" w:hAnsi="Times New Roman"/>
          <w:sz w:val="12"/>
          <w:szCs w:val="12"/>
          <w:u w:val="single" w:color="auto"/>
          <w:color w:val="auto"/>
        </w:rPr>
        <w:t>Acknowledgment Regarding Investors’ Purchase of Securities</w:t>
      </w:r>
      <w:r>
        <w:rPr>
          <w:rFonts w:ascii="Times New Roman" w:cs="Times New Roman" w:eastAsia="Times New Roman" w:hAnsi="Times New Roman"/>
          <w:sz w:val="12"/>
          <w:szCs w:val="12"/>
          <w:color w:val="auto"/>
        </w:rPr>
        <w:t>. The Company acknowledges and agrees that each of the Investors is acting solely in the capacity of an arm’s length Investor with respect to the Transaction Documents and the transactions contemplated thereby. The Company further acknowledges that no Investor is acting as a financial advisor or fiduciary of the Company (or in any similar capacity) with respect to the Transaction Documents and the transactions contemplated thereby and any advice given by any Investor or any of their respective representatives or agents in connection with the Transaction Documents and the transactions contemplated thereby is merely incidental to the Investors’ purchase of the Securities.</w:t>
      </w:r>
    </w:p>
    <w:p>
      <w:pPr>
        <w:spacing w:after="0" w:line="122" w:lineRule="exact"/>
        <w:rPr>
          <w:sz w:val="20"/>
          <w:szCs w:val="20"/>
          <w:color w:val="auto"/>
        </w:rPr>
      </w:pPr>
    </w:p>
    <w:p>
      <w:pPr>
        <w:ind w:right="480" w:firstLine="648"/>
        <w:spacing w:after="0" w:line="279" w:lineRule="auto"/>
        <w:rPr>
          <w:sz w:val="20"/>
          <w:szCs w:val="20"/>
          <w:color w:val="auto"/>
        </w:rPr>
      </w:pPr>
      <w:r>
        <w:rPr>
          <w:rFonts w:ascii="Times New Roman" w:cs="Times New Roman" w:eastAsia="Times New Roman" w:hAnsi="Times New Roman"/>
          <w:sz w:val="12"/>
          <w:szCs w:val="12"/>
          <w:color w:val="auto"/>
        </w:rPr>
        <w:t xml:space="preserve">4.39. </w:t>
      </w:r>
      <w:r>
        <w:rPr>
          <w:rFonts w:ascii="Times New Roman" w:cs="Times New Roman" w:eastAsia="Times New Roman" w:hAnsi="Times New Roman"/>
          <w:sz w:val="12"/>
          <w:szCs w:val="12"/>
          <w:u w:val="single" w:color="auto"/>
          <w:color w:val="auto"/>
        </w:rPr>
        <w:t>Reliance by the Purchasers</w:t>
      </w:r>
      <w:r>
        <w:rPr>
          <w:rFonts w:ascii="Times New Roman" w:cs="Times New Roman" w:eastAsia="Times New Roman" w:hAnsi="Times New Roman"/>
          <w:sz w:val="12"/>
          <w:szCs w:val="12"/>
          <w:color w:val="auto"/>
        </w:rPr>
        <w:t>. The Company acknowledges that each of the Investors will rely upon the truth and accuracy of, and the Company’s compliance with, the representations, warranties, agreements, acknowledgements and understandings of the Company set forth herein.</w:t>
      </w:r>
    </w:p>
    <w:p>
      <w:pPr>
        <w:spacing w:after="0" w:line="1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 xml:space="preserve">5. </w:t>
      </w:r>
      <w:r>
        <w:rPr>
          <w:rFonts w:ascii="Times New Roman" w:cs="Times New Roman" w:eastAsia="Times New Roman" w:hAnsi="Times New Roman"/>
          <w:sz w:val="12"/>
          <w:szCs w:val="12"/>
          <w:u w:val="single" w:color="auto"/>
          <w:color w:val="auto"/>
        </w:rPr>
        <w:t>Representations and Warranties of the Investors</w:t>
      </w:r>
      <w:r>
        <w:rPr>
          <w:rFonts w:ascii="Times New Roman" w:cs="Times New Roman" w:eastAsia="Times New Roman" w:hAnsi="Times New Roman"/>
          <w:sz w:val="12"/>
          <w:szCs w:val="12"/>
          <w:color w:val="auto"/>
        </w:rPr>
        <w:t>. Each of the Investors hereby severally for itself, and not jointly with any other Investor, represents and warrants to the Company and the Placement Agents that:</w:t>
      </w:r>
    </w:p>
    <w:p>
      <w:pPr>
        <w:spacing w:after="0" w:line="150"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2"/>
          <w:szCs w:val="12"/>
          <w:color w:val="auto"/>
        </w:rPr>
        <w:t xml:space="preserve">5.1. </w:t>
      </w:r>
      <w:r>
        <w:rPr>
          <w:rFonts w:ascii="Times New Roman" w:cs="Times New Roman" w:eastAsia="Times New Roman" w:hAnsi="Times New Roman"/>
          <w:sz w:val="12"/>
          <w:szCs w:val="12"/>
          <w:u w:val="single" w:color="auto"/>
          <w:color w:val="auto"/>
        </w:rPr>
        <w:t>Organization and Existence</w:t>
      </w:r>
      <w:r>
        <w:rPr>
          <w:rFonts w:ascii="Times New Roman" w:cs="Times New Roman" w:eastAsia="Times New Roman" w:hAnsi="Times New Roman"/>
          <w:sz w:val="12"/>
          <w:szCs w:val="12"/>
          <w:color w:val="auto"/>
        </w:rPr>
        <w:t>. Such Investor is a duly incorporated or organized and validly existing corporation, limited partnership, limited liability company or other legal entity, has all requisite corporate, partnership or limited liability company power and authority to enter into and consummate the transactions contemplated by the Transaction Documents and to carry out its obligations hereunder and thereunder, and to invest in the Securities pursuant to this Agreement, and is in good standing under the laws of the jurisdiction of its incorporation or organization, except where the failure to be in good standing has not had and would not reasonably be expected to have a material adverse effect on the ability of such Investor to perform its obligations hereunder.</w:t>
      </w:r>
    </w:p>
    <w:p>
      <w:pPr>
        <w:spacing w:after="0" w:line="122" w:lineRule="exact"/>
        <w:rPr>
          <w:sz w:val="20"/>
          <w:szCs w:val="20"/>
          <w:color w:val="auto"/>
        </w:rPr>
      </w:pPr>
    </w:p>
    <w:p>
      <w:pPr>
        <w:ind w:right="340" w:firstLine="648"/>
        <w:spacing w:after="0" w:line="265" w:lineRule="auto"/>
        <w:rPr>
          <w:sz w:val="20"/>
          <w:szCs w:val="20"/>
          <w:color w:val="auto"/>
        </w:rPr>
      </w:pPr>
      <w:r>
        <w:rPr>
          <w:rFonts w:ascii="Times New Roman" w:cs="Times New Roman" w:eastAsia="Times New Roman" w:hAnsi="Times New Roman"/>
          <w:sz w:val="12"/>
          <w:szCs w:val="12"/>
          <w:color w:val="auto"/>
        </w:rPr>
        <w:t xml:space="preserve">5.2. </w:t>
      </w:r>
      <w:r>
        <w:rPr>
          <w:rFonts w:ascii="Times New Roman" w:cs="Times New Roman" w:eastAsia="Times New Roman" w:hAnsi="Times New Roman"/>
          <w:sz w:val="12"/>
          <w:szCs w:val="12"/>
          <w:u w:val="single" w:color="auto"/>
          <w:color w:val="auto"/>
        </w:rPr>
        <w:t>Authorization</w:t>
      </w:r>
      <w:r>
        <w:rPr>
          <w:rFonts w:ascii="Times New Roman" w:cs="Times New Roman" w:eastAsia="Times New Roman" w:hAnsi="Times New Roman"/>
          <w:sz w:val="12"/>
          <w:szCs w:val="12"/>
          <w:color w:val="auto"/>
        </w:rPr>
        <w:t>. The execution, delivery and performance by such Investor of the Transaction Documents to which such Investor is a party have been duly authorized and each has been duly executed and when delivered will constitute the valid and legally binding obligation of such Investor, enforceable against such Investor in accordance with their respective terms, subject to bankruptcy, insolvency, fraudulent transfer, reorganization, moratorium and similar laws of general applicability, relating to or affecting creditors’ rights generally, and general principles of equity.</w:t>
      </w:r>
    </w:p>
    <w:p>
      <w:pPr>
        <w:spacing w:after="0" w:line="119"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2"/>
          <w:szCs w:val="12"/>
          <w:color w:val="auto"/>
        </w:rPr>
        <w:t xml:space="preserve">5.3. </w:t>
      </w:r>
      <w:r>
        <w:rPr>
          <w:rFonts w:ascii="Times New Roman" w:cs="Times New Roman" w:eastAsia="Times New Roman" w:hAnsi="Times New Roman"/>
          <w:sz w:val="12"/>
          <w:szCs w:val="12"/>
          <w:u w:val="single" w:color="auto"/>
          <w:color w:val="auto"/>
        </w:rPr>
        <w:t>Purchase Entirely for Own Account</w:t>
      </w:r>
      <w:r>
        <w:rPr>
          <w:rFonts w:ascii="Times New Roman" w:cs="Times New Roman" w:eastAsia="Times New Roman" w:hAnsi="Times New Roman"/>
          <w:sz w:val="12"/>
          <w:szCs w:val="12"/>
          <w:color w:val="auto"/>
        </w:rPr>
        <w:t>. The Securities to be received by such Investor hereunder will be acquired for such Investor’s own account, not as nominee or agent, for the purpose of investment and not with a view to the resale or distribution of any part thereof in violation of the 1933 Act, and such Investor has no present intention of selling, granting any participation in, or otherwise distributing the same in violation of the 1933 Act without prejudice, however, to such Investor’s right at all times to sell or otherwise dispose of all or any part of such Securities in compliance with applicable federal and state securities laws. The Placement Securities are being purchased by such Investor in the ordinary course of its business. Nothing contained herein shall be deemed a representation or warranty by such Investor to hold the Securities for any period of time. Such Investor is not a broker-dealer registered with the SEC under the 1934 Act or an entity engaged in a business that would require it to be so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280670</wp:posOffset>
            </wp:positionV>
            <wp:extent cx="717804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0"/>
          </w:cols>
          <w:pgMar w:left="300" w:top="651" w:right="339" w:bottom="1440" w:gutter="0" w:footer="0" w:header="0"/>
        </w:sectPr>
      </w:pPr>
    </w:p>
    <w:bookmarkStart w:id="47" w:name="page48"/>
    <w:bookmarkEnd w:id="47"/>
    <w:p>
      <w:pPr>
        <w:ind w:right="60" w:firstLine="648"/>
        <w:spacing w:after="0" w:line="279" w:lineRule="auto"/>
        <w:rPr>
          <w:sz w:val="20"/>
          <w:szCs w:val="20"/>
          <w:color w:val="auto"/>
        </w:rPr>
      </w:pPr>
      <w:r>
        <w:rPr>
          <w:rFonts w:ascii="Times New Roman" w:cs="Times New Roman" w:eastAsia="Times New Roman" w:hAnsi="Times New Roman"/>
          <w:sz w:val="12"/>
          <w:szCs w:val="12"/>
          <w:color w:val="auto"/>
        </w:rPr>
        <w:t xml:space="preserve">5.4. </w:t>
      </w:r>
      <w:r>
        <w:rPr>
          <w:rFonts w:ascii="Times New Roman" w:cs="Times New Roman" w:eastAsia="Times New Roman" w:hAnsi="Times New Roman"/>
          <w:sz w:val="12"/>
          <w:szCs w:val="12"/>
          <w:u w:val="single" w:color="auto"/>
          <w:color w:val="auto"/>
        </w:rPr>
        <w:t>Investment Experience</w:t>
      </w:r>
      <w:r>
        <w:rPr>
          <w:rFonts w:ascii="Times New Roman" w:cs="Times New Roman" w:eastAsia="Times New Roman" w:hAnsi="Times New Roman"/>
          <w:sz w:val="12"/>
          <w:szCs w:val="12"/>
          <w:color w:val="auto"/>
        </w:rPr>
        <w:t>. Such Investor acknowledges that it can bear the economic risk and complete loss of its investment in the Securities and has such knowledge and experience in financial or business matters that it is capable of evaluating the merits and risks of the investment contemplated hereby.</w:t>
      </w:r>
    </w:p>
    <w:p>
      <w:pPr>
        <w:spacing w:after="0" w:line="11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2"/>
          <w:szCs w:val="12"/>
          <w:color w:val="auto"/>
        </w:rPr>
        <w:t xml:space="preserve">5.5. </w:t>
      </w:r>
      <w:r>
        <w:rPr>
          <w:rFonts w:ascii="Times New Roman" w:cs="Times New Roman" w:eastAsia="Times New Roman" w:hAnsi="Times New Roman"/>
          <w:sz w:val="12"/>
          <w:szCs w:val="12"/>
          <w:u w:val="single" w:color="auto"/>
          <w:color w:val="auto"/>
        </w:rPr>
        <w:t>Access to Information</w:t>
      </w:r>
      <w:r>
        <w:rPr>
          <w:rFonts w:ascii="Times New Roman" w:cs="Times New Roman" w:eastAsia="Times New Roman" w:hAnsi="Times New Roman"/>
          <w:sz w:val="12"/>
          <w:szCs w:val="12"/>
          <w:color w:val="auto"/>
        </w:rPr>
        <w:t>. Such Investor has had an opportunity to receive, review and understand all information related to the Company requested by it and to ask questions of and receive answers from the Company regarding the Company, its business and the terms and conditions of the offering of the Securities, and has conducted and completed its own independent due diligence. Such Investor acknowledges that copies of the SEC Filings are available on the EDGAR system. Based on the information such Investor has deemed appropriate, and without reliance upon the Placement Agents or their Affiliates, it has independently made its own analysis and decision to enter into the Transaction Documents. Such Investor is relying exclusively on its own investment analysis and due diligence (including professional advice it deems appropriate) and the representations, warranties and agreements of the Company set forth herein with respect to the execution, delivery and performance of the Transaction Documents, the Securities and the business, condition (financial and otherwise), management, operations, properties and prospects of the Company, including but not limited to all business, legal, regulatory, accounting, credit and tax matters. Such Investor has not relied on any information or advice furnished by or on behalf of the Placement Agents or their Affiliates in connection with the transactions contemplated hereby. Neither such inquiries nor any other due diligence investigation conducted by such Investor shall modify, limit or otherwise affect such Investor’s right to rely on the Company’s representations and warranties contained in this Agreement.</w:t>
      </w:r>
    </w:p>
    <w:p>
      <w:pPr>
        <w:spacing w:after="0" w:line="128" w:lineRule="exact"/>
        <w:rPr>
          <w:sz w:val="20"/>
          <w:szCs w:val="20"/>
          <w:color w:val="auto"/>
        </w:rPr>
      </w:pPr>
    </w:p>
    <w:p>
      <w:pPr>
        <w:ind w:right="380" w:firstLine="648"/>
        <w:spacing w:after="0" w:line="265" w:lineRule="auto"/>
        <w:rPr>
          <w:sz w:val="20"/>
          <w:szCs w:val="20"/>
          <w:color w:val="auto"/>
        </w:rPr>
      </w:pPr>
      <w:r>
        <w:rPr>
          <w:rFonts w:ascii="Times New Roman" w:cs="Times New Roman" w:eastAsia="Times New Roman" w:hAnsi="Times New Roman"/>
          <w:sz w:val="12"/>
          <w:szCs w:val="12"/>
          <w:color w:val="auto"/>
        </w:rPr>
        <w:t xml:space="preserve">5.6. </w:t>
      </w:r>
      <w:r>
        <w:rPr>
          <w:rFonts w:ascii="Times New Roman" w:cs="Times New Roman" w:eastAsia="Times New Roman" w:hAnsi="Times New Roman"/>
          <w:sz w:val="12"/>
          <w:szCs w:val="12"/>
          <w:u w:val="single" w:color="auto"/>
          <w:color w:val="auto"/>
        </w:rPr>
        <w:t>Restricted Securities</w:t>
      </w:r>
      <w:r>
        <w:rPr>
          <w:rFonts w:ascii="Times New Roman" w:cs="Times New Roman" w:eastAsia="Times New Roman" w:hAnsi="Times New Roman"/>
          <w:sz w:val="12"/>
          <w:szCs w:val="12"/>
          <w:color w:val="auto"/>
        </w:rPr>
        <w:t>. Such Investor understands that the Securities are characterized as “restricted securities” under the U.S. federal securities laws inasmuch as they are being acquired from the Company in a transaction not involving a public offering and have not been registered under the 1933 Act or any state securities law in reliance on the availability of an exemption from such registration and that under such laws and applicable regulations such securities may be resold without registration under the 1933 Act only in certain limited circumstances.</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 xml:space="preserve">5.7. </w:t>
      </w:r>
      <w:r>
        <w:rPr>
          <w:rFonts w:ascii="Times New Roman" w:cs="Times New Roman" w:eastAsia="Times New Roman" w:hAnsi="Times New Roman"/>
          <w:sz w:val="12"/>
          <w:szCs w:val="12"/>
          <w:u w:val="single" w:color="auto"/>
          <w:color w:val="auto"/>
        </w:rPr>
        <w:t>Legends</w:t>
      </w:r>
      <w:r>
        <w:rPr>
          <w:rFonts w:ascii="Times New Roman" w:cs="Times New Roman" w:eastAsia="Times New Roman" w:hAnsi="Times New Roman"/>
          <w:sz w:val="12"/>
          <w:szCs w:val="12"/>
          <w:color w:val="auto"/>
        </w:rPr>
        <w:t>. It is understood that, except as provided below, certificates or book-entry records evidencing the Securities may bear the following or any similar legend:</w:t>
      </w:r>
    </w:p>
    <w:p>
      <w:pPr>
        <w:spacing w:after="0" w:line="150" w:lineRule="exact"/>
        <w:rPr>
          <w:sz w:val="20"/>
          <w:szCs w:val="20"/>
          <w:color w:val="auto"/>
        </w:rPr>
      </w:pPr>
    </w:p>
    <w:p>
      <w:pPr>
        <w:ind w:right="80" w:firstLine="640"/>
        <w:spacing w:after="0" w:line="260" w:lineRule="auto"/>
        <w:tabs>
          <w:tab w:leader="none" w:pos="811"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securities represented hereby and the securities issuable upon exercise of these securities have not been registered with the Securities and Exchange Commission or the securities commission of any state in reliance upon an exemption from registration under the Securities Act of 1933, as amended, and, accordingly, may not be transferred unless (i) such securities have been registered for sale pursuant to the Securities Act of 1933, as amended, (ii) such securities may be sold pursuant to Rule 144, (iii) the Company has received an opinion of counsel reasonably satisfactory to it that such transfer may lawfully be made without registration under the Securities Act of 1933, as amended, or (iv) the securities are transferred without consideration to an affiliate of such holder or a custodial nominee (which for the avoidance of doubt shall require neither consent nor the delivery of an opinion).”</w:t>
      </w:r>
    </w:p>
    <w:p>
      <w:pPr>
        <w:spacing w:after="0" w:line="122" w:lineRule="exact"/>
        <w:rPr>
          <w:rFonts w:ascii="Times New Roman" w:cs="Times New Roman" w:eastAsia="Times New Roman" w:hAnsi="Times New Roman"/>
          <w:sz w:val="12"/>
          <w:szCs w:val="12"/>
          <w:color w:val="auto"/>
        </w:rPr>
      </w:pPr>
    </w:p>
    <w:p>
      <w:pPr>
        <w:ind w:left="800" w:hanging="160"/>
        <w:spacing w:after="0"/>
        <w:tabs>
          <w:tab w:leader="none" w:pos="80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required by the authorities of any state in connection with the issuance or sale of the Securities, the legend required by such state authority.</w:t>
      </w:r>
    </w:p>
    <w:p>
      <w:pPr>
        <w:spacing w:after="0" w:line="150"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2"/>
          <w:szCs w:val="12"/>
          <w:color w:val="auto"/>
        </w:rPr>
        <w:t xml:space="preserve">5.8. </w:t>
      </w:r>
      <w:r>
        <w:rPr>
          <w:rFonts w:ascii="Times New Roman" w:cs="Times New Roman" w:eastAsia="Times New Roman" w:hAnsi="Times New Roman"/>
          <w:sz w:val="12"/>
          <w:szCs w:val="12"/>
          <w:u w:val="single" w:color="auto"/>
          <w:color w:val="auto"/>
        </w:rPr>
        <w:t>Accredited Investor</w:t>
      </w:r>
      <w:r>
        <w:rPr>
          <w:rFonts w:ascii="Times New Roman" w:cs="Times New Roman" w:eastAsia="Times New Roman" w:hAnsi="Times New Roman"/>
          <w:sz w:val="12"/>
          <w:szCs w:val="12"/>
          <w:color w:val="auto"/>
        </w:rPr>
        <w:t>. Such Investor is an institutional “accredited investor” as defined in Rule 501(a)(1), (a)(2), (a)(3) or (a)(7) under the 1933 Act or a “qualified institutional buyer” within the meaning of Rule 144A under the 1933 Act. Such investor is a sophisticated “institutional account” as defined in FINRA Rule 4512(c), with sufficient knowledge and experience in investing in private placement transactions to properly evaluate the risks and merits of its purchase of the Securities. Such Investor has determined based on its own independent review, analysis and such professional advice as it deems appropriate that its purchase of the Securities and participation in the transactions contemplated by the Transaction Documents (i) are fully consistent with its financial needs, objectives and condition, (ii) comply and are fully consistent with all investment policies, guidelines and other restrictions applicable to such Investor, (iii) have been duly authorized and approved by all necessary action, (iv) do not and will not violate or constitute a default under such Investor’s charter, bylaws or other constituent document or under any law, rule, regulation, agreement or other obligation by which such Investor is bound and (v) are a fit, proper and suitable investment for such Investor, notwithstanding the substantial risks inherent in investing in or holding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281305</wp:posOffset>
            </wp:positionV>
            <wp:extent cx="717804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1" w:right="319" w:bottom="1440" w:gutter="0" w:footer="0" w:header="0"/>
        </w:sectPr>
      </w:pPr>
    </w:p>
    <w:bookmarkStart w:id="48" w:name="page49"/>
    <w:bookmarkEnd w:id="48"/>
    <w:p>
      <w:pPr>
        <w:ind w:right="20" w:firstLine="648"/>
        <w:spacing w:after="0" w:line="253" w:lineRule="auto"/>
        <w:rPr>
          <w:sz w:val="20"/>
          <w:szCs w:val="20"/>
          <w:color w:val="auto"/>
        </w:rPr>
      </w:pPr>
      <w:r>
        <w:rPr>
          <w:rFonts w:ascii="Times New Roman" w:cs="Times New Roman" w:eastAsia="Times New Roman" w:hAnsi="Times New Roman"/>
          <w:sz w:val="12"/>
          <w:szCs w:val="12"/>
          <w:color w:val="auto"/>
        </w:rPr>
        <w:t xml:space="preserve">5.9 </w:t>
      </w:r>
      <w:r>
        <w:rPr>
          <w:rFonts w:ascii="Times New Roman" w:cs="Times New Roman" w:eastAsia="Times New Roman" w:hAnsi="Times New Roman"/>
          <w:sz w:val="12"/>
          <w:szCs w:val="12"/>
          <w:u w:val="single" w:color="auto"/>
          <w:color w:val="auto"/>
        </w:rPr>
        <w:t>Placement Agents</w:t>
      </w:r>
      <w:r>
        <w:rPr>
          <w:rFonts w:ascii="Times New Roman" w:cs="Times New Roman" w:eastAsia="Times New Roman" w:hAnsi="Times New Roman"/>
          <w:sz w:val="12"/>
          <w:szCs w:val="12"/>
          <w:color w:val="auto"/>
        </w:rPr>
        <w:t>. Such Investor hereby acknowledges and agrees that (a) the Placement Agents are acting solely as placement agents in connection with the execution, delivery and performance of the Transaction Documents and are not acting as an underwriter, initial purchaser, dealer or in any other such capacity and are not and shall not be construed as a fiduciary for such Investor, the Company or any other person or entity in connection with the execution, delivery and performance of the Transaction Documents, (b) it is not relying upon, and has not relied upon, any statement, representation or warranty made by the Placement Agents, any of their affiliates or any of their control persons, officers, directors and employees, in making its investment or decision to invest in the Company, (c) the Placement Agents have not made and will not make any representation or warranty, whether express or implied, of any kind or character, and has not provided any advice or recommendation in connection with the execution, delivery and performance of the Transaction Documents, (d) the Placement Agents will not have any responsibility with respect to (i) any representations, warranties or agreements made by any person or entity under or in connection with the execution, delivery and performance of the Transaction Documents, or the execution, legality, validity or enforceability (with respect to any person) thereof, or (ii) the business, affairs, financial condition, operations, properties or prospects of, or any other matter concerning the Company, and (e) the Placement Agents will not have any liability or obligation (including without limitation, for or with respect to any losses, claims, damages, obligations, penalties, judgments, awards, liabilities, costs, expenses or disbursements incurred by such Investor, the Company or any other person or entity), whether in contract, tort or otherwise, to such Investor, or to any person claiming through it, in respect of any action heretofore or hereafter taken or omitted to be taken by any of them in connection with any Investor’s purchase of the Placement Securities or the execution, delivery and performance of the Transaction Documents.</w:t>
      </w:r>
    </w:p>
    <w:p>
      <w:pPr>
        <w:spacing w:after="0" w:line="129" w:lineRule="exact"/>
        <w:rPr>
          <w:sz w:val="20"/>
          <w:szCs w:val="20"/>
          <w:color w:val="auto"/>
        </w:rPr>
      </w:pPr>
    </w:p>
    <w:p>
      <w:pPr>
        <w:ind w:firstLine="648"/>
        <w:spacing w:after="0" w:line="265" w:lineRule="auto"/>
        <w:rPr>
          <w:sz w:val="20"/>
          <w:szCs w:val="20"/>
          <w:color w:val="auto"/>
        </w:rPr>
      </w:pPr>
      <w:r>
        <w:rPr>
          <w:rFonts w:ascii="Times New Roman" w:cs="Times New Roman" w:eastAsia="Times New Roman" w:hAnsi="Times New Roman"/>
          <w:sz w:val="12"/>
          <w:szCs w:val="12"/>
          <w:color w:val="auto"/>
        </w:rPr>
        <w:t xml:space="preserve">5.10. </w:t>
      </w:r>
      <w:r>
        <w:rPr>
          <w:rFonts w:ascii="Times New Roman" w:cs="Times New Roman" w:eastAsia="Times New Roman" w:hAnsi="Times New Roman"/>
          <w:sz w:val="12"/>
          <w:szCs w:val="12"/>
          <w:u w:val="single" w:color="auto"/>
          <w:color w:val="auto"/>
        </w:rPr>
        <w:t>No General Solicitation</w:t>
      </w:r>
      <w:r>
        <w:rPr>
          <w:rFonts w:ascii="Times New Roman" w:cs="Times New Roman" w:eastAsia="Times New Roman" w:hAnsi="Times New Roman"/>
          <w:sz w:val="12"/>
          <w:szCs w:val="12"/>
          <w:color w:val="auto"/>
        </w:rPr>
        <w:t>. Such Investor did not learn of the investment in the Securities as a result of any general or public solicitation or general advertising, or publicly disseminated advertisements or sales literature, including (a) any advertisement, article, notice or other communication published in any newspaper, magazine, website, or similar media, or broadcast over television or radio, or (b) any seminar or meeting to which such Investor was invited by any of the foregoing means of communications.</w:t>
      </w:r>
    </w:p>
    <w:p>
      <w:pPr>
        <w:spacing w:after="0" w:line="119" w:lineRule="exact"/>
        <w:rPr>
          <w:sz w:val="20"/>
          <w:szCs w:val="20"/>
          <w:color w:val="auto"/>
        </w:rPr>
      </w:pPr>
    </w:p>
    <w:p>
      <w:pPr>
        <w:ind w:firstLine="648"/>
        <w:spacing w:after="0" w:line="279" w:lineRule="auto"/>
        <w:rPr>
          <w:sz w:val="20"/>
          <w:szCs w:val="20"/>
          <w:color w:val="auto"/>
        </w:rPr>
      </w:pPr>
      <w:r>
        <w:rPr>
          <w:rFonts w:ascii="Times New Roman" w:cs="Times New Roman" w:eastAsia="Times New Roman" w:hAnsi="Times New Roman"/>
          <w:sz w:val="12"/>
          <w:szCs w:val="12"/>
          <w:color w:val="auto"/>
        </w:rPr>
        <w:t xml:space="preserve">5.11. </w:t>
      </w:r>
      <w:r>
        <w:rPr>
          <w:rFonts w:ascii="Times New Roman" w:cs="Times New Roman" w:eastAsia="Times New Roman" w:hAnsi="Times New Roman"/>
          <w:sz w:val="12"/>
          <w:szCs w:val="12"/>
          <w:u w:val="single" w:color="auto"/>
          <w:color w:val="auto"/>
        </w:rPr>
        <w:t>Brokers and Finders</w:t>
      </w:r>
      <w:r>
        <w:rPr>
          <w:rFonts w:ascii="Times New Roman" w:cs="Times New Roman" w:eastAsia="Times New Roman" w:hAnsi="Times New Roman"/>
          <w:sz w:val="12"/>
          <w:szCs w:val="12"/>
          <w:color w:val="auto"/>
        </w:rPr>
        <w:t>. No Person will have, as a result of the transactions contemplated by the Transaction Documents, any valid right, interest or claim against or upon the Company or an Investor for any commission, fee or other compensation pursuant to any agreement, arrangement or understanding entered into by or on behalf of such Investor.</w:t>
      </w:r>
    </w:p>
    <w:p>
      <w:pPr>
        <w:spacing w:after="0" w:line="111"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2"/>
          <w:szCs w:val="12"/>
          <w:color w:val="auto"/>
        </w:rPr>
        <w:t xml:space="preserve">5.12. </w:t>
      </w:r>
      <w:r>
        <w:rPr>
          <w:rFonts w:ascii="Times New Roman" w:cs="Times New Roman" w:eastAsia="Times New Roman" w:hAnsi="Times New Roman"/>
          <w:sz w:val="12"/>
          <w:szCs w:val="12"/>
          <w:u w:val="single" w:color="auto"/>
          <w:color w:val="auto"/>
        </w:rPr>
        <w:t>Short Sales and Confidentiality Prior to the Date Hereof</w:t>
      </w:r>
      <w:r>
        <w:rPr>
          <w:rFonts w:ascii="Times New Roman" w:cs="Times New Roman" w:eastAsia="Times New Roman" w:hAnsi="Times New Roman"/>
          <w:sz w:val="12"/>
          <w:szCs w:val="12"/>
          <w:color w:val="auto"/>
        </w:rPr>
        <w:t>. Other than consummating the transactions contemplated hereunder, such Investor has not, nor has any Person acting on behalf of or pursuant to any understanding with such Investor, directly or indirectly executed any purchases or sales, including Short Sales, of the securities of the Company during the period commencing as of the time that such Investor was first contacted by the Company, the Placement Agents or any other Person regarding the transactions contemplated hereby and ending immediately prior to the date hereof. Notwithstanding the foregoing,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representation set forth above shall only apply with respect to the portion of assets managed by the portfolio manager that made the investment decision to purchase the Securities covered by this Agreement. Other than to other Persons party to this Agreement and other than to such Person’s outside attorney, accountant, auditor or investment advisor only to the extent necessary to permit evaluation of the investment, and the performance of the necessary or required tax, accounting, financial, legal, or administrative tasks and services and other than as may be required by law, such Investor has maintained the confidentiality of all disclosures made to it 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w:t>
      </w:r>
    </w:p>
    <w:p>
      <w:pPr>
        <w:spacing w:after="0" w:line="126" w:lineRule="exact"/>
        <w:rPr>
          <w:sz w:val="20"/>
          <w:szCs w:val="20"/>
          <w:color w:val="auto"/>
        </w:rPr>
      </w:pPr>
    </w:p>
    <w:p>
      <w:pPr>
        <w:ind w:right="260" w:firstLine="648"/>
        <w:spacing w:after="0" w:line="279" w:lineRule="auto"/>
        <w:rPr>
          <w:sz w:val="20"/>
          <w:szCs w:val="20"/>
          <w:color w:val="auto"/>
        </w:rPr>
      </w:pPr>
      <w:r>
        <w:rPr>
          <w:rFonts w:ascii="Times New Roman" w:cs="Times New Roman" w:eastAsia="Times New Roman" w:hAnsi="Times New Roman"/>
          <w:sz w:val="12"/>
          <w:szCs w:val="12"/>
          <w:color w:val="auto"/>
        </w:rPr>
        <w:t xml:space="preserve">5.13. </w:t>
      </w:r>
      <w:r>
        <w:rPr>
          <w:rFonts w:ascii="Times New Roman" w:cs="Times New Roman" w:eastAsia="Times New Roman" w:hAnsi="Times New Roman"/>
          <w:sz w:val="12"/>
          <w:szCs w:val="12"/>
          <w:u w:val="single" w:color="auto"/>
          <w:color w:val="auto"/>
        </w:rPr>
        <w:t>No Government Recommendation or Approval</w:t>
      </w:r>
      <w:r>
        <w:rPr>
          <w:rFonts w:ascii="Times New Roman" w:cs="Times New Roman" w:eastAsia="Times New Roman" w:hAnsi="Times New Roman"/>
          <w:sz w:val="12"/>
          <w:szCs w:val="12"/>
          <w:color w:val="auto"/>
        </w:rPr>
        <w:t>. Such Investor understands that no United States federal or state agency, or similar agency of any other country, has reviewed, approved, passed upon, or made any recommendation or endorsement of the Company or the purchase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271780</wp:posOffset>
            </wp:positionV>
            <wp:extent cx="717804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1" w:right="319" w:bottom="1440" w:gutter="0" w:footer="0" w:header="0"/>
        </w:sectPr>
      </w:pPr>
    </w:p>
    <w:bookmarkStart w:id="49" w:name="page50"/>
    <w:bookmarkEnd w:id="49"/>
    <w:p>
      <w:pPr>
        <w:ind w:left="640"/>
        <w:spacing w:after="0"/>
        <w:rPr>
          <w:sz w:val="20"/>
          <w:szCs w:val="20"/>
          <w:color w:val="auto"/>
        </w:rPr>
      </w:pPr>
      <w:r>
        <w:rPr>
          <w:rFonts w:ascii="Times New Roman" w:cs="Times New Roman" w:eastAsia="Times New Roman" w:hAnsi="Times New Roman"/>
          <w:sz w:val="12"/>
          <w:szCs w:val="12"/>
          <w:color w:val="auto"/>
        </w:rPr>
        <w:t xml:space="preserve">5.14. </w:t>
      </w:r>
      <w:r>
        <w:rPr>
          <w:rFonts w:ascii="Times New Roman" w:cs="Times New Roman" w:eastAsia="Times New Roman" w:hAnsi="Times New Roman"/>
          <w:sz w:val="12"/>
          <w:szCs w:val="12"/>
          <w:u w:val="single" w:color="auto"/>
          <w:color w:val="auto"/>
        </w:rPr>
        <w:t>No Intent to Effect a Change of Control</w:t>
      </w:r>
      <w:r>
        <w:rPr>
          <w:rFonts w:ascii="Times New Roman" w:cs="Times New Roman" w:eastAsia="Times New Roman" w:hAnsi="Times New Roman"/>
          <w:sz w:val="12"/>
          <w:szCs w:val="12"/>
          <w:color w:val="auto"/>
        </w:rPr>
        <w:t>. Such Investor has no present intent to effect a “change of control” of the Company as such term is understood under the rules promulgated pursuant to Section 13(d) of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1934 Act.</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 xml:space="preserve">5.15. </w:t>
      </w:r>
      <w:r>
        <w:rPr>
          <w:rFonts w:ascii="Times New Roman" w:cs="Times New Roman" w:eastAsia="Times New Roman" w:hAnsi="Times New Roman"/>
          <w:sz w:val="12"/>
          <w:szCs w:val="12"/>
          <w:u w:val="single" w:color="auto"/>
          <w:color w:val="auto"/>
        </w:rPr>
        <w:t>Residency</w:t>
      </w:r>
      <w:r>
        <w:rPr>
          <w:rFonts w:ascii="Times New Roman" w:cs="Times New Roman" w:eastAsia="Times New Roman" w:hAnsi="Times New Roman"/>
          <w:sz w:val="12"/>
          <w:szCs w:val="12"/>
          <w:color w:val="auto"/>
        </w:rPr>
        <w:t>. Such Investor’s office in which its investment decision with respect to the Securities was made is located at the address immediately below such Investor’s name on its signature page hereto.</w:t>
      </w:r>
    </w:p>
    <w:p>
      <w:pPr>
        <w:spacing w:after="0" w:line="150"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2"/>
          <w:szCs w:val="12"/>
          <w:color w:val="auto"/>
        </w:rPr>
        <w:t xml:space="preserve">5.16. </w:t>
      </w:r>
      <w:r>
        <w:rPr>
          <w:rFonts w:ascii="Times New Roman" w:cs="Times New Roman" w:eastAsia="Times New Roman" w:hAnsi="Times New Roman"/>
          <w:sz w:val="12"/>
          <w:szCs w:val="12"/>
          <w:u w:val="single" w:color="auto"/>
          <w:color w:val="auto"/>
        </w:rPr>
        <w:t>No Conflicts</w:t>
      </w:r>
      <w:r>
        <w:rPr>
          <w:rFonts w:ascii="Times New Roman" w:cs="Times New Roman" w:eastAsia="Times New Roman" w:hAnsi="Times New Roman"/>
          <w:sz w:val="12"/>
          <w:szCs w:val="12"/>
          <w:color w:val="auto"/>
        </w:rPr>
        <w:t>. The execution, delivery and performance by such Investor of the Transaction Documents and the consummation by such Investor of the transactions contemplated hereby and thereby will not (i) result in a violation of the organizational documents of such Investor or (ii) conflict with, or constitute a default (or an event which with notice or lapse of time or both would become a default) under, or give to others any rights of termination, amendment, acceleration or cancellation of, any agreement, indenture or instrument to which such Investor is a party, or (iii) result in a violation of any law, rule, regulation, order, judgment or decree (including federal and state securities laws) applicable to such Investor, except in the case of clauses (ii) and (iii) above, for such conflicts, defaults, rights or violations which would not, individually or in the aggregate, reasonably be expected to have a material adverse effect on the ability of such Investor to perform its obligations hereunder.</w:t>
      </w:r>
    </w:p>
    <w:p>
      <w:pPr>
        <w:spacing w:after="0" w:line="125" w:lineRule="exact"/>
        <w:rPr>
          <w:sz w:val="20"/>
          <w:szCs w:val="20"/>
          <w:color w:val="auto"/>
        </w:rPr>
      </w:pPr>
    </w:p>
    <w:p>
      <w:pPr>
        <w:ind w:right="80" w:firstLine="648"/>
        <w:spacing w:after="0" w:line="279" w:lineRule="auto"/>
        <w:rPr>
          <w:sz w:val="20"/>
          <w:szCs w:val="20"/>
          <w:color w:val="auto"/>
        </w:rPr>
      </w:pPr>
      <w:r>
        <w:rPr>
          <w:rFonts w:ascii="Times New Roman" w:cs="Times New Roman" w:eastAsia="Times New Roman" w:hAnsi="Times New Roman"/>
          <w:sz w:val="12"/>
          <w:szCs w:val="12"/>
          <w:color w:val="auto"/>
        </w:rPr>
        <w:t xml:space="preserve">5.17 </w:t>
      </w:r>
      <w:r>
        <w:rPr>
          <w:rFonts w:ascii="Times New Roman" w:cs="Times New Roman" w:eastAsia="Times New Roman" w:hAnsi="Times New Roman"/>
          <w:sz w:val="12"/>
          <w:szCs w:val="12"/>
          <w:u w:val="single" w:color="auto"/>
          <w:color w:val="auto"/>
        </w:rPr>
        <w:t>Reliance by the Company</w:t>
      </w:r>
      <w:r>
        <w:rPr>
          <w:rFonts w:ascii="Times New Roman" w:cs="Times New Roman" w:eastAsia="Times New Roman" w:hAnsi="Times New Roman"/>
          <w:sz w:val="12"/>
          <w:szCs w:val="12"/>
          <w:color w:val="auto"/>
        </w:rPr>
        <w:t>. Such Investor acknowledges that the Company will rely upon the truth and accuracy of, and the Investor’s compliance with, the representations, warranties, agreements, acknowledgements and understandings of such Investor set forth herein.</w:t>
      </w:r>
    </w:p>
    <w:p>
      <w:pPr>
        <w:spacing w:after="0" w:line="111" w:lineRule="exact"/>
        <w:rPr>
          <w:sz w:val="20"/>
          <w:szCs w:val="20"/>
          <w:color w:val="auto"/>
        </w:rPr>
      </w:pPr>
    </w:p>
    <w:p>
      <w:pPr>
        <w:ind w:left="320" w:hanging="112"/>
        <w:spacing w:after="0"/>
        <w:tabs>
          <w:tab w:leader="none" w:pos="32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Conditions to Closing</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firstLine="648"/>
        <w:spacing w:after="0" w:line="279" w:lineRule="auto"/>
        <w:rPr>
          <w:sz w:val="20"/>
          <w:szCs w:val="20"/>
          <w:color w:val="auto"/>
        </w:rPr>
      </w:pPr>
      <w:r>
        <w:rPr>
          <w:rFonts w:ascii="Times New Roman" w:cs="Times New Roman" w:eastAsia="Times New Roman" w:hAnsi="Times New Roman"/>
          <w:sz w:val="12"/>
          <w:szCs w:val="12"/>
          <w:color w:val="auto"/>
        </w:rPr>
        <w:t xml:space="preserve">6.1. </w:t>
      </w:r>
      <w:r>
        <w:rPr>
          <w:rFonts w:ascii="Times New Roman" w:cs="Times New Roman" w:eastAsia="Times New Roman" w:hAnsi="Times New Roman"/>
          <w:sz w:val="12"/>
          <w:szCs w:val="12"/>
          <w:u w:val="single" w:color="auto"/>
          <w:color w:val="auto"/>
        </w:rPr>
        <w:t>Conditions to the Investors’ Obligations</w:t>
      </w:r>
      <w:r>
        <w:rPr>
          <w:rFonts w:ascii="Times New Roman" w:cs="Times New Roman" w:eastAsia="Times New Roman" w:hAnsi="Times New Roman"/>
          <w:sz w:val="12"/>
          <w:szCs w:val="12"/>
          <w:color w:val="auto"/>
        </w:rPr>
        <w:t>. The obligation of each Investor to purchase the Placement Securities at the Closing is subject to the fulfillment to such Investor’s satisfaction, on or prior to the Closing Date, of the following conditions, any of which may be waived by such Investor (as to itself only):</w:t>
      </w:r>
    </w:p>
    <w:p>
      <w:pPr>
        <w:spacing w:after="0" w:line="111" w:lineRule="exact"/>
        <w:rPr>
          <w:sz w:val="20"/>
          <w:szCs w:val="20"/>
          <w:color w:val="auto"/>
        </w:rPr>
      </w:pPr>
    </w:p>
    <w:p>
      <w:pPr>
        <w:ind w:right="20" w:firstLine="640"/>
        <w:spacing w:after="0" w:line="260" w:lineRule="auto"/>
        <w:tabs>
          <w:tab w:leader="none" w:pos="809"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representations and warranties made by the Company in Section 4 hereof shall be true and correct in all material respects, except for those representations and warranties qualified by materiality or Material Adverse Effect, which shall be true and correct in all respects, as of the date hereof and as of the Closing Date, as though made on and as of such date, except to the extent any such representation or warranty expressly speaks as of an earlier date, in which case such representation or warranty shall be true and correct in all material respects as of such earlier date. The Company shall have performed in all material respects all obligations and covenants herein required to be performed by it on or prior to the Closing Date.</w:t>
      </w:r>
    </w:p>
    <w:p>
      <w:pPr>
        <w:spacing w:after="0" w:line="122" w:lineRule="exact"/>
        <w:rPr>
          <w:rFonts w:ascii="Times New Roman" w:cs="Times New Roman" w:eastAsia="Times New Roman" w:hAnsi="Times New Roman"/>
          <w:sz w:val="12"/>
          <w:szCs w:val="12"/>
          <w:color w:val="auto"/>
        </w:rPr>
      </w:pPr>
    </w:p>
    <w:p>
      <w:pPr>
        <w:ind w:right="120" w:firstLine="640"/>
        <w:spacing w:after="0" w:line="279" w:lineRule="auto"/>
        <w:tabs>
          <w:tab w:leader="none" w:pos="816"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have obtained any and all consents, permits, approvals, registrations and waivers necessary for the consummation of the purchase and sale of the Placement Securities and the consummation of the other transactions contemplated by the Transaction Documents, all of which shall be in full force and effect.</w:t>
      </w:r>
    </w:p>
    <w:p>
      <w:pPr>
        <w:spacing w:after="0" w:line="111" w:lineRule="exact"/>
        <w:rPr>
          <w:rFonts w:ascii="Times New Roman" w:cs="Times New Roman" w:eastAsia="Times New Roman" w:hAnsi="Times New Roman"/>
          <w:sz w:val="12"/>
          <w:szCs w:val="12"/>
          <w:color w:val="auto"/>
        </w:rPr>
      </w:pPr>
    </w:p>
    <w:p>
      <w:pPr>
        <w:ind w:left="800" w:hanging="160"/>
        <w:spacing w:after="0"/>
        <w:tabs>
          <w:tab w:leader="none" w:pos="80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have executed and delivered the Registration Rights Agreement.</w:t>
      </w:r>
    </w:p>
    <w:p>
      <w:pPr>
        <w:spacing w:after="0" w:line="150" w:lineRule="exact"/>
        <w:rPr>
          <w:rFonts w:ascii="Times New Roman" w:cs="Times New Roman" w:eastAsia="Times New Roman" w:hAnsi="Times New Roman"/>
          <w:sz w:val="12"/>
          <w:szCs w:val="12"/>
          <w:color w:val="auto"/>
        </w:rPr>
      </w:pPr>
    </w:p>
    <w:p>
      <w:pPr>
        <w:ind w:left="800" w:hanging="160"/>
        <w:spacing w:after="0"/>
        <w:tabs>
          <w:tab w:leader="none" w:pos="80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have filed with Nasdaq a Listing of Additional Shares notice form for the listing of the Shares and the Warrant Shares and shall not have received any objection to such notice from Nasdaq.</w:t>
      </w:r>
    </w:p>
    <w:p>
      <w:pPr>
        <w:spacing w:after="0" w:line="150" w:lineRule="exact"/>
        <w:rPr>
          <w:rFonts w:ascii="Times New Roman" w:cs="Times New Roman" w:eastAsia="Times New Roman" w:hAnsi="Times New Roman"/>
          <w:sz w:val="12"/>
          <w:szCs w:val="12"/>
          <w:color w:val="auto"/>
        </w:rPr>
      </w:pPr>
    </w:p>
    <w:p>
      <w:pPr>
        <w:ind w:right="360" w:firstLine="640"/>
        <w:spacing w:after="0" w:line="279" w:lineRule="auto"/>
        <w:tabs>
          <w:tab w:leader="none" w:pos="811"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judgment, writ, order, injunction, award or decree of or by any court, or judge, justice or magistrate, including any bankruptcy court or judge, or any order of or by any governmental authority, shall have been issued, and no action or proceeding shall have been instituted by any governmental authority, enjoining or preventing the consummation of the transactions contemplated by the Transaction Documents.</w:t>
      </w:r>
    </w:p>
    <w:p>
      <w:pPr>
        <w:spacing w:after="0" w:line="111" w:lineRule="exact"/>
        <w:rPr>
          <w:rFonts w:ascii="Times New Roman" w:cs="Times New Roman" w:eastAsia="Times New Roman" w:hAnsi="Times New Roman"/>
          <w:sz w:val="12"/>
          <w:szCs w:val="12"/>
          <w:color w:val="auto"/>
        </w:rPr>
      </w:pPr>
    </w:p>
    <w:p>
      <w:pPr>
        <w:ind w:right="320" w:firstLine="640"/>
        <w:spacing w:after="0" w:line="279" w:lineRule="auto"/>
        <w:tabs>
          <w:tab w:leader="none" w:pos="796"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have delivered a Certificate, executed on behalf of the Company by its Chief Executive Officer or its Principal Financial Officer, dated as of the Closing Date, in form and substance reasonably acceptable to the Investors, certifying to the fulfillment of the conditions specified in subsections (a), (b), (d), (e), (i) and (j) of this Section 6.1.</w:t>
      </w:r>
    </w:p>
    <w:p>
      <w:pPr>
        <w:spacing w:after="0" w:line="111" w:lineRule="exact"/>
        <w:rPr>
          <w:rFonts w:ascii="Times New Roman" w:cs="Times New Roman" w:eastAsia="Times New Roman" w:hAnsi="Times New Roman"/>
          <w:sz w:val="12"/>
          <w:szCs w:val="12"/>
          <w:color w:val="auto"/>
        </w:rPr>
      </w:pPr>
    </w:p>
    <w:p>
      <w:pPr>
        <w:jc w:val="both"/>
        <w:ind w:right="20" w:firstLine="640"/>
        <w:spacing w:after="0" w:line="265" w:lineRule="auto"/>
        <w:tabs>
          <w:tab w:leader="none" w:pos="816"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have delivered a Certificate, executed on behalf of the Company by its Secretary, dated as of the Closing Date in form and substance reasonably acceptable to the Investors, certifying the resolutions adopted by the Board of Directors of the Company approving the transactions contemplated by the Transaction Documents and the issuance of the Securities, certifying the current versions of the Certificate of Incorporation and Bylaws of the Company and certifying as to the signatures and authority of persons signing the Transaction Documents and related documents on behalf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17804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50" w:name="page51"/>
    <w:bookmarkEnd w:id="50"/>
    <w:p>
      <w:pPr>
        <w:ind w:right="40" w:firstLine="640"/>
        <w:spacing w:after="0" w:line="279" w:lineRule="auto"/>
        <w:tabs>
          <w:tab w:leader="none" w:pos="816"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Investors shall have received an opinion from Goodwin Procter LLP, the Company’s counsel, dated as of the Closing Date, in form and substance reasonably acceptable to the Investors and the Placement Agents, on which the Placement Agents are expressly entitled to rely.</w:t>
      </w:r>
    </w:p>
    <w:p>
      <w:pPr>
        <w:spacing w:after="0" w:line="111" w:lineRule="exact"/>
        <w:rPr>
          <w:rFonts w:ascii="Times New Roman" w:cs="Times New Roman" w:eastAsia="Times New Roman" w:hAnsi="Times New Roman"/>
          <w:sz w:val="12"/>
          <w:szCs w:val="12"/>
          <w:color w:val="auto"/>
        </w:rPr>
      </w:pPr>
    </w:p>
    <w:p>
      <w:pPr>
        <w:ind w:left="780" w:hanging="140"/>
        <w:spacing w:after="0"/>
        <w:tabs>
          <w:tab w:leader="none" w:pos="78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shall have been no Material Adverse Effect with respect to the Company since the date hereof.</w:t>
      </w:r>
    </w:p>
    <w:p>
      <w:pPr>
        <w:spacing w:after="0" w:line="150" w:lineRule="exact"/>
        <w:rPr>
          <w:rFonts w:ascii="Times New Roman" w:cs="Times New Roman" w:eastAsia="Times New Roman" w:hAnsi="Times New Roman"/>
          <w:sz w:val="12"/>
          <w:szCs w:val="12"/>
          <w:color w:val="auto"/>
        </w:rPr>
      </w:pPr>
    </w:p>
    <w:p>
      <w:pPr>
        <w:ind w:left="780" w:hanging="140"/>
        <w:spacing w:after="0"/>
        <w:tabs>
          <w:tab w:leader="none" w:pos="78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stop order or suspension of trading shall have been imposed by Nasdaq, the SEC or any other governmental or regulatory body with respect to public trading in the Common Stock.</w:t>
      </w:r>
    </w:p>
    <w:p>
      <w:pPr>
        <w:spacing w:after="0" w:line="150" w:lineRule="exact"/>
        <w:rPr>
          <w:rFonts w:ascii="Times New Roman" w:cs="Times New Roman" w:eastAsia="Times New Roman" w:hAnsi="Times New Roman"/>
          <w:sz w:val="12"/>
          <w:szCs w:val="12"/>
          <w:color w:val="auto"/>
        </w:rPr>
      </w:pPr>
    </w:p>
    <w:p>
      <w:pPr>
        <w:ind w:left="800" w:hanging="160"/>
        <w:spacing w:after="0"/>
        <w:tabs>
          <w:tab w:leader="none" w:pos="80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Placement Agents shall have received the Lock-Up Agreements, executed by each executive officer and director, in form and substance reasonably acceptable to the Investors and the Placement Agents.</w:t>
      </w:r>
    </w:p>
    <w:p>
      <w:pPr>
        <w:spacing w:after="0" w:line="150" w:lineRule="exact"/>
        <w:rPr>
          <w:sz w:val="20"/>
          <w:szCs w:val="20"/>
          <w:color w:val="auto"/>
        </w:rPr>
      </w:pPr>
    </w:p>
    <w:p>
      <w:pPr>
        <w:ind w:right="40" w:firstLine="648"/>
        <w:spacing w:after="0" w:line="279" w:lineRule="auto"/>
        <w:rPr>
          <w:sz w:val="20"/>
          <w:szCs w:val="20"/>
          <w:color w:val="auto"/>
        </w:rPr>
      </w:pPr>
      <w:r>
        <w:rPr>
          <w:rFonts w:ascii="Times New Roman" w:cs="Times New Roman" w:eastAsia="Times New Roman" w:hAnsi="Times New Roman"/>
          <w:sz w:val="12"/>
          <w:szCs w:val="12"/>
          <w:color w:val="auto"/>
        </w:rPr>
        <w:t xml:space="preserve">6.2. </w:t>
      </w:r>
      <w:r>
        <w:rPr>
          <w:rFonts w:ascii="Times New Roman" w:cs="Times New Roman" w:eastAsia="Times New Roman" w:hAnsi="Times New Roman"/>
          <w:sz w:val="12"/>
          <w:szCs w:val="12"/>
          <w:u w:val="single" w:color="auto"/>
          <w:color w:val="auto"/>
        </w:rPr>
        <w:t>Conditions to Obligations of the Company</w:t>
      </w:r>
      <w:r>
        <w:rPr>
          <w:rFonts w:ascii="Times New Roman" w:cs="Times New Roman" w:eastAsia="Times New Roman" w:hAnsi="Times New Roman"/>
          <w:sz w:val="12"/>
          <w:szCs w:val="12"/>
          <w:color w:val="auto"/>
        </w:rPr>
        <w:t>. The Company’s obligation to sell and issue the Placement Securities at the Closing is subject to the fulfillment to the satisfaction of the Company on or prior to the Closing Date of the following conditions, any of which may be waived by the Company:</w:t>
      </w:r>
    </w:p>
    <w:p>
      <w:pPr>
        <w:spacing w:after="0" w:line="111" w:lineRule="exact"/>
        <w:rPr>
          <w:sz w:val="20"/>
          <w:szCs w:val="20"/>
          <w:color w:val="auto"/>
        </w:rPr>
      </w:pPr>
    </w:p>
    <w:p>
      <w:pPr>
        <w:jc w:val="both"/>
        <w:ind w:firstLine="640"/>
        <w:spacing w:after="0" w:line="265" w:lineRule="auto"/>
        <w:tabs>
          <w:tab w:leader="none" w:pos="809"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representations and warranties made by the Investors in Section 5 hereof shall be true and correct in all material respects, except for those representations and warranties qualified by materiality or material adverse effect, which shall be true and correct in all respects, as of the date hereof, and shall be so true and correct as of the Closing Date with the same force and effect as if they had been made on and as of such date. The Investors shall have performed in all material respects all obligations and covenants herein required to be performed by them on or prior to the Closing Date.</w:t>
      </w:r>
    </w:p>
    <w:p>
      <w:pPr>
        <w:spacing w:after="0" w:line="118" w:lineRule="exact"/>
        <w:rPr>
          <w:rFonts w:ascii="Times New Roman" w:cs="Times New Roman" w:eastAsia="Times New Roman" w:hAnsi="Times New Roman"/>
          <w:sz w:val="12"/>
          <w:szCs w:val="12"/>
          <w:color w:val="auto"/>
        </w:rPr>
      </w:pPr>
    </w:p>
    <w:p>
      <w:pPr>
        <w:ind w:left="800" w:hanging="160"/>
        <w:spacing w:after="0"/>
        <w:tabs>
          <w:tab w:leader="none" w:pos="80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Investor shall have executed and delivered the Registration Rights Agreement.</w:t>
      </w:r>
    </w:p>
    <w:p>
      <w:pPr>
        <w:spacing w:after="0" w:line="150" w:lineRule="exact"/>
        <w:rPr>
          <w:rFonts w:ascii="Times New Roman" w:cs="Times New Roman" w:eastAsia="Times New Roman" w:hAnsi="Times New Roman"/>
          <w:sz w:val="12"/>
          <w:szCs w:val="12"/>
          <w:color w:val="auto"/>
        </w:rPr>
      </w:pPr>
    </w:p>
    <w:p>
      <w:pPr>
        <w:ind w:left="800" w:hanging="160"/>
        <w:spacing w:after="0"/>
        <w:tabs>
          <w:tab w:leader="none" w:pos="80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Investor purchasing Placement Securities at the Closing shall have paid in full its purchase price to the Company.</w:t>
      </w:r>
    </w:p>
    <w:p>
      <w:pPr>
        <w:spacing w:after="0" w:line="1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 xml:space="preserve">6.3. </w:t>
      </w:r>
      <w:r>
        <w:rPr>
          <w:rFonts w:ascii="Times New Roman" w:cs="Times New Roman" w:eastAsia="Times New Roman" w:hAnsi="Times New Roman"/>
          <w:sz w:val="12"/>
          <w:szCs w:val="12"/>
          <w:u w:val="single" w:color="auto"/>
          <w:color w:val="auto"/>
        </w:rPr>
        <w:t>Termination of Obligations to Effect Closing; Effects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800" w:hanging="160"/>
        <w:spacing w:after="0"/>
        <w:tabs>
          <w:tab w:leader="none" w:pos="80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obligations of the Company, on the one hand, and the Investors, on the other hand, to effect the Closing shall terminate as follows:</w:t>
      </w:r>
    </w:p>
    <w:p>
      <w:pPr>
        <w:spacing w:after="0" w:line="150" w:lineRule="exact"/>
        <w:rPr>
          <w:rFonts w:ascii="Times New Roman" w:cs="Times New Roman" w:eastAsia="Times New Roman" w:hAnsi="Times New Roman"/>
          <w:sz w:val="12"/>
          <w:szCs w:val="12"/>
          <w:color w:val="auto"/>
        </w:rPr>
      </w:pPr>
    </w:p>
    <w:p>
      <w:pPr>
        <w:ind w:left="1000" w:hanging="144"/>
        <w:spacing w:after="0"/>
        <w:tabs>
          <w:tab w:leader="none" w:pos="1000" w:val="left"/>
        </w:tabs>
        <w:numPr>
          <w:ilvl w:val="1"/>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the mutual written consent of the Company and Investors that agreed to purchase a majority of the Placement Securities to be issued and sold pursuant to this Agreement;</w:t>
      </w:r>
    </w:p>
    <w:p>
      <w:pPr>
        <w:spacing w:after="0" w:line="150" w:lineRule="exact"/>
        <w:rPr>
          <w:rFonts w:ascii="Times New Roman" w:cs="Times New Roman" w:eastAsia="Times New Roman" w:hAnsi="Times New Roman"/>
          <w:sz w:val="12"/>
          <w:szCs w:val="12"/>
          <w:color w:val="auto"/>
        </w:rPr>
      </w:pPr>
    </w:p>
    <w:p>
      <w:pPr>
        <w:ind w:left="1040" w:hanging="184"/>
        <w:spacing w:after="0"/>
        <w:tabs>
          <w:tab w:leader="none" w:pos="1040" w:val="left"/>
        </w:tabs>
        <w:numPr>
          <w:ilvl w:val="1"/>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By the Company if any of the conditions set forth in Section 6.2 shall have become incapable of fulfillment, and shall not have been waived by the Company;</w:t>
      </w:r>
    </w:p>
    <w:p>
      <w:pPr>
        <w:spacing w:after="0" w:line="150" w:lineRule="exact"/>
        <w:rPr>
          <w:rFonts w:ascii="Times New Roman" w:cs="Times New Roman" w:eastAsia="Times New Roman" w:hAnsi="Times New Roman"/>
          <w:sz w:val="12"/>
          <w:szCs w:val="12"/>
          <w:color w:val="auto"/>
        </w:rPr>
      </w:pPr>
    </w:p>
    <w:p>
      <w:pPr>
        <w:ind w:left="1060" w:hanging="204"/>
        <w:spacing w:after="0"/>
        <w:tabs>
          <w:tab w:leader="none" w:pos="1060" w:val="left"/>
        </w:tabs>
        <w:numPr>
          <w:ilvl w:val="1"/>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By an Investor (with respect to itself only) if any of the conditions set forth in Section 6.1 shall have become incapable of fulfillment, and shall not have been waived by such Investor; or</w:t>
      </w:r>
    </w:p>
    <w:p>
      <w:pPr>
        <w:spacing w:after="0" w:line="150" w:lineRule="exact"/>
        <w:rPr>
          <w:rFonts w:ascii="Times New Roman" w:cs="Times New Roman" w:eastAsia="Times New Roman" w:hAnsi="Times New Roman"/>
          <w:sz w:val="12"/>
          <w:szCs w:val="12"/>
          <w:color w:val="auto"/>
        </w:rPr>
      </w:pPr>
    </w:p>
    <w:p>
      <w:pPr>
        <w:ind w:left="1060" w:hanging="204"/>
        <w:spacing w:after="0"/>
        <w:tabs>
          <w:tab w:leader="none" w:pos="1060" w:val="left"/>
        </w:tabs>
        <w:numPr>
          <w:ilvl w:val="1"/>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By either the Company or any Investor (with respect to itself only) if the Closing has not occurred on or prior to the fifth Trading Day following the date of this Agreement;</w:t>
      </w:r>
    </w:p>
    <w:p>
      <w:pPr>
        <w:spacing w:after="0" w:line="150"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2"/>
          <w:szCs w:val="12"/>
          <w:color w:val="auto"/>
        </w:rPr>
        <w:t>provided, however, that, except in the case of clause (i) above, the party seeking to terminate its obligation to effect the Closing shall not then be in breach of any of its representations, warranties, covenants or agreements contained in the Transaction Documents if such breach has resulted in the circumstances giving rise to such party’s seeking to terminate its obligation to effect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271780</wp:posOffset>
            </wp:positionV>
            <wp:extent cx="717804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20"/>
          </w:cols>
          <w:pgMar w:left="300" w:top="651" w:right="379" w:bottom="1440" w:gutter="0" w:footer="0" w:header="0"/>
        </w:sectPr>
      </w:pPr>
    </w:p>
    <w:bookmarkStart w:id="51" w:name="page52"/>
    <w:bookmarkEnd w:id="51"/>
    <w:p>
      <w:pPr>
        <w:ind w:left="8" w:right="140" w:firstLine="640"/>
        <w:spacing w:after="0" w:line="265" w:lineRule="auto"/>
        <w:tabs>
          <w:tab w:leader="none" w:pos="826" w:val="left"/>
        </w:tabs>
        <w:numPr>
          <w:ilvl w:val="1"/>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of termination by the Company or any Investor of its obligations to effect the Closing pursuant to this Section 6.3, written notice thereof shall be given to the other Investors by the Company and the other Investors shall have the right to terminate their obligations to effect the Closing upon written notice to the Company and the other Investors. Nothing in this Section 6.3 shall be deemed to release any party from any liability for any breach by such party of the terms and provisions of the Transaction Documents or to impair the right of any party to compel specific performance by any other party of its obligations the Transaction Documents.</w:t>
      </w:r>
    </w:p>
    <w:p>
      <w:pPr>
        <w:spacing w:after="0" w:line="118" w:lineRule="exact"/>
        <w:rPr>
          <w:rFonts w:ascii="Times New Roman" w:cs="Times New Roman" w:eastAsia="Times New Roman" w:hAnsi="Times New Roman"/>
          <w:sz w:val="12"/>
          <w:szCs w:val="12"/>
          <w:color w:val="auto"/>
        </w:rPr>
      </w:pPr>
    </w:p>
    <w:p>
      <w:pPr>
        <w:ind w:left="328" w:hanging="112"/>
        <w:spacing w:after="0"/>
        <w:tabs>
          <w:tab w:leader="none" w:pos="328"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Covenants and Agreements of the Company</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12"/>
          <w:szCs w:val="12"/>
          <w:color w:val="auto"/>
        </w:rPr>
        <w:t xml:space="preserve">7.1. </w:t>
      </w:r>
      <w:r>
        <w:rPr>
          <w:rFonts w:ascii="Times New Roman" w:cs="Times New Roman" w:eastAsia="Times New Roman" w:hAnsi="Times New Roman"/>
          <w:sz w:val="12"/>
          <w:szCs w:val="12"/>
          <w:u w:val="single" w:color="auto"/>
          <w:color w:val="auto"/>
        </w:rPr>
        <w:t>Removal of Legends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8" w:right="100" w:firstLine="640"/>
        <w:spacing w:after="0" w:line="280" w:lineRule="auto"/>
        <w:tabs>
          <w:tab w:leader="none" w:pos="819" w:val="left"/>
        </w:tabs>
        <w:numPr>
          <w:ilvl w:val="1"/>
          <w:numId w:val="5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connection with any sale, assignment, transfer or other disposition of the Shares or Warrant Shares by an Investor pursuant to Rule 144 or pursuant to any other exemption under the 1933 Act such that the purchaser acquires freely tradable shares and upon compliance by the Investor with the requirements of this Agreement, if requested by the Investor, the Company shall request the transfer agent for the Common Stock (the “</w:t>
      </w:r>
      <w:r>
        <w:rPr>
          <w:rFonts w:ascii="Times New Roman" w:cs="Times New Roman" w:eastAsia="Times New Roman" w:hAnsi="Times New Roman"/>
          <w:sz w:val="11"/>
          <w:szCs w:val="11"/>
          <w:u w:val="single" w:color="auto"/>
          <w:color w:val="auto"/>
        </w:rPr>
        <w:t>Transfer Agent</w:t>
      </w:r>
      <w:r>
        <w:rPr>
          <w:rFonts w:ascii="Times New Roman" w:cs="Times New Roman" w:eastAsia="Times New Roman" w:hAnsi="Times New Roman"/>
          <w:sz w:val="11"/>
          <w:szCs w:val="11"/>
          <w:color w:val="auto"/>
        </w:rPr>
        <w:t>”) to remove any restrictive legends related to the book entry account holding such Shares or Warrant Shares and to make a new, unlegended entry for such book entry shares sold or disposed of without restrictive legends within one</w:t>
      </w:r>
    </w:p>
    <w:p>
      <w:pPr>
        <w:ind w:left="8" w:right="520" w:hanging="8"/>
        <w:spacing w:after="0" w:line="260" w:lineRule="auto"/>
        <w:tabs>
          <w:tab w:leader="none" w:pos="176"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Trading Day of any such request therefor from such Investor, provided that the Company has timely received from the Investor customary representations and other documentation reasonably acceptable to the Company in connection therewith.</w:t>
      </w:r>
    </w:p>
    <w:p>
      <w:pPr>
        <w:spacing w:after="0" w:line="122" w:lineRule="exact"/>
        <w:rPr>
          <w:rFonts w:ascii="Times New Roman" w:cs="Times New Roman" w:eastAsia="Times New Roman" w:hAnsi="Times New Roman"/>
          <w:sz w:val="12"/>
          <w:szCs w:val="12"/>
          <w:color w:val="auto"/>
        </w:rPr>
      </w:pPr>
    </w:p>
    <w:p>
      <w:pPr>
        <w:ind w:left="8" w:right="20" w:firstLine="640"/>
        <w:spacing w:after="0" w:line="254" w:lineRule="auto"/>
        <w:tabs>
          <w:tab w:leader="none" w:pos="826" w:val="left"/>
        </w:tabs>
        <w:numPr>
          <w:ilvl w:val="1"/>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receipt from the Investor by the Company and the Transfer Agent of customary representations and other documentation reasonably acceptable to the Company and the Transfer Agent in connection therewith, upon the earliest of such time as the Shares or Warrant Shares (i) have been sold or transferred pursuant to an effective registration statement, (ii) have been sold pursuant to Rule 144, or (iii) are eligible for resale under Rule 144(b)(1) without the requirement for the Company to be in compliance with the current public information requirements under Rule 144(c)(1) (or any successor provision), the Company shall, in accordance with the provisions of this Section 7.1(b) and as soon as reasonably practicable, but in any event, no later than two (2) Trading Days following any request therefor from an Investor accompanied by such customary and reasonably acceptable documentation referred to above, (A) deliver to the Transfer Agent irrevocable instructions that the Transfer Agent shall make a new, unlegended entry for such book entry Shares or Warrant Shares, and (B) cause its counsel to deliver to the Transfer Agent one or more opinions to the effect that the removal of such legends in such circumstances may be effected under the 1933 Act if required by the Transfer Agent to effect the removal of the legend in accordance with the provisions of this Agreement. Shares or Warrant Shares subject to legend removal hereunder may be transmitted by the Transfer Agent to an Investor by crediting the account of the Investor’s prime broker with the DTC System as directed by such Investor. The Company shall be responsible for the fees of its Transfer Agent and all DTC fees associated with such issuance.</w:t>
      </w:r>
    </w:p>
    <w:p>
      <w:pPr>
        <w:spacing w:after="0" w:line="127" w:lineRule="exact"/>
        <w:rPr>
          <w:rFonts w:ascii="Times New Roman" w:cs="Times New Roman" w:eastAsia="Times New Roman" w:hAnsi="Times New Roman"/>
          <w:sz w:val="12"/>
          <w:szCs w:val="12"/>
          <w:color w:val="auto"/>
        </w:rPr>
      </w:pPr>
    </w:p>
    <w:p>
      <w:pPr>
        <w:jc w:val="both"/>
        <w:ind w:left="8" w:firstLine="640"/>
        <w:spacing w:after="0" w:line="260" w:lineRule="auto"/>
        <w:tabs>
          <w:tab w:leader="none" w:pos="819" w:val="left"/>
        </w:tabs>
        <w:numPr>
          <w:ilvl w:val="1"/>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Investor, severally and not jointly with the other Investors, agrees with the Company (i) that such Investor will sell any Securities only pursuant to either the registration requirements of the 1933 Act, including any applicable prospectus delivery requirements, or an exemption therefrom, (ii) that if Shares or Warrant Shares are sold pursuant to a registration statement, they will be sold in compliance with the plan of distribution set forth therein and (iii) that if, after the effective date of the registration statement covering the resale of the Shares and Warrant Shares, such registration statement ceases to be effective and the Company has provided notice to such Investor to that effect, such Investor will sell Shares and Warrant Shares only in compliance with an exemption from the registration requirements of the 1933 Act.</w:t>
      </w:r>
    </w:p>
    <w:p>
      <w:pPr>
        <w:spacing w:after="0" w:line="122" w:lineRule="exact"/>
        <w:rPr>
          <w:sz w:val="20"/>
          <w:szCs w:val="20"/>
          <w:color w:val="auto"/>
        </w:rPr>
      </w:pPr>
    </w:p>
    <w:p>
      <w:pPr>
        <w:ind w:left="8" w:right="140" w:firstLine="648"/>
        <w:spacing w:after="0" w:line="260" w:lineRule="auto"/>
        <w:rPr>
          <w:sz w:val="20"/>
          <w:szCs w:val="20"/>
          <w:color w:val="auto"/>
        </w:rPr>
      </w:pPr>
      <w:r>
        <w:rPr>
          <w:rFonts w:ascii="Times New Roman" w:cs="Times New Roman" w:eastAsia="Times New Roman" w:hAnsi="Times New Roman"/>
          <w:sz w:val="12"/>
          <w:szCs w:val="12"/>
          <w:color w:val="auto"/>
        </w:rPr>
        <w:t xml:space="preserve">7.2. </w:t>
      </w:r>
      <w:r>
        <w:rPr>
          <w:rFonts w:ascii="Times New Roman" w:cs="Times New Roman" w:eastAsia="Times New Roman" w:hAnsi="Times New Roman"/>
          <w:sz w:val="12"/>
          <w:szCs w:val="12"/>
          <w:u w:val="single" w:color="auto"/>
          <w:color w:val="auto"/>
        </w:rPr>
        <w:t>No Integration</w:t>
      </w:r>
      <w:r>
        <w:rPr>
          <w:rFonts w:ascii="Times New Roman" w:cs="Times New Roman" w:eastAsia="Times New Roman" w:hAnsi="Times New Roman"/>
          <w:sz w:val="12"/>
          <w:szCs w:val="12"/>
          <w:color w:val="auto"/>
        </w:rPr>
        <w:t>. The Company shall not, and shall use its commercially reasonable efforts to ensure that no Affiliate of the Company shall, sell, offer for sale or solicit offers to buy or otherwise negotiate in respect of any security (as defined in Section 2 of the 1933 Act) that will be integrated with the offer or sale of the Securities in a manner that would require the registration under the 1933 Act of the sale of the Securities to the Investors, or that will be integrated with the offer or sale of the Placement Securities for purposes of the rules and regulations of any trading market such that it would require stockholder approval prior to the closing of such other transaction unless stockholder approval is obtained before the closing of such subsequent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278765</wp:posOffset>
            </wp:positionV>
            <wp:extent cx="717804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52" w:name="page53"/>
    <w:bookmarkEnd w:id="52"/>
    <w:p>
      <w:pPr>
        <w:ind w:right="120" w:firstLine="648"/>
        <w:spacing w:after="0" w:line="279" w:lineRule="auto"/>
        <w:rPr>
          <w:sz w:val="20"/>
          <w:szCs w:val="20"/>
          <w:color w:val="auto"/>
        </w:rPr>
      </w:pPr>
      <w:r>
        <w:rPr>
          <w:rFonts w:ascii="Times New Roman" w:cs="Times New Roman" w:eastAsia="Times New Roman" w:hAnsi="Times New Roman"/>
          <w:sz w:val="12"/>
          <w:szCs w:val="12"/>
          <w:color w:val="auto"/>
        </w:rPr>
        <w:t xml:space="preserve">7.3. </w:t>
      </w:r>
      <w:r>
        <w:rPr>
          <w:rFonts w:ascii="Times New Roman" w:cs="Times New Roman" w:eastAsia="Times New Roman" w:hAnsi="Times New Roman"/>
          <w:sz w:val="12"/>
          <w:szCs w:val="12"/>
          <w:u w:val="single" w:color="auto"/>
          <w:color w:val="auto"/>
        </w:rPr>
        <w:t>Fees</w:t>
      </w:r>
      <w:r>
        <w:rPr>
          <w:rFonts w:ascii="Times New Roman" w:cs="Times New Roman" w:eastAsia="Times New Roman" w:hAnsi="Times New Roman"/>
          <w:sz w:val="12"/>
          <w:szCs w:val="12"/>
          <w:color w:val="auto"/>
        </w:rPr>
        <w:t>. The Company shall be responsible for the payment of placement agents’ fees, financial advisory fees, or broker’s commissions (other than for Persons engaged by any Investor) relating to or arising out of the transactions contemplated hereby, including, without limitation, any fees or commissions payable to the Placement Agents.</w:t>
      </w:r>
    </w:p>
    <w:p>
      <w:pPr>
        <w:spacing w:after="0" w:line="11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2"/>
          <w:szCs w:val="12"/>
          <w:color w:val="auto"/>
        </w:rPr>
        <w:t xml:space="preserve">7.4. </w:t>
      </w:r>
      <w:r>
        <w:rPr>
          <w:rFonts w:ascii="Times New Roman" w:cs="Times New Roman" w:eastAsia="Times New Roman" w:hAnsi="Times New Roman"/>
          <w:sz w:val="12"/>
          <w:szCs w:val="12"/>
          <w:u w:val="single" w:color="auto"/>
          <w:color w:val="auto"/>
        </w:rPr>
        <w:t>Short Sales and Confidentiality After the Date Hereof</w:t>
      </w:r>
      <w:r>
        <w:rPr>
          <w:rFonts w:ascii="Times New Roman" w:cs="Times New Roman" w:eastAsia="Times New Roman" w:hAnsi="Times New Roman"/>
          <w:sz w:val="12"/>
          <w:szCs w:val="12"/>
          <w:color w:val="auto"/>
        </w:rPr>
        <w:t>. Each Investor covenants that neither it nor any Affiliates acting on its behalf or pursuant to any understanding with it will trade in the securities of the Company or execute any Short Sales during the period from the date hereof until the earlier of such time as (i) both (a) the transactions contemplated by this Agreement are first publicly announced and (b) all material information set forth in the Disclosure Schedule have been publicly disclosed by the Company or (ii) both (a) this Agreement is terminated in full and (b) all material information set forth in the Disclosure Schedule have been publicly disclosed by the Company. Notwithstanding the foregoing,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covenant set forth above shall only apply with respect to the portion of assets managed by the portfolio manager that made the investment decision to purchase the Placement Securities. Each Investor covenants that until such time (i) as all material terms of the sale of the Placement Securities to the Investors pursuant to this Agreement are publicly disclosed by the Company, such Investor and its Affiliates will maintain the confidentiality of the existence and terms of this Agreement and (ii) as all material information set forth in the Disclosure Schedule is publicly disclosed by the Company, such Investor and its Affiliates will maintain the confidentiality of all information included on the Disclosure Schedule, other than, in each case, to such Person’s outside attorney, accountant, auditor or investment advisor only to the extent necessary to permit evaluation of the investment, and the performance of the necessary or required tax, accounting, financial, legal, or administrative tasks and services and other than as may be required by law.</w:t>
      </w:r>
    </w:p>
    <w:p>
      <w:pPr>
        <w:spacing w:after="0" w:line="1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2"/>
          <w:szCs w:val="12"/>
          <w:color w:val="auto"/>
        </w:rPr>
        <w:t xml:space="preserve">7.5 </w:t>
      </w:r>
      <w:r>
        <w:rPr>
          <w:rFonts w:ascii="Times New Roman" w:cs="Times New Roman" w:eastAsia="Times New Roman" w:hAnsi="Times New Roman"/>
          <w:sz w:val="12"/>
          <w:szCs w:val="12"/>
          <w:u w:val="single" w:color="auto"/>
          <w:color w:val="auto"/>
        </w:rPr>
        <w:t>Subsequent Equity Sales</w:t>
      </w:r>
      <w:r>
        <w:rPr>
          <w:rFonts w:ascii="Times New Roman" w:cs="Times New Roman" w:eastAsia="Times New Roman" w:hAnsi="Times New Roman"/>
          <w:sz w:val="12"/>
          <w:szCs w:val="12"/>
          <w:color w:val="auto"/>
        </w:rPr>
        <w:t>. From the date of this Agreement until the earlier of (a) thirty (30) days after the Closing Date and (b) the Business Day immediately following the effective date of the registration statement filed pursuant to the Registration Rights Agreement, the Company shall not (A) issue shares of Common Stock or Common Stock Equivalents, (B) except as set forth on the Disclosure Schedule, effect a reverse stock split, recapitalization, share consolidation, reclassification or similar transaction affecting the outstanding Common Stock or (C) file with the SEC a registration statement under the Securities Act relating to any shares of Common Stock or Common Stock Equivalents, except pursuant to the terms of the Registration Rights Agreement. Notwithstanding the foregoing, the provisions of this Section 7.5 shall not apply to (i) the issuance of the Securities hereunder, (ii) the issuance of Common Stock or Common Stock Equivalents upon the conversion, exercise or vesting of any securities of the Company outstanding on the date of this Agreement or outstanding pursuant to clause (iii) below, (iii) the issuance of any Common Stock or Common Stock Equivalents pursuant to any Company stock-based compensation plans or in accordance with Nasdaq Stock Market Rule 5635(c)(4), or (iv) the filing of a registration statement on Form S-8 under the Securities Act to register the offer and sale of securities on an equity incentive plan or employee stock purchase plan.</w:t>
      </w:r>
    </w:p>
    <w:p>
      <w:pPr>
        <w:spacing w:after="0" w:line="126" w:lineRule="exact"/>
        <w:rPr>
          <w:sz w:val="20"/>
          <w:szCs w:val="20"/>
          <w:color w:val="auto"/>
        </w:rPr>
      </w:pPr>
    </w:p>
    <w:p>
      <w:pPr>
        <w:ind w:right="20" w:firstLine="648"/>
        <w:spacing w:after="0" w:line="279" w:lineRule="auto"/>
        <w:rPr>
          <w:sz w:val="20"/>
          <w:szCs w:val="20"/>
          <w:color w:val="auto"/>
        </w:rPr>
      </w:pPr>
      <w:r>
        <w:rPr>
          <w:rFonts w:ascii="Times New Roman" w:cs="Times New Roman" w:eastAsia="Times New Roman" w:hAnsi="Times New Roman"/>
          <w:sz w:val="12"/>
          <w:szCs w:val="12"/>
          <w:color w:val="auto"/>
        </w:rPr>
        <w:t xml:space="preserve">7.6 </w:t>
      </w:r>
      <w:r>
        <w:rPr>
          <w:rFonts w:ascii="Times New Roman" w:cs="Times New Roman" w:eastAsia="Times New Roman" w:hAnsi="Times New Roman"/>
          <w:sz w:val="12"/>
          <w:szCs w:val="12"/>
          <w:u w:val="single" w:color="auto"/>
          <w:color w:val="auto"/>
        </w:rPr>
        <w:t>Reservation of Common Stock</w:t>
      </w:r>
      <w:r>
        <w:rPr>
          <w:rFonts w:ascii="Times New Roman" w:cs="Times New Roman" w:eastAsia="Times New Roman" w:hAnsi="Times New Roman"/>
          <w:sz w:val="12"/>
          <w:szCs w:val="12"/>
          <w:color w:val="auto"/>
        </w:rPr>
        <w:t>. As of the date of this Agreement, the Company has reserved and the Company shall continue to reserve and keep available at all times, free of preemptive rights, a sufficient number of shares of Common Stock for the purpose of enabling the Company to issue the Warrant Shares that are issuable upon the exercise of the Warrants (without regard to any limitations or restrictions on exercise of such Warrants).</w:t>
      </w:r>
    </w:p>
    <w:p>
      <w:pPr>
        <w:spacing w:after="0" w:line="111" w:lineRule="exact"/>
        <w:rPr>
          <w:sz w:val="20"/>
          <w:szCs w:val="20"/>
          <w:color w:val="auto"/>
        </w:rPr>
      </w:pPr>
    </w:p>
    <w:p>
      <w:pPr>
        <w:ind w:right="120" w:firstLine="648"/>
        <w:spacing w:after="0" w:line="279" w:lineRule="auto"/>
        <w:rPr>
          <w:sz w:val="20"/>
          <w:szCs w:val="20"/>
          <w:color w:val="auto"/>
        </w:rPr>
      </w:pPr>
      <w:r>
        <w:rPr>
          <w:rFonts w:ascii="Times New Roman" w:cs="Times New Roman" w:eastAsia="Times New Roman" w:hAnsi="Times New Roman"/>
          <w:sz w:val="12"/>
          <w:szCs w:val="12"/>
          <w:color w:val="auto"/>
        </w:rPr>
        <w:t xml:space="preserve">7.7. </w:t>
      </w:r>
      <w:r>
        <w:rPr>
          <w:rFonts w:ascii="Times New Roman" w:cs="Times New Roman" w:eastAsia="Times New Roman" w:hAnsi="Times New Roman"/>
          <w:sz w:val="12"/>
          <w:szCs w:val="12"/>
          <w:u w:val="single" w:color="auto"/>
          <w:color w:val="auto"/>
        </w:rPr>
        <w:t>Nasdaq Listing</w:t>
      </w:r>
      <w:r>
        <w:rPr>
          <w:rFonts w:ascii="Times New Roman" w:cs="Times New Roman" w:eastAsia="Times New Roman" w:hAnsi="Times New Roman"/>
          <w:sz w:val="12"/>
          <w:szCs w:val="12"/>
          <w:color w:val="auto"/>
        </w:rPr>
        <w:t>. The Company will use commercially reasonable efforts to continue the listing and trading of its Common Stock on Nasdaq and, in accordance therewith, will use commercially reasonable efforts to comply in all material respects with the Company’s reporting, filing and other obligations under the bylaws or rules of such market or exchange, as applicable.</w:t>
      </w:r>
    </w:p>
    <w:p>
      <w:pPr>
        <w:spacing w:after="0" w:line="111" w:lineRule="exact"/>
        <w:rPr>
          <w:sz w:val="20"/>
          <w:szCs w:val="20"/>
          <w:color w:val="auto"/>
        </w:rPr>
      </w:pPr>
    </w:p>
    <w:p>
      <w:pPr>
        <w:ind w:right="200" w:firstLine="648"/>
        <w:spacing w:after="0" w:line="279" w:lineRule="auto"/>
        <w:rPr>
          <w:sz w:val="20"/>
          <w:szCs w:val="20"/>
          <w:color w:val="auto"/>
        </w:rPr>
      </w:pPr>
      <w:r>
        <w:rPr>
          <w:rFonts w:ascii="Times New Roman" w:cs="Times New Roman" w:eastAsia="Times New Roman" w:hAnsi="Times New Roman"/>
          <w:sz w:val="12"/>
          <w:szCs w:val="12"/>
          <w:color w:val="auto"/>
        </w:rPr>
        <w:t xml:space="preserve">7.8. </w:t>
      </w:r>
      <w:r>
        <w:rPr>
          <w:rFonts w:ascii="Times New Roman" w:cs="Times New Roman" w:eastAsia="Times New Roman" w:hAnsi="Times New Roman"/>
          <w:sz w:val="12"/>
          <w:szCs w:val="12"/>
          <w:u w:val="single" w:color="auto"/>
          <w:color w:val="auto"/>
        </w:rPr>
        <w:t>Lock-Up Agreements</w:t>
      </w:r>
      <w:r>
        <w:rPr>
          <w:rFonts w:ascii="Times New Roman" w:cs="Times New Roman" w:eastAsia="Times New Roman" w:hAnsi="Times New Roman"/>
          <w:sz w:val="12"/>
          <w:szCs w:val="12"/>
          <w:color w:val="auto"/>
        </w:rPr>
        <w:t>. The Company shall not amend, modify, waive or terminate any provision of any of the Lock-Up Agreements without the prior written consent of the Placement Agents and shall enforce the provisions of each Lock-Up Agreement in accordance with its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271780</wp:posOffset>
            </wp:positionV>
            <wp:extent cx="717804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00"/>
          </w:cols>
          <w:pgMar w:left="300" w:top="651" w:right="399" w:bottom="1440" w:gutter="0" w:footer="0" w:header="0"/>
        </w:sectPr>
      </w:pPr>
    </w:p>
    <w:bookmarkStart w:id="53" w:name="page54"/>
    <w:bookmarkEnd w:id="53"/>
    <w:p>
      <w:pPr>
        <w:ind w:left="328" w:hanging="112"/>
        <w:spacing w:after="0"/>
        <w:tabs>
          <w:tab w:leader="none" w:pos="328"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Survival and Indemnification</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12"/>
          <w:szCs w:val="12"/>
          <w:color w:val="auto"/>
        </w:rPr>
        <w:t xml:space="preserve">8.1. </w:t>
      </w:r>
      <w:r>
        <w:rPr>
          <w:rFonts w:ascii="Times New Roman" w:cs="Times New Roman" w:eastAsia="Times New Roman" w:hAnsi="Times New Roman"/>
          <w:sz w:val="12"/>
          <w:szCs w:val="12"/>
          <w:u w:val="single" w:color="auto"/>
          <w:color w:val="auto"/>
        </w:rPr>
        <w:t>Survival</w:t>
      </w:r>
      <w:r>
        <w:rPr>
          <w:rFonts w:ascii="Times New Roman" w:cs="Times New Roman" w:eastAsia="Times New Roman" w:hAnsi="Times New Roman"/>
          <w:sz w:val="12"/>
          <w:szCs w:val="12"/>
          <w:color w:val="auto"/>
        </w:rPr>
        <w:t>. The representations, warranties, covenants and agreements contained in this Agreement shall survive the Closing of the transactions contemplated by this Agreement for the applicable statute of limitations.</w:t>
      </w:r>
    </w:p>
    <w:p>
      <w:pPr>
        <w:spacing w:after="0" w:line="150" w:lineRule="exact"/>
        <w:rPr>
          <w:sz w:val="20"/>
          <w:szCs w:val="20"/>
          <w:color w:val="auto"/>
        </w:rPr>
      </w:pPr>
    </w:p>
    <w:p>
      <w:pPr>
        <w:ind w:left="8" w:firstLine="648"/>
        <w:spacing w:after="0" w:line="255" w:lineRule="auto"/>
        <w:rPr>
          <w:sz w:val="20"/>
          <w:szCs w:val="20"/>
          <w:color w:val="auto"/>
        </w:rPr>
      </w:pPr>
      <w:r>
        <w:rPr>
          <w:rFonts w:ascii="Times New Roman" w:cs="Times New Roman" w:eastAsia="Times New Roman" w:hAnsi="Times New Roman"/>
          <w:sz w:val="12"/>
          <w:szCs w:val="12"/>
          <w:color w:val="auto"/>
        </w:rPr>
        <w:t xml:space="preserve">8.2. </w:t>
      </w:r>
      <w:r>
        <w:rPr>
          <w:rFonts w:ascii="Times New Roman" w:cs="Times New Roman" w:eastAsia="Times New Roman" w:hAnsi="Times New Roman"/>
          <w:sz w:val="12"/>
          <w:szCs w:val="12"/>
          <w:u w:val="single" w:color="auto"/>
          <w:color w:val="auto"/>
        </w:rPr>
        <w:t>Indemnification</w:t>
      </w:r>
      <w:r>
        <w:rPr>
          <w:rFonts w:ascii="Times New Roman" w:cs="Times New Roman" w:eastAsia="Times New Roman" w:hAnsi="Times New Roman"/>
          <w:sz w:val="12"/>
          <w:szCs w:val="12"/>
          <w:color w:val="auto"/>
        </w:rPr>
        <w:t>. The Company agrees to indemnify and hold harmless each Investor and its Affiliates, and their respective directors, officers, trustees, members, managers, employees, investment advisers and agents, from and against any and all losses, claims, damages, liabilities and expenses (including without limitation reasonable and documented attorney fees and disbursements and other documented out-of-pocket expenses reasonably incurred in connection with investigating, preparing or defending any action, claim or proceeding, pending or threatened and the costs of enforcement thereof) to which such Person may become subject (i) as a result of any breach of representation, warranty, covenant or agreement made by or to be performed on the part of the Company under the Transaction Documents Agreements or (ii) as a result of or arising out of any action, claim or proceeding, pending or threatened, against such Person in any capacity by any third party (including a stockholder of the Company, whether directly or in a derivative capacity, who is not an Affiliate of such Person) with respect to the transactions contemplated by the Transaction Agreements, and in each case, will reimburse any such Person for all such amounts as they are incurred by such Person solely to the extent such amounts have been finally judicially determined not to have resulted from such Person’s fraud or willful misconduct.</w:t>
      </w:r>
    </w:p>
    <w:p>
      <w:pPr>
        <w:spacing w:after="0" w:line="124"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12"/>
          <w:szCs w:val="12"/>
          <w:color w:val="auto"/>
        </w:rPr>
        <w:t xml:space="preserve">8.3. </w:t>
      </w:r>
      <w:r>
        <w:rPr>
          <w:rFonts w:ascii="Times New Roman" w:cs="Times New Roman" w:eastAsia="Times New Roman" w:hAnsi="Times New Roman"/>
          <w:sz w:val="12"/>
          <w:szCs w:val="12"/>
          <w:u w:val="single" w:color="auto"/>
          <w:color w:val="auto"/>
        </w:rPr>
        <w:t>Conduct of Indemnification Proceedings</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xml:space="preserve"> Any person entitled to indemnification hereunder shall (i) give prompt written notice to the indemnifying party of any claim with respect to which it seeks indemnification and</w:t>
      </w:r>
    </w:p>
    <w:p>
      <w:pPr>
        <w:spacing w:after="0" w:line="19" w:lineRule="exact"/>
        <w:rPr>
          <w:sz w:val="20"/>
          <w:szCs w:val="20"/>
          <w:color w:val="auto"/>
        </w:rPr>
      </w:pPr>
    </w:p>
    <w:p>
      <w:pPr>
        <w:ind w:left="8" w:right="260" w:hanging="8"/>
        <w:spacing w:after="0" w:line="273" w:lineRule="auto"/>
        <w:tabs>
          <w:tab w:leader="none" w:pos="185" w:val="left"/>
        </w:tabs>
        <w:numPr>
          <w:ilvl w:val="0"/>
          <w:numId w:val="5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permit such indemnifying party to assume the defense of such claim with counsel reasonably satisfactory to the indemnified party; </w:t>
      </w:r>
      <w:r>
        <w:rPr>
          <w:rFonts w:ascii="Times New Roman" w:cs="Times New Roman" w:eastAsia="Times New Roman" w:hAnsi="Times New Roman"/>
          <w:sz w:val="11"/>
          <w:szCs w:val="11"/>
          <w:u w:val="single" w:color="auto"/>
          <w:color w:val="auto"/>
        </w:rPr>
        <w:t>provided</w:t>
      </w:r>
      <w:r>
        <w:rPr>
          <w:rFonts w:ascii="Times New Roman" w:cs="Times New Roman" w:eastAsia="Times New Roman" w:hAnsi="Times New Roman"/>
          <w:sz w:val="11"/>
          <w:szCs w:val="11"/>
          <w:color w:val="auto"/>
        </w:rPr>
        <w:t xml:space="preserve"> that any person entitled to indemnification hereunder shall have the right to employ separate counsel and to participate in the defense of such claim, but the fees and expenses of such counsel shall be at the expense of such person unless (a) the indemnifying party has agreed in writing to pay such fees or expenses,</w:t>
      </w:r>
    </w:p>
    <w:p>
      <w:pPr>
        <w:ind w:left="8" w:right="20" w:hanging="8"/>
        <w:spacing w:after="0" w:line="251" w:lineRule="auto"/>
        <w:tabs>
          <w:tab w:leader="none" w:pos="178"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that the failure of any indemnified party to give written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prior written consent of the indemnified party, which consent shall not be unreasonably withheld, conditioned or delayed, effect any settlement of or consent to the entry of any judgment with respect to any pending proceeding in respect of which any indemnified party is or could have been a party and indemnity could have been sought hereunder by such indemnified party, unless such settlement (i) includes an unconditional release of such indemnified party from all liability in respect of or arising out of such claims or proceedings that are the subject matter of such proceeding, (ii) imposes no liability or obligation on the indemnified party and (iii) does not include any admission of fault, culpability, wrongdoing or malfeasance by or on behalf of the indemnified party.</w:t>
      </w:r>
    </w:p>
    <w:p>
      <w:pPr>
        <w:spacing w:after="0" w:line="130" w:lineRule="exact"/>
        <w:rPr>
          <w:rFonts w:ascii="Times New Roman" w:cs="Times New Roman" w:eastAsia="Times New Roman" w:hAnsi="Times New Roman"/>
          <w:sz w:val="12"/>
          <w:szCs w:val="12"/>
          <w:color w:val="auto"/>
        </w:rPr>
      </w:pPr>
    </w:p>
    <w:p>
      <w:pPr>
        <w:ind w:left="328" w:hanging="112"/>
        <w:spacing w:after="0"/>
        <w:tabs>
          <w:tab w:leader="none" w:pos="328" w:val="left"/>
        </w:tabs>
        <w:numPr>
          <w:ilvl w:val="1"/>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Miscellaneous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8" w:right="20" w:firstLine="648"/>
        <w:spacing w:after="0" w:line="254" w:lineRule="auto"/>
        <w:rPr>
          <w:sz w:val="20"/>
          <w:szCs w:val="20"/>
          <w:color w:val="auto"/>
        </w:rPr>
      </w:pPr>
      <w:r>
        <w:rPr>
          <w:rFonts w:ascii="Times New Roman" w:cs="Times New Roman" w:eastAsia="Times New Roman" w:hAnsi="Times New Roman"/>
          <w:sz w:val="12"/>
          <w:szCs w:val="12"/>
          <w:color w:val="auto"/>
        </w:rPr>
        <w:t xml:space="preserve">9.1. </w:t>
      </w:r>
      <w:r>
        <w:rPr>
          <w:rFonts w:ascii="Times New Roman" w:cs="Times New Roman" w:eastAsia="Times New Roman" w:hAnsi="Times New Roman"/>
          <w:sz w:val="12"/>
          <w:szCs w:val="12"/>
          <w:u w:val="single" w:color="auto"/>
          <w:color w:val="auto"/>
        </w:rPr>
        <w:t>Successors and Assigns</w:t>
      </w:r>
      <w:r>
        <w:rPr>
          <w:rFonts w:ascii="Times New Roman" w:cs="Times New Roman" w:eastAsia="Times New Roman" w:hAnsi="Times New Roman"/>
          <w:sz w:val="12"/>
          <w:szCs w:val="12"/>
          <w:color w:val="auto"/>
        </w:rPr>
        <w:t>. This Agreement may not be assigned by a party hereto without the prior written consent of the Company or each of the Investors, as applicable, provided, however, that an Investor may assign its rights and delegate its duties hereunder in whole or in part to an Affiliate or to a third party acquiring some or all of its Securities in a transaction complying with applicable securities laws without the prior written consent of the Company or the other Investors, provided such assignee agrees in writing to be bound by the provisions hereof that apply to Investors. The provisions of this Agreement shall inure to the benefit of and be binding upon the respective permitted successors and assigns of the parties. Without limiting the generality of the foregoing, in the event that the Company is a party to a merger, consolidation, share exchange or similar business combination transaction in which the Common Stock is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“Securities” shall be deemed to refer to the securities received by the Investors in connection with such transaction. Nothing in this Agreement, express or implied, is intended to confer upon any party other than the parties hereto or their respective permitted successors and assigns any rights, remedies, obligations, or liabilities under or by reason of this Agreement, except as expressly provided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282575</wp:posOffset>
            </wp:positionV>
            <wp:extent cx="717804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8"/>
          </w:cols>
          <w:pgMar w:left="292" w:top="651" w:right="339" w:bottom="1440" w:gutter="0" w:footer="0" w:header="0"/>
        </w:sectPr>
      </w:pPr>
    </w:p>
    <w:bookmarkStart w:id="54" w:name="page55"/>
    <w:bookmarkEnd w:id="54"/>
    <w:p>
      <w:pPr>
        <w:ind w:right="60" w:firstLine="648"/>
        <w:spacing w:after="0" w:line="265" w:lineRule="auto"/>
        <w:rPr>
          <w:sz w:val="20"/>
          <w:szCs w:val="20"/>
          <w:color w:val="auto"/>
        </w:rPr>
      </w:pPr>
      <w:r>
        <w:rPr>
          <w:rFonts w:ascii="Times New Roman" w:cs="Times New Roman" w:eastAsia="Times New Roman" w:hAnsi="Times New Roman"/>
          <w:sz w:val="12"/>
          <w:szCs w:val="12"/>
          <w:color w:val="auto"/>
        </w:rPr>
        <w:t xml:space="preserve">9.2. </w:t>
      </w:r>
      <w:r>
        <w:rPr>
          <w:rFonts w:ascii="Times New Roman" w:cs="Times New Roman" w:eastAsia="Times New Roman" w:hAnsi="Times New Roman"/>
          <w:sz w:val="12"/>
          <w:szCs w:val="12"/>
          <w:u w:val="single" w:color="auto"/>
          <w:color w:val="auto"/>
        </w:rPr>
        <w:t>Counterparts</w:t>
      </w:r>
      <w:r>
        <w:rPr>
          <w:rFonts w:ascii="Times New Roman" w:cs="Times New Roman" w:eastAsia="Times New Roman" w:hAnsi="Times New Roman"/>
          <w:sz w:val="12"/>
          <w:szCs w:val="12"/>
          <w:color w:val="auto"/>
        </w:rPr>
        <w:t>. This Agreement may be executed in one or more counterparts, each of which shall be deemed an original, but all of which together shall constitute one and the same instrument. Counterparts may be delivered via electronic mail (including pdf or any electronic signatures complying with the U.S. federal ESIGN Act of 2000, e.g., www.docusign.com) or other transmission method and any counterpart so delivered shall be deemed to have been duly and validly delivered and be valid and effective for all purposes.</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 xml:space="preserve">9.3. </w:t>
      </w:r>
      <w:r>
        <w:rPr>
          <w:rFonts w:ascii="Times New Roman" w:cs="Times New Roman" w:eastAsia="Times New Roman" w:hAnsi="Times New Roman"/>
          <w:sz w:val="12"/>
          <w:szCs w:val="12"/>
          <w:u w:val="single" w:color="auto"/>
          <w:color w:val="auto"/>
        </w:rPr>
        <w:t>Titles and Subtitles</w:t>
      </w:r>
      <w:r>
        <w:rPr>
          <w:rFonts w:ascii="Times New Roman" w:cs="Times New Roman" w:eastAsia="Times New Roman" w:hAnsi="Times New Roman"/>
          <w:sz w:val="12"/>
          <w:szCs w:val="12"/>
          <w:color w:val="auto"/>
        </w:rPr>
        <w:t>. The titles and subtitles used in this Agreement are used for convenience only and are not to be considered in construing or interpreting this Agreement.</w:t>
      </w:r>
    </w:p>
    <w:p>
      <w:pPr>
        <w:spacing w:after="0" w:line="150"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2"/>
          <w:szCs w:val="12"/>
          <w:color w:val="auto"/>
        </w:rPr>
        <w:t xml:space="preserve">9.4. </w:t>
      </w:r>
      <w:r>
        <w:rPr>
          <w:rFonts w:ascii="Times New Roman" w:cs="Times New Roman" w:eastAsia="Times New Roman" w:hAnsi="Times New Roman"/>
          <w:sz w:val="12"/>
          <w:szCs w:val="12"/>
          <w:u w:val="single" w:color="auto"/>
          <w:color w:val="auto"/>
        </w:rPr>
        <w:t>Notices</w:t>
      </w:r>
      <w:r>
        <w:rPr>
          <w:rFonts w:ascii="Times New Roman" w:cs="Times New Roman" w:eastAsia="Times New Roman" w:hAnsi="Times New Roman"/>
          <w:sz w:val="12"/>
          <w:szCs w:val="12"/>
          <w:color w:val="auto"/>
        </w:rPr>
        <w:t>. Unless otherwise provided, any notice required or permitted under this Agreement shall be given in writing and shall be deemed effectively given as hereinafter described (i) if given by personal delivery, then such notice shall be deemed given upon such delivery, (ii) if given by e-mail, then such notice shall be deemed given when sent with no mail undeliverable or other rejection notice, (iii) if given by mail, then such notice shall be deemed given upon the earlier of (A) receipt of such notice by the recipient or (B) three days after such notice is deposited in first class mail, postage prepaid, and (iv) if given by an internationally recognized overnight air courier, then such notice shall be deemed given one Business Day after delivery to such carrier. All notices shall be addressed to the party to be notified at the address as follows, or at such other address as such party may designate by ten days’ advance written notice to the other party:</w:t>
      </w:r>
    </w:p>
    <w:p>
      <w:pPr>
        <w:spacing w:after="0" w:line="1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If to the Company:</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Century Therapeutics, Inc.</w:t>
      </w:r>
    </w:p>
    <w:p>
      <w:pPr>
        <w:spacing w:after="0" w:line="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25 North 38th Street, 11th Floor</w:t>
      </w:r>
    </w:p>
    <w:p>
      <w:pPr>
        <w:spacing w:after="0" w:line="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Philadelphia, PA 19104</w:t>
      </w:r>
    </w:p>
    <w:p>
      <w:pPr>
        <w:spacing w:after="0" w:line="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Attention: Principal Financial Officer</w:t>
      </w:r>
    </w:p>
    <w:p>
      <w:pPr>
        <w:spacing w:after="0" w:line="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Email: doug@centurytx.com</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With a copy (which shall not constitute notice) to:</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Goodwin Procter LLP</w:t>
      </w:r>
    </w:p>
    <w:p>
      <w:pPr>
        <w:spacing w:after="0" w:line="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2005 Market Street, 32nd Floor</w:t>
      </w:r>
    </w:p>
    <w:p>
      <w:pPr>
        <w:spacing w:after="0" w:line="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Philadelphia, PA 19103</w:t>
      </w:r>
    </w:p>
    <w:p>
      <w:pPr>
        <w:spacing w:after="0" w:line="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Attention: Rachael Bushey, Esq. and Jennifer Porter, Esq.</w:t>
      </w:r>
    </w:p>
    <w:p>
      <w:pPr>
        <w:spacing w:after="0" w:line="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Facsimile: (445) 446-5062</w:t>
      </w:r>
    </w:p>
    <w:p>
      <w:pPr>
        <w:spacing w:after="0" w:line="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Email: RBushey@goodwinlaw.com and JPorter@goodwinlaw.com</w:t>
      </w:r>
    </w:p>
    <w:p>
      <w:pPr>
        <w:spacing w:after="0" w:line="1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If to the Investors:</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Only to the addresses set forth on the signature pages hereto.</w:t>
      </w:r>
    </w:p>
    <w:p>
      <w:pPr>
        <w:spacing w:after="0" w:line="150" w:lineRule="exact"/>
        <w:rPr>
          <w:sz w:val="20"/>
          <w:szCs w:val="20"/>
          <w:color w:val="auto"/>
        </w:rPr>
      </w:pPr>
    </w:p>
    <w:p>
      <w:pPr>
        <w:ind w:right="40" w:firstLine="648"/>
        <w:spacing w:after="0" w:line="265" w:lineRule="auto"/>
        <w:rPr>
          <w:sz w:val="20"/>
          <w:szCs w:val="20"/>
          <w:color w:val="auto"/>
        </w:rPr>
      </w:pPr>
      <w:r>
        <w:rPr>
          <w:rFonts w:ascii="Times New Roman" w:cs="Times New Roman" w:eastAsia="Times New Roman" w:hAnsi="Times New Roman"/>
          <w:sz w:val="12"/>
          <w:szCs w:val="12"/>
          <w:color w:val="auto"/>
        </w:rPr>
        <w:t xml:space="preserve">9.5. </w:t>
      </w:r>
      <w:r>
        <w:rPr>
          <w:rFonts w:ascii="Times New Roman" w:cs="Times New Roman" w:eastAsia="Times New Roman" w:hAnsi="Times New Roman"/>
          <w:sz w:val="12"/>
          <w:szCs w:val="12"/>
          <w:u w:val="single" w:color="auto"/>
          <w:color w:val="auto"/>
        </w:rPr>
        <w:t>Expenses</w:t>
      </w:r>
      <w:r>
        <w:rPr>
          <w:rFonts w:ascii="Times New Roman" w:cs="Times New Roman" w:eastAsia="Times New Roman" w:hAnsi="Times New Roman"/>
          <w:sz w:val="12"/>
          <w:szCs w:val="12"/>
          <w:color w:val="auto"/>
        </w:rPr>
        <w:t>. The parties hereto shall pay their own costs and expenses in connection herewith regardless of whether the transactions contemplated hereby are consummated; it being understood that each of the Company and each Investor has relied on the advice of its own respective counsel. Notwithstanding the foregoing, the Company shall pay the reasonable fees and expenses of Gunderson Dettmer Stough Villeneuve Franklin &amp; Hachigian, LLP, counsel for certain Investors, in an amount not to exceed $50,000 in the aggregate.</w:t>
      </w:r>
    </w:p>
    <w:p>
      <w:pPr>
        <w:spacing w:after="0" w:line="119"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2"/>
          <w:szCs w:val="12"/>
          <w:color w:val="auto"/>
        </w:rPr>
        <w:t xml:space="preserve">9.6. </w:t>
      </w:r>
      <w:r>
        <w:rPr>
          <w:rFonts w:ascii="Times New Roman" w:cs="Times New Roman" w:eastAsia="Times New Roman" w:hAnsi="Times New Roman"/>
          <w:sz w:val="12"/>
          <w:szCs w:val="12"/>
          <w:u w:val="single" w:color="auto"/>
          <w:color w:val="auto"/>
        </w:rPr>
        <w:t>Amendments and Waivers</w:t>
      </w:r>
      <w:r>
        <w:rPr>
          <w:rFonts w:ascii="Times New Roman" w:cs="Times New Roman" w:eastAsia="Times New Roman" w:hAnsi="Times New Roman"/>
          <w:sz w:val="12"/>
          <w:szCs w:val="12"/>
          <w:color w:val="auto"/>
        </w:rPr>
        <w:t>. Prior to Closing, no amendment or waiver of any provision of this Agreement will be effective with respect to any party unless made in writing and signed by a duly authorized representative of such party. Following the Closing, any term of this Agreement may be amended and the observance of any term of this Agreement may be waived (either generally or in a particular instance and either retroactively or prospectively), only with the written consent of the Company and the Required Investors. Notwithstanding the foregoing, this Agreement may not be amended and the observance of any term of this Agreement may not be waived with respect to any Investor without the written consent of such Investor unless such amendment or waiver applies to all Investors in the same fashion. Any amendment or waiver effected in accordance with this paragraph shall be binding upon (i) prior to the Closing, each Investor that signed such amendment or waiver and (ii) following the Closing, each holder of any Securities purchased under this Agreement at the time outstanding, and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280670</wp:posOffset>
            </wp:positionV>
            <wp:extent cx="717804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1" w:right="319" w:bottom="1440" w:gutter="0" w:footer="0" w:header="0"/>
        </w:sectPr>
      </w:pPr>
    </w:p>
    <w:bookmarkStart w:id="55" w:name="page56"/>
    <w:bookmarkEnd w:id="55"/>
    <w:p>
      <w:pPr>
        <w:ind w:left="640"/>
        <w:spacing w:after="0"/>
        <w:rPr>
          <w:sz w:val="20"/>
          <w:szCs w:val="20"/>
          <w:color w:val="auto"/>
        </w:rPr>
      </w:pPr>
      <w:r>
        <w:rPr>
          <w:rFonts w:ascii="Times New Roman" w:cs="Times New Roman" w:eastAsia="Times New Roman" w:hAnsi="Times New Roman"/>
          <w:sz w:val="12"/>
          <w:szCs w:val="12"/>
          <w:color w:val="auto"/>
        </w:rPr>
        <w:t xml:space="preserve">9.7. </w:t>
      </w:r>
      <w:r>
        <w:rPr>
          <w:rFonts w:ascii="Times New Roman" w:cs="Times New Roman" w:eastAsia="Times New Roman" w:hAnsi="Times New Roman"/>
          <w:sz w:val="12"/>
          <w:szCs w:val="12"/>
          <w:u w:val="single" w:color="auto"/>
          <w:color w:val="auto"/>
        </w:rPr>
        <w:t>Publicity</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right="40" w:firstLine="640"/>
        <w:spacing w:after="0" w:line="255" w:lineRule="auto"/>
        <w:tabs>
          <w:tab w:leader="none" w:pos="811"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set forth below, no public release or announcement concerning the transactions contemplated hereby shall be issued by the Investors prior to Closing without the prior consent of the Company and the Placement Agents, except as such release or announcement may be required by law or the applicable rules or regulations of any securities exchange or securities market, in which case the Investors shall allow the Company and the Placement Agents reasonable time to comment on such release or announcement in advance of such issuance. Notwithstanding the foregoing, each Investor may identify the Company and the value of such Investor’s security holdings in the Company in accordance with applicable investment reporting and disclosure regulations or internal policies without prior notice to or consent from the Company (including, for the avoidance of doubt, filings pursuant to Sections 13 and 16 of the 1934 Act). The Company shall not include the name of any Investor or any Affiliate or investment adviser of such Investor in any press release or public announcement (which, for the avoidance of doubt, shall not include any SEC Filing to the extent such disclosure is required by SEC rules and regulations) without the prior written consent of such Investor; provided, however, that to the extent such disclosure is required by law, including SEC rules and regulations, the Company shall promptly provide the Investor with prior notice of such disclosure and the opportunity to review such disclosure.</w:t>
      </w:r>
    </w:p>
    <w:p>
      <w:pPr>
        <w:spacing w:after="0" w:line="125" w:lineRule="exact"/>
        <w:rPr>
          <w:rFonts w:ascii="Times New Roman" w:cs="Times New Roman" w:eastAsia="Times New Roman" w:hAnsi="Times New Roman"/>
          <w:sz w:val="12"/>
          <w:szCs w:val="12"/>
          <w:color w:val="auto"/>
        </w:rPr>
      </w:pPr>
    </w:p>
    <w:p>
      <w:pPr>
        <w:ind w:left="800" w:hanging="160"/>
        <w:spacing w:after="0"/>
        <w:tabs>
          <w:tab w:leader="none" w:pos="80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later than 9:30 a.m. (Eastern time) on the Disclosure Date, the Company shall issue a press release disclosing all material terms of the transactions contemplated by this Agreement (the “</w:t>
      </w:r>
      <w:r>
        <w:rPr>
          <w:rFonts w:ascii="Times New Roman" w:cs="Times New Roman" w:eastAsia="Times New Roman" w:hAnsi="Times New Roman"/>
          <w:sz w:val="12"/>
          <w:szCs w:val="12"/>
          <w:u w:val="single" w:color="auto"/>
          <w:color w:val="auto"/>
        </w:rPr>
        <w:t>Press Release</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ind w:right="60" w:firstLine="640"/>
        <w:spacing w:after="0" w:line="265" w:lineRule="auto"/>
        <w:tabs>
          <w:tab w:leader="none" w:pos="811"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later than 9:30 a.m. (Eastern time) on the Disclosure Date, the Company shall issue a press release and/or a Current Report on Form 8-K disclosing the material information set forth in the Disclosure Schedule. Following 9:30 a.m. (Eastern Time) on the Disclosure Date, no Investor shall be in possession of any material non-public information received from the Company, its subsidiaries or any of their respective officers, directors, employees or agents (including the Placement Agents).</w:t>
      </w:r>
    </w:p>
    <w:p>
      <w:pPr>
        <w:spacing w:after="0" w:line="118" w:lineRule="exact"/>
        <w:rPr>
          <w:rFonts w:ascii="Times New Roman" w:cs="Times New Roman" w:eastAsia="Times New Roman" w:hAnsi="Times New Roman"/>
          <w:sz w:val="12"/>
          <w:szCs w:val="12"/>
          <w:color w:val="auto"/>
        </w:rPr>
      </w:pPr>
    </w:p>
    <w:p>
      <w:pPr>
        <w:ind w:left="800" w:hanging="160"/>
        <w:spacing w:after="0"/>
        <w:tabs>
          <w:tab w:leader="none" w:pos="80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will make such other filings and notices in the manner and time required by the SEC or Nasdaq.</w:t>
      </w:r>
    </w:p>
    <w:p>
      <w:pPr>
        <w:spacing w:after="0" w:line="150" w:lineRule="exact"/>
        <w:rPr>
          <w:sz w:val="20"/>
          <w:szCs w:val="20"/>
          <w:color w:val="auto"/>
        </w:rPr>
      </w:pPr>
    </w:p>
    <w:p>
      <w:pPr>
        <w:jc w:val="both"/>
        <w:ind w:firstLine="648"/>
        <w:spacing w:after="0" w:line="300" w:lineRule="auto"/>
        <w:rPr>
          <w:sz w:val="20"/>
          <w:szCs w:val="20"/>
          <w:color w:val="auto"/>
        </w:rPr>
      </w:pPr>
      <w:r>
        <w:rPr>
          <w:rFonts w:ascii="Times New Roman" w:cs="Times New Roman" w:eastAsia="Times New Roman" w:hAnsi="Times New Roman"/>
          <w:sz w:val="11"/>
          <w:szCs w:val="11"/>
          <w:color w:val="auto"/>
        </w:rPr>
        <w:t xml:space="preserve">9.8. </w:t>
      </w:r>
      <w:r>
        <w:rPr>
          <w:rFonts w:ascii="Times New Roman" w:cs="Times New Roman" w:eastAsia="Times New Roman" w:hAnsi="Times New Roman"/>
          <w:sz w:val="11"/>
          <w:szCs w:val="11"/>
          <w:u w:val="single" w:color="auto"/>
          <w:color w:val="auto"/>
        </w:rPr>
        <w:t>Severability</w:t>
      </w:r>
      <w:r>
        <w:rPr>
          <w:rFonts w:ascii="Times New Roman" w:cs="Times New Roman" w:eastAsia="Times New Roman" w:hAnsi="Times New Roman"/>
          <w:sz w:val="11"/>
          <w:szCs w:val="11"/>
          <w:color w:val="auto"/>
        </w:rPr>
        <w:t>. Any provision of this Agreement that is prohibited or unenforceable in any jurisdiction shall, as to such jurisdiction, be ineffective to the extent of such prohibition or unenforceability without invalidating the remaining provisions hereof but shall be interpreted as if it were written so as to be enforceable to the maximum extent permitted by applicable law, and any such prohibition or unenforceability in any jurisdiction shall not invalidate or render unenforceable such provision in any other jurisdiction. To the extent permitted by applicable law, the parties hereby waive any provision of law which renders any provision hereof prohibited or unenforceable in any respect.</w:t>
      </w:r>
    </w:p>
    <w:p>
      <w:pPr>
        <w:spacing w:after="0" w:line="1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 xml:space="preserve">9.9. </w:t>
      </w:r>
      <w:r>
        <w:rPr>
          <w:rFonts w:ascii="Times New Roman" w:cs="Times New Roman" w:eastAsia="Times New Roman" w:hAnsi="Times New Roman"/>
          <w:sz w:val="12"/>
          <w:szCs w:val="12"/>
          <w:u w:val="single" w:color="auto"/>
          <w:color w:val="auto"/>
        </w:rPr>
        <w:t>Benefit of Agreement</w:t>
      </w:r>
      <w:r>
        <w:rPr>
          <w:rFonts w:ascii="Times New Roman" w:cs="Times New Roman" w:eastAsia="Times New Roman" w:hAnsi="Times New Roman"/>
          <w:sz w:val="12"/>
          <w:szCs w:val="12"/>
          <w:color w:val="auto"/>
        </w:rPr>
        <w:t>. The Placement Agents are an intended third-party beneficiary of the representations and warranties of the Company and of each Investor set forth in Section 4 and Section 5, respectively, of this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Agreement.</w:t>
      </w:r>
    </w:p>
    <w:p>
      <w:pPr>
        <w:spacing w:after="0" w:line="139" w:lineRule="exact"/>
        <w:rPr>
          <w:sz w:val="20"/>
          <w:szCs w:val="20"/>
          <w:color w:val="auto"/>
        </w:rPr>
      </w:pPr>
    </w:p>
    <w:p>
      <w:pPr>
        <w:ind w:right="240" w:firstLine="648"/>
        <w:spacing w:after="0" w:line="300" w:lineRule="auto"/>
        <w:rPr>
          <w:sz w:val="20"/>
          <w:szCs w:val="20"/>
          <w:color w:val="auto"/>
        </w:rPr>
      </w:pPr>
      <w:r>
        <w:rPr>
          <w:rFonts w:ascii="Times New Roman" w:cs="Times New Roman" w:eastAsia="Times New Roman" w:hAnsi="Times New Roman"/>
          <w:sz w:val="11"/>
          <w:szCs w:val="11"/>
          <w:color w:val="auto"/>
        </w:rPr>
        <w:t xml:space="preserve">9.10. </w:t>
      </w:r>
      <w:r>
        <w:rPr>
          <w:rFonts w:ascii="Times New Roman" w:cs="Times New Roman" w:eastAsia="Times New Roman" w:hAnsi="Times New Roman"/>
          <w:sz w:val="11"/>
          <w:szCs w:val="11"/>
          <w:u w:val="single" w:color="auto"/>
          <w:color w:val="auto"/>
        </w:rPr>
        <w:t>Entire Agreement</w:t>
      </w:r>
      <w:r>
        <w:rPr>
          <w:rFonts w:ascii="Times New Roman" w:cs="Times New Roman" w:eastAsia="Times New Roman" w:hAnsi="Times New Roman"/>
          <w:sz w:val="11"/>
          <w:szCs w:val="11"/>
          <w:color w:val="auto"/>
        </w:rPr>
        <w:t>. This Agreement, including the signature pages, Exhibits, the Transaction Documents and any confidentiality agreements between the Company and any Investor constitute the entire agreement among the parties hereof with respect to the subject matter hereof and thereof and supersede all prior agreements and understandings, both oral and written, between the parties with respect to the subject matter hereof and thereof; provided, however, that with respect to any conflict between this Agreement and the Registration Rights Agreement, the Registration Rights Agreement shall govern as it relates to the registration of the resale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266065</wp:posOffset>
            </wp:positionV>
            <wp:extent cx="717804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1" w:right="319" w:bottom="1440" w:gutter="0" w:footer="0" w:header="0"/>
        </w:sectPr>
      </w:pPr>
    </w:p>
    <w:bookmarkStart w:id="56" w:name="page57"/>
    <w:bookmarkEnd w:id="56"/>
    <w:p>
      <w:pPr>
        <w:ind w:right="100" w:firstLine="648"/>
        <w:spacing w:after="0" w:line="279" w:lineRule="auto"/>
        <w:rPr>
          <w:sz w:val="20"/>
          <w:szCs w:val="20"/>
          <w:color w:val="auto"/>
        </w:rPr>
      </w:pPr>
      <w:r>
        <w:rPr>
          <w:rFonts w:ascii="Times New Roman" w:cs="Times New Roman" w:eastAsia="Times New Roman" w:hAnsi="Times New Roman"/>
          <w:sz w:val="12"/>
          <w:szCs w:val="12"/>
          <w:color w:val="auto"/>
        </w:rPr>
        <w:t>9.11 Other Agreements. The Company has not entered into any side letter or similar agreement with any Investor pursuant to which such Investor has been or will be granted any terms relating to the Placement Securities or the registration therefore that are more favorable to such Investor than the terms granted to each other Investor.</w:t>
      </w:r>
    </w:p>
    <w:p>
      <w:pPr>
        <w:spacing w:after="0" w:line="111" w:lineRule="exact"/>
        <w:rPr>
          <w:sz w:val="20"/>
          <w:szCs w:val="20"/>
          <w:color w:val="auto"/>
        </w:rPr>
      </w:pPr>
    </w:p>
    <w:p>
      <w:pPr>
        <w:ind w:right="160" w:firstLine="648"/>
        <w:spacing w:after="0" w:line="279" w:lineRule="auto"/>
        <w:rPr>
          <w:sz w:val="20"/>
          <w:szCs w:val="20"/>
          <w:color w:val="auto"/>
        </w:rPr>
      </w:pPr>
      <w:r>
        <w:rPr>
          <w:rFonts w:ascii="Times New Roman" w:cs="Times New Roman" w:eastAsia="Times New Roman" w:hAnsi="Times New Roman"/>
          <w:sz w:val="12"/>
          <w:szCs w:val="12"/>
          <w:color w:val="auto"/>
        </w:rPr>
        <w:t xml:space="preserve">9.12. </w:t>
      </w:r>
      <w:r>
        <w:rPr>
          <w:rFonts w:ascii="Times New Roman" w:cs="Times New Roman" w:eastAsia="Times New Roman" w:hAnsi="Times New Roman"/>
          <w:sz w:val="12"/>
          <w:szCs w:val="12"/>
          <w:u w:val="single" w:color="auto"/>
          <w:color w:val="auto"/>
        </w:rPr>
        <w:t>Further Assurances</w:t>
      </w:r>
      <w:r>
        <w:rPr>
          <w:rFonts w:ascii="Times New Roman" w:cs="Times New Roman" w:eastAsia="Times New Roman" w:hAnsi="Times New Roman"/>
          <w:sz w:val="12"/>
          <w:szCs w:val="12"/>
          <w:color w:val="auto"/>
        </w:rPr>
        <w:t>. The parties shall execute and deliver all such further instruments and documents and take all such other actions as may reasonably be required to carry out the transactions contemplated hereby and to evidence the fulfillment of the agreements herein contained.</w:t>
      </w:r>
    </w:p>
    <w:p>
      <w:pPr>
        <w:spacing w:after="0" w:line="111" w:lineRule="exact"/>
        <w:rPr>
          <w:sz w:val="20"/>
          <w:szCs w:val="20"/>
          <w:color w:val="auto"/>
        </w:rPr>
      </w:pPr>
    </w:p>
    <w:p>
      <w:pPr>
        <w:ind w:firstLine="648"/>
        <w:spacing w:after="0" w:line="279" w:lineRule="auto"/>
        <w:rPr>
          <w:sz w:val="20"/>
          <w:szCs w:val="20"/>
          <w:color w:val="auto"/>
        </w:rPr>
      </w:pPr>
      <w:r>
        <w:rPr>
          <w:rFonts w:ascii="Times New Roman" w:cs="Times New Roman" w:eastAsia="Times New Roman" w:hAnsi="Times New Roman"/>
          <w:sz w:val="12"/>
          <w:szCs w:val="12"/>
          <w:color w:val="auto"/>
        </w:rPr>
        <w:t xml:space="preserve">9.13. </w:t>
      </w:r>
      <w:r>
        <w:rPr>
          <w:rFonts w:ascii="Times New Roman" w:cs="Times New Roman" w:eastAsia="Times New Roman" w:hAnsi="Times New Roman"/>
          <w:sz w:val="12"/>
          <w:szCs w:val="12"/>
          <w:u w:val="single" w:color="auto"/>
          <w:color w:val="auto"/>
        </w:rPr>
        <w:t>Governing Law</w:t>
      </w:r>
      <w:r>
        <w:rPr>
          <w:rFonts w:ascii="Times New Roman" w:cs="Times New Roman" w:eastAsia="Times New Roman" w:hAnsi="Times New Roman"/>
          <w:sz w:val="12"/>
          <w:szCs w:val="12"/>
          <w:color w:val="auto"/>
        </w:rPr>
        <w:t>. This Agreement shall be governed by, and construed in accordance with, the laws of the State of New York. Service of process in connection with any suit, action or proceeding arising hereunder may be served on each party hereto anywhere in the world by the same methods as are specified for the giving of notices under this Agreement.</w:t>
      </w:r>
    </w:p>
    <w:p>
      <w:pPr>
        <w:spacing w:after="0" w:line="11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2"/>
          <w:szCs w:val="12"/>
          <w:color w:val="auto"/>
        </w:rPr>
        <w:t xml:space="preserve">9.14. </w:t>
      </w:r>
      <w:r>
        <w:rPr>
          <w:rFonts w:ascii="Times New Roman" w:cs="Times New Roman" w:eastAsia="Times New Roman" w:hAnsi="Times New Roman"/>
          <w:sz w:val="12"/>
          <w:szCs w:val="12"/>
          <w:u w:val="single" w:color="auto"/>
          <w:color w:val="auto"/>
        </w:rPr>
        <w:t>Independent Nature of Investors’ Obligations and Rights</w:t>
      </w:r>
      <w:r>
        <w:rPr>
          <w:rFonts w:ascii="Times New Roman" w:cs="Times New Roman" w:eastAsia="Times New Roman" w:hAnsi="Times New Roman"/>
          <w:sz w:val="12"/>
          <w:szCs w:val="12"/>
          <w:color w:val="auto"/>
        </w:rPr>
        <w:t>. The obligations of each Investor under any Transaction Document are several and not joint with the obligations of any other Investor, and no Investor shall be responsible in any way for the performance of the obligations of any other Investor under any Transaction Document. The decision of each Investor to purchase Placement Securities pursuant to the Transaction Documents has been made by such Investor independently of any other Investor. Nothing contained herein or in any Transaction Document, and no action taken by any Investor pursuant thereto, shall be deemed to constitute the Investors as a partnership, an association, a joint venture or any other kind of entity, or create a presumption that the Investors are in any way acting in concert or as a group (including a “group” within the meaning of Section 13(d)(3) of the Exchange Act) with respect to such obligations or the transactions contemplated by the Transaction Documents. Each Investor acknowledges that no other Investor has acted as agent for such Investor in connection with making its investment hereunder and that no Investor will be acting as agent of such Investor in connection with monitoring its investment in the Securities or enforcing its rights under the Transaction Documents. Each Investor shall be entitled to independently protect and enforce its rights, including, without limitation, the rights arising out of the Transaction Documents, and it shall not be necessary for any other Investor to be joined as an additional party in any proceeding for such purpose. The Company acknowledges that each of the Investors has been provided with the same Transaction Documents for the purpose of closing a transaction with multiple Investors and not because it was required or requested to do so by any Investor. It is expressly understood and agreed that each provision contained in this Agreement is between the Company and an Investor, solely, and not between the Company and the Investors collectively and not between and among the Investors.</w:t>
      </w:r>
    </w:p>
    <w:p>
      <w:pPr>
        <w:spacing w:after="0" w:line="1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 xml:space="preserve">9.15. </w:t>
      </w:r>
      <w:r>
        <w:rPr>
          <w:rFonts w:ascii="Times New Roman" w:cs="Times New Roman" w:eastAsia="Times New Roman" w:hAnsi="Times New Roman"/>
          <w:sz w:val="12"/>
          <w:szCs w:val="12"/>
          <w:u w:val="single" w:color="auto"/>
          <w:color w:val="auto"/>
        </w:rPr>
        <w:t>Exculpation of the Placement Agents</w:t>
      </w:r>
      <w:r>
        <w:rPr>
          <w:rFonts w:ascii="Times New Roman" w:cs="Times New Roman" w:eastAsia="Times New Roman" w:hAnsi="Times New Roman"/>
          <w:sz w:val="12"/>
          <w:szCs w:val="12"/>
          <w:color w:val="auto"/>
        </w:rPr>
        <w:t>. Each party hereto agrees for the express benefit of the Placements Agent and its Affiliates and representatives that:</w:t>
      </w:r>
    </w:p>
    <w:p>
      <w:pPr>
        <w:spacing w:after="0" w:line="150" w:lineRule="exact"/>
        <w:rPr>
          <w:sz w:val="20"/>
          <w:szCs w:val="20"/>
          <w:color w:val="auto"/>
        </w:rPr>
      </w:pPr>
    </w:p>
    <w:p>
      <w:pPr>
        <w:ind w:firstLine="424"/>
        <w:spacing w:after="0" w:line="256" w:lineRule="auto"/>
        <w:tabs>
          <w:tab w:leader="none" w:pos="575"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the Placement Agents nor any of their Affiliates or any of their representatives (1) have any duties or obligations other than those specifically set forth herein or in the engagement letter, dated January 4, 2026, by and among the Company and Leerink Partners LLC, TD Securities (USA) LLC and Mizuho Securities USA LLC (the “</w:t>
      </w:r>
      <w:r>
        <w:rPr>
          <w:rFonts w:ascii="Times New Roman" w:cs="Times New Roman" w:eastAsia="Times New Roman" w:hAnsi="Times New Roman"/>
          <w:sz w:val="12"/>
          <w:szCs w:val="12"/>
          <w:u w:val="single" w:color="auto"/>
          <w:color w:val="auto"/>
        </w:rPr>
        <w:t>Engagement Letter</w:t>
      </w:r>
      <w:r>
        <w:rPr>
          <w:rFonts w:ascii="Times New Roman" w:cs="Times New Roman" w:eastAsia="Times New Roman" w:hAnsi="Times New Roman"/>
          <w:sz w:val="12"/>
          <w:szCs w:val="12"/>
          <w:color w:val="auto"/>
        </w:rPr>
        <w:t>”); (2) shall be liable for any improper payment made in accordance with the information provided by the Company; (3) make any representation or warranty, or have any responsibilities as to the validity, accuracy, value or genuineness of any information, certificates or documentation delivered by or on behalf of the Company pursuant to the Transaction Documents or in connection with any of the transactions contemplated hereby and thereby; or (4) shall be liable (x) for any action taken, suffered or omitted by any of them in good faith and reasonably believed to be authorized or within the discretion or rights or powers conferred upon them by this Agreement or any Transaction Document or (y) for anything which any of them may do or refrain from doing in connection with this Agreement or any Transaction Document, except in each case for such party’s own gross negligence, willful misconduct or bad faith; and</w:t>
      </w:r>
    </w:p>
    <w:p>
      <w:pPr>
        <w:spacing w:after="0" w:line="124" w:lineRule="exact"/>
        <w:rPr>
          <w:rFonts w:ascii="Times New Roman" w:cs="Times New Roman" w:eastAsia="Times New Roman" w:hAnsi="Times New Roman"/>
          <w:sz w:val="12"/>
          <w:szCs w:val="12"/>
          <w:color w:val="auto"/>
        </w:rPr>
      </w:pPr>
    </w:p>
    <w:p>
      <w:pPr>
        <w:ind w:right="80" w:firstLine="424"/>
        <w:spacing w:after="0" w:line="279" w:lineRule="auto"/>
        <w:tabs>
          <w:tab w:leader="none" w:pos="609"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Placement Agents, their Affiliates and its representatives shall be entitled to (1) rely on, and shall be protected in acting upon, any certificate, instrument, notice, letter or any other document or security delivered to any of them by or on behalf of the Company, and (2) be indemnified by the Company for acting as the Placement Agents hereunder pursuant to the indemnification provisions set forth in the Engagement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271780</wp:posOffset>
            </wp:positionV>
            <wp:extent cx="717804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1"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1"/>
          <w:szCs w:val="11"/>
          <w:color w:val="auto"/>
        </w:rPr>
        <w:t xml:space="preserve">9.16. </w:t>
      </w:r>
      <w:r>
        <w:rPr>
          <w:rFonts w:ascii="Times New Roman" w:cs="Times New Roman" w:eastAsia="Times New Roman" w:hAnsi="Times New Roman"/>
          <w:sz w:val="11"/>
          <w:szCs w:val="11"/>
          <w:u w:val="single" w:color="auto"/>
          <w:color w:val="auto"/>
        </w:rPr>
        <w:t>Cumulative Remedies</w:t>
      </w:r>
      <w:r>
        <w:rPr>
          <w:rFonts w:ascii="Times New Roman" w:cs="Times New Roman" w:eastAsia="Times New Roman" w:hAnsi="Times New Roman"/>
          <w:sz w:val="11"/>
          <w:szCs w:val="11"/>
          <w:color w:val="auto"/>
        </w:rPr>
        <w:t>. The remedies provided herein are cumulative and not exclusive of any remedies provided by law.</w:t>
      </w:r>
    </w:p>
    <w:p>
      <w:pPr>
        <w:sectPr>
          <w:pgSz w:w="11900" w:h="16838" w:orient="portrait"/>
          <w:cols w:equalWidth="0" w:num="1">
            <w:col w:w="9519"/>
          </w:cols>
          <w:pgMar w:left="940" w:top="651" w:right="1440" w:bottom="1440" w:gutter="0" w:footer="0" w:header="0"/>
        </w:sectPr>
      </w:pPr>
    </w:p>
    <w:p>
      <w:pPr>
        <w:spacing w:after="0" w:line="16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2"/>
          <w:szCs w:val="12"/>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296545</wp:posOffset>
            </wp:positionV>
            <wp:extent cx="717804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519"/>
          </w:cols>
          <w:pgMar w:left="940" w:top="651" w:right="1440"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2"/>
          <w:szCs w:val="12"/>
          <w:color w:val="auto"/>
        </w:rPr>
        <w:t>IN WITNESS WHEREOF, the parties have executed this Agreement or caused their duly authorized officers to execute this Agreement as of the date first above written.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COMPANY:</w:t>
            </w:r>
          </w:p>
        </w:tc>
        <w:tc>
          <w:tcPr>
            <w:tcW w:w="8180" w:type="dxa"/>
            <w:vAlign w:val="bottom"/>
            <w:gridSpan w:val="2"/>
          </w:tcPr>
          <w:p>
            <w:pPr>
              <w:ind w:left="2540"/>
              <w:spacing w:after="0"/>
              <w:rPr>
                <w:sz w:val="20"/>
                <w:szCs w:val="20"/>
                <w:color w:val="auto"/>
              </w:rPr>
            </w:pPr>
            <w:r>
              <w:rPr>
                <w:rFonts w:ascii="Times New Roman" w:cs="Times New Roman" w:eastAsia="Times New Roman" w:hAnsi="Times New Roman"/>
                <w:sz w:val="12"/>
                <w:szCs w:val="12"/>
                <w:color w:val="auto"/>
              </w:rPr>
              <w:t>CENTURY THERAPEUTICS, INC.</w:t>
            </w:r>
          </w:p>
        </w:tc>
      </w:tr>
      <w:tr>
        <w:trPr>
          <w:trHeight w:val="288"/>
        </w:trPr>
        <w:tc>
          <w:tcPr>
            <w:tcW w:w="3120" w:type="dxa"/>
            <w:vAlign w:val="bottom"/>
          </w:tcPr>
          <w:p>
            <w:pPr>
              <w:spacing w:after="0"/>
              <w:rPr>
                <w:sz w:val="24"/>
                <w:szCs w:val="24"/>
                <w:color w:val="auto"/>
              </w:rPr>
            </w:pPr>
          </w:p>
        </w:tc>
        <w:tc>
          <w:tcPr>
            <w:tcW w:w="8180" w:type="dxa"/>
            <w:vAlign w:val="bottom"/>
            <w:gridSpan w:val="2"/>
          </w:tcPr>
          <w:p>
            <w:pPr>
              <w:ind w:left="2540"/>
              <w:spacing w:after="0"/>
              <w:rPr>
                <w:sz w:val="20"/>
                <w:szCs w:val="20"/>
                <w:color w:val="auto"/>
              </w:rPr>
            </w:pPr>
            <w:r>
              <w:rPr>
                <w:rFonts w:ascii="Times New Roman" w:cs="Times New Roman" w:eastAsia="Times New Roman" w:hAnsi="Times New Roman"/>
                <w:sz w:val="12"/>
                <w:szCs w:val="12"/>
                <w:color w:val="auto"/>
              </w:rPr>
              <w:t>By:   /s/ Brent Pfeiffenberger</w:t>
            </w:r>
          </w:p>
        </w:tc>
      </w:tr>
      <w:tr>
        <w:trPr>
          <w:trHeight w:val="122"/>
        </w:trPr>
        <w:tc>
          <w:tcPr>
            <w:tcW w:w="31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532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Name: Brent Pfeiffenberger, Pharm.D.</w:t>
            </w:r>
          </w:p>
        </w:tc>
      </w:tr>
      <w:tr>
        <w:trPr>
          <w:trHeight w:val="155"/>
        </w:trPr>
        <w:tc>
          <w:tcPr>
            <w:tcW w:w="31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2"/>
                <w:szCs w:val="12"/>
                <w:color w:val="auto"/>
              </w:rPr>
              <w:t>Title: President and Chief Executive Officer</w:t>
            </w:r>
          </w:p>
        </w:tc>
      </w:tr>
      <w:tr>
        <w:trPr>
          <w:trHeight w:val="450"/>
        </w:trPr>
        <w:tc>
          <w:tcPr>
            <w:tcW w:w="31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51" w:right="29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EXHIBIT A</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306070</wp:posOffset>
            </wp:positionV>
            <wp:extent cx="717804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47" w:right="1440"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Exhibit B</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306070</wp:posOffset>
            </wp:positionV>
            <wp:extent cx="717804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47" w:right="1440"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Exhibit C</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306070</wp:posOffset>
            </wp:positionV>
            <wp:extent cx="717804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47" w:right="1440"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EXHIBIT D</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306070</wp:posOffset>
            </wp:positionV>
            <wp:extent cx="717804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47" w:right="1440"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EXHIBIT E</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306070</wp:posOffset>
            </wp:positionV>
            <wp:extent cx="717804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47" w:right="1440"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2"/>
          <w:szCs w:val="12"/>
          <w:b w:val="1"/>
          <w:bCs w:val="1"/>
          <w:color w:val="auto"/>
        </w:rPr>
        <w:t>Exhibit 10.2</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REGISTRATION RIGHTS AGREEMENT</w:t>
      </w:r>
    </w:p>
    <w:p>
      <w:pPr>
        <w:spacing w:after="0" w:line="154" w:lineRule="exact"/>
        <w:rPr>
          <w:sz w:val="20"/>
          <w:szCs w:val="20"/>
          <w:color w:val="auto"/>
        </w:rPr>
      </w:pPr>
    </w:p>
    <w:p>
      <w:pPr>
        <w:ind w:right="120" w:firstLine="432"/>
        <w:spacing w:after="0" w:line="265" w:lineRule="auto"/>
        <w:rPr>
          <w:sz w:val="20"/>
          <w:szCs w:val="20"/>
          <w:color w:val="auto"/>
        </w:rPr>
      </w:pPr>
      <w:r>
        <w:rPr>
          <w:rFonts w:ascii="Times New Roman" w:cs="Times New Roman" w:eastAsia="Times New Roman" w:hAnsi="Times New Roman"/>
          <w:sz w:val="12"/>
          <w:szCs w:val="12"/>
          <w:color w:val="auto"/>
        </w:rPr>
        <w:t>This REGISTRATION RIGHTS AGREEMENT (this “</w:t>
      </w: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 is made and entered into as of January 7, 2026, by and among Century Therapeutics, Inc., a Delaware corporation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and the “Investors” named in that certain Securities Purchase Agreement by and among the Company and the Investors, dated as of the date hereof (the “</w:t>
      </w:r>
      <w:r>
        <w:rPr>
          <w:rFonts w:ascii="Times New Roman" w:cs="Times New Roman" w:eastAsia="Times New Roman" w:hAnsi="Times New Roman"/>
          <w:sz w:val="12"/>
          <w:szCs w:val="12"/>
          <w:u w:val="single" w:color="auto"/>
          <w:color w:val="auto"/>
        </w:rPr>
        <w:t>Purchase Agreement</w:t>
      </w:r>
      <w:r>
        <w:rPr>
          <w:rFonts w:ascii="Times New Roman" w:cs="Times New Roman" w:eastAsia="Times New Roman" w:hAnsi="Times New Roman"/>
          <w:sz w:val="12"/>
          <w:szCs w:val="12"/>
          <w:color w:val="auto"/>
        </w:rPr>
        <w:t>”). Capitalized terms used herein have the respective meanings ascribed thereto in the Purchase Agreement unless otherwise defined herein.</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parties hereby agree as follows: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1.           </w:t>
      </w:r>
      <w:r>
        <w:rPr>
          <w:rFonts w:ascii="Times New Roman" w:cs="Times New Roman" w:eastAsia="Times New Roman" w:hAnsi="Times New Roman"/>
          <w:sz w:val="12"/>
          <w:szCs w:val="12"/>
          <w:u w:val="single" w:color="auto"/>
          <w:color w:val="auto"/>
        </w:rPr>
        <w:t>  Definitions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As used in this Agreement, the following terms shall have the following meanings: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1933 Act</w:t>
      </w:r>
      <w:r>
        <w:rPr>
          <w:rFonts w:ascii="Times New Roman" w:cs="Times New Roman" w:eastAsia="Times New Roman" w:hAnsi="Times New Roman"/>
          <w:sz w:val="12"/>
          <w:szCs w:val="12"/>
          <w:color w:val="auto"/>
        </w:rPr>
        <w:t>” the Securities Act of 1933, as amended</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1934 Act</w:t>
      </w:r>
      <w:r>
        <w:rPr>
          <w:rFonts w:ascii="Times New Roman" w:cs="Times New Roman" w:eastAsia="Times New Roman" w:hAnsi="Times New Roman"/>
          <w:sz w:val="12"/>
          <w:szCs w:val="12"/>
          <w:color w:val="auto"/>
        </w:rPr>
        <w:t>” Securities Exchange Act of 1934, as amended</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 has the meaning set forth in the first paragraph.</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Allowed Delay</w:t>
      </w:r>
      <w:r>
        <w:rPr>
          <w:rFonts w:ascii="Times New Roman" w:cs="Times New Roman" w:eastAsia="Times New Roman" w:hAnsi="Times New Roman"/>
          <w:sz w:val="12"/>
          <w:szCs w:val="12"/>
          <w:color w:val="auto"/>
        </w:rPr>
        <w:t>” has the meaning set forth in Section 2(c)(ii).</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Availability Date</w:t>
      </w:r>
      <w:r>
        <w:rPr>
          <w:rFonts w:ascii="Times New Roman" w:cs="Times New Roman" w:eastAsia="Times New Roman" w:hAnsi="Times New Roman"/>
          <w:sz w:val="12"/>
          <w:szCs w:val="12"/>
          <w:color w:val="auto"/>
        </w:rPr>
        <w:t>” has the meaning set forth in Section 3(i).</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Blackout Period</w:t>
      </w:r>
      <w:r>
        <w:rPr>
          <w:rFonts w:ascii="Times New Roman" w:cs="Times New Roman" w:eastAsia="Times New Roman" w:hAnsi="Times New Roman"/>
          <w:sz w:val="12"/>
          <w:szCs w:val="12"/>
          <w:color w:val="auto"/>
        </w:rPr>
        <w:t>” has the meaning set forth in Section 2(d)(ii).</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has the meaning set forth in the first paragraph.</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Cut Back Shares</w:t>
      </w:r>
      <w:r>
        <w:rPr>
          <w:rFonts w:ascii="Times New Roman" w:cs="Times New Roman" w:eastAsia="Times New Roman" w:hAnsi="Times New Roman"/>
          <w:sz w:val="12"/>
          <w:szCs w:val="12"/>
          <w:color w:val="auto"/>
        </w:rPr>
        <w:t>” has the meaning set forth in Section 2(e).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Effectiveness Liquidated Damages</w:t>
      </w:r>
      <w:r>
        <w:rPr>
          <w:rFonts w:ascii="Times New Roman" w:cs="Times New Roman" w:eastAsia="Times New Roman" w:hAnsi="Times New Roman"/>
          <w:sz w:val="12"/>
          <w:szCs w:val="12"/>
          <w:color w:val="auto"/>
        </w:rPr>
        <w:t>” has the meaning set forth in Section 2(d)(ii).</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Effectiveness Period</w:t>
      </w:r>
      <w:r>
        <w:rPr>
          <w:rFonts w:ascii="Times New Roman" w:cs="Times New Roman" w:eastAsia="Times New Roman" w:hAnsi="Times New Roman"/>
          <w:sz w:val="12"/>
          <w:szCs w:val="12"/>
          <w:color w:val="auto"/>
        </w:rPr>
        <w:t>” has the meaning set forth in Section 3(a).</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Filing Deadline</w:t>
      </w:r>
      <w:r>
        <w:rPr>
          <w:rFonts w:ascii="Times New Roman" w:cs="Times New Roman" w:eastAsia="Times New Roman" w:hAnsi="Times New Roman"/>
          <w:sz w:val="12"/>
          <w:szCs w:val="12"/>
          <w:color w:val="auto"/>
        </w:rPr>
        <w:t>” has the meaning set forth in Section 2(a)(i).</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Inspectors</w:t>
      </w:r>
      <w:r>
        <w:rPr>
          <w:rFonts w:ascii="Times New Roman" w:cs="Times New Roman" w:eastAsia="Times New Roman" w:hAnsi="Times New Roman"/>
          <w:sz w:val="12"/>
          <w:szCs w:val="12"/>
          <w:color w:val="auto"/>
        </w:rPr>
        <w:t>” has the meaning set forth in Section 4.</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Investors</w:t>
      </w:r>
      <w:r>
        <w:rPr>
          <w:rFonts w:ascii="Times New Roman" w:cs="Times New Roman" w:eastAsia="Times New Roman" w:hAnsi="Times New Roman"/>
          <w:sz w:val="12"/>
          <w:szCs w:val="12"/>
          <w:color w:val="auto"/>
        </w:rPr>
        <w:t>” means the Investors identified in the Purchase Agreement and any Affiliate or permitted transferee of any Investor who is a subsequent holder of Registrable Securities.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Liquidated Damages</w:t>
      </w:r>
      <w:r>
        <w:rPr>
          <w:rFonts w:ascii="Times New Roman" w:cs="Times New Roman" w:eastAsia="Times New Roman" w:hAnsi="Times New Roman"/>
          <w:sz w:val="12"/>
          <w:szCs w:val="12"/>
          <w:color w:val="auto"/>
        </w:rPr>
        <w:t>” has the meaning set forth in Section 2(d)(ii).</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Maintenance Failure</w:t>
      </w:r>
      <w:r>
        <w:rPr>
          <w:rFonts w:ascii="Times New Roman" w:cs="Times New Roman" w:eastAsia="Times New Roman" w:hAnsi="Times New Roman"/>
          <w:sz w:val="12"/>
          <w:szCs w:val="12"/>
          <w:color w:val="auto"/>
        </w:rPr>
        <w:t>” has the meaning set forth in Section 2(d)(ii).</w:t>
      </w:r>
    </w:p>
    <w:p>
      <w:pPr>
        <w:spacing w:after="0" w:line="150" w:lineRule="exact"/>
        <w:rPr>
          <w:sz w:val="20"/>
          <w:szCs w:val="20"/>
          <w:color w:val="auto"/>
        </w:rPr>
      </w:pPr>
    </w:p>
    <w:p>
      <w:pPr>
        <w:ind w:right="180" w:firstLine="432"/>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Prospectus</w:t>
      </w:r>
      <w:r>
        <w:rPr>
          <w:rFonts w:ascii="Times New Roman" w:cs="Times New Roman" w:eastAsia="Times New Roman" w:hAnsi="Times New Roman"/>
          <w:sz w:val="12"/>
          <w:szCs w:val="12"/>
          <w:color w:val="auto"/>
        </w:rPr>
        <w:t>” means (i) the prospectus included in any Registration Statement,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 and (ii) any “free writing prospectus” as defined in Rule 405 under the 1933 Act.</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Purchase Agreement</w:t>
      </w:r>
      <w:r>
        <w:rPr>
          <w:rFonts w:ascii="Times New Roman" w:cs="Times New Roman" w:eastAsia="Times New Roman" w:hAnsi="Times New Roman"/>
          <w:sz w:val="12"/>
          <w:szCs w:val="12"/>
          <w:color w:val="auto"/>
        </w:rPr>
        <w:t>” has the meaning set forth in the first paragraph.</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Qualification Date</w:t>
      </w:r>
      <w:r>
        <w:rPr>
          <w:rFonts w:ascii="Times New Roman" w:cs="Times New Roman" w:eastAsia="Times New Roman" w:hAnsi="Times New Roman"/>
          <w:sz w:val="12"/>
          <w:szCs w:val="12"/>
          <w:color w:val="auto"/>
        </w:rPr>
        <w:t>” has the meaning set forth in Section 2(a)(ii).</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Qualification Deadline</w:t>
      </w:r>
      <w:r>
        <w:rPr>
          <w:rFonts w:ascii="Times New Roman" w:cs="Times New Roman" w:eastAsia="Times New Roman" w:hAnsi="Times New Roman"/>
          <w:sz w:val="12"/>
          <w:szCs w:val="12"/>
          <w:color w:val="auto"/>
        </w:rPr>
        <w:t>” has the meaning set forth in Section 2(a)(ii).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7804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65" w:name="page66"/>
    <w:bookmarkEnd w:id="65"/>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Records</w:t>
      </w:r>
      <w:r>
        <w:rPr>
          <w:rFonts w:ascii="Times New Roman" w:cs="Times New Roman" w:eastAsia="Times New Roman" w:hAnsi="Times New Roman"/>
          <w:sz w:val="12"/>
          <w:szCs w:val="12"/>
          <w:color w:val="auto"/>
        </w:rPr>
        <w:t>” has the meaning set forth in Section 4.</w:t>
      </w:r>
    </w:p>
    <w:p>
      <w:pPr>
        <w:spacing w:after="0" w:line="150" w:lineRule="exact"/>
        <w:rPr>
          <w:sz w:val="20"/>
          <w:szCs w:val="20"/>
          <w:color w:val="auto"/>
        </w:rPr>
      </w:pPr>
    </w:p>
    <w:p>
      <w:pPr>
        <w:ind w:right="100"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Register</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u w:val="single" w:color="auto"/>
          <w:color w:val="auto"/>
        </w:rPr>
        <w:t>registered</w:t>
      </w:r>
      <w:r>
        <w:rPr>
          <w:rFonts w:ascii="Times New Roman" w:cs="Times New Roman" w:eastAsia="Times New Roman" w:hAnsi="Times New Roman"/>
          <w:sz w:val="12"/>
          <w:szCs w:val="12"/>
          <w:color w:val="auto"/>
        </w:rPr>
        <w:t>” and “</w:t>
      </w:r>
      <w:r>
        <w:rPr>
          <w:rFonts w:ascii="Times New Roman" w:cs="Times New Roman" w:eastAsia="Times New Roman" w:hAnsi="Times New Roman"/>
          <w:sz w:val="12"/>
          <w:szCs w:val="12"/>
          <w:u w:val="single" w:color="auto"/>
          <w:color w:val="auto"/>
        </w:rPr>
        <w:t>registration</w:t>
      </w:r>
      <w:r>
        <w:rPr>
          <w:rFonts w:ascii="Times New Roman" w:cs="Times New Roman" w:eastAsia="Times New Roman" w:hAnsi="Times New Roman"/>
          <w:sz w:val="12"/>
          <w:szCs w:val="12"/>
          <w:color w:val="auto"/>
        </w:rPr>
        <w:t>” refer to a registration made by preparing and filing a Registration Statement or similar document in compliance with the 1933 Act, and the declaration or ordering of effectiveness of such Registration Statement or document.</w:t>
      </w:r>
    </w:p>
    <w:p>
      <w:pPr>
        <w:spacing w:after="0" w:line="111" w:lineRule="exact"/>
        <w:rPr>
          <w:sz w:val="20"/>
          <w:szCs w:val="20"/>
          <w:color w:val="auto"/>
        </w:rPr>
      </w:pPr>
    </w:p>
    <w:p>
      <w:pPr>
        <w:ind w:right="20" w:firstLine="432"/>
        <w:spacing w:after="0" w:line="26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Registrable Securities</w:t>
      </w:r>
      <w:r>
        <w:rPr>
          <w:rFonts w:ascii="Times New Roman" w:cs="Times New Roman" w:eastAsia="Times New Roman" w:hAnsi="Times New Roman"/>
          <w:sz w:val="12"/>
          <w:szCs w:val="12"/>
          <w:color w:val="auto"/>
        </w:rPr>
        <w:t>” means (i) the Shares, (ii) the Warrant Shares, without giving effect to any limitations on exercise of the Warrants, and assuming all of the Warrants are exercised for cash and (iii) any other securities issued or issuable with respect to or in exchange for Shares or Warrant Shares, whether by merger, charter amendment or otherwise; provided, that a security shall cease to be a Registrable Security upon the earliest of: (A) sale pursuant to a Registration Statement or Rule 144 under the 1933 Act, or (B) such security becoming eligible for sale without restriction by the Investor holding such security pursuant to Rule 144, including without any manner of sale or volume limitations, and without the requirement to be in compliance with Rule 144(c)(1) (or any successor thereto) promulgated under the 1933 Act.</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Registration Liquidated Damages</w:t>
      </w:r>
      <w:r>
        <w:rPr>
          <w:rFonts w:ascii="Times New Roman" w:cs="Times New Roman" w:eastAsia="Times New Roman" w:hAnsi="Times New Roman"/>
          <w:sz w:val="12"/>
          <w:szCs w:val="12"/>
          <w:color w:val="auto"/>
        </w:rPr>
        <w:t>” has the meaning set forth in Section 2(d)(i).</w:t>
      </w:r>
    </w:p>
    <w:p>
      <w:pPr>
        <w:spacing w:after="0" w:line="150" w:lineRule="exact"/>
        <w:rPr>
          <w:sz w:val="20"/>
          <w:szCs w:val="20"/>
          <w:color w:val="auto"/>
        </w:rPr>
      </w:pPr>
    </w:p>
    <w:p>
      <w:pPr>
        <w:ind w:right="500"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Registration Statement</w:t>
      </w:r>
      <w:r>
        <w:rPr>
          <w:rFonts w:ascii="Times New Roman" w:cs="Times New Roman" w:eastAsia="Times New Roman" w:hAnsi="Times New Roman"/>
          <w:sz w:val="12"/>
          <w:szCs w:val="12"/>
          <w:color w:val="auto"/>
        </w:rPr>
        <w:t>” means any registration statement of the Company under the 1933 Act that covers the resale of any of the Registrable Securities pursuant to the provisions of this Agreement, amendments and supplements to such Registration Statement, including post-effective amendments, all exhibits and all material incorporated by reference in such Registration Statement.</w:t>
      </w:r>
    </w:p>
    <w:p>
      <w:pPr>
        <w:spacing w:after="0" w:line="111" w:lineRule="exact"/>
        <w:rPr>
          <w:sz w:val="20"/>
          <w:szCs w:val="20"/>
          <w:color w:val="auto"/>
        </w:rPr>
      </w:pPr>
    </w:p>
    <w:p>
      <w:pPr>
        <w:ind w:right="20"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Required Investors</w:t>
      </w:r>
      <w:r>
        <w:rPr>
          <w:rFonts w:ascii="Times New Roman" w:cs="Times New Roman" w:eastAsia="Times New Roman" w:hAnsi="Times New Roman"/>
          <w:sz w:val="12"/>
          <w:szCs w:val="12"/>
          <w:color w:val="auto"/>
        </w:rPr>
        <w:t>” means the Investors holding a majority of the Registrable Securities outstanding from time to time (determined as if all of the Warrants then outstanding have been exercised, in each case without regard to any limitations on the exercise of such Warrants).</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Restriction Termination Date</w:t>
      </w:r>
      <w:r>
        <w:rPr>
          <w:rFonts w:ascii="Times New Roman" w:cs="Times New Roman" w:eastAsia="Times New Roman" w:hAnsi="Times New Roman"/>
          <w:sz w:val="12"/>
          <w:szCs w:val="12"/>
          <w:color w:val="auto"/>
        </w:rPr>
        <w:t>” has the meaning set forth in Section 2(e).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SEC</w:t>
      </w:r>
      <w:r>
        <w:rPr>
          <w:rFonts w:ascii="Times New Roman" w:cs="Times New Roman" w:eastAsia="Times New Roman" w:hAnsi="Times New Roman"/>
          <w:sz w:val="12"/>
          <w:szCs w:val="12"/>
          <w:color w:val="auto"/>
        </w:rPr>
        <w:t>” means the U.S. Securities and Exchange Commission.</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SEC Restrictions</w:t>
      </w:r>
      <w:r>
        <w:rPr>
          <w:rFonts w:ascii="Times New Roman" w:cs="Times New Roman" w:eastAsia="Times New Roman" w:hAnsi="Times New Roman"/>
          <w:sz w:val="12"/>
          <w:szCs w:val="12"/>
          <w:color w:val="auto"/>
        </w:rPr>
        <w:t>” has the meaning set forth in Section 2(e).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Shelf Registration Statement</w:t>
      </w:r>
      <w:r>
        <w:rPr>
          <w:rFonts w:ascii="Times New Roman" w:cs="Times New Roman" w:eastAsia="Times New Roman" w:hAnsi="Times New Roman"/>
          <w:sz w:val="12"/>
          <w:szCs w:val="12"/>
          <w:color w:val="auto"/>
        </w:rPr>
        <w:t>” has the meaning set forth in Section 2(a)(ii).</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2.           </w:t>
      </w:r>
      <w:r>
        <w:rPr>
          <w:rFonts w:ascii="Times New Roman" w:cs="Times New Roman" w:eastAsia="Times New Roman" w:hAnsi="Times New Roman"/>
          <w:sz w:val="12"/>
          <w:szCs w:val="12"/>
          <w:u w:val="single" w:color="auto"/>
          <w:color w:val="auto"/>
        </w:rPr>
        <w:t>  Registration</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  Registration Statements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2"/>
          <w:szCs w:val="12"/>
          <w:color w:val="auto"/>
        </w:rPr>
        <w:t>(i)            Promptly following the Closing Date but no later than thirty (30) days after the Closing Date (the “</w:t>
      </w:r>
      <w:r>
        <w:rPr>
          <w:rFonts w:ascii="Times New Roman" w:cs="Times New Roman" w:eastAsia="Times New Roman" w:hAnsi="Times New Roman"/>
          <w:sz w:val="12"/>
          <w:szCs w:val="12"/>
          <w:u w:val="single" w:color="auto"/>
          <w:color w:val="auto"/>
        </w:rPr>
        <w:t>Filing Deadline</w:t>
      </w:r>
      <w:r>
        <w:rPr>
          <w:rFonts w:ascii="Times New Roman" w:cs="Times New Roman" w:eastAsia="Times New Roman" w:hAnsi="Times New Roman"/>
          <w:sz w:val="12"/>
          <w:szCs w:val="12"/>
          <w:color w:val="auto"/>
        </w:rPr>
        <w:t xml:space="preserve">”), the Company shall prepare and file with the SEC one Registration Statement covering the resale of all of the Registrable Securities. Subject to any SEC comments, such Registration Statement shall include the plan of distribution, substantially in the form and substance attached hereto as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provided, however, that no Investor shall be named as an “underwriter” in such Registration Statement without such Investor’s prior written consent. Such Registration Statement also shall cover, to the extent allowable under the 1933 Act and the rules promulgated thereunder (including Rule 416), such indeterminate number of additional shares of Common Stock resulting from stock splits, stock dividends or similar transactions with respect to the Registrable Securities. Such Registration Statement shall not include any shares of Common Stock or other securities for the account of any other holder of securities of the Company without the prior written consent of the Required Investors. Such Registration Statement (and each amendment or supplement thereto, and each request for acceleration of effectiveness thereof) shall be provided in accordance with Section 3(c) to the Investors prior to its filing or other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280670</wp:posOffset>
            </wp:positionV>
            <wp:extent cx="717804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1" w:right="319" w:bottom="1440" w:gutter="0" w:footer="0" w:header="0"/>
        </w:sectPr>
      </w:pPr>
    </w:p>
    <w:bookmarkStart w:id="66" w:name="page67"/>
    <w:bookmarkEnd w:id="66"/>
    <w:p>
      <w:pPr>
        <w:ind w:right="120" w:firstLine="1296"/>
        <w:spacing w:after="0" w:line="256" w:lineRule="auto"/>
        <w:rPr>
          <w:sz w:val="20"/>
          <w:szCs w:val="20"/>
          <w:color w:val="auto"/>
        </w:rPr>
      </w:pPr>
      <w:r>
        <w:rPr>
          <w:rFonts w:ascii="Times New Roman" w:cs="Times New Roman" w:eastAsia="Times New Roman" w:hAnsi="Times New Roman"/>
          <w:sz w:val="12"/>
          <w:szCs w:val="12"/>
          <w:color w:val="auto"/>
        </w:rPr>
        <w:t>(ii)           The Registration Statement referred to in Section 2(a)(i) shall be on Form S-3. In the event that Form S-3 is not available for the registration of the resale of Registrable Securities hereunder, the Company shall (i) register the resale of the Registrable Securities on such other form as is available to the Company and (ii) so long as Registrable Securities remain outstanding, promptly following the date (the “</w:t>
      </w:r>
      <w:r>
        <w:rPr>
          <w:rFonts w:ascii="Times New Roman" w:cs="Times New Roman" w:eastAsia="Times New Roman" w:hAnsi="Times New Roman"/>
          <w:sz w:val="12"/>
          <w:szCs w:val="12"/>
          <w:u w:val="single" w:color="auto"/>
          <w:color w:val="auto"/>
        </w:rPr>
        <w:t>Qualification Date</w:t>
      </w:r>
      <w:r>
        <w:rPr>
          <w:rFonts w:ascii="Times New Roman" w:cs="Times New Roman" w:eastAsia="Times New Roman" w:hAnsi="Times New Roman"/>
          <w:sz w:val="12"/>
          <w:szCs w:val="12"/>
          <w:color w:val="auto"/>
        </w:rPr>
        <w:t>”) upon which the Company becomes eligible to use a registration statement on Form S-3 to register the Registrable Securities for resale, but in no event more than forty-five (45) days after the Qualification Date (the “</w:t>
      </w:r>
      <w:r>
        <w:rPr>
          <w:rFonts w:ascii="Times New Roman" w:cs="Times New Roman" w:eastAsia="Times New Roman" w:hAnsi="Times New Roman"/>
          <w:sz w:val="12"/>
          <w:szCs w:val="12"/>
          <w:u w:val="single" w:color="auto"/>
          <w:color w:val="auto"/>
        </w:rPr>
        <w:t>Qualification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Deadline</w:t>
      </w:r>
      <w:r>
        <w:rPr>
          <w:rFonts w:ascii="Times New Roman" w:cs="Times New Roman" w:eastAsia="Times New Roman" w:hAnsi="Times New Roman"/>
          <w:sz w:val="12"/>
          <w:szCs w:val="12"/>
          <w:color w:val="auto"/>
        </w:rPr>
        <w:t>”), file a registration statement on Form S-3 covering the Registrable Securities (or a post-effective amendment on Form S-3 to a registration statement on Form S-1) (a “</w:t>
      </w:r>
      <w:r>
        <w:rPr>
          <w:rFonts w:ascii="Times New Roman" w:cs="Times New Roman" w:eastAsia="Times New Roman" w:hAnsi="Times New Roman"/>
          <w:sz w:val="12"/>
          <w:szCs w:val="12"/>
          <w:u w:val="single" w:color="auto"/>
          <w:color w:val="auto"/>
        </w:rPr>
        <w:t>Shelf Registration Statement</w:t>
      </w:r>
      <w:r>
        <w:rPr>
          <w:rFonts w:ascii="Times New Roman" w:cs="Times New Roman" w:eastAsia="Times New Roman" w:hAnsi="Times New Roman"/>
          <w:sz w:val="12"/>
          <w:szCs w:val="12"/>
          <w:color w:val="auto"/>
        </w:rPr>
        <w:t>”) and use commercially reasonable efforts to cause such Shelf Registration Statement to be declared effective as promptly as practicable thereafter; provided that the Company shall maintain the effectiveness of the Registration Statement then in effect until such time as a Shelf Registration Statement covering the Registrable Securities has been declared effective by the SEC.</w:t>
      </w:r>
    </w:p>
    <w:p>
      <w:pPr>
        <w:spacing w:after="0" w:line="125" w:lineRule="exact"/>
        <w:rPr>
          <w:sz w:val="20"/>
          <w:szCs w:val="20"/>
          <w:color w:val="auto"/>
        </w:rPr>
      </w:pPr>
    </w:p>
    <w:p>
      <w:pPr>
        <w:ind w:right="120" w:firstLine="864"/>
        <w:spacing w:after="0" w:line="265" w:lineRule="auto"/>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u w:val="single" w:color="auto"/>
          <w:color w:val="auto"/>
        </w:rPr>
        <w:t>  Expenses</w:t>
      </w:r>
      <w:r>
        <w:rPr>
          <w:rFonts w:ascii="Times New Roman" w:cs="Times New Roman" w:eastAsia="Times New Roman" w:hAnsi="Times New Roman"/>
          <w:sz w:val="12"/>
          <w:szCs w:val="12"/>
          <w:color w:val="auto"/>
        </w:rPr>
        <w:t>. The Company will pay all expenses associated with each Registration Statement, including filing and printing fees, the Company’s counsel and accounting fees and expenses, costs associated with clearing the Registrable Securities for sale under applicable state securities laws and listing fees, but excluding discounts, commissions, fees of underwriters, selling brokers, dealer managers or similar securities industry professionals with respect to the Registrable Securities being sold.</w:t>
      </w:r>
    </w:p>
    <w:p>
      <w:pPr>
        <w:spacing w:after="0" w:line="1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(c)         </w:t>
      </w:r>
      <w:r>
        <w:rPr>
          <w:rFonts w:ascii="Times New Roman" w:cs="Times New Roman" w:eastAsia="Times New Roman" w:hAnsi="Times New Roman"/>
          <w:sz w:val="12"/>
          <w:szCs w:val="12"/>
          <w:u w:val="single" w:color="auto"/>
          <w:color w:val="auto"/>
        </w:rPr>
        <w:t>  Effectiveness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right="20" w:firstLine="1296"/>
        <w:spacing w:after="0" w:line="265" w:lineRule="auto"/>
        <w:rPr>
          <w:sz w:val="20"/>
          <w:szCs w:val="20"/>
          <w:color w:val="auto"/>
        </w:rPr>
      </w:pPr>
      <w:r>
        <w:rPr>
          <w:rFonts w:ascii="Times New Roman" w:cs="Times New Roman" w:eastAsia="Times New Roman" w:hAnsi="Times New Roman"/>
          <w:sz w:val="12"/>
          <w:szCs w:val="12"/>
          <w:color w:val="auto"/>
        </w:rPr>
        <w:t>(i)            The Company shall use commercially reasonable efforts to have each Registration Statement declared effective, if not automatically effective upon filing, as soon as reasonably practicable after such Registration Statement has been filed with the SEC. The Company shall notify the Investors by e-mail as promptly as practicable, and in any event, within twenty-four (24) hours, after any Registration Statement becomes or is declared effective and shall provide the Investors with copies of any related Prospectus to be used in connection with the sale or other disposition of the securities covered thereby.</w:t>
      </w:r>
    </w:p>
    <w:p>
      <w:pPr>
        <w:spacing w:after="0" w:line="119"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2"/>
          <w:szCs w:val="12"/>
          <w:color w:val="auto"/>
        </w:rPr>
        <w:t>(ii)           For not more than thirty (30) consecutive days or for a total of not more than ninety (90) days in any twelve (12) month period, the Company may suspend the use of any Prospectus included in any Registration Statement contemplated by this Section in the event that the Company determines in good faith that such suspension is necessary to (A) delay the disclosure of material nonpublic information concerning the Company, the disclosure of which at the time is not, in the good faith opinion of the Company, in the best interests of the Company or (B) amend or supplement the affected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(an “</w:t>
      </w:r>
      <w:r>
        <w:rPr>
          <w:rFonts w:ascii="Times New Roman" w:cs="Times New Roman" w:eastAsia="Times New Roman" w:hAnsi="Times New Roman"/>
          <w:sz w:val="12"/>
          <w:szCs w:val="12"/>
          <w:u w:val="single" w:color="auto"/>
          <w:color w:val="auto"/>
        </w:rPr>
        <w:t>Allowed Delay</w:t>
      </w:r>
      <w:r>
        <w:rPr>
          <w:rFonts w:ascii="Times New Roman" w:cs="Times New Roman" w:eastAsia="Times New Roman" w:hAnsi="Times New Roman"/>
          <w:sz w:val="12"/>
          <w:szCs w:val="12"/>
          <w:color w:val="auto"/>
        </w:rPr>
        <w:t>”); provided, that the Company shall promptly (a) notify each Investor in writing of the commencement of an Allowed Delay, but shall not (without the prior written consent of such Investor) disclose to such Investor any material nonpublic information giving rise to an Allowed Delay, (b) advise the Investors in writing to cease all sales under such Registration Statement until the end of the Allowed Delay and (c) use commercially reasonable efforts to terminate an Allowed Delay as promptly as practicable.</w:t>
      </w:r>
    </w:p>
    <w:p>
      <w:pPr>
        <w:spacing w:after="0" w:line="12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(d)         </w:t>
      </w:r>
      <w:r>
        <w:rPr>
          <w:rFonts w:ascii="Times New Roman" w:cs="Times New Roman" w:eastAsia="Times New Roman" w:hAnsi="Times New Roman"/>
          <w:sz w:val="12"/>
          <w:szCs w:val="12"/>
          <w:u w:val="single" w:color="auto"/>
          <w:color w:val="auto"/>
        </w:rPr>
        <w:t>  Effect of Failure to File and Obtain and Maintain Effectiveness of Registration Statement</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right="100" w:firstLine="1296"/>
        <w:spacing w:after="0" w:line="256" w:lineRule="auto"/>
        <w:rPr>
          <w:sz w:val="20"/>
          <w:szCs w:val="20"/>
          <w:color w:val="auto"/>
        </w:rPr>
      </w:pPr>
      <w:r>
        <w:rPr>
          <w:rFonts w:ascii="Times New Roman" w:cs="Times New Roman" w:eastAsia="Times New Roman" w:hAnsi="Times New Roman"/>
          <w:sz w:val="12"/>
          <w:szCs w:val="12"/>
          <w:color w:val="auto"/>
        </w:rPr>
        <w:t>(i)            If a Registration Statement covering the Registrable Securities is not filed with the SEC on or prior to the Filing Deadline, the Company will make pro rata payments to each Investor then holding Registrable Securities, as liquidated damages and not as a penalty (the “</w:t>
      </w:r>
      <w:r>
        <w:rPr>
          <w:rFonts w:ascii="Times New Roman" w:cs="Times New Roman" w:eastAsia="Times New Roman" w:hAnsi="Times New Roman"/>
          <w:sz w:val="12"/>
          <w:szCs w:val="12"/>
          <w:u w:val="single" w:color="auto"/>
          <w:color w:val="auto"/>
        </w:rPr>
        <w:t>Registration Liquidated Damages</w:t>
      </w:r>
      <w:r>
        <w:rPr>
          <w:rFonts w:ascii="Times New Roman" w:cs="Times New Roman" w:eastAsia="Times New Roman" w:hAnsi="Times New Roman"/>
          <w:sz w:val="12"/>
          <w:szCs w:val="12"/>
          <w:color w:val="auto"/>
        </w:rPr>
        <w:t>”), in an amount equal to one percent (1.0%) of the aggregate amount invested by such Investor in respect of their Registrable Securities for the initial day of failure to file such Registration Statement by the Filing Deadline and for each subsequent 30-day period (pro rata for any portion thereof) thereafter for which no such Registration Statement is filed with respect to the Registrable Securities. Such payments shall be made to each Investor then holding Registrable Securities in cash no later than ten (10) Business Days after the end of the date of the initial failure to file such Registration Statement by the Filing Deadline and each subsequent 30-day period (pro rata for any portion thereof) until such Registration Statement is filed with respect to the Registrable Securities. Interest shall accrue at the rate of one percent (1.0%) per month on any such liquidated damages payments that shall not be paid by the applicable payment date until such amount is paid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280670</wp:posOffset>
            </wp:positionV>
            <wp:extent cx="717804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1" w:right="319" w:bottom="1440" w:gutter="0" w:footer="0" w:header="0"/>
        </w:sectPr>
      </w:pPr>
    </w:p>
    <w:bookmarkStart w:id="67" w:name="page68"/>
    <w:bookmarkEnd w:id="67"/>
    <w:p>
      <w:pPr>
        <w:ind w:right="20" w:firstLine="1296"/>
        <w:spacing w:after="0" w:line="253" w:lineRule="auto"/>
        <w:rPr>
          <w:sz w:val="20"/>
          <w:szCs w:val="20"/>
          <w:color w:val="auto"/>
        </w:rPr>
      </w:pPr>
      <w:r>
        <w:rPr>
          <w:rFonts w:ascii="Times New Roman" w:cs="Times New Roman" w:eastAsia="Times New Roman" w:hAnsi="Times New Roman"/>
          <w:sz w:val="12"/>
          <w:szCs w:val="12"/>
          <w:color w:val="auto"/>
        </w:rPr>
        <w:t>(ii)           If (A) a Registration Statement covering the Registrable Securities is not automatically effective upon filing with the SEC or not declared effective by the SEC prior to the earlier of (i) five (5) Business Days after the SEC informs the Company that no review of such Registration Statement will be made or that the SEC has no further comments on such Registration Statement or (ii) the 60th day after the Closing Date (or the 90th day after the Closing Date if the SEC reviews such Registration Statement), or (B) after a Registration Statement has been declared effective by the SEC or otherwise becomes effective, sales cannot be made pursuant to such Registration Statement for any reason (including, without limitation, by reason of a stop order or the Company’s failure to update such Registration Statement), but excluding any Allowed Delay or the inability of any Investor to sell the Registrable Securities covered thereby due to market conditions (each of (A) and (B), a “</w:t>
      </w:r>
      <w:r>
        <w:rPr>
          <w:rFonts w:ascii="Times New Roman" w:cs="Times New Roman" w:eastAsia="Times New Roman" w:hAnsi="Times New Roman"/>
          <w:sz w:val="12"/>
          <w:szCs w:val="12"/>
          <w:u w:val="single" w:color="auto"/>
          <w:color w:val="auto"/>
        </w:rPr>
        <w:t>Maintenance Failure</w:t>
      </w:r>
      <w:r>
        <w:rPr>
          <w:rFonts w:ascii="Times New Roman" w:cs="Times New Roman" w:eastAsia="Times New Roman" w:hAnsi="Times New Roman"/>
          <w:sz w:val="12"/>
          <w:szCs w:val="12"/>
          <w:color w:val="auto"/>
        </w:rPr>
        <w:t>”), then the Company will make pro rata payments to each Investor then holding Registrable Securities, as liquidated damages and not as a penalty (the “</w:t>
      </w:r>
      <w:r>
        <w:rPr>
          <w:rFonts w:ascii="Times New Roman" w:cs="Times New Roman" w:eastAsia="Times New Roman" w:hAnsi="Times New Roman"/>
          <w:sz w:val="12"/>
          <w:szCs w:val="12"/>
          <w:u w:val="single" w:color="auto"/>
          <w:color w:val="auto"/>
        </w:rPr>
        <w:t>Effectiveness Liquidated Damages</w:t>
      </w:r>
      <w:r>
        <w:rPr>
          <w:rFonts w:ascii="Times New Roman" w:cs="Times New Roman" w:eastAsia="Times New Roman" w:hAnsi="Times New Roman"/>
          <w:sz w:val="12"/>
          <w:szCs w:val="12"/>
          <w:color w:val="auto"/>
        </w:rPr>
        <w:t>” and together with the Registration Liquidated Damages, the “</w:t>
      </w:r>
      <w:r>
        <w:rPr>
          <w:rFonts w:ascii="Times New Roman" w:cs="Times New Roman" w:eastAsia="Times New Roman" w:hAnsi="Times New Roman"/>
          <w:sz w:val="12"/>
          <w:szCs w:val="12"/>
          <w:u w:val="single" w:color="auto"/>
          <w:color w:val="auto"/>
        </w:rPr>
        <w:t>Liquidated Damages</w:t>
      </w:r>
      <w:r>
        <w:rPr>
          <w:rFonts w:ascii="Times New Roman" w:cs="Times New Roman" w:eastAsia="Times New Roman" w:hAnsi="Times New Roman"/>
          <w:sz w:val="12"/>
          <w:szCs w:val="12"/>
          <w:color w:val="auto"/>
        </w:rPr>
        <w:t>”), in an amount equal to one percent (1.0%) of the aggregate amount invested by such Investor for the Registrable Securities then held by such Investor for the initial day of a Maintenance Failure and for each 30-day period (pro rata for any portion thereof) thereafter until the Maintenance Failure is cured (each, a “</w:t>
      </w:r>
      <w:r>
        <w:rPr>
          <w:rFonts w:ascii="Times New Roman" w:cs="Times New Roman" w:eastAsia="Times New Roman" w:hAnsi="Times New Roman"/>
          <w:sz w:val="12"/>
          <w:szCs w:val="12"/>
          <w:u w:val="single" w:color="auto"/>
          <w:color w:val="auto"/>
        </w:rPr>
        <w:t>Blackout Period</w:t>
      </w:r>
      <w:r>
        <w:rPr>
          <w:rFonts w:ascii="Times New Roman" w:cs="Times New Roman" w:eastAsia="Times New Roman" w:hAnsi="Times New Roman"/>
          <w:sz w:val="12"/>
          <w:szCs w:val="12"/>
          <w:color w:val="auto"/>
        </w:rPr>
        <w:t>”). The Effectiveness Liquidated Damages shall be paid monthly within ten (10) Business Days of the end of the date of such Maintenance Failure and each subsequent 30-day period (pro rata for any portion thereof), as applicable. Such payments shall be made to each Investor then holding Registrable Securities in cash. Interest shall accrue at the rate of one percent (1.0%) per month on any such liquidated damages payments that shall not be paid by the applicable payment date until such amount is paid in full.</w:t>
      </w:r>
    </w:p>
    <w:p>
      <w:pPr>
        <w:spacing w:after="0" w:line="129" w:lineRule="exact"/>
        <w:rPr>
          <w:sz w:val="20"/>
          <w:szCs w:val="20"/>
          <w:color w:val="auto"/>
        </w:rPr>
      </w:pPr>
    </w:p>
    <w:p>
      <w:pPr>
        <w:ind w:right="140" w:firstLine="1296"/>
        <w:spacing w:after="0" w:line="257" w:lineRule="auto"/>
        <w:rPr>
          <w:sz w:val="20"/>
          <w:szCs w:val="20"/>
          <w:color w:val="auto"/>
        </w:rPr>
      </w:pPr>
      <w:r>
        <w:rPr>
          <w:rFonts w:ascii="Times New Roman" w:cs="Times New Roman" w:eastAsia="Times New Roman" w:hAnsi="Times New Roman"/>
          <w:sz w:val="12"/>
          <w:szCs w:val="12"/>
          <w:color w:val="auto"/>
        </w:rPr>
        <w:t>(iii)           The parties agree that (1) notwithstanding anything to the contrary herein or in the Purchase Agreement, no Liquidated Damages shall be payable with respect to any period after the expiration of the Effectiveness Period (it being understood that this sentence shall not relieve the Company of any Liquidated Damages accruing prior to the expiration of the Effectiveness Period), and in no event shall the aggregate amount of Liquidated Damages payable to an Investor exceed, in the aggregate, six percent (6.0%) of the aggregate purchase price paid by such Investor pursuant to the Purchase Agreement and (2) except with respect to (A) the initial day of failure to file a Registration Statement by the Filing Deadline and (B) the initial day of any Maintenance Failure, in no event shall the Company be liable in any thirty (30) day period for Liquidated Damages under this Agreement in excess of one percent (1.0%) of the aggregate purchase price paid by the Investors pursuant to the Purchase Agreement.</w:t>
      </w:r>
    </w:p>
    <w:p>
      <w:pPr>
        <w:spacing w:after="0" w:line="125" w:lineRule="exact"/>
        <w:rPr>
          <w:sz w:val="20"/>
          <w:szCs w:val="20"/>
          <w:color w:val="auto"/>
        </w:rPr>
      </w:pPr>
    </w:p>
    <w:p>
      <w:pPr>
        <w:jc w:val="both"/>
        <w:ind w:right="80" w:firstLine="1296"/>
        <w:spacing w:after="0" w:line="265" w:lineRule="auto"/>
        <w:rPr>
          <w:sz w:val="20"/>
          <w:szCs w:val="20"/>
          <w:color w:val="auto"/>
        </w:rPr>
      </w:pPr>
      <w:r>
        <w:rPr>
          <w:rFonts w:ascii="Times New Roman" w:cs="Times New Roman" w:eastAsia="Times New Roman" w:hAnsi="Times New Roman"/>
          <w:sz w:val="12"/>
          <w:szCs w:val="12"/>
          <w:color w:val="auto"/>
        </w:rPr>
        <w:t>(iv)          Notwithstanding the foregoing, the Company and the Investors agree that the Company will not be liable for any Liquidated Damages under this Section 2(d) with respect to any Registrable Securities prior to their issuance. The Liquidated Damages described in this Section 2(d) shall constitute the Investors’ exclusive monetary remedy for any failure to meet the Filing Deadline and for any Maintenance Failure, but shall not affect the right of the Investors to seek injunctive relief.</w:t>
      </w:r>
    </w:p>
    <w:p>
      <w:pPr>
        <w:spacing w:after="0" w:line="119" w:lineRule="exact"/>
        <w:rPr>
          <w:sz w:val="20"/>
          <w:szCs w:val="20"/>
          <w:color w:val="auto"/>
        </w:rPr>
      </w:pPr>
    </w:p>
    <w:p>
      <w:pPr>
        <w:ind w:firstLine="864"/>
        <w:spacing w:after="0" w:line="252" w:lineRule="auto"/>
        <w:rPr>
          <w:sz w:val="20"/>
          <w:szCs w:val="20"/>
          <w:color w:val="auto"/>
        </w:rPr>
      </w:pPr>
      <w:r>
        <w:rPr>
          <w:rFonts w:ascii="Times New Roman" w:cs="Times New Roman" w:eastAsia="Times New Roman" w:hAnsi="Times New Roman"/>
          <w:sz w:val="12"/>
          <w:szCs w:val="12"/>
          <w:color w:val="auto"/>
        </w:rPr>
        <w:t>(e)         </w:t>
      </w:r>
      <w:r>
        <w:rPr>
          <w:rFonts w:ascii="Times New Roman" w:cs="Times New Roman" w:eastAsia="Times New Roman" w:hAnsi="Times New Roman"/>
          <w:sz w:val="12"/>
          <w:szCs w:val="12"/>
          <w:u w:val="single" w:color="auto"/>
          <w:color w:val="auto"/>
        </w:rPr>
        <w:t>  Rule 415; Cutback</w:t>
      </w:r>
      <w:r>
        <w:rPr>
          <w:rFonts w:ascii="Times New Roman" w:cs="Times New Roman" w:eastAsia="Times New Roman" w:hAnsi="Times New Roman"/>
          <w:sz w:val="12"/>
          <w:szCs w:val="12"/>
          <w:color w:val="auto"/>
        </w:rPr>
        <w:t>. If at any time the SEC takes the position that the offering of some or all of the Registrable Securities in a Registration Statement is not eligible to be made on a delayed or continuous basis under the provisions of Rule 415 under the 1933 Act or requires any Investor to be named as an “underwriter,” the Company shall use commercially reasonable efforts to advocate before the SEC its reasonable position that the offering contemplated by such Registration Statement is a valid secondary offering and not an offering “by or on behalf of the issuer” as defined in Rule 415 and that none of the Investors is an “underwriter.” The Investors shall have the right to select one legal counsel to review and oversee any registration or matters pursuant to this Section 2(e), including participation in any meetings or discussions with the SEC regarding the SEC’s position and to comment on any written submission made to the SEC with respect thereto, which counsel shall be designated by the holders of a majority of the Registrable Securities. In the event that, despite the Company’s commercially reasonable efforts and compliance with the terms of this Section 2(e), the SEC does not alter its position, the Company shall (i) remove from such Registration Statement such portion of the Registrable Securities (the “</w:t>
      </w:r>
      <w:r>
        <w:rPr>
          <w:rFonts w:ascii="Times New Roman" w:cs="Times New Roman" w:eastAsia="Times New Roman" w:hAnsi="Times New Roman"/>
          <w:sz w:val="12"/>
          <w:szCs w:val="12"/>
          <w:u w:val="single" w:color="auto"/>
          <w:color w:val="auto"/>
        </w:rPr>
        <w:t>Cut Back Shares</w:t>
      </w:r>
      <w:r>
        <w:rPr>
          <w:rFonts w:ascii="Times New Roman" w:cs="Times New Roman" w:eastAsia="Times New Roman" w:hAnsi="Times New Roman"/>
          <w:sz w:val="12"/>
          <w:szCs w:val="12"/>
          <w:color w:val="auto"/>
        </w:rPr>
        <w:t>”) and/or (ii) agree to such restrictions and limitations on the registration and resale of the Registrable Securities as the SEC may require to assure the Company’s compliance with the requirements of Rule 415 (collectively, the “</w:t>
      </w:r>
      <w:r>
        <w:rPr>
          <w:rFonts w:ascii="Times New Roman" w:cs="Times New Roman" w:eastAsia="Times New Roman" w:hAnsi="Times New Roman"/>
          <w:sz w:val="12"/>
          <w:szCs w:val="12"/>
          <w:u w:val="single" w:color="auto"/>
          <w:color w:val="auto"/>
        </w:rPr>
        <w:t>SEC Restrictions</w:t>
      </w:r>
      <w:r>
        <w:rPr>
          <w:rFonts w:ascii="Times New Roman" w:cs="Times New Roman" w:eastAsia="Times New Roman" w:hAnsi="Times New Roman"/>
          <w:sz w:val="12"/>
          <w:szCs w:val="12"/>
          <w:color w:val="auto"/>
        </w:rPr>
        <w:t>”); provided, however, that the Company shall not agree to name any Investor as an “underwriter” in such Registration Statement without the prior written consent of such Investor. Any cut-back imposed on the Investors pursuant to this</w:t>
      </w:r>
    </w:p>
    <w:p>
      <w:pPr>
        <w:spacing w:after="0" w:line="4"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1"/>
          <w:szCs w:val="11"/>
          <w:color w:val="auto"/>
        </w:rPr>
        <w:t>Section 2(e) shall be allocated among the Investors on a pro rata basis and shall be applied first to any of the Registrable Securities of such Investor as such Investor shall designate, unless the SEC Restrictions otherwise require or provide or the Investors otherwise agree. No liquidated damages shall accrue as to any Cut Back Shares until such date as the Company is able to effect the registration of such Cut Back Shares in accordance with any SEC Restrictions applicable to such Cut Back Shares (such date, the “</w:t>
      </w:r>
      <w:r>
        <w:rPr>
          <w:rFonts w:ascii="Times New Roman" w:cs="Times New Roman" w:eastAsia="Times New Roman" w:hAnsi="Times New Roman"/>
          <w:sz w:val="11"/>
          <w:szCs w:val="11"/>
          <w:u w:val="single" w:color="auto"/>
          <w:color w:val="auto"/>
        </w:rPr>
        <w:t>Restriction Termination Date</w:t>
      </w:r>
      <w:r>
        <w:rPr>
          <w:rFonts w:ascii="Times New Roman" w:cs="Times New Roman" w:eastAsia="Times New Roman" w:hAnsi="Times New Roman"/>
          <w:sz w:val="11"/>
          <w:szCs w:val="11"/>
          <w:color w:val="auto"/>
        </w:rPr>
        <w:t>”). From and after the Restriction Termination Date applicable to any Cut Back Shares, all of the provisions of this Section 2 (including the Company’s obligations with respect to the filing of a Registration Statement and its obligations to use commercially reasonable efforts to have such Registration Statement declared effective within the time periods set forth herein and the liquidated damages provisions relating thereto) shall again be applicable to such Cut Back Shares; provided, however, that (i) the Filing Deadline and/or the Qualification Deadline, as applicable, for such Registration Statement including such Cut</w:t>
      </w:r>
    </w:p>
    <w:p>
      <w:pPr>
        <w:spacing w:after="0" w:line="1" w:lineRule="exact"/>
        <w:rPr>
          <w:sz w:val="20"/>
          <w:szCs w:val="20"/>
          <w:color w:val="auto"/>
        </w:rPr>
      </w:pPr>
    </w:p>
    <w:p>
      <w:pPr>
        <w:ind w:right="80"/>
        <w:spacing w:after="0" w:line="314" w:lineRule="auto"/>
        <w:rPr>
          <w:sz w:val="20"/>
          <w:szCs w:val="20"/>
          <w:color w:val="auto"/>
        </w:rPr>
      </w:pPr>
      <w:r>
        <w:rPr>
          <w:rFonts w:ascii="Times New Roman" w:cs="Times New Roman" w:eastAsia="Times New Roman" w:hAnsi="Times New Roman"/>
          <w:sz w:val="12"/>
          <w:szCs w:val="12"/>
          <w:color w:val="auto"/>
        </w:rPr>
        <w:t>Back Shares shall be ten (10) Business Days after such Restriction Termination Date, and (ii) the date by which the Company is required to obtain effectiveness with respect to such Cut Back Shares under Section 2(c) shall be the 60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day immediately after the Restriction Termination Date (or the 90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day if the SEC reviews such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207010</wp:posOffset>
            </wp:positionV>
            <wp:extent cx="717804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1" w:right="319" w:bottom="1440" w:gutter="0" w:footer="0" w:header="0"/>
        </w:sectPr>
      </w:pPr>
    </w:p>
    <w:bookmarkStart w:id="68" w:name="page69"/>
    <w:bookmarkEnd w:id="68"/>
    <w:p>
      <w:pPr>
        <w:ind w:left="420"/>
        <w:spacing w:after="0"/>
        <w:rPr>
          <w:sz w:val="20"/>
          <w:szCs w:val="20"/>
          <w:color w:val="auto"/>
        </w:rPr>
      </w:pPr>
      <w:r>
        <w:rPr>
          <w:rFonts w:ascii="Times New Roman" w:cs="Times New Roman" w:eastAsia="Times New Roman" w:hAnsi="Times New Roman"/>
          <w:sz w:val="12"/>
          <w:szCs w:val="12"/>
          <w:color w:val="auto"/>
        </w:rPr>
        <w:t>3.           </w:t>
      </w:r>
      <w:r>
        <w:rPr>
          <w:rFonts w:ascii="Times New Roman" w:cs="Times New Roman" w:eastAsia="Times New Roman" w:hAnsi="Times New Roman"/>
          <w:sz w:val="12"/>
          <w:szCs w:val="12"/>
          <w:u w:val="single" w:color="auto"/>
          <w:color w:val="auto"/>
        </w:rPr>
        <w:t>  Company Obligations</w:t>
      </w:r>
      <w:r>
        <w:rPr>
          <w:rFonts w:ascii="Times New Roman" w:cs="Times New Roman" w:eastAsia="Times New Roman" w:hAnsi="Times New Roman"/>
          <w:sz w:val="12"/>
          <w:szCs w:val="12"/>
          <w:color w:val="auto"/>
        </w:rPr>
        <w:t>. The Company will (a) use commercially reasonable efforts to effect the registration of the Registrable Securities in accordance with the terms hereof and (b) as expeditiously as possible:</w:t>
      </w:r>
    </w:p>
    <w:p>
      <w:pPr>
        <w:spacing w:after="0" w:line="150" w:lineRule="exact"/>
        <w:rPr>
          <w:sz w:val="20"/>
          <w:szCs w:val="20"/>
          <w:color w:val="auto"/>
        </w:rPr>
      </w:pPr>
    </w:p>
    <w:p>
      <w:pPr>
        <w:ind w:right="20" w:firstLine="864"/>
        <w:spacing w:after="0" w:line="265" w:lineRule="auto"/>
        <w:rPr>
          <w:sz w:val="20"/>
          <w:szCs w:val="20"/>
          <w:color w:val="auto"/>
        </w:rPr>
      </w:pPr>
      <w:r>
        <w:rPr>
          <w:rFonts w:ascii="Times New Roman" w:cs="Times New Roman" w:eastAsia="Times New Roman" w:hAnsi="Times New Roman"/>
          <w:sz w:val="12"/>
          <w:szCs w:val="12"/>
          <w:color w:val="auto"/>
        </w:rPr>
        <w:t>(a)           use commercially reasonable efforts to cause such Registration Statement to become effective (if not automatically effective upon filing) and to remain continuously effective for a period that will terminate upon the earlier of (i) the date on which all Registrable Securities covered by such Registration Statement, as amended from time to time, have been sold, and (ii) the date on which all Shares and Warrant Shares cease to be Registrable Securities (the “</w:t>
      </w:r>
      <w:r>
        <w:rPr>
          <w:rFonts w:ascii="Times New Roman" w:cs="Times New Roman" w:eastAsia="Times New Roman" w:hAnsi="Times New Roman"/>
          <w:sz w:val="12"/>
          <w:szCs w:val="12"/>
          <w:u w:val="single" w:color="auto"/>
          <w:color w:val="auto"/>
        </w:rPr>
        <w:t>Effectiveness Period</w:t>
      </w:r>
      <w:r>
        <w:rPr>
          <w:rFonts w:ascii="Times New Roman" w:cs="Times New Roman" w:eastAsia="Times New Roman" w:hAnsi="Times New Roman"/>
          <w:sz w:val="12"/>
          <w:szCs w:val="12"/>
          <w:color w:val="auto"/>
        </w:rPr>
        <w:t>”);</w:t>
      </w:r>
    </w:p>
    <w:p>
      <w:pPr>
        <w:spacing w:after="0" w:line="119" w:lineRule="exact"/>
        <w:rPr>
          <w:sz w:val="20"/>
          <w:szCs w:val="20"/>
          <w:color w:val="auto"/>
        </w:rPr>
      </w:pPr>
    </w:p>
    <w:p>
      <w:pPr>
        <w:ind w:right="120" w:firstLine="864"/>
        <w:spacing w:after="0" w:line="279" w:lineRule="auto"/>
        <w:rPr>
          <w:sz w:val="20"/>
          <w:szCs w:val="20"/>
          <w:color w:val="auto"/>
        </w:rPr>
      </w:pPr>
      <w:r>
        <w:rPr>
          <w:rFonts w:ascii="Times New Roman" w:cs="Times New Roman" w:eastAsia="Times New Roman" w:hAnsi="Times New Roman"/>
          <w:sz w:val="12"/>
          <w:szCs w:val="12"/>
          <w:color w:val="auto"/>
        </w:rPr>
        <w:t>(b)           prepare and file with the SEC such amendments and post-effective amendments to such Registration Statement and the related Prospectus as may be necessary to keep such Registration Statement effective for the Effectiveness Period and to comply with the provisions of the 1933 Act and the 1934 Act with respect to the distribution of all of the Registrable Securities covered thereby;</w:t>
      </w:r>
    </w:p>
    <w:p>
      <w:pPr>
        <w:spacing w:after="0" w:line="111" w:lineRule="exact"/>
        <w:rPr>
          <w:sz w:val="20"/>
          <w:szCs w:val="20"/>
          <w:color w:val="auto"/>
        </w:rPr>
      </w:pPr>
    </w:p>
    <w:p>
      <w:pPr>
        <w:ind w:right="420" w:firstLine="864"/>
        <w:spacing w:after="0" w:line="279" w:lineRule="auto"/>
        <w:rPr>
          <w:sz w:val="20"/>
          <w:szCs w:val="20"/>
          <w:color w:val="auto"/>
        </w:rPr>
      </w:pPr>
      <w:r>
        <w:rPr>
          <w:rFonts w:ascii="Times New Roman" w:cs="Times New Roman" w:eastAsia="Times New Roman" w:hAnsi="Times New Roman"/>
          <w:sz w:val="12"/>
          <w:szCs w:val="12"/>
          <w:color w:val="auto"/>
        </w:rPr>
        <w:t>(c)           provide copies to and permit each Investor to review each Registration Statement and all amendments and supplements thereto no fewer than two (2) days prior to their filing with the SEC and to furnish reasonable comments thereon;</w:t>
      </w:r>
    </w:p>
    <w:p>
      <w:pPr>
        <w:spacing w:after="0" w:line="111" w:lineRule="exact"/>
        <w:rPr>
          <w:sz w:val="20"/>
          <w:szCs w:val="20"/>
          <w:color w:val="auto"/>
        </w:rPr>
      </w:pPr>
    </w:p>
    <w:p>
      <w:pPr>
        <w:ind w:right="140" w:firstLine="864"/>
        <w:spacing w:after="0" w:line="257" w:lineRule="auto"/>
        <w:rPr>
          <w:sz w:val="20"/>
          <w:szCs w:val="20"/>
          <w:color w:val="auto"/>
        </w:rPr>
      </w:pPr>
      <w:r>
        <w:rPr>
          <w:rFonts w:ascii="Times New Roman" w:cs="Times New Roman" w:eastAsia="Times New Roman" w:hAnsi="Times New Roman"/>
          <w:sz w:val="12"/>
          <w:szCs w:val="12"/>
          <w:color w:val="auto"/>
        </w:rPr>
        <w:t>(d)           furnish to each Investor whose Registrable Securities are included in any Registration Statement (i) promptly after the same is prepared and filed with the SEC, if requested by the Investor, one (1) copy of any Registration Statement and any amendment thereto, each preliminary Prospectus and Prospectus and each amendment or supplement thereto, and each letter written by or on behalf of the Company to the SEC or the staff of the SEC, and each item of correspondence from the SEC or the staff of the SEC, in each case relating to such Registration Statement (other than any portion thereof which contains information for which the Company has sought confidential treatment), and (ii) such number of copies of a Prospectus, including a preliminary Prospectus, and all amendments and supplements thereto and such other documents as each Investor may reasonably request in order to facilitate the disposition of the Registrable Securities owned by such Investor that are covered by such Registration Statement;</w:t>
      </w:r>
    </w:p>
    <w:p>
      <w:pPr>
        <w:spacing w:after="0" w:line="125" w:lineRule="exact"/>
        <w:rPr>
          <w:sz w:val="20"/>
          <w:szCs w:val="20"/>
          <w:color w:val="auto"/>
        </w:rPr>
      </w:pPr>
    </w:p>
    <w:p>
      <w:pPr>
        <w:ind w:right="400" w:firstLine="864"/>
        <w:spacing w:after="0" w:line="279" w:lineRule="auto"/>
        <w:rPr>
          <w:sz w:val="20"/>
          <w:szCs w:val="20"/>
          <w:color w:val="auto"/>
        </w:rPr>
      </w:pPr>
      <w:r>
        <w:rPr>
          <w:rFonts w:ascii="Times New Roman" w:cs="Times New Roman" w:eastAsia="Times New Roman" w:hAnsi="Times New Roman"/>
          <w:sz w:val="12"/>
          <w:szCs w:val="12"/>
          <w:color w:val="auto"/>
        </w:rPr>
        <w:t>(e)           use commercially reasonable efforts to (i) prevent the issuance of any stop order or other suspension of effectiveness and, (ii) if such order is issued, obtain the withdrawal of any such order at the earliest practical moment;</w:t>
      </w:r>
    </w:p>
    <w:p>
      <w:pPr>
        <w:spacing w:after="0" w:line="111" w:lineRule="exact"/>
        <w:rPr>
          <w:sz w:val="20"/>
          <w:szCs w:val="20"/>
          <w:color w:val="auto"/>
        </w:rPr>
      </w:pPr>
    </w:p>
    <w:p>
      <w:pPr>
        <w:ind w:firstLine="864"/>
        <w:spacing w:after="0" w:line="257" w:lineRule="auto"/>
        <w:rPr>
          <w:sz w:val="20"/>
          <w:szCs w:val="20"/>
          <w:color w:val="auto"/>
        </w:rPr>
      </w:pPr>
      <w:r>
        <w:rPr>
          <w:rFonts w:ascii="Times New Roman" w:cs="Times New Roman" w:eastAsia="Times New Roman" w:hAnsi="Times New Roman"/>
          <w:sz w:val="12"/>
          <w:szCs w:val="12"/>
          <w:color w:val="auto"/>
        </w:rPr>
        <w:t>(f)            prior to any public offering of Registrable Securities, use commercially reasonable efforts to register or qualify or cooperate with the Investors and their counsel in connection with the registration or qualification of such Registrable Securities for the offer and sale under the securities or blue sky laws of such jurisdictions requested by the Investors and do any and all other commercially reasonable acts or things necessary or advisable to enable the distribution in such jurisdictions of the Registrable Securities covered by the Registration Statement; provided, however, that the Company shall not be required in connection therewith or as a condition thereto to (i) qualify to do business in any jurisdiction where it would not otherwise be required to qualify but for this Section 3(f), (ii) subject itself to general taxation in any jurisdiction where it would not otherwise be so subject but for this Section 3(f), or (iii) file a general consent to service of process in any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280670</wp:posOffset>
            </wp:positionV>
            <wp:extent cx="717804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1" w:right="319" w:bottom="1440" w:gutter="0" w:footer="0" w:header="0"/>
        </w:sectPr>
      </w:pPr>
    </w:p>
    <w:bookmarkStart w:id="69" w:name="page70"/>
    <w:bookmarkEnd w:id="69"/>
    <w:p>
      <w:pPr>
        <w:ind w:right="140" w:firstLine="864"/>
        <w:spacing w:after="0" w:line="279" w:lineRule="auto"/>
        <w:rPr>
          <w:sz w:val="20"/>
          <w:szCs w:val="20"/>
          <w:color w:val="auto"/>
        </w:rPr>
      </w:pPr>
      <w:r>
        <w:rPr>
          <w:rFonts w:ascii="Times New Roman" w:cs="Times New Roman" w:eastAsia="Times New Roman" w:hAnsi="Times New Roman"/>
          <w:sz w:val="12"/>
          <w:szCs w:val="12"/>
          <w:color w:val="auto"/>
        </w:rPr>
        <w:t>(g)           use commercially reasonable efforts to cause all Registrable Securities covered by a Registration Statement to be listed on The Nasdaq Capital Market (or the primary securities exchange, interdealer quotation system or other market on which similar securities issued by the Company are then listed);</w:t>
      </w:r>
    </w:p>
    <w:p>
      <w:pPr>
        <w:spacing w:after="0" w:line="111" w:lineRule="exact"/>
        <w:rPr>
          <w:sz w:val="20"/>
          <w:szCs w:val="20"/>
          <w:color w:val="auto"/>
        </w:rPr>
      </w:pPr>
    </w:p>
    <w:p>
      <w:pPr>
        <w:ind w:right="40" w:firstLine="864"/>
        <w:spacing w:after="0" w:line="257" w:lineRule="auto"/>
        <w:rPr>
          <w:sz w:val="20"/>
          <w:szCs w:val="20"/>
          <w:color w:val="auto"/>
        </w:rPr>
      </w:pPr>
      <w:r>
        <w:rPr>
          <w:rFonts w:ascii="Times New Roman" w:cs="Times New Roman" w:eastAsia="Times New Roman" w:hAnsi="Times New Roman"/>
          <w:sz w:val="12"/>
          <w:szCs w:val="12"/>
          <w:color w:val="auto"/>
        </w:rPr>
        <w:t>(h)           promptly notify the Investors, at any time prior to the end of the Effectiveness Period, upon discovery that, or upon the happening of any event as a result of which, the Prospectus includes an untrue statement of a material fact or omits to state any material fact required to be stated therein or necessary to make the statements therein not misleading in light of the circumstances then existing (provided that such notice shall not, without the prior written consent of an Investor, disclose to such Investor any material nonpublic information regarding the Company), and promptly prepare, file with the SEC and furnish to such holder a supplement to or an amendment of such Prospectus as may be necessary so that such Prospectus shall not include an untrue statement of a material fact or omit to state a material fact required to be stated therein or necessary to make the statements therein not misleading in light of the circumstances then existing;</w:t>
      </w:r>
    </w:p>
    <w:p>
      <w:pPr>
        <w:spacing w:after="0" w:line="125" w:lineRule="exact"/>
        <w:rPr>
          <w:sz w:val="20"/>
          <w:szCs w:val="20"/>
          <w:color w:val="auto"/>
        </w:rPr>
      </w:pPr>
    </w:p>
    <w:p>
      <w:pPr>
        <w:ind w:firstLine="864"/>
        <w:spacing w:after="0" w:line="255" w:lineRule="auto"/>
        <w:rPr>
          <w:sz w:val="20"/>
          <w:szCs w:val="20"/>
          <w:color w:val="auto"/>
        </w:rPr>
      </w:pPr>
      <w:r>
        <w:rPr>
          <w:rFonts w:ascii="Times New Roman" w:cs="Times New Roman" w:eastAsia="Times New Roman" w:hAnsi="Times New Roman"/>
          <w:sz w:val="12"/>
          <w:szCs w:val="12"/>
          <w:color w:val="auto"/>
        </w:rPr>
        <w:t>(i)            otherwise use commercially reasonable efforts to comply with all applicable rules and regulations of the SEC under the 1933 Act and the 1934 Act, including, without limitation, Rule 172 under the 1933 Act, file any final Prospectus, including any supplement or amendment thereof, with the SEC pursuant to Rule 424 under the 1933 Act, promptly inform the Investors in writing if, at any time during the Effectiveness Period, the Company does not satisfy the conditions specified in Rule 172 and, as a result thereof, the Investors are required to deliver a Prospectus in connection with any disposition of Registrable Securities and take such other actions as may be reasonably necessary to facilitate the registration of the Registrable Securities hereunder; and make available to its security holders, as soon as reasonably practicable, but not later than the Availability Date (as defined below), an earnings statement covering a period of at least twelve (12) months, beginning after the effective date of each Registration Statement, which earnings statement shall satisfy the provisions of Section 11(a) of the 1933 Act, including Rule 158 promulgated thereunder (for the purpose of this subsection 3(i), “</w:t>
      </w:r>
      <w:r>
        <w:rPr>
          <w:rFonts w:ascii="Times New Roman" w:cs="Times New Roman" w:eastAsia="Times New Roman" w:hAnsi="Times New Roman"/>
          <w:sz w:val="12"/>
          <w:szCs w:val="12"/>
          <w:u w:val="single" w:color="auto"/>
          <w:color w:val="auto"/>
        </w:rPr>
        <w:t>Availability Date</w:t>
      </w:r>
      <w:r>
        <w:rPr>
          <w:rFonts w:ascii="Times New Roman" w:cs="Times New Roman" w:eastAsia="Times New Roman" w:hAnsi="Times New Roman"/>
          <w:sz w:val="12"/>
          <w:szCs w:val="12"/>
          <w:color w:val="auto"/>
        </w:rPr>
        <w:t>” means the 45th day following the end of the fourth fiscal quarter that includes the effective date of such Registration Statement, except that, if such fourth fiscal quarter is the last quarter of the Company’s fiscal year, “</w:t>
      </w:r>
      <w:r>
        <w:rPr>
          <w:rFonts w:ascii="Times New Roman" w:cs="Times New Roman" w:eastAsia="Times New Roman" w:hAnsi="Times New Roman"/>
          <w:sz w:val="12"/>
          <w:szCs w:val="12"/>
          <w:u w:val="single" w:color="auto"/>
          <w:color w:val="auto"/>
        </w:rPr>
        <w:t>Availability Date</w:t>
      </w:r>
      <w:r>
        <w:rPr>
          <w:rFonts w:ascii="Times New Roman" w:cs="Times New Roman" w:eastAsia="Times New Roman" w:hAnsi="Times New Roman"/>
          <w:sz w:val="12"/>
          <w:szCs w:val="12"/>
          <w:color w:val="auto"/>
        </w:rPr>
        <w:t>” means the 90th day after the end of such fourth fiscal quarter);</w:t>
      </w:r>
    </w:p>
    <w:p>
      <w:pPr>
        <w:spacing w:after="0" w:line="126" w:lineRule="exact"/>
        <w:rPr>
          <w:sz w:val="20"/>
          <w:szCs w:val="20"/>
          <w:color w:val="auto"/>
        </w:rPr>
      </w:pPr>
    </w:p>
    <w:p>
      <w:pPr>
        <w:ind w:right="40" w:firstLine="864"/>
        <w:spacing w:after="0" w:line="257" w:lineRule="auto"/>
        <w:rPr>
          <w:sz w:val="20"/>
          <w:szCs w:val="20"/>
          <w:color w:val="auto"/>
        </w:rPr>
      </w:pPr>
      <w:r>
        <w:rPr>
          <w:rFonts w:ascii="Times New Roman" w:cs="Times New Roman" w:eastAsia="Times New Roman" w:hAnsi="Times New Roman"/>
          <w:sz w:val="12"/>
          <w:szCs w:val="12"/>
          <w:color w:val="auto"/>
        </w:rPr>
        <w:t>(j)            if requested by an Investor, (i) as soon as reasonably practicable, incorporate in a prospectus supplement or post-effective amendment such information as such Investor reasonably requests to be included therein relating to the sale and distribution of Registrable Securities, including, without limitation, information with respect to the number of Registrable Securities being offered or sold, the purchase price being paid therefor and any other terms of the offering of the Registrable Securities to be sold in such offering; (ii) as soon as reasonably practicable, make all required filings of such prospectus supplement or post-effective amendment after being notified of the matters to be incorporated in such prospectus supplement or post-effective amendment; and (iii) as soon as reasonably practicable, supplement or make amendments to any Registration Statement if reasonably requested by such Investor holding any Registrable Securities;</w:t>
      </w:r>
    </w:p>
    <w:p>
      <w:pPr>
        <w:spacing w:after="0" w:line="125" w:lineRule="exact"/>
        <w:rPr>
          <w:sz w:val="20"/>
          <w:szCs w:val="20"/>
          <w:color w:val="auto"/>
        </w:rPr>
      </w:pPr>
    </w:p>
    <w:p>
      <w:pPr>
        <w:ind w:right="140" w:firstLine="864"/>
        <w:spacing w:after="0" w:line="279" w:lineRule="auto"/>
        <w:rPr>
          <w:sz w:val="20"/>
          <w:szCs w:val="20"/>
          <w:color w:val="auto"/>
        </w:rPr>
      </w:pPr>
      <w:r>
        <w:rPr>
          <w:rFonts w:ascii="Times New Roman" w:cs="Times New Roman" w:eastAsia="Times New Roman" w:hAnsi="Times New Roman"/>
          <w:sz w:val="12"/>
          <w:szCs w:val="12"/>
          <w:color w:val="auto"/>
        </w:rPr>
        <w:t>(k)           within two (2) Business Days after a Registration Statement which covers Registrable Securities is ordered effective by the SEC (if not automatically effective upon filing), deliver to the transfer agent for such Registrable Securities (with copies to the Investors whose Registrable Securities are included in such Registration Statement) confirmation that such Registration Statement has been declared effective by the SEC; and</w:t>
      </w:r>
    </w:p>
    <w:p>
      <w:pPr>
        <w:spacing w:after="0" w:line="111" w:lineRule="exact"/>
        <w:rPr>
          <w:sz w:val="20"/>
          <w:szCs w:val="20"/>
          <w:color w:val="auto"/>
        </w:rPr>
      </w:pPr>
    </w:p>
    <w:p>
      <w:pPr>
        <w:ind w:right="120" w:firstLine="864"/>
        <w:spacing w:after="0" w:line="255" w:lineRule="auto"/>
        <w:rPr>
          <w:sz w:val="20"/>
          <w:szCs w:val="20"/>
          <w:color w:val="auto"/>
        </w:rPr>
      </w:pPr>
      <w:r>
        <w:rPr>
          <w:rFonts w:ascii="Times New Roman" w:cs="Times New Roman" w:eastAsia="Times New Roman" w:hAnsi="Times New Roman"/>
          <w:sz w:val="12"/>
          <w:szCs w:val="12"/>
          <w:color w:val="auto"/>
        </w:rPr>
        <w:t>(l)            with a view to making available to the Investors the benefits of Rule 144 (or its successor rule) and any other rule or regulation of the SEC that may at any time permit the Investors to sell shares of Common Stock to the public without registration, covenant and agree to: (i) make and keep adequate current public information available, as those terms are understood and defined in Rule 144, until the earlier of (A) six months after such date as all of the Registrable Securities may be sold without restriction by the holders thereof pursuant to Rule 144 or any other rule of similar effect or (B) such date as all of the Registrable Securities shall have been resold or shall have otherwise ceased to be Registrable Securities; (ii) file with the SEC in a timely manner all reports and other documents required of the Company under the 1934 Act; and (iii) furnish to each Investor upon request, as long as such Investor owns any Registrable Securities, (A) a written statement by the Company that it has complied with the reporting requirements of the 1934 Act, (B) a copy of the Company’s most recent Annual Report on Form 10-K or Quarterly Report on Form 10-Q, and (C) such other information as may be reasonably requested in order to avail such Investor of any rule or regulation of the SEC that permits the selling of any such Registrable Securities without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281305</wp:posOffset>
            </wp:positionV>
            <wp:extent cx="717804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70" w:name="page71"/>
    <w:bookmarkEnd w:id="70"/>
    <w:p>
      <w:pPr>
        <w:ind w:firstLine="432"/>
        <w:spacing w:after="0" w:line="254" w:lineRule="auto"/>
        <w:rPr>
          <w:sz w:val="20"/>
          <w:szCs w:val="20"/>
          <w:color w:val="auto"/>
        </w:rPr>
      </w:pPr>
      <w:r>
        <w:rPr>
          <w:rFonts w:ascii="Times New Roman" w:cs="Times New Roman" w:eastAsia="Times New Roman" w:hAnsi="Times New Roman"/>
          <w:sz w:val="12"/>
          <w:szCs w:val="12"/>
          <w:color w:val="auto"/>
        </w:rPr>
        <w:t>4.           </w:t>
      </w:r>
      <w:r>
        <w:rPr>
          <w:rFonts w:ascii="Times New Roman" w:cs="Times New Roman" w:eastAsia="Times New Roman" w:hAnsi="Times New Roman"/>
          <w:sz w:val="12"/>
          <w:szCs w:val="12"/>
          <w:u w:val="single" w:color="auto"/>
          <w:color w:val="auto"/>
        </w:rPr>
        <w:t>  Due Diligence Review; Information</w:t>
      </w:r>
      <w:r>
        <w:rPr>
          <w:rFonts w:ascii="Times New Roman" w:cs="Times New Roman" w:eastAsia="Times New Roman" w:hAnsi="Times New Roman"/>
          <w:sz w:val="12"/>
          <w:szCs w:val="12"/>
          <w:color w:val="auto"/>
        </w:rPr>
        <w:t>. The Company shall, upon reasonable prior notice, make available, during normal business hours and for reasonable periods, for inspection and review by the Investors, and advisors to and representatives of the Investors (who may or may not be affiliated with the Investors and who are reasonably acceptable to the Company) (collectively, the “</w:t>
      </w:r>
      <w:r>
        <w:rPr>
          <w:rFonts w:ascii="Times New Roman" w:cs="Times New Roman" w:eastAsia="Times New Roman" w:hAnsi="Times New Roman"/>
          <w:sz w:val="12"/>
          <w:szCs w:val="12"/>
          <w:u w:val="single" w:color="auto"/>
          <w:color w:val="auto"/>
        </w:rPr>
        <w:t>Inspectors</w:t>
      </w:r>
      <w:r>
        <w:rPr>
          <w:rFonts w:ascii="Times New Roman" w:cs="Times New Roman" w:eastAsia="Times New Roman" w:hAnsi="Times New Roman"/>
          <w:sz w:val="12"/>
          <w:szCs w:val="12"/>
          <w:color w:val="auto"/>
        </w:rPr>
        <w:t>”), all pertinent financial and other records, and all other pertinent corporate documents and properties of the Company (collectively, the “</w:t>
      </w:r>
      <w:r>
        <w:rPr>
          <w:rFonts w:ascii="Times New Roman" w:cs="Times New Roman" w:eastAsia="Times New Roman" w:hAnsi="Times New Roman"/>
          <w:sz w:val="12"/>
          <w:szCs w:val="12"/>
          <w:u w:val="single" w:color="auto"/>
          <w:color w:val="auto"/>
        </w:rPr>
        <w:t>Records</w:t>
      </w:r>
      <w:r>
        <w:rPr>
          <w:rFonts w:ascii="Times New Roman" w:cs="Times New Roman" w:eastAsia="Times New Roman" w:hAnsi="Times New Roman"/>
          <w:sz w:val="12"/>
          <w:szCs w:val="12"/>
          <w:color w:val="auto"/>
        </w:rPr>
        <w:t>”), as may be reasonably necessary for the purpose of such review, and cause the Company’s officers, directors and employees, within a reasonable time period, to supply all such information reasonably requested by the Inspectors (including, without limitation, in response to all questions and other inquiries reasonably made or submitted by any of them), prior to and from time to time after the filing and effectiveness of such Registration Statement for the sole purpose of enabling the Investors and their accountants and attorneys to conduct initial and ongoing due diligence with respect to the Company and the accuracy of such Registration Statement; provided, however, that each Inspector shall have agreed in writing to hold in strict confidence and to not make any disclosure (except to such Investor) or use of any Record or other information which the Company determines in good faith to be confidential, and of which determination the Inspectors are so notified, unless (a) the disclosure of such Records is necessary to avoid or correct a misstatement or omission in any Registration Statement or is otherwise required under the 1933 Act, (b) the release of such Records is ordered pursuant to a final, non-appealable subpoena or order from a court or government body of competent jurisdiction, or (c) the information in such Records has been made generally available to the public other than by disclosure in violation of this Section 4 or any other Transaction Document.</w:t>
      </w:r>
    </w:p>
    <w:p>
      <w:pPr>
        <w:spacing w:after="0" w:line="126" w:lineRule="exact"/>
        <w:rPr>
          <w:sz w:val="20"/>
          <w:szCs w:val="20"/>
          <w:color w:val="auto"/>
        </w:rPr>
      </w:pPr>
    </w:p>
    <w:p>
      <w:pPr>
        <w:ind w:firstLine="432"/>
        <w:spacing w:after="0" w:line="265" w:lineRule="auto"/>
        <w:rPr>
          <w:sz w:val="20"/>
          <w:szCs w:val="20"/>
          <w:color w:val="auto"/>
        </w:rPr>
      </w:pPr>
      <w:r>
        <w:rPr>
          <w:rFonts w:ascii="Times New Roman" w:cs="Times New Roman" w:eastAsia="Times New Roman" w:hAnsi="Times New Roman"/>
          <w:sz w:val="12"/>
          <w:szCs w:val="12"/>
          <w:color w:val="auto"/>
        </w:rPr>
        <w:t>Notwithstanding the foregoing, the Company shall not disclose material nonpublic information to the Investors, or to advisors to or representatives of the Investors, unless prior to the disclosure of such information the Company identifies such information as being material nonpublic information and provides the Investors, such advisors and such representatives with the opportunity to accept or refuse to accept such material nonpublic information for review and any Investor wishing to obtain such information enters into an appropriate confidentiality and non-use agreement with the Company with respect thereto.</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5.           </w:t>
      </w:r>
      <w:r>
        <w:rPr>
          <w:rFonts w:ascii="Times New Roman" w:cs="Times New Roman" w:eastAsia="Times New Roman" w:hAnsi="Times New Roman"/>
          <w:sz w:val="12"/>
          <w:szCs w:val="12"/>
          <w:u w:val="single" w:color="auto"/>
          <w:color w:val="auto"/>
        </w:rPr>
        <w:t>  Obligations of the Investors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right="20" w:firstLine="864"/>
        <w:spacing w:after="0" w:line="257" w:lineRule="auto"/>
        <w:rPr>
          <w:sz w:val="20"/>
          <w:szCs w:val="20"/>
          <w:color w:val="auto"/>
        </w:rPr>
      </w:pPr>
      <w:r>
        <w:rPr>
          <w:rFonts w:ascii="Times New Roman" w:cs="Times New Roman" w:eastAsia="Times New Roman" w:hAnsi="Times New Roman"/>
          <w:sz w:val="12"/>
          <w:szCs w:val="12"/>
          <w:color w:val="auto"/>
        </w:rPr>
        <w:t xml:space="preserve">(a)           Each Investor shall furnish in writing to the Company such information regarding itself, the Registrable Securities held by it and the intended method of disposition of the Registrable Securities held by it, as shall be reasonably required to effect the registration of such Registrable Securities, and shall execute such documents in connection with such registration as the Company may reasonably request. At least five (5) Business Days prior to the first anticipated filing date of any Registration Statement, the Company shall notify each Investor of the information the Company requires from such Investor if such Investor elects to have any of the Registrable Securities included in such Registration Statement. An Investor shall provide such information, including but not limited to a completed questionnaire substantially in the form of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to the Company at least three (3) Business Days prior to the first anticipated filing date of such Registration Statement if such Investor elects to have any of the Registrable Securities included in such Registration Statement.</w:t>
      </w:r>
    </w:p>
    <w:p>
      <w:pPr>
        <w:spacing w:after="0" w:line="125" w:lineRule="exact"/>
        <w:rPr>
          <w:sz w:val="20"/>
          <w:szCs w:val="20"/>
          <w:color w:val="auto"/>
        </w:rPr>
      </w:pPr>
    </w:p>
    <w:p>
      <w:pPr>
        <w:ind w:right="300" w:firstLine="864"/>
        <w:spacing w:after="0" w:line="279" w:lineRule="auto"/>
        <w:rPr>
          <w:sz w:val="20"/>
          <w:szCs w:val="20"/>
          <w:color w:val="auto"/>
        </w:rPr>
      </w:pPr>
      <w:r>
        <w:rPr>
          <w:rFonts w:ascii="Times New Roman" w:cs="Times New Roman" w:eastAsia="Times New Roman" w:hAnsi="Times New Roman"/>
          <w:sz w:val="12"/>
          <w:szCs w:val="12"/>
          <w:color w:val="auto"/>
        </w:rPr>
        <w:t>(b)           Each Investor, by its acceptance of the Registrable Securities, agrees to cooperate with the Company as reasonably requested by the Company in connection with the preparation and filing of a Registration Statement hereunder, unless such Investor has notified the Company in writing of its election to exclude all of its Registrable Securities from such Registration Statement.</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(c)           Each Investor agrees that, upon receipt of any notice from the Company of either (i) the commencement of an Allowed Delay pursuant to Section 2(c)(ii) or (ii) the happening of an event pursuant to</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Section 3(h) hereof, such Investor will immediately discontinue disposition of Registrable Securities pursuant to any Registration Statement covering such Registrable Securities, until the Investor is advised by the Company that such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dispositions may again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289560</wp:posOffset>
            </wp:positionV>
            <wp:extent cx="717804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1" w:right="319" w:bottom="1440" w:gutter="0" w:footer="0" w:header="0"/>
        </w:sectPr>
      </w:pPr>
    </w:p>
    <w:bookmarkStart w:id="71" w:name="page72"/>
    <w:bookmarkEnd w:id="71"/>
    <w:p>
      <w:pPr>
        <w:ind w:right="120" w:firstLine="864"/>
        <w:spacing w:after="0" w:line="279" w:lineRule="auto"/>
        <w:rPr>
          <w:sz w:val="20"/>
          <w:szCs w:val="20"/>
          <w:color w:val="auto"/>
        </w:rPr>
      </w:pPr>
      <w:r>
        <w:rPr>
          <w:rFonts w:ascii="Times New Roman" w:cs="Times New Roman" w:eastAsia="Times New Roman" w:hAnsi="Times New Roman"/>
          <w:sz w:val="12"/>
          <w:szCs w:val="12"/>
          <w:color w:val="auto"/>
        </w:rPr>
        <w:t>(d)           Each Investor covenants and agrees that it will comply with the prospectus delivery requirements of the 1933 Act as applicable to it or an exemption therefrom in connection with sales of Registrable Securities pursuant to any Registration Statement.</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6.           </w:t>
      </w:r>
      <w:r>
        <w:rPr>
          <w:rFonts w:ascii="Times New Roman" w:cs="Times New Roman" w:eastAsia="Times New Roman" w:hAnsi="Times New Roman"/>
          <w:sz w:val="12"/>
          <w:szCs w:val="12"/>
          <w:u w:val="single" w:color="auto"/>
          <w:color w:val="auto"/>
        </w:rPr>
        <w:t>  Indemnification</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right="40" w:firstLine="864"/>
        <w:spacing w:after="0" w:line="253" w:lineRule="auto"/>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  Indemnification by the Company</w:t>
      </w:r>
      <w:r>
        <w:rPr>
          <w:rFonts w:ascii="Times New Roman" w:cs="Times New Roman" w:eastAsia="Times New Roman" w:hAnsi="Times New Roman"/>
          <w:sz w:val="12"/>
          <w:szCs w:val="12"/>
          <w:color w:val="auto"/>
        </w:rPr>
        <w:t>. The Company will indemnify and hold harmless each Investor and its officers, directors, members, employees and agents, and each other person, if any, who controls such Investor within the meaning of the 1933 Act, against any losses, claims, damages or liabilities, joint or several, to which they may become subject under the 1933 Act or otherwise, insofar as such losses, claims, damages or liabilities (or actions in respect thereof) arise out of or are based upon (i) any untrue statement or alleged untrue statement or omission or alleged omission of any material fact contained in any Registration Statement, any preliminary Prospectus or final Prospectus, or any amendment or supplement thereof or (ii) any violation by the Company or its agents of any rule or regulation promulgated under the 1933 Act applicable to the Company or its agents and relating to action or inaction required of the Company in connection with such registration, and will reimburse such Investor, and each such officer, director, member, employee, agent and each such controlling person for any legal or other documented, out-of-pocket expenses reasonably incurred by them in connection with investigating, defending or participating as witness with respect to any such loss, claim, damage or liability (or action in respect thereof); provided, however, that the Company will not be liable in any such case if and to the extent that any such loss, claim, damage or liability arises out of or is based upon (i) an untrue statement or alleged untrue statement or omission or alleged omission so made in conformity with information furnished by such Investor or any such controlling person in writing specifically for use in such Registration Statement or Prospectus; (ii) the use by such Investor of an outdated or defective Prospectus after the Company has notified such Investor in writing that such Prospectus is outdated or defective; (iii) such Investor’s failure to send or give a copy of the Prospectus or supplement (as then amended or supplemented), if required (and not satisfied by filing thereof pursuant to Rule 172 under the 1933 Act or otherwise exempted) to the Persons asserting an untrue statement or omission or alleged untrue statement or omission at or prior to the written confirmation of the sale of Registrable Securities; or (iv) such Investor’s gross negligence, fraud or willful misconduct.</w:t>
      </w:r>
    </w:p>
    <w:p>
      <w:pPr>
        <w:spacing w:after="0" w:line="128" w:lineRule="exact"/>
        <w:rPr>
          <w:sz w:val="20"/>
          <w:szCs w:val="20"/>
          <w:color w:val="auto"/>
        </w:rPr>
      </w:pPr>
    </w:p>
    <w:p>
      <w:pPr>
        <w:ind w:right="40" w:firstLine="864"/>
        <w:spacing w:after="0" w:line="254" w:lineRule="auto"/>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u w:val="single" w:color="auto"/>
          <w:color w:val="auto"/>
        </w:rPr>
        <w:t>  Indemnification by the Investors</w:t>
      </w:r>
      <w:r>
        <w:rPr>
          <w:rFonts w:ascii="Times New Roman" w:cs="Times New Roman" w:eastAsia="Times New Roman" w:hAnsi="Times New Roman"/>
          <w:sz w:val="12"/>
          <w:szCs w:val="12"/>
          <w:color w:val="auto"/>
        </w:rPr>
        <w:t>. Each Investor agrees, severally but not jointly, to indemnify and hold harmless, to the fullest extent permitted by law, the Company, its directors, officers, employees, stockholders and each person who controls the Company (within the meaning of the 1933 Act) against any losses, claims, damages, liabilities and expense (including reasonable attorney fees) resulting from any untrue statement of a material fact or any omission of a material fact required to be stated in any Registration Statement or Prospectus or preliminary Prospectus or amendment or supplement thereto or necessary to make the statements therein not misleading, to the extent, but only to the extent that such untrue statement or omission is contained in any information furnished in writing by such Investor to the Company specifically for inclusion in such Registration Statement or Prospectus or amendment or supplement thereto. Except to the extent that any such losses, claims, damages, liabilities or expenses are finally judicially determined to have resulted from such Investor’s gross negligence, fraud or willful misconduct, in no event shall the liability of such Investor be greater in amount than the dollar amount of the proceeds (net of all expenses paid by such Investor in connection with any claim relating to this Section 6 and the amount of any damages such Investor has otherwise been required to pay by reason of such untrue statement or omission) received by such Investor upon the sale of the Registrable Securities included in such Registration Statement giving rise to such indemnification obligation.</w:t>
      </w:r>
    </w:p>
    <w:p>
      <w:pPr>
        <w:spacing w:after="0" w:line="128" w:lineRule="exact"/>
        <w:rPr>
          <w:sz w:val="20"/>
          <w:szCs w:val="20"/>
          <w:color w:val="auto"/>
        </w:rPr>
      </w:pPr>
    </w:p>
    <w:p>
      <w:pPr>
        <w:ind w:firstLine="864"/>
        <w:spacing w:after="0" w:line="253" w:lineRule="auto"/>
        <w:rPr>
          <w:sz w:val="20"/>
          <w:szCs w:val="20"/>
          <w:color w:val="auto"/>
        </w:rPr>
      </w:pPr>
      <w:r>
        <w:rPr>
          <w:rFonts w:ascii="Times New Roman" w:cs="Times New Roman" w:eastAsia="Times New Roman" w:hAnsi="Times New Roman"/>
          <w:sz w:val="12"/>
          <w:szCs w:val="12"/>
          <w:color w:val="auto"/>
        </w:rPr>
        <w:t>(c)         </w:t>
      </w:r>
      <w:r>
        <w:rPr>
          <w:rFonts w:ascii="Times New Roman" w:cs="Times New Roman" w:eastAsia="Times New Roman" w:hAnsi="Times New Roman"/>
          <w:sz w:val="12"/>
          <w:szCs w:val="12"/>
          <w:u w:val="single" w:color="auto"/>
          <w:color w:val="auto"/>
        </w:rPr>
        <w:t>  Conduct of Indemnification Proceedings</w:t>
      </w:r>
      <w:r>
        <w:rPr>
          <w:rFonts w:ascii="Times New Roman" w:cs="Times New Roman" w:eastAsia="Times New Roman" w:hAnsi="Times New Roman"/>
          <w:sz w:val="12"/>
          <w:szCs w:val="12"/>
          <w:color w:val="auto"/>
        </w:rPr>
        <w:t>. Any person entitled to indemnification hereunder shall (i) give prompt written notice to the indemnifying party of any claim with respect to which it seeks indemnification and (ii) permit such indemnifying party to assume the defense of such claim with counsel reasonably satisfactory to the indemnified party; provided that any person entitled to indemnification hereunder shall have the right to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provided, further, that the failure of any indemnified party to give written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which consent shall not be unreasonably withheld, conditioned or delayed, effect any settlement of or consent to the entry of any judgment with respect to any pending proceeding in respect of which any indemnified party is or could have been a party and indemnity could have been sought hereunder by such indemnified party, unless such settlement (i) includes an unconditional release of such indemnified party from all liability in respect of or arising out of such claims or proceedings that are the subject matter of such proceeding, (ii) imposes no liability or obligation on the indemnified party and (iii) does not include any admission of fault, culpability, wrongdoing or malfeasance by or on behalf of the indemnified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281305</wp:posOffset>
            </wp:positionV>
            <wp:extent cx="717804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72" w:name="page73"/>
    <w:bookmarkEnd w:id="72"/>
    <w:p>
      <w:pPr>
        <w:ind w:firstLine="864"/>
        <w:spacing w:after="0" w:line="255" w:lineRule="auto"/>
        <w:rPr>
          <w:sz w:val="20"/>
          <w:szCs w:val="20"/>
          <w:color w:val="auto"/>
        </w:rPr>
      </w:pPr>
      <w:r>
        <w:rPr>
          <w:rFonts w:ascii="Times New Roman" w:cs="Times New Roman" w:eastAsia="Times New Roman" w:hAnsi="Times New Roman"/>
          <w:sz w:val="12"/>
          <w:szCs w:val="12"/>
          <w:color w:val="auto"/>
        </w:rPr>
        <w:t>(d)         </w:t>
      </w:r>
      <w:r>
        <w:rPr>
          <w:rFonts w:ascii="Times New Roman" w:cs="Times New Roman" w:eastAsia="Times New Roman" w:hAnsi="Times New Roman"/>
          <w:sz w:val="12"/>
          <w:szCs w:val="12"/>
          <w:u w:val="single" w:color="auto"/>
          <w:color w:val="auto"/>
        </w:rPr>
        <w:t>  Contribution</w:t>
      </w:r>
      <w:r>
        <w:rPr>
          <w:rFonts w:ascii="Times New Roman" w:cs="Times New Roman" w:eastAsia="Times New Roman" w:hAnsi="Times New Roman"/>
          <w:sz w:val="12"/>
          <w:szCs w:val="12"/>
          <w:color w:val="auto"/>
        </w:rPr>
        <w:t>. If for any reason the indemnification provided for in the preceding paragraphs (a) and (b) is unavailable to an indemnified party or insufficient to hold it harmless, other than as expressly specified therein, then the indemnifying party shall contribute to the amount paid or payable by the indemnified party as a result of such loss, claim, damage or liability in such proportion as is appropriate to reflect the relative fault of the indemnified party and the indemnifying party, as well as any other relevant equitable considerations. No person guilty of fraudulent misrepresentation within the meaning of Section 11(f) of the 1933 Act shall be entitled to contribution from any person not guilty of such fraudulent misrepresentation. Except to the extent that any such losses, claims, damages or liabilities are finally judicially determined to have resulted from a holder of Registrable Securities’ gross negligence, fraud or willful misconduct, in no event shall the contribution obligation of such holder be greater in amount than the dollar amount of the proceeds (net of all expenses paid by such holder in connection with any claim relating to this Section 6 and the amount of any damages such holder has otherwise been required to pay by reason of such untrue or alleged untrue statement or omission or alleged omission) received by it upon the sale of the Registrable Securities giving rise to such contribution obligation.</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7.           </w:t>
      </w:r>
      <w:r>
        <w:rPr>
          <w:rFonts w:ascii="Times New Roman" w:cs="Times New Roman" w:eastAsia="Times New Roman" w:hAnsi="Times New Roman"/>
          <w:sz w:val="12"/>
          <w:szCs w:val="12"/>
          <w:u w:val="single" w:color="auto"/>
          <w:color w:val="auto"/>
        </w:rPr>
        <w:t>  Miscellaneous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right="40" w:firstLine="864"/>
        <w:spacing w:after="0" w:line="279" w:lineRule="auto"/>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  Effective Date</w:t>
      </w:r>
      <w:r>
        <w:rPr>
          <w:rFonts w:ascii="Times New Roman" w:cs="Times New Roman" w:eastAsia="Times New Roman" w:hAnsi="Times New Roman"/>
          <w:sz w:val="12"/>
          <w:szCs w:val="12"/>
          <w:color w:val="auto"/>
        </w:rPr>
        <w:t>. This Agreement shall be effective as of the Closing, and if the Closing has not occurred on or prior to fifth Trading Day following the date of the Purchase Agreement, unless otherwise mutually agreed, then this Agreement shall be null and void.</w:t>
      </w:r>
    </w:p>
    <w:p>
      <w:pPr>
        <w:spacing w:after="0" w:line="111" w:lineRule="exact"/>
        <w:rPr>
          <w:sz w:val="20"/>
          <w:szCs w:val="20"/>
          <w:color w:val="auto"/>
        </w:rPr>
      </w:pPr>
    </w:p>
    <w:p>
      <w:pPr>
        <w:jc w:val="both"/>
        <w:ind w:right="20" w:firstLine="864"/>
        <w:spacing w:after="0" w:line="265" w:lineRule="auto"/>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u w:val="single" w:color="auto"/>
          <w:color w:val="auto"/>
        </w:rPr>
        <w:t>  Amendments and Waivers</w:t>
      </w:r>
      <w:r>
        <w:rPr>
          <w:rFonts w:ascii="Times New Roman" w:cs="Times New Roman" w:eastAsia="Times New Roman" w:hAnsi="Times New Roman"/>
          <w:sz w:val="12"/>
          <w:szCs w:val="12"/>
          <w:color w:val="auto"/>
        </w:rPr>
        <w:t>. Any term of this Agreement may be amended and the observance of any term of this Agreement may be waived (either generally or in a particular instance and either retroactively or prospectively), only with the written consent of the Company and the Required Investors. Notwithstanding the foregoing, this Agreement may not be amended and the observance of any term of this Agreement may not be waived with respect to any Investor without the written consent of such Investor unless such amendment or waiver applies to all Investors in the same fashion.</w:t>
      </w:r>
    </w:p>
    <w:p>
      <w:pPr>
        <w:spacing w:after="0" w:line="1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(c)         </w:t>
      </w:r>
      <w:r>
        <w:rPr>
          <w:rFonts w:ascii="Times New Roman" w:cs="Times New Roman" w:eastAsia="Times New Roman" w:hAnsi="Times New Roman"/>
          <w:sz w:val="12"/>
          <w:szCs w:val="12"/>
          <w:u w:val="single" w:color="auto"/>
          <w:color w:val="auto"/>
        </w:rPr>
        <w:t>  Notices</w:t>
      </w:r>
      <w:r>
        <w:rPr>
          <w:rFonts w:ascii="Times New Roman" w:cs="Times New Roman" w:eastAsia="Times New Roman" w:hAnsi="Times New Roman"/>
          <w:sz w:val="12"/>
          <w:szCs w:val="12"/>
          <w:color w:val="auto"/>
        </w:rPr>
        <w:t>. All notices and other communications provided for or permitted hereunder shall be made as set forth in Section 9.4 of the Purchase Agreement.</w:t>
      </w:r>
    </w:p>
    <w:p>
      <w:pPr>
        <w:spacing w:after="0" w:line="150" w:lineRule="exact"/>
        <w:rPr>
          <w:sz w:val="20"/>
          <w:szCs w:val="20"/>
          <w:color w:val="auto"/>
        </w:rPr>
      </w:pPr>
    </w:p>
    <w:p>
      <w:pPr>
        <w:ind w:right="20" w:firstLine="864"/>
        <w:spacing w:after="0" w:line="260" w:lineRule="auto"/>
        <w:rPr>
          <w:sz w:val="20"/>
          <w:szCs w:val="20"/>
          <w:color w:val="auto"/>
        </w:rPr>
      </w:pPr>
      <w:r>
        <w:rPr>
          <w:rFonts w:ascii="Times New Roman" w:cs="Times New Roman" w:eastAsia="Times New Roman" w:hAnsi="Times New Roman"/>
          <w:sz w:val="12"/>
          <w:szCs w:val="12"/>
          <w:color w:val="auto"/>
        </w:rPr>
        <w:t>(d)         </w:t>
      </w:r>
      <w:r>
        <w:rPr>
          <w:rFonts w:ascii="Times New Roman" w:cs="Times New Roman" w:eastAsia="Times New Roman" w:hAnsi="Times New Roman"/>
          <w:sz w:val="12"/>
          <w:szCs w:val="12"/>
          <w:u w:val="single" w:color="auto"/>
          <w:color w:val="auto"/>
        </w:rPr>
        <w:t>  Assignments and Transfers by Investors</w:t>
      </w:r>
      <w:r>
        <w:rPr>
          <w:rFonts w:ascii="Times New Roman" w:cs="Times New Roman" w:eastAsia="Times New Roman" w:hAnsi="Times New Roman"/>
          <w:sz w:val="12"/>
          <w:szCs w:val="12"/>
          <w:color w:val="auto"/>
        </w:rPr>
        <w:t>. The provisions of this Agreement shall be binding upon and inure to the benefit of the Investors and their respective successors and assigns. An Investor may transfer or assign, in whole or from time to time in part, to one or more persons its rights hereunder in connection with the transfer of Registrable Securities by such Investor to such person, provided that such Investor complies with all laws applicable thereto, and the provisions of the Purchase Agreement, and provides written notice of assignment to the Company promptly after such assignment is effected, and such person agrees in writing to be bound by all of the provisions contained herein.</w:t>
      </w:r>
    </w:p>
    <w:p>
      <w:pPr>
        <w:spacing w:after="0" w:line="122" w:lineRule="exact"/>
        <w:rPr>
          <w:sz w:val="20"/>
          <w:szCs w:val="20"/>
          <w:color w:val="auto"/>
        </w:rPr>
      </w:pPr>
    </w:p>
    <w:p>
      <w:pPr>
        <w:ind w:firstLine="864"/>
        <w:spacing w:after="0" w:line="257" w:lineRule="auto"/>
        <w:rPr>
          <w:sz w:val="20"/>
          <w:szCs w:val="20"/>
          <w:color w:val="auto"/>
        </w:rPr>
      </w:pPr>
      <w:r>
        <w:rPr>
          <w:rFonts w:ascii="Times New Roman" w:cs="Times New Roman" w:eastAsia="Times New Roman" w:hAnsi="Times New Roman"/>
          <w:sz w:val="12"/>
          <w:szCs w:val="12"/>
          <w:color w:val="auto"/>
        </w:rPr>
        <w:t>(e)         </w:t>
      </w:r>
      <w:r>
        <w:rPr>
          <w:rFonts w:ascii="Times New Roman" w:cs="Times New Roman" w:eastAsia="Times New Roman" w:hAnsi="Times New Roman"/>
          <w:sz w:val="12"/>
          <w:szCs w:val="12"/>
          <w:u w:val="single" w:color="auto"/>
          <w:color w:val="auto"/>
        </w:rPr>
        <w:t>  Assignments and Transfers by the Company</w:t>
      </w:r>
      <w:r>
        <w:rPr>
          <w:rFonts w:ascii="Times New Roman" w:cs="Times New Roman" w:eastAsia="Times New Roman" w:hAnsi="Times New Roman"/>
          <w:sz w:val="12"/>
          <w:szCs w:val="12"/>
          <w:color w:val="auto"/>
        </w:rPr>
        <w:t>. This Agreement may not be assigned by the Company (whether by operation of law or otherwise) without the prior written consent of the Required Investors, provided, however, that in the event that the Company is a party to a merger, consolidation, share exchange or similar business combination transaction in which the Common Stock is converted into the equity securities of another Person, from and after the effective time of such transaction, such Person shall, by virtue of such transaction and without prior written consent of the Required Investors, be deemed to have assumed the obligations of the Company hereunder, the term “Company” shall be deemed to refer to such Person and the term “Registrable Securities” shall be deemed to include the securities received by the Investors in connection with such transaction unless such securities are otherwise freely tradable by the Investors after giving effect to such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280670</wp:posOffset>
            </wp:positionV>
            <wp:extent cx="717804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40"/>
          </w:cols>
          <w:pgMar w:left="300" w:top="651" w:right="359" w:bottom="1440" w:gutter="0" w:footer="0" w:header="0"/>
        </w:sectPr>
      </w:pPr>
    </w:p>
    <w:bookmarkStart w:id="73" w:name="page74"/>
    <w:bookmarkEnd w:id="73"/>
    <w:p>
      <w:pPr>
        <w:ind w:right="20" w:firstLine="864"/>
        <w:spacing w:after="0" w:line="265" w:lineRule="auto"/>
        <w:rPr>
          <w:sz w:val="20"/>
          <w:szCs w:val="20"/>
          <w:color w:val="auto"/>
        </w:rPr>
      </w:pPr>
      <w:r>
        <w:rPr>
          <w:rFonts w:ascii="Times New Roman" w:cs="Times New Roman" w:eastAsia="Times New Roman" w:hAnsi="Times New Roman"/>
          <w:sz w:val="12"/>
          <w:szCs w:val="12"/>
          <w:color w:val="auto"/>
        </w:rPr>
        <w:t>(f)          </w:t>
      </w:r>
      <w:r>
        <w:rPr>
          <w:rFonts w:ascii="Times New Roman" w:cs="Times New Roman" w:eastAsia="Times New Roman" w:hAnsi="Times New Roman"/>
          <w:sz w:val="12"/>
          <w:szCs w:val="12"/>
          <w:u w:val="single" w:color="auto"/>
          <w:color w:val="auto"/>
        </w:rPr>
        <w:t>  Benefits of the Agreement</w:t>
      </w:r>
      <w:r>
        <w:rPr>
          <w:rFonts w:ascii="Times New Roman" w:cs="Times New Roman" w:eastAsia="Times New Roman" w:hAnsi="Times New Roman"/>
          <w:sz w:val="12"/>
          <w:szCs w:val="12"/>
          <w:color w:val="auto"/>
        </w:rPr>
        <w:t>. The terms and conditions of this Agreement shall inure to the benefit of and be binding upon the respective permitted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19" w:lineRule="exact"/>
        <w:rPr>
          <w:sz w:val="20"/>
          <w:szCs w:val="20"/>
          <w:color w:val="auto"/>
        </w:rPr>
      </w:pPr>
    </w:p>
    <w:p>
      <w:pPr>
        <w:jc w:val="both"/>
        <w:ind w:right="40" w:firstLine="864"/>
        <w:spacing w:after="0" w:line="265" w:lineRule="auto"/>
        <w:rPr>
          <w:sz w:val="20"/>
          <w:szCs w:val="20"/>
          <w:color w:val="auto"/>
        </w:rPr>
      </w:pPr>
      <w:r>
        <w:rPr>
          <w:rFonts w:ascii="Times New Roman" w:cs="Times New Roman" w:eastAsia="Times New Roman" w:hAnsi="Times New Roman"/>
          <w:sz w:val="12"/>
          <w:szCs w:val="12"/>
          <w:color w:val="auto"/>
        </w:rPr>
        <w:t>(g)         </w:t>
      </w:r>
      <w:r>
        <w:rPr>
          <w:rFonts w:ascii="Times New Roman" w:cs="Times New Roman" w:eastAsia="Times New Roman" w:hAnsi="Times New Roman"/>
          <w:sz w:val="12"/>
          <w:szCs w:val="12"/>
          <w:u w:val="single" w:color="auto"/>
          <w:color w:val="auto"/>
        </w:rPr>
        <w:t>  Counterparts</w:t>
      </w:r>
      <w:r>
        <w:rPr>
          <w:rFonts w:ascii="Times New Roman" w:cs="Times New Roman" w:eastAsia="Times New Roman" w:hAnsi="Times New Roman"/>
          <w:sz w:val="12"/>
          <w:szCs w:val="12"/>
          <w:color w:val="auto"/>
        </w:rPr>
        <w:t>. This Agreement may be executed in two or more counterparts, each of which shall be deemed an original, but all of which together shall constitute one and the same instrument. Counterparts may be delivered via electronic mail (including pdf or any electronic signatures complying with the U.S. federal ESIGN Act of 2000, e.g., www.docusign.com) or other transmission method and any counterpart so delivered shall be deemed to have been duly and validly delivered and be valid and effective for all purposes.</w:t>
      </w:r>
    </w:p>
    <w:p>
      <w:pPr>
        <w:spacing w:after="0" w:line="1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(h)         </w:t>
      </w:r>
      <w:r>
        <w:rPr>
          <w:rFonts w:ascii="Times New Roman" w:cs="Times New Roman" w:eastAsia="Times New Roman" w:hAnsi="Times New Roman"/>
          <w:sz w:val="12"/>
          <w:szCs w:val="12"/>
          <w:u w:val="single" w:color="auto"/>
          <w:color w:val="auto"/>
        </w:rPr>
        <w:t>  Titles and Subtitles</w:t>
      </w:r>
      <w:r>
        <w:rPr>
          <w:rFonts w:ascii="Times New Roman" w:cs="Times New Roman" w:eastAsia="Times New Roman" w:hAnsi="Times New Roman"/>
          <w:sz w:val="12"/>
          <w:szCs w:val="12"/>
          <w:color w:val="auto"/>
        </w:rPr>
        <w:t>. The titles and subtitles used in this Agreement are used for convenience only and are not to be considered in construing or interpreting this Agreement.</w:t>
      </w:r>
    </w:p>
    <w:p>
      <w:pPr>
        <w:spacing w:after="0" w:line="150" w:lineRule="exact"/>
        <w:rPr>
          <w:sz w:val="20"/>
          <w:szCs w:val="20"/>
          <w:color w:val="auto"/>
        </w:rPr>
      </w:pPr>
    </w:p>
    <w:p>
      <w:pPr>
        <w:ind w:firstLine="864"/>
        <w:spacing w:after="0" w:line="260" w:lineRule="auto"/>
        <w:rPr>
          <w:sz w:val="20"/>
          <w:szCs w:val="20"/>
          <w:color w:val="auto"/>
        </w:rPr>
      </w:pPr>
      <w:r>
        <w:rPr>
          <w:rFonts w:ascii="Times New Roman" w:cs="Times New Roman" w:eastAsia="Times New Roman" w:hAnsi="Times New Roman"/>
          <w:sz w:val="12"/>
          <w:szCs w:val="12"/>
          <w:color w:val="auto"/>
        </w:rPr>
        <w:t>(i)          </w:t>
      </w:r>
      <w:r>
        <w:rPr>
          <w:rFonts w:ascii="Times New Roman" w:cs="Times New Roman" w:eastAsia="Times New Roman" w:hAnsi="Times New Roman"/>
          <w:sz w:val="12"/>
          <w:szCs w:val="12"/>
          <w:u w:val="single" w:color="auto"/>
          <w:color w:val="auto"/>
        </w:rPr>
        <w:t>  Severability</w:t>
      </w:r>
      <w:r>
        <w:rPr>
          <w:rFonts w:ascii="Times New Roman" w:cs="Times New Roman" w:eastAsia="Times New Roman" w:hAnsi="Times New Roman"/>
          <w:sz w:val="12"/>
          <w:szCs w:val="12"/>
          <w:color w:val="auto"/>
        </w:rPr>
        <w:t>. Any provision of this Agreement that is prohibited or unenforceable in any jurisdiction shall, as to such jurisdiction, be ineffective to the extent of such prohibition or unenforceability without invalidating the remaining provisions hereof but shall be interpreted as if it were written so as to be enforceable to the maximum extent permitted by applicable law, and any such prohibition or unenforceability in any jurisdiction shall not invalidate or render unenforceable such provision in any other jurisdiction. To the extent permitted by applicable law, the parties hereby waive any provision of law which renders any provisions hereof prohibited or unenforceable in any respect.</w:t>
      </w:r>
    </w:p>
    <w:p>
      <w:pPr>
        <w:spacing w:after="0" w:line="122" w:lineRule="exact"/>
        <w:rPr>
          <w:sz w:val="20"/>
          <w:szCs w:val="20"/>
          <w:color w:val="auto"/>
        </w:rPr>
      </w:pPr>
    </w:p>
    <w:p>
      <w:pPr>
        <w:ind w:right="280" w:firstLine="864"/>
        <w:spacing w:after="0" w:line="279" w:lineRule="auto"/>
        <w:rPr>
          <w:sz w:val="20"/>
          <w:szCs w:val="20"/>
          <w:color w:val="auto"/>
        </w:rPr>
      </w:pPr>
      <w:r>
        <w:rPr>
          <w:rFonts w:ascii="Times New Roman" w:cs="Times New Roman" w:eastAsia="Times New Roman" w:hAnsi="Times New Roman"/>
          <w:sz w:val="12"/>
          <w:szCs w:val="12"/>
          <w:color w:val="auto"/>
        </w:rPr>
        <w:t>(j)          </w:t>
      </w:r>
      <w:r>
        <w:rPr>
          <w:rFonts w:ascii="Times New Roman" w:cs="Times New Roman" w:eastAsia="Times New Roman" w:hAnsi="Times New Roman"/>
          <w:sz w:val="12"/>
          <w:szCs w:val="12"/>
          <w:u w:val="single" w:color="auto"/>
          <w:color w:val="auto"/>
        </w:rPr>
        <w:t>  Further Assurances</w:t>
      </w:r>
      <w:r>
        <w:rPr>
          <w:rFonts w:ascii="Times New Roman" w:cs="Times New Roman" w:eastAsia="Times New Roman" w:hAnsi="Times New Roman"/>
          <w:sz w:val="12"/>
          <w:szCs w:val="12"/>
          <w:color w:val="auto"/>
        </w:rPr>
        <w:t>. The parties shall execute and deliver all such further instruments and documents and take all such other actions as may reasonably be required to carry out the transactions contemplated hereby and to evidence the fulfillment of the agreements herein contained.</w:t>
      </w:r>
    </w:p>
    <w:p>
      <w:pPr>
        <w:spacing w:after="0" w:line="111" w:lineRule="exact"/>
        <w:rPr>
          <w:sz w:val="20"/>
          <w:szCs w:val="20"/>
          <w:color w:val="auto"/>
        </w:rPr>
      </w:pPr>
    </w:p>
    <w:p>
      <w:pPr>
        <w:ind w:right="240" w:firstLine="864"/>
        <w:spacing w:after="0" w:line="279" w:lineRule="auto"/>
        <w:rPr>
          <w:sz w:val="20"/>
          <w:szCs w:val="20"/>
          <w:color w:val="auto"/>
        </w:rPr>
      </w:pPr>
      <w:r>
        <w:rPr>
          <w:rFonts w:ascii="Times New Roman" w:cs="Times New Roman" w:eastAsia="Times New Roman" w:hAnsi="Times New Roman"/>
          <w:sz w:val="12"/>
          <w:szCs w:val="12"/>
          <w:color w:val="auto"/>
        </w:rPr>
        <w:t>(k)         </w:t>
      </w:r>
      <w:r>
        <w:rPr>
          <w:rFonts w:ascii="Times New Roman" w:cs="Times New Roman" w:eastAsia="Times New Roman" w:hAnsi="Times New Roman"/>
          <w:sz w:val="12"/>
          <w:szCs w:val="12"/>
          <w:u w:val="single" w:color="auto"/>
          <w:color w:val="auto"/>
        </w:rPr>
        <w:t>  Entire Agreement</w:t>
      </w:r>
      <w:r>
        <w:rPr>
          <w:rFonts w:ascii="Times New Roman" w:cs="Times New Roman" w:eastAsia="Times New Roman" w:hAnsi="Times New Roman"/>
          <w:sz w:val="12"/>
          <w:szCs w:val="12"/>
          <w:color w:val="auto"/>
        </w:rPr>
        <w:t>. This Agreement is intended by the parties as a final expression of their agreement and intended to be a complete and exclusive statement of the agreement and understanding of the parties hereto in respect of the subject matter contained herein. This Agreement supersedes all prior agreements and understandings between the parties with respect to such subject matter.</w:t>
      </w:r>
    </w:p>
    <w:p>
      <w:pPr>
        <w:spacing w:after="0" w:line="111" w:lineRule="exact"/>
        <w:rPr>
          <w:sz w:val="20"/>
          <w:szCs w:val="20"/>
          <w:color w:val="auto"/>
        </w:rPr>
      </w:pPr>
    </w:p>
    <w:p>
      <w:pPr>
        <w:ind w:right="220" w:firstLine="864"/>
        <w:spacing w:after="0" w:line="279" w:lineRule="auto"/>
        <w:rPr>
          <w:sz w:val="20"/>
          <w:szCs w:val="20"/>
          <w:color w:val="auto"/>
        </w:rPr>
      </w:pPr>
      <w:r>
        <w:rPr>
          <w:rFonts w:ascii="Times New Roman" w:cs="Times New Roman" w:eastAsia="Times New Roman" w:hAnsi="Times New Roman"/>
          <w:sz w:val="12"/>
          <w:szCs w:val="12"/>
          <w:color w:val="auto"/>
        </w:rPr>
        <w:t>(l)          </w:t>
      </w:r>
      <w:r>
        <w:rPr>
          <w:rFonts w:ascii="Times New Roman" w:cs="Times New Roman" w:eastAsia="Times New Roman" w:hAnsi="Times New Roman"/>
          <w:sz w:val="12"/>
          <w:szCs w:val="12"/>
          <w:u w:val="single" w:color="auto"/>
          <w:color w:val="auto"/>
        </w:rPr>
        <w:t>  Governing Law</w:t>
      </w:r>
      <w:r>
        <w:rPr>
          <w:rFonts w:ascii="Times New Roman" w:cs="Times New Roman" w:eastAsia="Times New Roman" w:hAnsi="Times New Roman"/>
          <w:sz w:val="12"/>
          <w:szCs w:val="12"/>
          <w:color w:val="auto"/>
        </w:rPr>
        <w:t>. This Agreement shall be governed by, and construed in accordance with, the laws of the State of New York. Service of process in connection with any such suit, action or proceeding may be served on each party hereto anywhere in the world by the same methods as are specified for the giving of notices under this Agreement.</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(m)         </w:t>
      </w:r>
      <w:r>
        <w:rPr>
          <w:rFonts w:ascii="Times New Roman" w:cs="Times New Roman" w:eastAsia="Times New Roman" w:hAnsi="Times New Roman"/>
          <w:sz w:val="12"/>
          <w:szCs w:val="12"/>
          <w:u w:val="single" w:color="auto"/>
          <w:color w:val="auto"/>
        </w:rPr>
        <w:t>  Cumulative Remedies</w:t>
      </w:r>
      <w:r>
        <w:rPr>
          <w:rFonts w:ascii="Times New Roman" w:cs="Times New Roman" w:eastAsia="Times New Roman" w:hAnsi="Times New Roman"/>
          <w:sz w:val="12"/>
          <w:szCs w:val="12"/>
          <w:color w:val="auto"/>
        </w:rPr>
        <w:t>. The remedies provided herein are cumulative and not exclusive of any remedies provided by law.</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7804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1" w:right="319" w:bottom="1440" w:gutter="0" w:footer="0" w:header="0"/>
        </w:sectPr>
      </w:pPr>
    </w:p>
    <w:bookmarkStart w:id="74" w:name="page75"/>
    <w:bookmarkEnd w:id="74"/>
    <w:p>
      <w:pPr>
        <w:ind w:left="420"/>
        <w:spacing w:after="0"/>
        <w:rPr>
          <w:sz w:val="20"/>
          <w:szCs w:val="20"/>
          <w:color w:val="auto"/>
        </w:rPr>
      </w:pPr>
      <w:r>
        <w:rPr>
          <w:rFonts w:ascii="Times New Roman" w:cs="Times New Roman" w:eastAsia="Times New Roman" w:hAnsi="Times New Roman"/>
          <w:sz w:val="12"/>
          <w:szCs w:val="12"/>
          <w:color w:val="auto"/>
        </w:rPr>
        <w:t>IN WITNESS WHEREOF, the parties have executed this Agreement or caused their duly authorized officers to execute this Agreement as of the date first above written.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COMPANY:</w:t>
            </w:r>
          </w:p>
        </w:tc>
        <w:tc>
          <w:tcPr>
            <w:tcW w:w="8180" w:type="dxa"/>
            <w:vAlign w:val="bottom"/>
            <w:gridSpan w:val="2"/>
          </w:tcPr>
          <w:p>
            <w:pPr>
              <w:ind w:left="2540"/>
              <w:spacing w:after="0"/>
              <w:rPr>
                <w:sz w:val="20"/>
                <w:szCs w:val="20"/>
                <w:color w:val="auto"/>
              </w:rPr>
            </w:pPr>
            <w:r>
              <w:rPr>
                <w:rFonts w:ascii="Times New Roman" w:cs="Times New Roman" w:eastAsia="Times New Roman" w:hAnsi="Times New Roman"/>
                <w:sz w:val="12"/>
                <w:szCs w:val="12"/>
                <w:color w:val="auto"/>
              </w:rPr>
              <w:t>CENTURY THERAPEUTICS, INC.</w:t>
            </w:r>
          </w:p>
        </w:tc>
      </w:tr>
      <w:tr>
        <w:trPr>
          <w:trHeight w:val="288"/>
        </w:trPr>
        <w:tc>
          <w:tcPr>
            <w:tcW w:w="3120" w:type="dxa"/>
            <w:vAlign w:val="bottom"/>
          </w:tcPr>
          <w:p>
            <w:pPr>
              <w:spacing w:after="0"/>
              <w:rPr>
                <w:sz w:val="24"/>
                <w:szCs w:val="24"/>
                <w:color w:val="auto"/>
              </w:rPr>
            </w:pPr>
          </w:p>
        </w:tc>
        <w:tc>
          <w:tcPr>
            <w:tcW w:w="8180" w:type="dxa"/>
            <w:vAlign w:val="bottom"/>
            <w:gridSpan w:val="2"/>
          </w:tcPr>
          <w:p>
            <w:pPr>
              <w:ind w:left="2540"/>
              <w:spacing w:after="0"/>
              <w:rPr>
                <w:sz w:val="20"/>
                <w:szCs w:val="20"/>
                <w:color w:val="auto"/>
              </w:rPr>
            </w:pPr>
            <w:r>
              <w:rPr>
                <w:rFonts w:ascii="Times New Roman" w:cs="Times New Roman" w:eastAsia="Times New Roman" w:hAnsi="Times New Roman"/>
                <w:sz w:val="12"/>
                <w:szCs w:val="12"/>
                <w:color w:val="auto"/>
              </w:rPr>
              <w:t>By:   /s/ Brent Pfeiffenberger</w:t>
            </w:r>
          </w:p>
        </w:tc>
      </w:tr>
      <w:tr>
        <w:trPr>
          <w:trHeight w:val="122"/>
        </w:trPr>
        <w:tc>
          <w:tcPr>
            <w:tcW w:w="31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532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Name: Brent Pfeiffenberger, Pharm.D.</w:t>
            </w:r>
          </w:p>
        </w:tc>
      </w:tr>
      <w:tr>
        <w:trPr>
          <w:trHeight w:val="155"/>
        </w:trPr>
        <w:tc>
          <w:tcPr>
            <w:tcW w:w="31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2"/>
                <w:szCs w:val="12"/>
                <w:color w:val="auto"/>
              </w:rPr>
              <w:t>Title:   President and Chief Executive Officer</w:t>
            </w:r>
          </w:p>
        </w:tc>
      </w:tr>
      <w:tr>
        <w:trPr>
          <w:trHeight w:val="450"/>
        </w:trPr>
        <w:tc>
          <w:tcPr>
            <w:tcW w:w="31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51" w:right="29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Exhibit A</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306070</wp:posOffset>
            </wp:positionV>
            <wp:extent cx="717804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47" w:right="1440"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Exhibit B</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306070</wp:posOffset>
            </wp:positionV>
            <wp:extent cx="717804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47" w:right="1440"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Century Therapeutics Secures Oversubscribed $135 Million Private Placement Financing to Support Lead Program, CNTY-813, a Potentially Curative Therapy for Type 1 Diabetes</w:t>
      </w:r>
    </w:p>
    <w:p>
      <w:pPr>
        <w:spacing w:after="0" w:line="15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PHILADELPHIA, Jan. 8, 2026 </w:t>
      </w:r>
      <w:r>
        <w:rPr>
          <w:rFonts w:ascii="Times New Roman" w:cs="Times New Roman" w:eastAsia="Times New Roman" w:hAnsi="Times New Roman"/>
          <w:sz w:val="12"/>
          <w:szCs w:val="12"/>
          <w:color w:val="auto"/>
        </w:rPr>
        <w:t>-- Century Therapeutics, Inc. (‘Century’, NASDAQ: IPSC), a biotechnology company developing induced pluripotent stem cell (iPSC)-derived cell therapies for autoimmune diseases and cancer, today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announced it has entered into a securities purchase agreement for a private placement for initial gross proceeds of approximately $135 million to the Company, before placement agent fees and offering expenses.</w:t>
      </w:r>
    </w:p>
    <w:p>
      <w:pPr>
        <w:spacing w:after="0" w:line="107" w:lineRule="exact"/>
        <w:rPr>
          <w:sz w:val="20"/>
          <w:szCs w:val="20"/>
          <w:color w:val="auto"/>
        </w:rPr>
      </w:pPr>
    </w:p>
    <w:p>
      <w:pPr>
        <w:ind w:right="360"/>
        <w:spacing w:after="0" w:line="279" w:lineRule="auto"/>
        <w:rPr>
          <w:sz w:val="20"/>
          <w:szCs w:val="20"/>
          <w:color w:val="auto"/>
        </w:rPr>
      </w:pPr>
      <w:r>
        <w:rPr>
          <w:rFonts w:ascii="Times New Roman" w:cs="Times New Roman" w:eastAsia="Times New Roman" w:hAnsi="Times New Roman"/>
          <w:sz w:val="12"/>
          <w:szCs w:val="12"/>
          <w:color w:val="auto"/>
        </w:rPr>
        <w:t>The financing is being led by new investor TCGX, and includes participation from additional new and existing investors, including RA Capital Management, Commodore Capital, Deep Track Capital, RTW Investments, Venrock Healthcare Capital Partners, and the T1D Fund. The private placement is expected to close on January 9, 2026, subject to customary closing conditions.</w:t>
      </w:r>
    </w:p>
    <w:p>
      <w:pPr>
        <w:spacing w:after="0" w:line="111"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color w:val="auto"/>
        </w:rPr>
        <w:t>“We believe this financing further enables our ambition to unlock the full potential of our lead product candidate, CNTY-813, a potentially curative beta islet cell program for Type 1 diabetes,” said Brent Pfeiffenberger, Pharm.D., Chief Executive Officer of Century Therapeutics. “We estimate this financing extends our cash runway to Q1 2029 with an anticipated IND submission for CNTY-813 in 2026 and initial clinical data for CNTY-813 expected in 2027. We are grateful for the high level of conviction and confidence shown by top investors focused on supporting development of our potential therapies for high-impact diseases, beginning with Type 1 diabetes.”</w:t>
      </w:r>
    </w:p>
    <w:p>
      <w:pPr>
        <w:spacing w:after="0" w:line="119"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2"/>
          <w:szCs w:val="12"/>
          <w:color w:val="auto"/>
        </w:rPr>
        <w:t>Pursuant to the terms of the securities purchase agreement, Century will issue approximately 117,391,299 shares of common stock (or pre-funded warrants to purchase common stock in lieu thereof) and accompanying warrants to purchase 58,695,648 shares of common stock (or pre-funded warrants to purchase common stock in lieu thereof) in the private placement at a purchase price of $1.15 per share and accompanying warrant to purchase 0.5 shares of common stock (or pre-funded warrant to purchase common stock in lieu thereof) and at a purchase price of $1.1499 per pre-funded warrant and accompanying warrant to purchase 0.5 shares of common stock (or pre-funded warrant to purchase common stock in lieu thereof).</w:t>
      </w:r>
    </w:p>
    <w:p>
      <w:pPr>
        <w:spacing w:after="0" w:line="122"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2"/>
          <w:szCs w:val="12"/>
          <w:color w:val="auto"/>
        </w:rPr>
        <w:t>The pre-funded warrants will be exercisable immediately at an exercise price of $0.0001 per share and will not expire until exercised in full. The warrants to purchase common stock (or pre-funded warrants to purchase common stock in lieu thereof) will be exercisable immediately upon issuance at an exercise price of $2.60 per share or $2.599 per pre-funded warrant and will expire upon the earlier of (a) 30 days after the public announcement of initial Phase 1 clinical data for CNTY-813 and (b) the third anniversary of the closing of the private placement. Full exercise of the warrants would provide an additional approximately $153 million in gross proceeds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17804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2"/>
          <w:szCs w:val="12"/>
          <w:color w:val="auto"/>
        </w:rPr>
        <w:t>Century intends to use the net proceeds from the private placement to fund development of its lead product candidate, CNTY-813, and for working capital and other general corporate purposes.</w:t>
      </w:r>
    </w:p>
    <w:p>
      <w:pPr>
        <w:spacing w:after="0" w:line="15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The securities were offered in a private placement under Section 4(a)(2) of the Securities Act of 1933, as amended (Securities Act), and have not been registered under the Securities Act, or applicable state securities laws. Accordingly, the securities may not be offered or sold in the United States except pursuant to an effective registration statement or an applicable exemption from the registration requirements of the Securities Act and such applicable state securities laws. Century has agreed to file a registration statement with the Securities and Exchange Commission registering the resale of the shares of common stock issued in the private placement and shares of common stock underlying the warrants issued in the private placement.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private placement is being conducted in accordance with applicable Nasdaq rules and was priced to satisfy the “Minimum Price” requirement (as defined in the Nasdaq rules).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Leerink Partners, TD Cowen and Mizuho acted as the placement agents for the private placement.</w:t>
      </w:r>
    </w:p>
    <w:p>
      <w:pPr>
        <w:spacing w:after="0" w:line="150"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2"/>
          <w:szCs w:val="12"/>
          <w:color w:val="auto"/>
        </w:rPr>
        <w:t>This press release shall not constitute an offer to sell or the solicitation of an offer to buy the shares offered in the private placement, nor shall there be any sale of such shares in any jurisdiction in which such offer, solicitation or sale would be unlawful prior to the registration or qualification under the securities laws of any such jurisdiction.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Century Therapeutics</w:t>
      </w:r>
    </w:p>
    <w:p>
      <w:pPr>
        <w:spacing w:after="0" w:line="15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Century Therapeutics (NASDAQ: IPSC) is a biotechnology company advancing a pipeline of induced pluripotent stem cell (iPSC)-derived cell therapies with the potential to meaningfully address autoimmune diseases and cancer. The company’s therapies are derived from its iPSC cell foundry and leverage its novel immune evasion engineering technology, Allo-Evasion™. Century believes its approach to developing off-the-shelf cell therapies will expand patient access and provide advantages over existing cell therapies which will ultimately advance the course of 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17804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20"/>
          </w:cols>
          <w:pgMar w:left="300" w:top="651" w:right="3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5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2"/>
          <w:szCs w:val="12"/>
          <w:color w:val="auto"/>
        </w:rPr>
        <w:t>This press release contains forward-looking statements within the meaning of, and made pursuant to the safe harbor provisions of, The Private Securities Litigation Reform Act of 1995. All statements contained in this press release, other than statements of historical facts or statements that relate to present facts or current conditions, including but not limited to, statements regarding the satisfaction of customary closing conditions with respect to the private placement, our cash runway, anticipated clinical and development milestones and the anticipated use of proceeds of the private placement.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terms such as “may,” “might,” “will,” “should,” “expect,” “plan,” “aim,” “seek,” “anticipate,” “could,” “intend,” “target,” “project,” “contemplate,” “believe,” “estimate,” “predict,” “forecast,” “potential”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press release and are subject to a number of risks, uncertainties and assumptions, some of which cannot be predicted or quantified and some of which are beyond our control, including, among others: our ability to successfully advance our current and future product candidates through development activities, preclinical studies, and clinical trials; our ability to meet development milestones on anticipated timelines; uncertainties inherent in the results of preliminary data, pre-clinical studies and earlier-stage clinical trials, which may not be predictive of final results or the results of later-stage clinical trials; our ability to obtain clearance of our future IND or CTA submissions and commence and complete clinical trials on expected timelines, or at all; our reliance on the maintenance of certain key collaborative relationships for the manufacturing and development of our product candidates; the timing, scope and likelihood of regulatory filings and approvals, including final regulatory approval of our product candidates; the impact of geopolitical issues, trade disputes and tariffs, banking instability and inflation on our business and operations, supply chain and labor force; the performance of third parties in connection with the development of our product candidates, including third parties conducting our clinical trials as well as third-party suppliers and manufacturers; our ability to successfully commercialize our product candidates and develop sales and marketing capabilities, if our product candidates are approved; our ability to recruit and maintain key members of management and our ability to maintain and successfully enforce adequate intellectual property protection. These and other risks and uncertainties are described more fully in the “Risk Factors” section of our most recent filings with the Securities and Exchange Commission and available at www.sec.gov.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 dynamic industry and economy. New risk factors and uncertainties may emerge from time to time, and it is not possible for management to predict all risk factors and uncertainties that we may face. Except as required by applicable law, we do not plan to publicly update or revise any forward-looking statements contained herein, whether as a result of any new information, future events, changed circumstances or otherwise.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 More Information: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Century Therapeutics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Douglas Carr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Senior Vice President, Finance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investor.relations@centurytx.com</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JPA Health</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Sarah McCabe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smccabe@jpa.com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289560</wp:posOffset>
            </wp:positionV>
            <wp:extent cx="717804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47" w:right="319" w:bottom="1440" w:gutter="0" w:footer="0" w:header="0"/>
        </w:sectPr>
      </w:pPr>
    </w:p>
    <w:bookmarkStart w:id="80" w:name="page81"/>
    <w:bookmarkEnd w:id="80"/>
    <w:p>
      <w:pPr>
        <w:ind w:left="9540"/>
        <w:spacing w:after="0"/>
        <w:rPr>
          <w:sz w:val="20"/>
          <w:szCs w:val="20"/>
          <w:color w:val="auto"/>
        </w:rPr>
      </w:pPr>
      <w:r>
        <w:rPr>
          <w:rFonts w:ascii="Times New Roman" w:cs="Times New Roman" w:eastAsia="Times New Roman" w:hAnsi="Times New Roman"/>
          <w:sz w:val="11"/>
          <w:szCs w:val="11"/>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111760</wp:posOffset>
            </wp:positionV>
            <wp:extent cx="7172960" cy="45262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1)"/>
      <w:numFmt w:val="lowerLetter"/>
      <w:start w:val="1"/>
    </w:lvl>
  </w:abstractNum>
  <w:abstractNum w:abstractNumId="2">
    <w:nsid w:val="8138641"/>
    <w:multiLevelType w:val="hybridMultilevel"/>
    <w:lvl w:ilvl="0">
      <w:lvlJc w:val="left"/>
      <w:lvlText w:val="%1"/>
      <w:numFmt w:val="upperLetter"/>
      <w:start w:val="1"/>
    </w:lvl>
    <w:lvl w:ilvl="1">
      <w:lvlJc w:val="left"/>
      <w:lvlText w:val="%2)"/>
      <w:numFmt w:val="lowerLetter"/>
      <w:start w:val="2"/>
    </w:lvl>
  </w:abstractNum>
  <w:abstractNum w:abstractNumId="3">
    <w:nsid w:val="1E7FF521"/>
    <w:multiLevelType w:val="hybridMultilevel"/>
    <w:lvl w:ilvl="0">
      <w:lvlJc w:val="left"/>
      <w:lvlText w:val="(%1)"/>
      <w:numFmt w:val="upperLetter"/>
      <w:start w:val="1"/>
    </w:lvl>
    <w:lvl w:ilvl="1">
      <w:lvlJc w:val="left"/>
      <w:lvlText w:val="%2"/>
      <w:numFmt w:val="lowerLetter"/>
      <w:start w:val="1"/>
    </w:lvl>
  </w:abstractNum>
  <w:abstractNum w:abstractNumId="4">
    <w:nsid w:val="7C3DBD3D"/>
    <w:multiLevelType w:val="hybridMultilevel"/>
    <w:lvl w:ilvl="0">
      <w:lvlJc w:val="left"/>
      <w:lvlText w:val="%1)"/>
      <w:numFmt w:val="lowerLetter"/>
      <w:start w:val="4"/>
    </w:lvl>
  </w:abstractNum>
  <w:abstractNum w:abstractNumId="5">
    <w:nsid w:val="737B8DDC"/>
    <w:multiLevelType w:val="hybridMultilevel"/>
    <w:lvl w:ilvl="0">
      <w:lvlJc w:val="left"/>
      <w:lvlText w:val="(%1)"/>
      <w:numFmt w:val="decimal"/>
      <w:start w:val="1"/>
    </w:lvl>
  </w:abstractNum>
  <w:abstractNum w:abstractNumId="6">
    <w:nsid w:val="6CEAF087"/>
    <w:multiLevelType w:val="hybridMultilevel"/>
    <w:lvl w:ilvl="0">
      <w:lvlJc w:val="left"/>
      <w:lvlText w:val="%1)"/>
      <w:numFmt w:val="lowerLetter"/>
      <w:start w:val="5"/>
    </w:lvl>
  </w:abstractNum>
  <w:abstractNum w:abstractNumId="7">
    <w:nsid w:val="22221A70"/>
    <w:multiLevelType w:val="hybridMultilevel"/>
    <w:lvl w:ilvl="0">
      <w:lvlJc w:val="left"/>
      <w:lvlText w:val="%1)"/>
      <w:numFmt w:val="lowerLetter"/>
      <w:start w:val="1"/>
    </w:lvl>
  </w:abstractNum>
  <w:abstractNum w:abstractNumId="8">
    <w:nsid w:val="4516DDE9"/>
    <w:multiLevelType w:val="hybridMultilevel"/>
    <w:lvl w:ilvl="0">
      <w:lvlJc w:val="left"/>
      <w:lvlText w:val="%1)"/>
      <w:numFmt w:val="lowerLetter"/>
      <w:start w:val="3"/>
    </w:lvl>
  </w:abstractNum>
  <w:abstractNum w:abstractNumId="9">
    <w:nsid w:val="3006C83E"/>
    <w:multiLevelType w:val="hybridMultilevel"/>
    <w:lvl w:ilvl="0">
      <w:lvlJc w:val="left"/>
      <w:lvlText w:val="%1)"/>
      <w:numFmt w:val="lowerLetter"/>
      <w:start w:val="1"/>
    </w:lvl>
  </w:abstractNum>
  <w:abstractNum w:abstractNumId="10">
    <w:nsid w:val="614FD4A1"/>
    <w:multiLevelType w:val="hybridMultilevel"/>
    <w:lvl w:ilvl="0">
      <w:lvlJc w:val="left"/>
      <w:lvlText w:val="%1"/>
      <w:numFmt w:val="lowerRoman"/>
      <w:start w:val="1"/>
    </w:lvl>
    <w:lvl w:ilvl="1">
      <w:lvlJc w:val="left"/>
      <w:lvlText w:val="%2)"/>
      <w:numFmt w:val="lowerLetter"/>
      <w:start w:val="1"/>
    </w:lvl>
  </w:abstractNum>
  <w:abstractNum w:abstractNumId="11">
    <w:nsid w:val="419AC241"/>
    <w:multiLevelType w:val="hybridMultilevel"/>
    <w:lvl w:ilvl="0">
      <w:lvlJc w:val="left"/>
      <w:lvlText w:val="(%1)"/>
      <w:numFmt w:val="lowerRoman"/>
      <w:start w:val="4"/>
    </w:lvl>
    <w:lvl w:ilvl="1">
      <w:lvlJc w:val="left"/>
      <w:lvlText w:val="%2)"/>
      <w:numFmt w:val="lowerLetter"/>
      <w:start w:val="2"/>
    </w:lvl>
  </w:abstractNum>
  <w:abstractNum w:abstractNumId="12">
    <w:nsid w:val="5577F8E1"/>
    <w:multiLevelType w:val="hybridMultilevel"/>
    <w:lvl w:ilvl="0">
      <w:lvlJc w:val="left"/>
      <w:lvlText w:val="%1"/>
      <w:numFmt w:val="lowerLetter"/>
      <w:start w:val="1"/>
    </w:lvl>
    <w:lvl w:ilvl="1">
      <w:lvlJc w:val="left"/>
      <w:lvlText w:val="%2)"/>
      <w:numFmt w:val="lowerLetter"/>
      <w:start w:val="5"/>
    </w:lvl>
  </w:abstractNum>
  <w:abstractNum w:abstractNumId="13">
    <w:nsid w:val="440BADFC"/>
    <w:multiLevelType w:val="hybridMultilevel"/>
    <w:lvl w:ilvl="0">
      <w:lvlJc w:val="left"/>
      <w:lvlText w:val="%1)"/>
      <w:numFmt w:val="lowerLetter"/>
      <w:start w:val="11"/>
    </w:lvl>
    <w:lvl w:ilvl="1">
      <w:lvlJc w:val="left"/>
      <w:lvlText w:val="%2"/>
      <w:numFmt w:val="lowerLetter"/>
      <w:start w:val="1"/>
    </w:lvl>
  </w:abstractNum>
  <w:abstractNum w:abstractNumId="14">
    <w:nsid w:val="5072367"/>
    <w:multiLevelType w:val="hybridMultilevel"/>
    <w:lvl w:ilvl="0">
      <w:lvlJc w:val="left"/>
      <w:lvlText w:val="%1)"/>
      <w:numFmt w:val="lowerLetter"/>
      <w:start w:val="12"/>
    </w:lvl>
  </w:abstractNum>
  <w:abstractNum w:abstractNumId="15">
    <w:nsid w:val="3804823E"/>
    <w:multiLevelType w:val="hybridMultilevel"/>
    <w:lvl w:ilvl="0">
      <w:lvlJc w:val="left"/>
      <w:lvlText w:val="(%1)"/>
      <w:numFmt w:val="decimal"/>
      <w:start w:val="1"/>
    </w:lvl>
  </w:abstractNum>
  <w:abstractNum w:abstractNumId="16">
    <w:nsid w:val="77465F01"/>
    <w:multiLevelType w:val="hybridMultilevel"/>
    <w:lvl w:ilvl="0">
      <w:lvlJc w:val="left"/>
      <w:lvlText w:val="["/>
      <w:numFmt w:val="bullet"/>
      <w:start w:val="1"/>
    </w:lvl>
    <w:lvl w:ilvl="1">
      <w:lvlJc w:val="left"/>
      <w:lvlText w:val="(%2)"/>
      <w:numFmt w:val="decimal"/>
      <w:start w:val="3"/>
    </w:lvl>
  </w:abstractNum>
  <w:abstractNum w:abstractNumId="17">
    <w:nsid w:val="7724C67E"/>
    <w:multiLevelType w:val="hybridMultilevel"/>
    <w:lvl w:ilvl="0">
      <w:lvlJc w:val="left"/>
      <w:lvlText w:val="(%1)"/>
      <w:numFmt w:val="lowerLetter"/>
      <w:start w:val="2"/>
    </w:lvl>
  </w:abstractNum>
  <w:abstractNum w:abstractNumId="18">
    <w:nsid w:val="5C482A97"/>
    <w:multiLevelType w:val="hybridMultilevel"/>
    <w:lvl w:ilvl="0">
      <w:lvlJc w:val="left"/>
      <w:lvlText w:val="%1)"/>
      <w:numFmt w:val="lowerLetter"/>
      <w:start w:val="1"/>
    </w:lvl>
  </w:abstractNum>
  <w:abstractNum w:abstractNumId="19">
    <w:nsid w:val="2463B9EA"/>
    <w:multiLevelType w:val="hybridMultilevel"/>
    <w:lvl w:ilvl="0">
      <w:lvlJc w:val="left"/>
      <w:lvlText w:val="%1"/>
      <w:numFmt w:val="upperLetter"/>
      <w:start w:val="1"/>
    </w:lvl>
    <w:lvl w:ilvl="1">
      <w:lvlJc w:val="left"/>
      <w:lvlText w:val="%2)"/>
      <w:numFmt w:val="lowerLetter"/>
      <w:start w:val="2"/>
    </w:lvl>
  </w:abstractNum>
  <w:abstractNum w:abstractNumId="20">
    <w:nsid w:val="5E884ADC"/>
    <w:multiLevelType w:val="hybridMultilevel"/>
    <w:lvl w:ilvl="0">
      <w:lvlJc w:val="left"/>
      <w:lvlText w:val="(%1)"/>
      <w:numFmt w:val="upperLetter"/>
      <w:start w:val="1"/>
    </w:lvl>
    <w:lvl w:ilvl="1">
      <w:lvlJc w:val="left"/>
      <w:lvlText w:val="%2"/>
      <w:numFmt w:val="lowerLetter"/>
      <w:start w:val="1"/>
    </w:lvl>
  </w:abstractNum>
  <w:abstractNum w:abstractNumId="21">
    <w:nsid w:val="51EAD36B"/>
    <w:multiLevelType w:val="hybridMultilevel"/>
    <w:lvl w:ilvl="0">
      <w:lvlJc w:val="left"/>
      <w:lvlText w:val="(%1)"/>
      <w:numFmt w:val="upperLetter"/>
      <w:start w:val="24"/>
    </w:lvl>
  </w:abstractNum>
  <w:abstractNum w:abstractNumId="22">
    <w:nsid w:val="2D517796"/>
    <w:multiLevelType w:val="hybridMultilevel"/>
    <w:lvl w:ilvl="0">
      <w:lvlJc w:val="left"/>
      <w:lvlText w:val="%1)"/>
      <w:numFmt w:val="lowerLetter"/>
      <w:start w:val="4"/>
    </w:lvl>
  </w:abstractNum>
  <w:abstractNum w:abstractNumId="23">
    <w:nsid w:val="580BD78F"/>
    <w:multiLevelType w:val="hybridMultilevel"/>
    <w:lvl w:ilvl="0">
      <w:lvlJc w:val="left"/>
      <w:lvlText w:val="%1)"/>
      <w:numFmt w:val="lowerLetter"/>
      <w:start w:val="5"/>
    </w:lvl>
  </w:abstractNum>
  <w:abstractNum w:abstractNumId="24">
    <w:nsid w:val="153EA438"/>
    <w:multiLevelType w:val="hybridMultilevel"/>
    <w:lvl w:ilvl="0">
      <w:lvlJc w:val="left"/>
      <w:lvlText w:val="%1)"/>
      <w:numFmt w:val="lowerLetter"/>
      <w:start w:val="1"/>
    </w:lvl>
  </w:abstractNum>
  <w:abstractNum w:abstractNumId="25">
    <w:nsid w:val="3855585C"/>
    <w:multiLevelType w:val="hybridMultilevel"/>
    <w:lvl w:ilvl="0">
      <w:lvlJc w:val="left"/>
      <w:lvlText w:val="%1)"/>
      <w:numFmt w:val="lowerLetter"/>
      <w:start w:val="3"/>
    </w:lvl>
  </w:abstractNum>
  <w:abstractNum w:abstractNumId="26">
    <w:nsid w:val="70A64E2A"/>
    <w:multiLevelType w:val="hybridMultilevel"/>
    <w:lvl w:ilvl="0">
      <w:lvlJc w:val="left"/>
      <w:lvlText w:val="%1)"/>
      <w:numFmt w:val="lowerLetter"/>
      <w:start w:val="5"/>
    </w:lvl>
  </w:abstractNum>
  <w:abstractNum w:abstractNumId="27">
    <w:nsid w:val="6A2342EC"/>
    <w:multiLevelType w:val="hybridMultilevel"/>
    <w:lvl w:ilvl="0">
      <w:lvlJc w:val="left"/>
      <w:lvlText w:val="%1)"/>
      <w:numFmt w:val="lowerLetter"/>
      <w:start w:val="1"/>
    </w:lvl>
  </w:abstractNum>
  <w:abstractNum w:abstractNumId="28">
    <w:nsid w:val="2A487CB0"/>
    <w:multiLevelType w:val="hybridMultilevel"/>
    <w:lvl w:ilvl="0">
      <w:lvlJc w:val="left"/>
      <w:lvlText w:val="%1)"/>
      <w:numFmt w:val="lowerLetter"/>
      <w:start w:val="3"/>
    </w:lvl>
  </w:abstractNum>
  <w:abstractNum w:abstractNumId="29">
    <w:nsid w:val="1D4ED43B"/>
    <w:multiLevelType w:val="hybridMultilevel"/>
    <w:lvl w:ilvl="0">
      <w:lvlJc w:val="left"/>
      <w:lvlText w:val="%1"/>
      <w:numFmt w:val="lowerRoman"/>
      <w:start w:val="1"/>
    </w:lvl>
    <w:lvl w:ilvl="1">
      <w:lvlJc w:val="left"/>
      <w:lvlText w:val="%2)"/>
      <w:numFmt w:val="lowerLetter"/>
      <w:start w:val="1"/>
    </w:lvl>
  </w:abstractNum>
  <w:abstractNum w:abstractNumId="30">
    <w:nsid w:val="725A06FB"/>
    <w:multiLevelType w:val="hybridMultilevel"/>
    <w:lvl w:ilvl="0">
      <w:lvlJc w:val="left"/>
      <w:lvlText w:val="(%1)"/>
      <w:numFmt w:val="lowerRoman"/>
      <w:start w:val="4"/>
    </w:lvl>
    <w:lvl w:ilvl="1">
      <w:lvlJc w:val="left"/>
      <w:lvlText w:val="%2)"/>
      <w:numFmt w:val="lowerLetter"/>
      <w:start w:val="2"/>
    </w:lvl>
  </w:abstractNum>
  <w:abstractNum w:abstractNumId="31">
    <w:nsid w:val="2CD89A32"/>
    <w:multiLevelType w:val="hybridMultilevel"/>
    <w:lvl w:ilvl="0">
      <w:lvlJc w:val="left"/>
      <w:lvlText w:val="%1)"/>
      <w:numFmt w:val="lowerLetter"/>
      <w:start w:val="5"/>
    </w:lvl>
  </w:abstractNum>
  <w:abstractNum w:abstractNumId="32">
    <w:nsid w:val="57E4CCAF"/>
    <w:multiLevelType w:val="hybridMultilevel"/>
    <w:lvl w:ilvl="0">
      <w:lvlJc w:val="left"/>
      <w:lvlText w:val="%1)"/>
      <w:numFmt w:val="lowerLetter"/>
      <w:start w:val="9"/>
    </w:lvl>
  </w:abstractNum>
  <w:abstractNum w:abstractNumId="33">
    <w:nsid w:val="7A6D8D3C"/>
    <w:multiLevelType w:val="hybridMultilevel"/>
    <w:lvl w:ilvl="0">
      <w:lvlJc w:val="left"/>
      <w:lvlText w:val="(%1)"/>
      <w:numFmt w:val="decimal"/>
      <w:start w:val="1"/>
    </w:lvl>
  </w:abstractNum>
  <w:abstractNum w:abstractNumId="34">
    <w:nsid w:val="4B588F54"/>
    <w:multiLevelType w:val="hybridMultilevel"/>
    <w:lvl w:ilvl="0">
      <w:lvlJc w:val="left"/>
      <w:lvlText w:val="["/>
      <w:numFmt w:val="bullet"/>
      <w:start w:val="1"/>
    </w:lvl>
    <w:lvl w:ilvl="1">
      <w:lvlJc w:val="left"/>
      <w:lvlText w:val="(%2)"/>
      <w:numFmt w:val="decimal"/>
      <w:start w:val="3"/>
    </w:lvl>
  </w:abstractNum>
  <w:abstractNum w:abstractNumId="35">
    <w:nsid w:val="542289EC"/>
    <w:multiLevelType w:val="hybridMultilevel"/>
    <w:lvl w:ilvl="0">
      <w:lvlJc w:val="left"/>
      <w:lvlText w:val="(%1)"/>
      <w:numFmt w:val="lowerRoman"/>
      <w:start w:val="2"/>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1."/>
      <w:numFmt w:val="decimal"/>
      <w:start w:val="2"/>
    </w:lvl>
  </w:abstractNum>
  <w:abstractNum w:abstractNumId="38">
    <w:nsid w:val="7644A45C"/>
    <w:multiLevelType w:val="hybridMultilevel"/>
    <w:lvl w:ilvl="0">
      <w:lvlJc w:val="left"/>
      <w:lvlText w:val="(%1)"/>
      <w:numFmt w:val="lowerRoman"/>
      <w:start w:val="1"/>
    </w:lvl>
  </w:abstractNum>
  <w:abstractNum w:abstractNumId="39">
    <w:nsid w:val="32FFF902"/>
    <w:multiLevelType w:val="hybridMultilevel"/>
    <w:lvl w:ilvl="0">
      <w:lvlJc w:val="left"/>
      <w:lvlText w:val="%1."/>
      <w:numFmt w:val="decimal"/>
      <w:start w:val="4"/>
    </w:lvl>
  </w:abstractNum>
  <w:abstractNum w:abstractNumId="40">
    <w:nsid w:val="684A481A"/>
    <w:multiLevelType w:val="hybridMultilevel"/>
    <w:lvl w:ilvl="0">
      <w:lvlJc w:val="left"/>
      <w:lvlText w:val="(%1)"/>
      <w:numFmt w:val="lowerRoman"/>
      <w:start w:val="1"/>
    </w:lvl>
  </w:abstractNum>
  <w:abstractNum w:abstractNumId="41">
    <w:nsid w:val="579478FE"/>
    <w:multiLevelType w:val="hybridMultilevel"/>
    <w:lvl w:ilvl="0">
      <w:lvlJc w:val="left"/>
      <w:lvlText w:val="(%1)"/>
      <w:numFmt w:val="lowerLetter"/>
      <w:start w:val="2"/>
    </w:lvl>
  </w:abstractNum>
  <w:abstractNum w:abstractNumId="42">
    <w:nsid w:val="749ABB43"/>
    <w:multiLevelType w:val="hybridMultilevel"/>
    <w:lvl w:ilvl="0">
      <w:lvlJc w:val="left"/>
      <w:lvlText w:val="(%1)"/>
      <w:numFmt w:val="lowerLetter"/>
      <w:start w:val="1"/>
    </w:lvl>
  </w:abstractNum>
  <w:abstractNum w:abstractNumId="43">
    <w:nsid w:val="3DC240FB"/>
    <w:multiLevelType w:val="hybridMultilevel"/>
    <w:lvl w:ilvl="0">
      <w:lvlJc w:val="left"/>
      <w:lvlText w:val="%1."/>
      <w:numFmt w:val="decimal"/>
      <w:start w:val="6"/>
    </w:lvl>
  </w:abstractNum>
  <w:abstractNum w:abstractNumId="44">
    <w:nsid w:val="1BA026FA"/>
    <w:multiLevelType w:val="hybridMultilevel"/>
    <w:lvl w:ilvl="0">
      <w:lvlJc w:val="left"/>
      <w:lvlText w:val="(%1)"/>
      <w:numFmt w:val="lowerLetter"/>
      <w:start w:val="1"/>
    </w:lvl>
  </w:abstractNum>
  <w:abstractNum w:abstractNumId="45">
    <w:nsid w:val="79A1DEAA"/>
    <w:multiLevelType w:val="hybridMultilevel"/>
    <w:lvl w:ilvl="0">
      <w:lvlJc w:val="left"/>
      <w:lvlText w:val="(%1)"/>
      <w:numFmt w:val="lowerLetter"/>
      <w:start w:val="8"/>
    </w:lvl>
  </w:abstractNum>
  <w:abstractNum w:abstractNumId="46">
    <w:nsid w:val="75C6C33A"/>
    <w:multiLevelType w:val="hybridMultilevel"/>
    <w:lvl w:ilvl="0">
      <w:lvlJc w:val="left"/>
      <w:lvlText w:val="(%1)"/>
      <w:numFmt w:val="lowerLetter"/>
      <w:start w:val="1"/>
    </w:lvl>
  </w:abstractNum>
  <w:abstractNum w:abstractNumId="47">
    <w:nsid w:val="12E685FB"/>
    <w:multiLevelType w:val="hybridMultilevel"/>
    <w:lvl w:ilvl="0">
      <w:lvlJc w:val="left"/>
      <w:lvlText w:val="(%1)"/>
      <w:numFmt w:val="lowerLetter"/>
      <w:start w:val="1"/>
    </w:lvl>
    <w:lvl w:ilvl="1">
      <w:lvlJc w:val="left"/>
      <w:lvlText w:val="(%2)"/>
      <w:numFmt w:val="lowerRoman"/>
      <w:start w:val="1"/>
    </w:lvl>
  </w:abstractNum>
  <w:abstractNum w:abstractNumId="48">
    <w:nsid w:val="70C6A529"/>
    <w:multiLevelType w:val="hybridMultilevel"/>
    <w:lvl w:ilvl="0">
      <w:lvlJc w:val="left"/>
      <w:lvlText w:val="%1"/>
      <w:numFmt w:val="decimal"/>
      <w:start w:val="1"/>
    </w:lvl>
    <w:lvl w:ilvl="1">
      <w:lvlJc w:val="left"/>
      <w:lvlText w:val="(%2)"/>
      <w:numFmt w:val="lowerLetter"/>
      <w:start w:val="2"/>
    </w:lvl>
  </w:abstractNum>
  <w:abstractNum w:abstractNumId="49">
    <w:nsid w:val="520EEDD1"/>
    <w:multiLevelType w:val="hybridMultilevel"/>
    <w:lvl w:ilvl="0">
      <w:lvlJc w:val="left"/>
      <w:lvlText w:val="%1."/>
      <w:numFmt w:val="decimal"/>
      <w:start w:val="7"/>
    </w:lvl>
    <w:lvl w:ilvl="1">
      <w:lvlJc w:val="left"/>
      <w:lvlText w:val="%2"/>
      <w:numFmt w:val="lowerLetter"/>
      <w:start w:val="1"/>
    </w:lvl>
  </w:abstractNum>
  <w:abstractNum w:abstractNumId="50">
    <w:nsid w:val="374A3FE6"/>
    <w:multiLevelType w:val="hybridMultilevel"/>
    <w:lvl w:ilvl="0">
      <w:lvlJc w:val="left"/>
      <w:lvlText w:val="%1"/>
      <w:numFmt w:val="decimal"/>
      <w:start w:val="1"/>
    </w:lvl>
    <w:lvl w:ilvl="1">
      <w:lvlJc w:val="left"/>
      <w:lvlText w:val="(%2)"/>
      <w:numFmt w:val="lowerLetter"/>
      <w:start w:val="1"/>
    </w:lvl>
  </w:abstractNum>
  <w:abstractNum w:abstractNumId="51">
    <w:nsid w:val="4F4EF005"/>
    <w:multiLevelType w:val="hybridMultilevel"/>
    <w:lvl w:ilvl="0">
      <w:lvlJc w:val="left"/>
      <w:lvlText w:val="(%1)"/>
      <w:numFmt w:val="decimal"/>
      <w:start w:val="1"/>
    </w:lvl>
    <w:lvl w:ilvl="1">
      <w:lvlJc w:val="left"/>
      <w:lvlText w:val="(%2)"/>
      <w:numFmt w:val="lowerLetter"/>
      <w:start w:val="2"/>
    </w:lvl>
  </w:abstractNum>
  <w:abstractNum w:abstractNumId="52">
    <w:nsid w:val="23F9C13C"/>
    <w:multiLevelType w:val="hybridMultilevel"/>
    <w:lvl w:ilvl="0">
      <w:lvlJc w:val="left"/>
      <w:lvlText w:val="%1."/>
      <w:numFmt w:val="decimal"/>
      <w:start w:val="8"/>
    </w:lvl>
  </w:abstractNum>
  <w:abstractNum w:abstractNumId="53">
    <w:nsid w:val="649BB77C"/>
    <w:multiLevelType w:val="hybridMultilevel"/>
    <w:lvl w:ilvl="0">
      <w:lvlJc w:val="left"/>
      <w:lvlText w:val="(%1)"/>
      <w:numFmt w:val="lowerLetter"/>
      <w:start w:val="35"/>
    </w:lvl>
    <w:lvl w:ilvl="1">
      <w:lvlJc w:val="left"/>
      <w:lvlText w:val="%2"/>
      <w:numFmt w:val="decimal"/>
      <w:start w:val="1"/>
    </w:lvl>
  </w:abstractNum>
  <w:abstractNum w:abstractNumId="54">
    <w:nsid w:val="275AC794"/>
    <w:multiLevelType w:val="hybridMultilevel"/>
    <w:lvl w:ilvl="0">
      <w:lvlJc w:val="left"/>
      <w:lvlText w:val="(%1)"/>
      <w:numFmt w:val="lowerLetter"/>
      <w:start w:val="2"/>
    </w:lvl>
    <w:lvl w:ilvl="1">
      <w:lvlJc w:val="left"/>
      <w:lvlText w:val="%2."/>
      <w:numFmt w:val="decimal"/>
      <w:start w:val="9"/>
    </w:lvl>
  </w:abstractNum>
  <w:abstractNum w:abstractNumId="55">
    <w:nsid w:val="39386575"/>
    <w:multiLevelType w:val="hybridMultilevel"/>
    <w:lvl w:ilvl="0">
      <w:lvlJc w:val="left"/>
      <w:lvlText w:val="(%1)"/>
      <w:numFmt w:val="lowerLetter"/>
      <w:start w:val="1"/>
    </w:lvl>
  </w:abstractNum>
  <w:abstractNum w:abstractNumId="56">
    <w:nsid w:val="1CF10FD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2026-01-08T07:16:17Z</dcterms:created>
  <dcterms:modified xsi:type="dcterms:W3CDTF">2026-01-08T07:16:17Z</dcterms:modified>
</cp:coreProperties>
</file>