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9" w:lineRule="exact"/>
        <w:rPr>
          <w:sz w:val="24"/>
          <w:szCs w:val="24"/>
          <w:color w:val="auto"/>
        </w:rPr>
      </w:pPr>
    </w:p>
    <w:p>
      <w:pPr>
        <w:jc w:val="center"/>
        <w:ind w:left="1080" w:right="320"/>
        <w:spacing w:after="0" w:line="243" w:lineRule="auto"/>
        <w:rPr>
          <w:sz w:val="20"/>
          <w:szCs w:val="20"/>
          <w:color w:val="auto"/>
        </w:rPr>
      </w:pPr>
      <w:r>
        <w:rPr>
          <w:rFonts w:ascii="Arial" w:cs="Arial" w:eastAsia="Arial" w:hAnsi="Arial"/>
          <w:sz w:val="15"/>
          <w:szCs w:val="15"/>
          <w:b w:val="1"/>
          <w:bCs w:val="1"/>
          <w:color w:val="auto"/>
        </w:rPr>
        <w:t>As confidentially submitted to the U.S. Securities and Exchange Commission on March 26, 2021. This draft registration statement has not been publicly filed with the U.S. Securities and Exchange Commission and all information herein remains strictly confidential.</w:t>
      </w:r>
    </w:p>
    <w:p>
      <w:pPr>
        <w:spacing w:after="0" w:line="1" w:lineRule="exact"/>
        <w:rPr>
          <w:sz w:val="24"/>
          <w:szCs w:val="24"/>
          <w:color w:val="auto"/>
        </w:rPr>
      </w:pPr>
    </w:p>
    <w:p>
      <w:pPr>
        <w:ind w:left="79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48895</wp:posOffset>
            </wp:positionV>
            <wp:extent cx="61588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8865"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92075</wp:posOffset>
            </wp:positionV>
            <wp:extent cx="61588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8865" cy="8255"/>
                    </a:xfrm>
                    <a:prstGeom prst="rect">
                      <a:avLst/>
                    </a:prstGeom>
                    <a:noFill/>
                  </pic:spPr>
                </pic:pic>
              </a:graphicData>
            </a:graphic>
          </wp:anchor>
        </w:drawing>
      </w:r>
    </w:p>
    <w:p>
      <w:pPr>
        <w:spacing w:after="0" w:line="16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UNITED STATES</w:t>
      </w:r>
    </w:p>
    <w:p>
      <w:pPr>
        <w:jc w:val="center"/>
        <w:ind w:right="-399"/>
        <w:spacing w:after="0"/>
        <w:rPr>
          <w:sz w:val="20"/>
          <w:szCs w:val="20"/>
          <w:color w:val="auto"/>
        </w:rPr>
      </w:pPr>
      <w:r>
        <w:rPr>
          <w:rFonts w:ascii="Arial" w:cs="Arial" w:eastAsia="Arial" w:hAnsi="Arial"/>
          <w:sz w:val="22"/>
          <w:szCs w:val="22"/>
          <w:b w:val="1"/>
          <w:bCs w:val="1"/>
          <w:color w:val="auto"/>
        </w:rPr>
        <w:t>SECURITIES AND EXCHANGE COMMISSION</w:t>
      </w:r>
    </w:p>
    <w:p>
      <w:pPr>
        <w:spacing w:after="0" w:line="6" w:lineRule="exact"/>
        <w:rPr>
          <w:sz w:val="24"/>
          <w:szCs w:val="24"/>
          <w:color w:val="auto"/>
        </w:rPr>
      </w:pPr>
    </w:p>
    <w:p>
      <w:pPr>
        <w:jc w:val="center"/>
        <w:ind w:right="-479"/>
        <w:spacing w:after="0"/>
        <w:rPr>
          <w:sz w:val="20"/>
          <w:szCs w:val="20"/>
          <w:color w:val="auto"/>
        </w:rPr>
      </w:pPr>
      <w:r>
        <w:rPr>
          <w:rFonts w:ascii="Arial" w:cs="Arial" w:eastAsia="Arial" w:hAnsi="Arial"/>
          <w:sz w:val="14"/>
          <w:szCs w:val="14"/>
          <w:b w:val="1"/>
          <w:bCs w:val="1"/>
          <w:color w:val="auto"/>
        </w:rPr>
        <w:t>Washington, D.C. 20549</w:t>
      </w:r>
    </w:p>
    <w:p>
      <w:pPr>
        <w:spacing w:after="0" w:line="3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FORM S-1</w:t>
      </w:r>
    </w:p>
    <w:p>
      <w:pPr>
        <w:spacing w:after="0" w:line="32"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REGISTRATION STATEMENT</w:t>
      </w:r>
    </w:p>
    <w:p>
      <w:pPr>
        <w:spacing w:after="0" w:line="19"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UNDER</w:t>
      </w:r>
    </w:p>
    <w:p>
      <w:pPr>
        <w:spacing w:after="0" w:line="39"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THE SECURITIES ACT OF 1933</w:t>
      </w:r>
    </w:p>
    <w:p>
      <w:pPr>
        <w:ind w:left="3900"/>
        <w:spacing w:after="0" w:line="224" w:lineRule="auto"/>
        <w:rPr>
          <w:sz w:val="20"/>
          <w:szCs w:val="20"/>
          <w:color w:val="auto"/>
        </w:rPr>
      </w:pPr>
      <w:r>
        <w:rPr>
          <w:rFonts w:ascii="Arial" w:cs="Arial" w:eastAsia="Arial" w:hAnsi="Arial"/>
          <w:sz w:val="22"/>
          <w:szCs w:val="22"/>
          <w:b w:val="1"/>
          <w:bCs w:val="1"/>
          <w:color w:val="auto"/>
        </w:rPr>
        <w:t>Century Therapeutics, Inc.</w:t>
      </w:r>
    </w:p>
    <w:p>
      <w:pPr>
        <w:ind w:left="3820"/>
        <w:spacing w:after="0"/>
        <w:rPr>
          <w:sz w:val="20"/>
          <w:szCs w:val="20"/>
          <w:color w:val="auto"/>
        </w:rPr>
      </w:pPr>
      <w:r>
        <w:rPr>
          <w:rFonts w:ascii="Arial" w:cs="Arial" w:eastAsia="Arial" w:hAnsi="Arial"/>
          <w:sz w:val="13"/>
          <w:szCs w:val="13"/>
          <w:color w:val="auto"/>
        </w:rPr>
        <w:t>(Exact name of registrant as specified in its charter)</w:t>
      </w:r>
    </w:p>
    <w:p>
      <w:pPr>
        <w:spacing w:after="0" w:line="64" w:lineRule="exact"/>
        <w:rPr>
          <w:sz w:val="24"/>
          <w:szCs w:val="24"/>
          <w:color w:val="auto"/>
        </w:rPr>
      </w:pPr>
    </w:p>
    <w:tbl>
      <w:tblPr>
        <w:tblLayout w:type="fixed"/>
        <w:tblInd w:w="1180" w:type="dxa"/>
        <w:tblCellMar>
          <w:top w:w="0" w:type="dxa"/>
          <w:left w:w="0" w:type="dxa"/>
          <w:bottom w:w="0" w:type="dxa"/>
          <w:right w:w="0" w:type="dxa"/>
        </w:tblCellMar>
      </w:tblPr>
      <w:tr>
        <w:trPr>
          <w:trHeight w:val="190"/>
        </w:trPr>
        <w:tc>
          <w:tcPr>
            <w:tcW w:w="2520" w:type="dxa"/>
            <w:vAlign w:val="bottom"/>
          </w:tcPr>
          <w:p>
            <w:pPr>
              <w:jc w:val="center"/>
              <w:ind w:right="733"/>
              <w:spacing w:after="0"/>
              <w:rPr>
                <w:sz w:val="20"/>
                <w:szCs w:val="20"/>
                <w:color w:val="auto"/>
              </w:rPr>
            </w:pPr>
            <w:r>
              <w:rPr>
                <w:rFonts w:ascii="Arial" w:cs="Arial" w:eastAsia="Arial" w:hAnsi="Arial"/>
                <w:sz w:val="15"/>
                <w:szCs w:val="15"/>
                <w:b w:val="1"/>
                <w:bCs w:val="1"/>
                <w:color w:val="auto"/>
              </w:rPr>
              <w:t>Delaware</w:t>
            </w:r>
          </w:p>
        </w:tc>
        <w:tc>
          <w:tcPr>
            <w:tcW w:w="3380" w:type="dxa"/>
            <w:vAlign w:val="bottom"/>
          </w:tcPr>
          <w:p>
            <w:pPr>
              <w:jc w:val="center"/>
              <w:ind w:right="33"/>
              <w:spacing w:after="0"/>
              <w:rPr>
                <w:sz w:val="20"/>
                <w:szCs w:val="20"/>
                <w:color w:val="auto"/>
              </w:rPr>
            </w:pPr>
            <w:r>
              <w:rPr>
                <w:rFonts w:ascii="Arial" w:cs="Arial" w:eastAsia="Arial" w:hAnsi="Arial"/>
                <w:sz w:val="15"/>
                <w:szCs w:val="15"/>
                <w:b w:val="1"/>
                <w:bCs w:val="1"/>
                <w:color w:val="auto"/>
              </w:rPr>
              <w:t>2836</w:t>
            </w:r>
          </w:p>
        </w:tc>
        <w:tc>
          <w:tcPr>
            <w:tcW w:w="2200" w:type="dxa"/>
            <w:vAlign w:val="bottom"/>
          </w:tcPr>
          <w:p>
            <w:pPr>
              <w:jc w:val="center"/>
              <w:ind w:left="833"/>
              <w:spacing w:after="0"/>
              <w:rPr>
                <w:sz w:val="20"/>
                <w:szCs w:val="20"/>
                <w:color w:val="auto"/>
              </w:rPr>
            </w:pPr>
            <w:r>
              <w:rPr>
                <w:rFonts w:ascii="Arial" w:cs="Arial" w:eastAsia="Arial" w:hAnsi="Arial"/>
                <w:sz w:val="15"/>
                <w:szCs w:val="15"/>
                <w:b w:val="1"/>
                <w:bCs w:val="1"/>
                <w:color w:val="auto"/>
              </w:rPr>
              <w:t>84-2040295</w:t>
            </w:r>
          </w:p>
        </w:tc>
      </w:tr>
      <w:tr>
        <w:trPr>
          <w:trHeight w:val="135"/>
        </w:trPr>
        <w:tc>
          <w:tcPr>
            <w:tcW w:w="2520" w:type="dxa"/>
            <w:vAlign w:val="bottom"/>
          </w:tcPr>
          <w:p>
            <w:pPr>
              <w:jc w:val="center"/>
              <w:ind w:right="753"/>
              <w:spacing w:after="0" w:line="134" w:lineRule="exact"/>
              <w:rPr>
                <w:sz w:val="20"/>
                <w:szCs w:val="20"/>
                <w:color w:val="auto"/>
              </w:rPr>
            </w:pPr>
            <w:r>
              <w:rPr>
                <w:rFonts w:ascii="Arial" w:cs="Arial" w:eastAsia="Arial" w:hAnsi="Arial"/>
                <w:sz w:val="13"/>
                <w:szCs w:val="13"/>
                <w:color w:val="auto"/>
              </w:rPr>
              <w:t>(State or other jurisdiction of</w:t>
            </w:r>
          </w:p>
        </w:tc>
        <w:tc>
          <w:tcPr>
            <w:tcW w:w="3380" w:type="dxa"/>
            <w:vAlign w:val="bottom"/>
          </w:tcPr>
          <w:p>
            <w:pPr>
              <w:jc w:val="center"/>
              <w:ind w:right="73"/>
              <w:spacing w:after="0" w:line="134" w:lineRule="exact"/>
              <w:rPr>
                <w:sz w:val="20"/>
                <w:szCs w:val="20"/>
                <w:color w:val="auto"/>
              </w:rPr>
            </w:pPr>
            <w:r>
              <w:rPr>
                <w:rFonts w:ascii="Arial" w:cs="Arial" w:eastAsia="Arial" w:hAnsi="Arial"/>
                <w:sz w:val="13"/>
                <w:szCs w:val="13"/>
                <w:color w:val="auto"/>
              </w:rPr>
              <w:t>(Primary Standard Industrial</w:t>
            </w:r>
          </w:p>
        </w:tc>
        <w:tc>
          <w:tcPr>
            <w:tcW w:w="2200" w:type="dxa"/>
            <w:vAlign w:val="bottom"/>
          </w:tcPr>
          <w:p>
            <w:pPr>
              <w:jc w:val="center"/>
              <w:ind w:left="813"/>
              <w:spacing w:after="0" w:line="134" w:lineRule="exact"/>
              <w:rPr>
                <w:sz w:val="20"/>
                <w:szCs w:val="20"/>
                <w:color w:val="auto"/>
              </w:rPr>
            </w:pPr>
            <w:r>
              <w:rPr>
                <w:rFonts w:ascii="Arial" w:cs="Arial" w:eastAsia="Arial" w:hAnsi="Arial"/>
                <w:sz w:val="13"/>
                <w:szCs w:val="13"/>
                <w:color w:val="auto"/>
              </w:rPr>
              <w:t>(I.R.S. Employer</w:t>
            </w:r>
          </w:p>
        </w:tc>
      </w:tr>
      <w:tr>
        <w:trPr>
          <w:trHeight w:val="163"/>
        </w:trPr>
        <w:tc>
          <w:tcPr>
            <w:tcW w:w="2520" w:type="dxa"/>
            <w:vAlign w:val="bottom"/>
          </w:tcPr>
          <w:p>
            <w:pPr>
              <w:jc w:val="center"/>
              <w:ind w:right="733"/>
              <w:spacing w:after="0"/>
              <w:rPr>
                <w:sz w:val="20"/>
                <w:szCs w:val="20"/>
                <w:color w:val="auto"/>
              </w:rPr>
            </w:pPr>
            <w:r>
              <w:rPr>
                <w:rFonts w:ascii="Arial" w:cs="Arial" w:eastAsia="Arial" w:hAnsi="Arial"/>
                <w:sz w:val="13"/>
                <w:szCs w:val="13"/>
                <w:color w:val="auto"/>
              </w:rPr>
              <w:t>incorporation or organization)</w:t>
            </w:r>
          </w:p>
        </w:tc>
        <w:tc>
          <w:tcPr>
            <w:tcW w:w="3380" w:type="dxa"/>
            <w:vAlign w:val="bottom"/>
          </w:tcPr>
          <w:p>
            <w:pPr>
              <w:jc w:val="center"/>
              <w:ind w:right="33"/>
              <w:spacing w:after="0"/>
              <w:rPr>
                <w:sz w:val="20"/>
                <w:szCs w:val="20"/>
                <w:color w:val="auto"/>
              </w:rPr>
            </w:pPr>
            <w:r>
              <w:rPr>
                <w:rFonts w:ascii="Arial" w:cs="Arial" w:eastAsia="Arial" w:hAnsi="Arial"/>
                <w:sz w:val="13"/>
                <w:szCs w:val="13"/>
                <w:color w:val="auto"/>
              </w:rPr>
              <w:t>Classification Code Number)</w:t>
            </w:r>
          </w:p>
        </w:tc>
        <w:tc>
          <w:tcPr>
            <w:tcW w:w="2200" w:type="dxa"/>
            <w:vAlign w:val="bottom"/>
          </w:tcPr>
          <w:p>
            <w:pPr>
              <w:jc w:val="center"/>
              <w:ind w:left="833"/>
              <w:spacing w:after="0"/>
              <w:rPr>
                <w:sz w:val="20"/>
                <w:szCs w:val="20"/>
                <w:color w:val="auto"/>
              </w:rPr>
            </w:pPr>
            <w:r>
              <w:rPr>
                <w:rFonts w:ascii="Arial" w:cs="Arial" w:eastAsia="Arial" w:hAnsi="Arial"/>
                <w:sz w:val="13"/>
                <w:szCs w:val="13"/>
                <w:color w:val="auto"/>
              </w:rPr>
              <w:t>Identification Number)</w:t>
            </w:r>
          </w:p>
        </w:tc>
      </w:tr>
    </w:tbl>
    <w:p>
      <w:pPr>
        <w:spacing w:after="0" w:line="64"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3675 Market Street</w:t>
      </w:r>
    </w:p>
    <w:p>
      <w:pPr>
        <w:jc w:val="center"/>
        <w:ind w:right="-439"/>
        <w:spacing w:after="0" w:line="234" w:lineRule="auto"/>
        <w:rPr>
          <w:sz w:val="20"/>
          <w:szCs w:val="20"/>
          <w:color w:val="auto"/>
        </w:rPr>
      </w:pPr>
      <w:r>
        <w:rPr>
          <w:rFonts w:ascii="Arial" w:cs="Arial" w:eastAsia="Arial" w:hAnsi="Arial"/>
          <w:sz w:val="15"/>
          <w:szCs w:val="15"/>
          <w:b w:val="1"/>
          <w:bCs w:val="1"/>
          <w:color w:val="auto"/>
        </w:rPr>
        <w:t>Philadelphia, Pennsylvania 19104</w:t>
      </w:r>
    </w:p>
    <w:p>
      <w:pPr>
        <w:jc w:val="center"/>
        <w:ind w:right="-479"/>
        <w:spacing w:after="0"/>
        <w:rPr>
          <w:sz w:val="20"/>
          <w:szCs w:val="20"/>
          <w:color w:val="auto"/>
        </w:rPr>
      </w:pPr>
      <w:r>
        <w:rPr>
          <w:rFonts w:ascii="Arial" w:cs="Arial" w:eastAsia="Arial" w:hAnsi="Arial"/>
          <w:sz w:val="15"/>
          <w:szCs w:val="15"/>
          <w:b w:val="1"/>
          <w:bCs w:val="1"/>
          <w:color w:val="auto"/>
        </w:rPr>
        <w:t>(267) 817-5790</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64"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Osvaldo Flores, Ph.D.</w:t>
      </w:r>
    </w:p>
    <w:p>
      <w:pPr>
        <w:jc w:val="center"/>
        <w:ind w:right="-439"/>
        <w:spacing w:after="0" w:line="234"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439"/>
        <w:spacing w:after="0" w:line="224" w:lineRule="auto"/>
        <w:rPr>
          <w:sz w:val="20"/>
          <w:szCs w:val="20"/>
          <w:color w:val="auto"/>
        </w:rPr>
      </w:pPr>
      <w:r>
        <w:rPr>
          <w:rFonts w:ascii="Arial" w:cs="Arial" w:eastAsia="Arial" w:hAnsi="Arial"/>
          <w:sz w:val="15"/>
          <w:szCs w:val="15"/>
          <w:b w:val="1"/>
          <w:bCs w:val="1"/>
          <w:color w:val="auto"/>
        </w:rPr>
        <w:t>Century Therapeutics, Inc.</w:t>
      </w:r>
    </w:p>
    <w:p>
      <w:pPr>
        <w:jc w:val="center"/>
        <w:ind w:right="-439"/>
        <w:spacing w:after="0" w:line="225" w:lineRule="auto"/>
        <w:rPr>
          <w:sz w:val="20"/>
          <w:szCs w:val="20"/>
          <w:color w:val="auto"/>
        </w:rPr>
      </w:pPr>
      <w:r>
        <w:rPr>
          <w:rFonts w:ascii="Arial" w:cs="Arial" w:eastAsia="Arial" w:hAnsi="Arial"/>
          <w:sz w:val="15"/>
          <w:szCs w:val="15"/>
          <w:b w:val="1"/>
          <w:bCs w:val="1"/>
          <w:color w:val="auto"/>
        </w:rPr>
        <w:t>3675 Market Street</w:t>
      </w:r>
    </w:p>
    <w:p>
      <w:pPr>
        <w:jc w:val="center"/>
        <w:ind w:right="-439"/>
        <w:spacing w:after="0" w:line="225" w:lineRule="auto"/>
        <w:rPr>
          <w:sz w:val="20"/>
          <w:szCs w:val="20"/>
          <w:color w:val="auto"/>
        </w:rPr>
      </w:pPr>
      <w:r>
        <w:rPr>
          <w:rFonts w:ascii="Arial" w:cs="Arial" w:eastAsia="Arial" w:hAnsi="Arial"/>
          <w:sz w:val="15"/>
          <w:szCs w:val="15"/>
          <w:b w:val="1"/>
          <w:bCs w:val="1"/>
          <w:color w:val="auto"/>
        </w:rPr>
        <w:t>Philadelphia, Pennsylvania 19104</w:t>
      </w:r>
    </w:p>
    <w:p>
      <w:pPr>
        <w:jc w:val="center"/>
        <w:ind w:right="-479"/>
        <w:spacing w:after="0"/>
        <w:rPr>
          <w:sz w:val="20"/>
          <w:szCs w:val="20"/>
          <w:color w:val="auto"/>
        </w:rPr>
      </w:pPr>
      <w:r>
        <w:rPr>
          <w:rFonts w:ascii="Arial" w:cs="Arial" w:eastAsia="Arial" w:hAnsi="Arial"/>
          <w:sz w:val="15"/>
          <w:szCs w:val="15"/>
          <w:b w:val="1"/>
          <w:bCs w:val="1"/>
          <w:color w:val="auto"/>
        </w:rPr>
        <w:t>(267) 817-5790</w:t>
      </w:r>
    </w:p>
    <w:p>
      <w:pPr>
        <w:spacing w:after="0" w:line="13" w:lineRule="exact"/>
        <w:rPr>
          <w:sz w:val="24"/>
          <w:szCs w:val="24"/>
          <w:color w:val="auto"/>
        </w:rPr>
      </w:pPr>
    </w:p>
    <w:p>
      <w:pPr>
        <w:ind w:left="2380"/>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12" w:lineRule="exact"/>
        <w:rPr>
          <w:sz w:val="24"/>
          <w:szCs w:val="24"/>
          <w:color w:val="auto"/>
        </w:rPr>
      </w:pPr>
    </w:p>
    <w:tbl>
      <w:tblPr>
        <w:tblLayout w:type="fixed"/>
        <w:tblInd w:w="1300" w:type="dxa"/>
        <w:tblCellMar>
          <w:top w:w="0" w:type="dxa"/>
          <w:left w:w="0" w:type="dxa"/>
          <w:bottom w:w="0" w:type="dxa"/>
          <w:right w:w="0" w:type="dxa"/>
        </w:tblCellMar>
      </w:tblPr>
      <w:tr>
        <w:trPr>
          <w:trHeight w:val="172"/>
        </w:trPr>
        <w:tc>
          <w:tcPr>
            <w:tcW w:w="3380" w:type="dxa"/>
            <w:vAlign w:val="bottom"/>
          </w:tcPr>
          <w:p>
            <w:pPr>
              <w:spacing w:after="0"/>
              <w:rPr>
                <w:sz w:val="14"/>
                <w:szCs w:val="14"/>
                <w:color w:val="auto"/>
              </w:rPr>
            </w:pPr>
          </w:p>
        </w:tc>
        <w:tc>
          <w:tcPr>
            <w:tcW w:w="4140" w:type="dxa"/>
            <w:vAlign w:val="bottom"/>
          </w:tcPr>
          <w:p>
            <w:pPr>
              <w:ind w:left="300"/>
              <w:spacing w:after="0"/>
              <w:rPr>
                <w:sz w:val="20"/>
                <w:szCs w:val="20"/>
                <w:color w:val="auto"/>
              </w:rPr>
            </w:pPr>
            <w:r>
              <w:rPr>
                <w:rFonts w:ascii="Arial" w:cs="Arial" w:eastAsia="Arial" w:hAnsi="Arial"/>
                <w:sz w:val="15"/>
                <w:szCs w:val="15"/>
                <w:color w:val="auto"/>
              </w:rPr>
              <w:t>Copies to:</w:t>
            </w:r>
          </w:p>
        </w:tc>
      </w:tr>
      <w:tr>
        <w:trPr>
          <w:trHeight w:val="161"/>
        </w:trPr>
        <w:tc>
          <w:tcPr>
            <w:tcW w:w="3380" w:type="dxa"/>
            <w:vAlign w:val="bottom"/>
          </w:tcPr>
          <w:p>
            <w:pPr>
              <w:jc w:val="center"/>
              <w:ind w:right="244"/>
              <w:spacing w:after="0" w:line="161" w:lineRule="exact"/>
              <w:rPr>
                <w:sz w:val="20"/>
                <w:szCs w:val="20"/>
                <w:color w:val="auto"/>
              </w:rPr>
            </w:pPr>
            <w:r>
              <w:rPr>
                <w:rFonts w:ascii="Arial" w:cs="Arial" w:eastAsia="Arial" w:hAnsi="Arial"/>
                <w:sz w:val="15"/>
                <w:szCs w:val="15"/>
                <w:b w:val="1"/>
                <w:bCs w:val="1"/>
                <w:color w:val="auto"/>
              </w:rPr>
              <w:t>Rachael M. Bushey</w:t>
            </w:r>
          </w:p>
        </w:tc>
        <w:tc>
          <w:tcPr>
            <w:tcW w:w="4140" w:type="dxa"/>
            <w:vAlign w:val="bottom"/>
          </w:tcPr>
          <w:p>
            <w:pPr>
              <w:jc w:val="center"/>
              <w:ind w:left="2004"/>
              <w:spacing w:after="0" w:line="161" w:lineRule="exact"/>
              <w:rPr>
                <w:sz w:val="20"/>
                <w:szCs w:val="20"/>
                <w:color w:val="auto"/>
              </w:rPr>
            </w:pPr>
            <w:r>
              <w:rPr>
                <w:rFonts w:ascii="Arial" w:cs="Arial" w:eastAsia="Arial" w:hAnsi="Arial"/>
                <w:sz w:val="15"/>
                <w:szCs w:val="15"/>
                <w:b w:val="1"/>
                <w:bCs w:val="1"/>
                <w:color w:val="auto"/>
              </w:rPr>
              <w:t>Richard Truesdell, Jr.</w:t>
            </w:r>
          </w:p>
        </w:tc>
      </w:tr>
      <w:tr>
        <w:trPr>
          <w:trHeight w:val="161"/>
        </w:trPr>
        <w:tc>
          <w:tcPr>
            <w:tcW w:w="3380" w:type="dxa"/>
            <w:vAlign w:val="bottom"/>
          </w:tcPr>
          <w:p>
            <w:pPr>
              <w:jc w:val="center"/>
              <w:ind w:right="224"/>
              <w:spacing w:after="0" w:line="161" w:lineRule="exact"/>
              <w:rPr>
                <w:sz w:val="20"/>
                <w:szCs w:val="20"/>
                <w:color w:val="auto"/>
              </w:rPr>
            </w:pPr>
            <w:r>
              <w:rPr>
                <w:rFonts w:ascii="Arial" w:cs="Arial" w:eastAsia="Arial" w:hAnsi="Arial"/>
                <w:sz w:val="15"/>
                <w:szCs w:val="15"/>
                <w:b w:val="1"/>
                <w:bCs w:val="1"/>
                <w:color w:val="auto"/>
              </w:rPr>
              <w:t>Jennifer L. Porter</w:t>
            </w:r>
          </w:p>
        </w:tc>
        <w:tc>
          <w:tcPr>
            <w:tcW w:w="4140" w:type="dxa"/>
            <w:vAlign w:val="bottom"/>
          </w:tcPr>
          <w:p>
            <w:pPr>
              <w:jc w:val="center"/>
              <w:ind w:left="2004"/>
              <w:spacing w:after="0" w:line="161" w:lineRule="exact"/>
              <w:rPr>
                <w:sz w:val="20"/>
                <w:szCs w:val="20"/>
                <w:color w:val="auto"/>
              </w:rPr>
            </w:pPr>
            <w:r>
              <w:rPr>
                <w:rFonts w:ascii="Arial" w:cs="Arial" w:eastAsia="Arial" w:hAnsi="Arial"/>
                <w:sz w:val="15"/>
                <w:szCs w:val="15"/>
                <w:b w:val="1"/>
                <w:bCs w:val="1"/>
                <w:color w:val="auto"/>
              </w:rPr>
              <w:t>Roshni Cariello</w:t>
            </w:r>
          </w:p>
        </w:tc>
      </w:tr>
      <w:tr>
        <w:trPr>
          <w:trHeight w:val="161"/>
        </w:trPr>
        <w:tc>
          <w:tcPr>
            <w:tcW w:w="3380" w:type="dxa"/>
            <w:vAlign w:val="bottom"/>
          </w:tcPr>
          <w:p>
            <w:pPr>
              <w:jc w:val="center"/>
              <w:ind w:right="244"/>
              <w:spacing w:after="0" w:line="161" w:lineRule="exact"/>
              <w:rPr>
                <w:sz w:val="20"/>
                <w:szCs w:val="20"/>
                <w:color w:val="auto"/>
              </w:rPr>
            </w:pPr>
            <w:r>
              <w:rPr>
                <w:rFonts w:ascii="Arial" w:cs="Arial" w:eastAsia="Arial" w:hAnsi="Arial"/>
                <w:sz w:val="15"/>
                <w:szCs w:val="15"/>
                <w:b w:val="1"/>
                <w:bCs w:val="1"/>
                <w:color w:val="auto"/>
              </w:rPr>
              <w:t>Troutman Pepper Hamilton Sanders LLP</w:t>
            </w:r>
          </w:p>
        </w:tc>
        <w:tc>
          <w:tcPr>
            <w:tcW w:w="4140" w:type="dxa"/>
            <w:vAlign w:val="bottom"/>
          </w:tcPr>
          <w:p>
            <w:pPr>
              <w:jc w:val="center"/>
              <w:ind w:left="2004"/>
              <w:spacing w:after="0" w:line="161" w:lineRule="exact"/>
              <w:rPr>
                <w:sz w:val="20"/>
                <w:szCs w:val="20"/>
                <w:color w:val="auto"/>
              </w:rPr>
            </w:pPr>
            <w:r>
              <w:rPr>
                <w:rFonts w:ascii="Arial" w:cs="Arial" w:eastAsia="Arial" w:hAnsi="Arial"/>
                <w:sz w:val="15"/>
                <w:szCs w:val="15"/>
                <w:b w:val="1"/>
                <w:bCs w:val="1"/>
                <w:color w:val="auto"/>
              </w:rPr>
              <w:t>Davis Polk &amp; Wardwell LLP</w:t>
            </w:r>
          </w:p>
        </w:tc>
      </w:tr>
      <w:tr>
        <w:trPr>
          <w:trHeight w:val="161"/>
        </w:trPr>
        <w:tc>
          <w:tcPr>
            <w:tcW w:w="3380" w:type="dxa"/>
            <w:vAlign w:val="bottom"/>
          </w:tcPr>
          <w:p>
            <w:pPr>
              <w:jc w:val="center"/>
              <w:ind w:right="244"/>
              <w:spacing w:after="0" w:line="161" w:lineRule="exact"/>
              <w:rPr>
                <w:sz w:val="20"/>
                <w:szCs w:val="20"/>
                <w:color w:val="auto"/>
              </w:rPr>
            </w:pPr>
            <w:r>
              <w:rPr>
                <w:rFonts w:ascii="Arial" w:cs="Arial" w:eastAsia="Arial" w:hAnsi="Arial"/>
                <w:sz w:val="15"/>
                <w:szCs w:val="15"/>
                <w:b w:val="1"/>
                <w:bCs w:val="1"/>
                <w:color w:val="auto"/>
              </w:rPr>
              <w:t>3000 Two Logan Square</w:t>
            </w:r>
          </w:p>
        </w:tc>
        <w:tc>
          <w:tcPr>
            <w:tcW w:w="4140" w:type="dxa"/>
            <w:vAlign w:val="bottom"/>
          </w:tcPr>
          <w:p>
            <w:pPr>
              <w:jc w:val="center"/>
              <w:ind w:left="1984"/>
              <w:spacing w:after="0" w:line="161" w:lineRule="exact"/>
              <w:rPr>
                <w:sz w:val="20"/>
                <w:szCs w:val="20"/>
                <w:color w:val="auto"/>
              </w:rPr>
            </w:pPr>
            <w:r>
              <w:rPr>
                <w:rFonts w:ascii="Arial" w:cs="Arial" w:eastAsia="Arial" w:hAnsi="Arial"/>
                <w:sz w:val="15"/>
                <w:szCs w:val="15"/>
                <w:b w:val="1"/>
                <w:bCs w:val="1"/>
                <w:color w:val="auto"/>
              </w:rPr>
              <w:t>450 Lexington Avenue</w:t>
            </w:r>
          </w:p>
        </w:tc>
      </w:tr>
      <w:tr>
        <w:trPr>
          <w:trHeight w:val="161"/>
        </w:trPr>
        <w:tc>
          <w:tcPr>
            <w:tcW w:w="3380" w:type="dxa"/>
            <w:vAlign w:val="bottom"/>
          </w:tcPr>
          <w:p>
            <w:pPr>
              <w:jc w:val="center"/>
              <w:ind w:right="244"/>
              <w:spacing w:after="0" w:line="161" w:lineRule="exact"/>
              <w:rPr>
                <w:sz w:val="20"/>
                <w:szCs w:val="20"/>
                <w:color w:val="auto"/>
              </w:rPr>
            </w:pPr>
            <w:r>
              <w:rPr>
                <w:rFonts w:ascii="Arial" w:cs="Arial" w:eastAsia="Arial" w:hAnsi="Arial"/>
                <w:sz w:val="15"/>
                <w:szCs w:val="15"/>
                <w:b w:val="1"/>
                <w:bCs w:val="1"/>
                <w:color w:val="auto"/>
              </w:rPr>
              <w:t>Philadelphia, Pennsylvania 19103</w:t>
            </w:r>
          </w:p>
        </w:tc>
        <w:tc>
          <w:tcPr>
            <w:tcW w:w="4140" w:type="dxa"/>
            <w:vAlign w:val="bottom"/>
          </w:tcPr>
          <w:p>
            <w:pPr>
              <w:jc w:val="center"/>
              <w:ind w:left="1984"/>
              <w:spacing w:after="0" w:line="161" w:lineRule="exact"/>
              <w:rPr>
                <w:sz w:val="20"/>
                <w:szCs w:val="20"/>
                <w:color w:val="auto"/>
              </w:rPr>
            </w:pPr>
            <w:r>
              <w:rPr>
                <w:rFonts w:ascii="Arial" w:cs="Arial" w:eastAsia="Arial" w:hAnsi="Arial"/>
                <w:sz w:val="15"/>
                <w:szCs w:val="15"/>
                <w:b w:val="1"/>
                <w:bCs w:val="1"/>
                <w:color w:val="auto"/>
              </w:rPr>
              <w:t>New York, New York 10017</w:t>
            </w:r>
          </w:p>
        </w:tc>
      </w:tr>
      <w:tr>
        <w:trPr>
          <w:trHeight w:val="202"/>
        </w:trPr>
        <w:tc>
          <w:tcPr>
            <w:tcW w:w="3380" w:type="dxa"/>
            <w:vAlign w:val="bottom"/>
          </w:tcPr>
          <w:p>
            <w:pPr>
              <w:jc w:val="center"/>
              <w:ind w:right="204"/>
              <w:spacing w:after="0"/>
              <w:rPr>
                <w:sz w:val="20"/>
                <w:szCs w:val="20"/>
                <w:color w:val="auto"/>
              </w:rPr>
            </w:pPr>
            <w:r>
              <w:rPr>
                <w:rFonts w:ascii="Arial" w:cs="Arial" w:eastAsia="Arial" w:hAnsi="Arial"/>
                <w:sz w:val="15"/>
                <w:szCs w:val="15"/>
                <w:b w:val="1"/>
                <w:bCs w:val="1"/>
                <w:color w:val="auto"/>
              </w:rPr>
              <w:t>(215) 981-4331</w:t>
            </w:r>
          </w:p>
        </w:tc>
        <w:tc>
          <w:tcPr>
            <w:tcW w:w="4140" w:type="dxa"/>
            <w:vAlign w:val="bottom"/>
          </w:tcPr>
          <w:p>
            <w:pPr>
              <w:jc w:val="center"/>
              <w:ind w:left="2044"/>
              <w:spacing w:after="0"/>
              <w:rPr>
                <w:sz w:val="20"/>
                <w:szCs w:val="20"/>
                <w:color w:val="auto"/>
              </w:rPr>
            </w:pPr>
            <w:r>
              <w:rPr>
                <w:rFonts w:ascii="Arial" w:cs="Arial" w:eastAsia="Arial" w:hAnsi="Arial"/>
                <w:sz w:val="15"/>
                <w:szCs w:val="15"/>
                <w:b w:val="1"/>
                <w:bCs w:val="1"/>
                <w:color w:val="auto"/>
              </w:rPr>
              <w:t>(212) 450-4000</w:t>
            </w:r>
          </w:p>
        </w:tc>
      </w:tr>
    </w:tbl>
    <w:p>
      <w:pPr>
        <w:spacing w:after="0" w:line="54" w:lineRule="exact"/>
        <w:rPr>
          <w:sz w:val="24"/>
          <w:szCs w:val="24"/>
          <w:color w:val="auto"/>
        </w:rPr>
      </w:pPr>
    </w:p>
    <w:p>
      <w:pPr>
        <w:jc w:val="center"/>
        <w:ind w:left="1120" w:right="200"/>
        <w:spacing w:after="0" w:line="265" w:lineRule="auto"/>
        <w:rPr>
          <w:sz w:val="20"/>
          <w:szCs w:val="20"/>
          <w:color w:val="auto"/>
        </w:rPr>
      </w:pPr>
      <w:r>
        <w:rPr>
          <w:rFonts w:ascii="Arial" w:cs="Arial" w:eastAsia="Arial" w:hAnsi="Arial"/>
          <w:sz w:val="15"/>
          <w:szCs w:val="15"/>
          <w:b w:val="1"/>
          <w:bCs w:val="1"/>
          <w:color w:val="auto"/>
        </w:rPr>
        <w:t>Approximate date of commencement of proposed sale to the public: As soon as practicable after the effective date of this Registration Statement.</w:t>
      </w:r>
    </w:p>
    <w:p>
      <w:pPr>
        <w:ind w:left="480" w:right="120"/>
        <w:spacing w:after="0" w:line="175"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ind w:left="480" w:right="380"/>
        <w:spacing w:after="0" w:line="176"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74" w:lineRule="exact"/>
        <w:rPr>
          <w:sz w:val="24"/>
          <w:szCs w:val="24"/>
          <w:color w:val="auto"/>
        </w:rPr>
      </w:pPr>
    </w:p>
    <w:p>
      <w:pPr>
        <w:ind w:left="480" w:right="360"/>
        <w:spacing w:after="0" w:line="181"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 w:lineRule="exact"/>
        <w:rPr>
          <w:sz w:val="24"/>
          <w:szCs w:val="24"/>
          <w:color w:val="auto"/>
        </w:rPr>
      </w:pPr>
    </w:p>
    <w:p>
      <w:pPr>
        <w:ind w:left="480" w:right="340"/>
        <w:spacing w:after="0" w:line="175"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left="480" w:right="40"/>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00"/>
          </w:cols>
          <w:pgMar w:left="600" w:top="238" w:right="1099" w:bottom="1440" w:gutter="0" w:footer="0" w:header="0"/>
        </w:sectPr>
      </w:pPr>
    </w:p>
    <w:p>
      <w:pPr>
        <w:ind w:left="8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45" w:lineRule="exact"/>
        <w:rPr>
          <w:sz w:val="24"/>
          <w:szCs w:val="24"/>
          <w:color w:val="auto"/>
        </w:rPr>
      </w:pPr>
    </w:p>
    <w:p>
      <w:pPr>
        <w:sectPr>
          <w:pgSz w:w="11900" w:h="16838" w:orient="portrait"/>
          <w:cols w:equalWidth="0" w:num="2">
            <w:col w:w="4720" w:space="720"/>
            <w:col w:w="4760"/>
          </w:cols>
          <w:pgMar w:left="600" w:top="238" w:right="1099" w:bottom="1440" w:gutter="0" w:footer="0" w:header="0"/>
          <w:type w:val="continuous"/>
        </w:sectPr>
      </w:pPr>
    </w:p>
    <w:p>
      <w:pPr>
        <w:ind w:left="84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jc w:val="center"/>
        <w:ind w:right="2660"/>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86" w:lineRule="exact"/>
        <w:rPr>
          <w:sz w:val="24"/>
          <w:szCs w:val="24"/>
          <w:color w:val="auto"/>
        </w:rPr>
      </w:pPr>
    </w:p>
    <w:p>
      <w:pPr>
        <w:sectPr>
          <w:pgSz w:w="11900" w:h="16838" w:orient="portrait"/>
          <w:cols w:equalWidth="0" w:num="2">
            <w:col w:w="4720" w:space="720"/>
            <w:col w:w="4760"/>
          </w:cols>
          <w:pgMar w:left="600" w:top="238" w:right="1099" w:bottom="1440" w:gutter="0" w:footer="0" w:header="0"/>
          <w:type w:val="continuous"/>
        </w:sectPr>
      </w:pPr>
    </w:p>
    <w:p>
      <w:pPr>
        <w:ind w:left="54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0200"/>
          </w:cols>
          <w:pgMar w:left="600" w:top="238" w:right="1099" w:bottom="1440" w:gutter="0" w:footer="0" w:header="0"/>
          <w:type w:val="continuous"/>
        </w:sectPr>
      </w:pPr>
    </w:p>
    <w:p>
      <w:pPr>
        <w:spacing w:after="0" w:line="244" w:lineRule="exact"/>
        <w:rPr>
          <w:sz w:val="24"/>
          <w:szCs w:val="24"/>
          <w:color w:val="auto"/>
        </w:rPr>
      </w:pPr>
    </w:p>
    <w:p>
      <w:pPr>
        <w:ind w:left="480" w:right="500"/>
        <w:spacing w:after="0" w:line="17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ind w:left="3860"/>
        <w:spacing w:after="0"/>
        <w:rPr>
          <w:sz w:val="20"/>
          <w:szCs w:val="20"/>
          <w:color w:val="auto"/>
        </w:rPr>
      </w:pPr>
      <w:r>
        <w:rPr>
          <w:rFonts w:ascii="Arial" w:cs="Arial" w:eastAsia="Arial" w:hAnsi="Arial"/>
          <w:sz w:val="15"/>
          <w:szCs w:val="15"/>
          <w:b w:val="1"/>
          <w:bCs w:val="1"/>
          <w:color w:val="auto"/>
        </w:rPr>
        <w:t>CALCULATION OF REGISTRATION FEE</w:t>
      </w:r>
    </w:p>
    <w:p>
      <w:pPr>
        <w:spacing w:after="0" w:line="6" w:lineRule="exact"/>
        <w:rPr>
          <w:sz w:val="24"/>
          <w:szCs w:val="24"/>
          <w:color w:val="auto"/>
        </w:rPr>
      </w:pPr>
    </w:p>
    <w:tbl>
      <w:tblPr>
        <w:tblLayout w:type="fixed"/>
        <w:tblInd w:w="500" w:type="dxa"/>
        <w:tblCellMar>
          <w:top w:w="0" w:type="dxa"/>
          <w:left w:w="0" w:type="dxa"/>
          <w:bottom w:w="0" w:type="dxa"/>
          <w:right w:w="0" w:type="dxa"/>
        </w:tblCellMar>
      </w:tblPr>
      <w:tr>
        <w:trPr>
          <w:trHeight w:val="182"/>
        </w:trPr>
        <w:tc>
          <w:tcPr>
            <w:tcW w:w="7100" w:type="dxa"/>
            <w:vAlign w:val="bottom"/>
            <w:tcBorders>
              <w:top w:val="single" w:sz="8" w:color="auto"/>
              <w:right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Proposed</w:t>
            </w:r>
          </w:p>
        </w:tc>
        <w:tc>
          <w:tcPr>
            <w:tcW w:w="1340" w:type="dxa"/>
            <w:vAlign w:val="bottom"/>
            <w:tcBorders>
              <w:top w:val="single" w:sz="8" w:color="auto"/>
            </w:tcBorders>
          </w:tcPr>
          <w:p>
            <w:pPr>
              <w:spacing w:after="0"/>
              <w:rPr>
                <w:sz w:val="15"/>
                <w:szCs w:val="15"/>
                <w:color w:val="auto"/>
              </w:rPr>
            </w:pPr>
          </w:p>
        </w:tc>
      </w:tr>
      <w:tr>
        <w:trPr>
          <w:trHeight w:val="175"/>
        </w:trPr>
        <w:tc>
          <w:tcPr>
            <w:tcW w:w="71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maximum</w:t>
            </w:r>
          </w:p>
        </w:tc>
        <w:tc>
          <w:tcPr>
            <w:tcW w:w="1340" w:type="dxa"/>
            <w:vAlign w:val="bottom"/>
          </w:tcPr>
          <w:p>
            <w:pPr>
              <w:spacing w:after="0"/>
              <w:rPr>
                <w:sz w:val="15"/>
                <w:szCs w:val="15"/>
                <w:color w:val="auto"/>
              </w:rPr>
            </w:pPr>
          </w:p>
        </w:tc>
      </w:tr>
      <w:tr>
        <w:trPr>
          <w:trHeight w:val="175"/>
        </w:trPr>
        <w:tc>
          <w:tcPr>
            <w:tcW w:w="7100" w:type="dxa"/>
            <w:vAlign w:val="bottom"/>
            <w:tcBorders>
              <w:right w:val="single" w:sz="8" w:color="auto"/>
            </w:tcBorders>
          </w:tcPr>
          <w:p>
            <w:pPr>
              <w:jc w:val="center"/>
              <w:ind w:right="27"/>
              <w:spacing w:after="0"/>
              <w:rPr>
                <w:sz w:val="20"/>
                <w:szCs w:val="20"/>
                <w:color w:val="auto"/>
              </w:rPr>
            </w:pPr>
            <w:r>
              <w:rPr>
                <w:rFonts w:ascii="Arial" w:cs="Arial" w:eastAsia="Arial" w:hAnsi="Arial"/>
                <w:sz w:val="14"/>
                <w:szCs w:val="14"/>
                <w:b w:val="1"/>
                <w:bCs w:val="1"/>
                <w:color w:val="auto"/>
              </w:rPr>
              <w:t>Title of each class of</w:t>
            </w:r>
          </w:p>
        </w:tc>
        <w:tc>
          <w:tcPr>
            <w:tcW w:w="1260" w:type="dxa"/>
            <w:vAlign w:val="bottom"/>
            <w:tcBorders>
              <w:right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aggregate</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Amount of</w:t>
            </w:r>
          </w:p>
        </w:tc>
      </w:tr>
      <w:tr>
        <w:trPr>
          <w:trHeight w:val="190"/>
        </w:trPr>
        <w:tc>
          <w:tcPr>
            <w:tcW w:w="71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offering price(1)</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registration fee(2)</w:t>
            </w:r>
          </w:p>
        </w:tc>
      </w:tr>
      <w:tr>
        <w:trPr>
          <w:trHeight w:val="25"/>
        </w:trPr>
        <w:tc>
          <w:tcPr>
            <w:tcW w:w="71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Common Stock, $0.0001 par value per share</w:t>
            </w:r>
          </w:p>
        </w:tc>
        <w:tc>
          <w:tcPr>
            <w:tcW w:w="1260" w:type="dxa"/>
            <w:vAlign w:val="bottom"/>
            <w:tcBorders>
              <w:bottom w:val="single" w:sz="8" w:color="CCEEFF"/>
              <w:right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right"/>
              <w:ind w:right="487"/>
              <w:spacing w:after="0"/>
              <w:rPr>
                <w:sz w:val="20"/>
                <w:szCs w:val="20"/>
                <w:color w:val="auto"/>
              </w:rPr>
            </w:pPr>
            <w:r>
              <w:rPr>
                <w:rFonts w:ascii="Arial" w:cs="Arial" w:eastAsia="Arial" w:hAnsi="Arial"/>
                <w:sz w:val="15"/>
                <w:szCs w:val="15"/>
                <w:color w:val="auto"/>
              </w:rPr>
              <w:t>$</w:t>
            </w:r>
          </w:p>
        </w:tc>
      </w:tr>
      <w:tr>
        <w:trPr>
          <w:trHeight w:val="20"/>
        </w:trPr>
        <w:tc>
          <w:tcPr>
            <w:tcW w:w="71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37" w:lineRule="exact"/>
        <w:rPr>
          <w:sz w:val="24"/>
          <w:szCs w:val="24"/>
          <w:color w:val="auto"/>
        </w:rPr>
      </w:pPr>
    </w:p>
    <w:p>
      <w:pPr>
        <w:jc w:val="both"/>
        <w:ind w:left="480" w:right="120" w:firstLine="10"/>
        <w:spacing w:after="0"/>
        <w:tabs>
          <w:tab w:leader="none" w:pos="724"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 Includes the aggregate offering price of additional shares of common stock that the underwriters have the option to purchase.</w:t>
      </w:r>
    </w:p>
    <w:p>
      <w:pPr>
        <w:spacing w:after="0" w:line="179" w:lineRule="exact"/>
        <w:rPr>
          <w:rFonts w:ascii="Arial" w:cs="Arial" w:eastAsia="Arial" w:hAnsi="Arial"/>
          <w:sz w:val="15"/>
          <w:szCs w:val="15"/>
          <w:color w:val="auto"/>
        </w:rPr>
      </w:pPr>
    </w:p>
    <w:p>
      <w:pPr>
        <w:ind w:left="740" w:hanging="250"/>
        <w:spacing w:after="0"/>
        <w:tabs>
          <w:tab w:leader="none" w:pos="7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based on an estimate of the proposed maximum aggregate offering price.</w:t>
      </w:r>
    </w:p>
    <w:p>
      <w:pPr>
        <w:spacing w:after="0" w:line="11" w:lineRule="exact"/>
        <w:rPr>
          <w:sz w:val="24"/>
          <w:szCs w:val="24"/>
          <w:color w:val="auto"/>
        </w:rPr>
      </w:pPr>
    </w:p>
    <w:p>
      <w:pPr>
        <w:ind w:left="480" w:right="40" w:firstLine="323"/>
        <w:spacing w:after="0"/>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139065</wp:posOffset>
            </wp:positionV>
            <wp:extent cx="6158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5886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165100</wp:posOffset>
            </wp:positionV>
            <wp:extent cx="61588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5886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425450</wp:posOffset>
            </wp:positionV>
            <wp:extent cx="679958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200"/>
          </w:cols>
          <w:pgMar w:left="600" w:top="238" w:right="109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9839"/>
          </w:cols>
          <w:pgMar w:left="620" w:top="131"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860" w:type="dxa"/>
        <w:tblCellMar>
          <w:top w:w="0" w:type="dxa"/>
          <w:left w:w="0" w:type="dxa"/>
          <w:bottom w:w="0" w:type="dxa"/>
          <w:right w:w="0" w:type="dxa"/>
        </w:tblCellMar>
      </w:tblPr>
      <w:tr>
        <w:trPr>
          <w:trHeight w:val="1995"/>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registration statement</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and it is not soliciting</w:t>
            </w:r>
          </w:p>
        </w:tc>
        <w:tc>
          <w:tcPr>
            <w:tcW w:w="200" w:type="dxa"/>
            <w:vAlign w:val="bottom"/>
          </w:tcPr>
          <w:p>
            <w:pPr>
              <w:spacing w:after="0"/>
              <w:rPr>
                <w:sz w:val="24"/>
                <w:szCs w:val="24"/>
                <w:color w:val="auto"/>
              </w:rPr>
            </w:pPr>
          </w:p>
        </w:tc>
      </w:tr>
      <w:tr>
        <w:trPr>
          <w:trHeight w:val="899"/>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until the</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securities</w:t>
            </w:r>
          </w:p>
        </w:tc>
        <w:tc>
          <w:tcPr>
            <w:tcW w:w="200" w:type="dxa"/>
            <w:vAlign w:val="bottom"/>
          </w:tcPr>
          <w:p>
            <w:pPr>
              <w:spacing w:after="0"/>
              <w:rPr>
                <w:sz w:val="24"/>
                <w:szCs w:val="24"/>
                <w:color w:val="auto"/>
              </w:rPr>
            </w:pPr>
          </w:p>
        </w:tc>
      </w:tr>
      <w:tr>
        <w:trPr>
          <w:trHeight w:val="921"/>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securities</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sell these</w:t>
            </w:r>
          </w:p>
        </w:tc>
        <w:tc>
          <w:tcPr>
            <w:tcW w:w="200" w:type="dxa"/>
            <w:vAlign w:val="bottom"/>
          </w:tcPr>
          <w:p>
            <w:pPr>
              <w:spacing w:after="0"/>
              <w:rPr>
                <w:sz w:val="24"/>
                <w:szCs w:val="24"/>
                <w:color w:val="auto"/>
              </w:rPr>
            </w:pPr>
          </w:p>
        </w:tc>
      </w:tr>
      <w:tr>
        <w:trPr>
          <w:trHeight w:val="5393"/>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not complete and may be changed. We may not sell these</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Commission is effective. This prospectus is not an offer to</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jurisdiction where the offer or sale is not permitted.</w:t>
            </w:r>
          </w:p>
        </w:tc>
      </w:tr>
      <w:tr>
        <w:trPr>
          <w:trHeight w:val="3447"/>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The information in this prospectus is</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filed with the Securities and Exchange</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rPr>
              <w:t>an offer to buy these securities in any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285"/>
        </w:trPr>
        <w:tc>
          <w:tcPr>
            <w:tcW w:w="3740" w:type="dxa"/>
            <w:vAlign w:val="bottom"/>
          </w:tcPr>
          <w:p>
            <w:pPr>
              <w:spacing w:after="0"/>
              <w:rPr>
                <w:sz w:val="20"/>
                <w:szCs w:val="20"/>
                <w:color w:val="auto"/>
              </w:rPr>
            </w:pPr>
            <w:r>
              <w:rPr>
                <w:rFonts w:ascii="Arial" w:cs="Arial" w:eastAsia="Arial" w:hAnsi="Arial"/>
                <w:sz w:val="22"/>
                <w:szCs w:val="22"/>
                <w:b w:val="1"/>
                <w:bCs w:val="1"/>
                <w:color w:val="FC0014"/>
              </w:rPr>
              <w:t>Subject to completion, dated</w:t>
            </w:r>
          </w:p>
        </w:tc>
        <w:tc>
          <w:tcPr>
            <w:tcW w:w="1300" w:type="dxa"/>
            <w:vAlign w:val="bottom"/>
          </w:tcPr>
          <w:p>
            <w:pPr>
              <w:jc w:val="right"/>
              <w:spacing w:after="0"/>
              <w:rPr>
                <w:sz w:val="20"/>
                <w:szCs w:val="20"/>
                <w:color w:val="auto"/>
              </w:rPr>
            </w:pPr>
            <w:r>
              <w:rPr>
                <w:rFonts w:ascii="Arial" w:cs="Arial" w:eastAsia="Arial" w:hAnsi="Arial"/>
                <w:sz w:val="22"/>
                <w:szCs w:val="22"/>
                <w:b w:val="1"/>
                <w:bCs w:val="1"/>
                <w:color w:val="FC0014"/>
              </w:rPr>
              <w:t>, 2021</w:t>
            </w:r>
          </w:p>
        </w:tc>
      </w:tr>
    </w:tbl>
    <w:p>
      <w:pPr>
        <w:spacing w:after="0" w:line="164"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Preliminary prospectus</w:t>
      </w:r>
    </w:p>
    <w:p>
      <w:pPr>
        <w:spacing w:after="0" w:line="178" w:lineRule="exact"/>
        <w:rPr>
          <w:sz w:val="20"/>
          <w:szCs w:val="20"/>
          <w:color w:val="auto"/>
        </w:rPr>
      </w:pPr>
    </w:p>
    <w:p>
      <w:pPr>
        <w:ind w:left="1982"/>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2929890" cy="786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9890" cy="78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
        <w:spacing w:after="0"/>
        <w:rPr>
          <w:sz w:val="20"/>
          <w:szCs w:val="20"/>
          <w:color w:val="auto"/>
        </w:rPr>
      </w:pPr>
      <w:r>
        <w:rPr>
          <w:rFonts w:ascii="Arial" w:cs="Arial" w:eastAsia="Arial" w:hAnsi="Arial"/>
          <w:sz w:val="32"/>
          <w:szCs w:val="32"/>
          <w:b w:val="1"/>
          <w:bCs w:val="1"/>
          <w:i w:val="1"/>
          <w:iCs w:val="1"/>
          <w:color w:val="auto"/>
        </w:rPr>
        <w:t>Common stock</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8"/>
          <w:szCs w:val="18"/>
          <w:color w:val="auto"/>
        </w:rPr>
        <w:t>This is the initial public offering of shares of common stock of Century Therapeutics, Inc.</w:t>
      </w:r>
    </w:p>
    <w:p>
      <w:pPr>
        <w:spacing w:after="0" w:line="156" w:lineRule="exact"/>
        <w:rPr>
          <w:sz w:val="20"/>
          <w:szCs w:val="20"/>
          <w:color w:val="auto"/>
        </w:rPr>
      </w:pPr>
    </w:p>
    <w:p>
      <w:pPr>
        <w:ind w:left="2" w:right="579"/>
        <w:spacing w:after="0" w:line="249" w:lineRule="auto"/>
        <w:rPr>
          <w:sz w:val="20"/>
          <w:szCs w:val="20"/>
          <w:color w:val="auto"/>
        </w:rPr>
      </w:pPr>
      <w:r>
        <w:rPr>
          <w:rFonts w:ascii="Arial" w:cs="Arial" w:eastAsia="Arial" w:hAnsi="Arial"/>
          <w:sz w:val="18"/>
          <w:szCs w:val="18"/>
          <w:color w:val="auto"/>
        </w:rPr>
        <w:t>We are offering shares of our common stock. Prior to this offering, there has been no public market for our common stock. It is currently estimated that the initial public offering price per</w:t>
      </w:r>
    </w:p>
    <w:p>
      <w:pPr>
        <w:spacing w:after="0" w:line="1" w:lineRule="exact"/>
        <w:rPr>
          <w:sz w:val="20"/>
          <w:szCs w:val="20"/>
          <w:color w:val="auto"/>
        </w:rPr>
      </w:pPr>
    </w:p>
    <w:p>
      <w:pPr>
        <w:ind w:left="2"/>
        <w:spacing w:after="0"/>
        <w:tabs>
          <w:tab w:leader="none" w:pos="2662" w:val="left"/>
          <w:tab w:leader="none" w:pos="3782" w:val="left"/>
        </w:tabs>
        <w:rPr>
          <w:sz w:val="20"/>
          <w:szCs w:val="20"/>
          <w:color w:val="auto"/>
        </w:rPr>
      </w:pPr>
      <w:r>
        <w:rPr>
          <w:rFonts w:ascii="Arial" w:cs="Arial" w:eastAsia="Arial" w:hAnsi="Arial"/>
          <w:sz w:val="18"/>
          <w:szCs w:val="18"/>
          <w:color w:val="auto"/>
        </w:rPr>
        <w:t>share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w:t>
      </w:r>
    </w:p>
    <w:p>
      <w:pPr>
        <w:spacing w:after="0" w:line="170" w:lineRule="exact"/>
        <w:rPr>
          <w:sz w:val="20"/>
          <w:szCs w:val="20"/>
          <w:color w:val="auto"/>
        </w:rPr>
      </w:pPr>
    </w:p>
    <w:p>
      <w:pPr>
        <w:ind w:left="2" w:right="639"/>
        <w:spacing w:after="0" w:line="275" w:lineRule="auto"/>
        <w:rPr>
          <w:sz w:val="20"/>
          <w:szCs w:val="20"/>
          <w:color w:val="auto"/>
        </w:rPr>
      </w:pPr>
      <w:r>
        <w:rPr>
          <w:rFonts w:ascii="Arial" w:cs="Arial" w:eastAsia="Arial" w:hAnsi="Arial"/>
          <w:sz w:val="18"/>
          <w:szCs w:val="18"/>
          <w:color w:val="auto"/>
        </w:rPr>
        <w:t>We intend to apply to list our common stock on the Nasdaq Global Market under the trading symbol “IPSC”.</w:t>
      </w:r>
    </w:p>
    <w:p>
      <w:pPr>
        <w:spacing w:after="0" w:line="104" w:lineRule="exact"/>
        <w:rPr>
          <w:sz w:val="20"/>
          <w:szCs w:val="20"/>
          <w:color w:val="auto"/>
        </w:rPr>
      </w:pPr>
    </w:p>
    <w:p>
      <w:pPr>
        <w:ind w:left="2" w:right="139"/>
        <w:spacing w:after="0" w:line="254"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have elected to comply with certain reduced public company reporting requirements for this prospectus and may elect to do so in future filings.</w:t>
      </w:r>
    </w:p>
    <w:p>
      <w:pPr>
        <w:spacing w:after="0" w:line="159" w:lineRule="exact"/>
        <w:rPr>
          <w:sz w:val="20"/>
          <w:szCs w:val="20"/>
          <w:color w:val="auto"/>
        </w:rPr>
      </w:pPr>
    </w:p>
    <w:p>
      <w:pPr>
        <w:ind w:left="2" w:right="259"/>
        <w:spacing w:after="0" w:line="22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the section titled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 xml:space="preserve">” beginning on page </w:t>
      </w:r>
      <w:hyperlink w:anchor="page13">
        <w:r>
          <w:rPr>
            <w:rFonts w:ascii="Arial" w:cs="Arial" w:eastAsia="Arial" w:hAnsi="Arial"/>
            <w:sz w:val="22"/>
            <w:szCs w:val="22"/>
            <w:b w:val="1"/>
            <w:bCs w:val="1"/>
            <w:u w:val="single" w:color="auto"/>
            <w:color w:val="0000EE"/>
          </w:rPr>
          <w:t>1</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519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227"/>
        </w:trPr>
        <w:tc>
          <w:tcPr>
            <w:tcW w:w="6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Per share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2"/>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32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9"/>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32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-511810</wp:posOffset>
            </wp:positionV>
            <wp:extent cx="387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7945" cy="8255"/>
                    </a:xfrm>
                    <a:prstGeom prst="rect">
                      <a:avLst/>
                    </a:prstGeom>
                    <a:noFill/>
                  </pic:spPr>
                </pic:pic>
              </a:graphicData>
            </a:graphic>
          </wp:anchor>
        </w:drawing>
      </w:r>
    </w:p>
    <w:p>
      <w:pPr>
        <w:spacing w:after="0" w:line="114" w:lineRule="exact"/>
        <w:rPr>
          <w:sz w:val="20"/>
          <w:szCs w:val="20"/>
          <w:color w:val="auto"/>
        </w:rPr>
      </w:pPr>
    </w:p>
    <w:p>
      <w:pPr>
        <w:ind w:left="2" w:right="239" w:hanging="2"/>
        <w:spacing w:after="0" w:line="278" w:lineRule="auto"/>
        <w:tabs>
          <w:tab w:leader="none" w:pos="21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See the section titled “Underwriting” beginning on page </w:t>
      </w:r>
      <w:hyperlink w:anchor="page190">
        <w:r>
          <w:rPr>
            <w:rFonts w:ascii="Arial" w:cs="Arial" w:eastAsia="Arial" w:hAnsi="Arial"/>
            <w:sz w:val="13"/>
            <w:szCs w:val="13"/>
            <w:u w:val="single" w:color="auto"/>
            <w:color w:val="0000EE"/>
          </w:rPr>
          <w:t>178</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additional information regarding compensation payable to the underwriters.</w:t>
      </w:r>
    </w:p>
    <w:p>
      <w:pPr>
        <w:spacing w:after="0" w:line="124" w:lineRule="exact"/>
        <w:rPr>
          <w:sz w:val="20"/>
          <w:szCs w:val="20"/>
          <w:color w:val="auto"/>
        </w:rPr>
      </w:pPr>
    </w:p>
    <w:p>
      <w:pPr>
        <w:ind w:left="262" w:right="539" w:hanging="262"/>
        <w:spacing w:after="0" w:line="249" w:lineRule="auto"/>
        <w:rPr>
          <w:sz w:val="20"/>
          <w:szCs w:val="20"/>
          <w:color w:val="auto"/>
        </w:rPr>
      </w:pPr>
      <w:r>
        <w:rPr>
          <w:rFonts w:ascii="Arial" w:cs="Arial" w:eastAsia="Arial" w:hAnsi="Arial"/>
          <w:sz w:val="18"/>
          <w:szCs w:val="18"/>
          <w:color w:val="auto"/>
        </w:rPr>
        <w:t>We have granted the underwriters an option for a period of 30 days to purchase up to additional shares of common stock at the initial public offering price, less the underwriting</w:t>
      </w:r>
    </w:p>
    <w:p>
      <w:pPr>
        <w:spacing w:after="0" w:line="1" w:lineRule="exact"/>
        <w:rPr>
          <w:sz w:val="20"/>
          <w:szCs w:val="20"/>
          <w:color w:val="auto"/>
        </w:rPr>
      </w:pPr>
    </w:p>
    <w:p>
      <w:pPr>
        <w:ind w:left="2"/>
        <w:spacing w:after="0"/>
        <w:rPr>
          <w:sz w:val="20"/>
          <w:szCs w:val="20"/>
          <w:color w:val="auto"/>
        </w:rPr>
      </w:pPr>
      <w:r>
        <w:rPr>
          <w:rFonts w:ascii="Arial" w:cs="Arial" w:eastAsia="Arial" w:hAnsi="Arial"/>
          <w:sz w:val="18"/>
          <w:szCs w:val="18"/>
          <w:color w:val="auto"/>
        </w:rPr>
        <w:t>discounts and commissions.</w:t>
      </w:r>
    </w:p>
    <w:p>
      <w:pPr>
        <w:spacing w:after="0" w:line="170" w:lineRule="exact"/>
        <w:rPr>
          <w:sz w:val="20"/>
          <w:szCs w:val="20"/>
          <w:color w:val="auto"/>
        </w:rPr>
      </w:pPr>
    </w:p>
    <w:p>
      <w:pPr>
        <w:ind w:left="2"/>
        <w:spacing w:after="0"/>
        <w:tabs>
          <w:tab w:leader="none" w:pos="8062"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3"/>
          <w:szCs w:val="13"/>
          <w:color w:val="auto"/>
        </w:rPr>
        <w:t>,</w:t>
      </w:r>
    </w:p>
    <w:p>
      <w:pPr>
        <w:spacing w:after="0" w:line="22" w:lineRule="exact"/>
        <w:rPr>
          <w:sz w:val="20"/>
          <w:szCs w:val="20"/>
          <w:color w:val="auto"/>
        </w:rPr>
      </w:pPr>
    </w:p>
    <w:p>
      <w:pPr>
        <w:ind w:left="2"/>
        <w:spacing w:after="0"/>
        <w:rPr>
          <w:sz w:val="20"/>
          <w:szCs w:val="20"/>
          <w:color w:val="auto"/>
        </w:rPr>
      </w:pPr>
      <w:r>
        <w:rPr>
          <w:rFonts w:ascii="Arial" w:cs="Arial" w:eastAsia="Arial" w:hAnsi="Arial"/>
          <w:sz w:val="18"/>
          <w:szCs w:val="18"/>
          <w:color w:val="auto"/>
        </w:rPr>
        <w:t>2021.</w:t>
      </w:r>
    </w:p>
    <w:p>
      <w:pPr>
        <w:spacing w:after="0" w:line="134" w:lineRule="exact"/>
        <w:rPr>
          <w:sz w:val="20"/>
          <w:szCs w:val="20"/>
          <w:color w:val="auto"/>
        </w:rPr>
      </w:pPr>
    </w:p>
    <w:p>
      <w:pPr>
        <w:jc w:val="both"/>
        <w:ind w:left="2" w:right="159"/>
        <w:spacing w:after="0" w:line="28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
        <w:spacing w:after="0"/>
        <w:rPr>
          <w:sz w:val="20"/>
          <w:szCs w:val="20"/>
          <w:color w:val="auto"/>
        </w:rPr>
      </w:pPr>
      <w:r>
        <w:rPr>
          <w:rFonts w:ascii="Arial" w:cs="Arial" w:eastAsia="Arial" w:hAnsi="Arial"/>
          <w:sz w:val="29"/>
          <w:szCs w:val="29"/>
          <w:b w:val="1"/>
          <w:bCs w:val="1"/>
          <w:color w:val="auto"/>
        </w:rPr>
        <w:t>J.P. Morgan  BofA Securities SVB Leerink Piper Sandler</w:t>
      </w:r>
    </w:p>
    <w:p>
      <w:pPr>
        <w:spacing w:after="0" w:line="619" w:lineRule="exact"/>
        <w:rPr>
          <w:sz w:val="20"/>
          <w:szCs w:val="20"/>
          <w:color w:val="auto"/>
        </w:rPr>
      </w:pPr>
    </w:p>
    <w:p>
      <w:pPr>
        <w:sectPr>
          <w:pgSz w:w="11900" w:h="16838" w:orient="portrait"/>
          <w:cols w:equalWidth="0" w:num="2">
            <w:col w:w="1460" w:space="98"/>
            <w:col w:w="8282"/>
          </w:cols>
          <w:pgMar w:left="620" w:top="131" w:right="1440" w:bottom="1440" w:gutter="0" w:footer="0" w:header="0"/>
          <w:type w:val="continuous"/>
        </w:sectPr>
      </w:pPr>
    </w:p>
    <w:p>
      <w:pPr>
        <w:spacing w:after="0" w:line="361" w:lineRule="exact"/>
        <w:rPr>
          <w:sz w:val="20"/>
          <w:szCs w:val="20"/>
          <w:color w:val="auto"/>
        </w:rPr>
      </w:pPr>
    </w:p>
    <w:p>
      <w:pPr>
        <w:ind w:left="1560"/>
        <w:spacing w:after="0"/>
        <w:tabs>
          <w:tab w:leader="none" w:pos="3840" w:val="left"/>
        </w:tabs>
        <w:rPr>
          <w:sz w:val="20"/>
          <w:szCs w:val="20"/>
          <w:color w:val="auto"/>
        </w:rPr>
      </w:pPr>
      <w:r>
        <w:rPr>
          <w:rFonts w:ascii="Arial" w:cs="Arial" w:eastAsia="Arial" w:hAnsi="Arial"/>
          <w:sz w:val="20"/>
          <w:szCs w:val="20"/>
          <w:color w:val="auto"/>
        </w:rPr>
        <w:t>Prospectus dated</w:t>
      </w:r>
      <w:r>
        <w:rPr>
          <w:sz w:val="20"/>
          <w:szCs w:val="20"/>
          <w:color w:val="auto"/>
        </w:rPr>
        <w:tab/>
      </w:r>
      <w:r>
        <w:rPr>
          <w:rFonts w:ascii="Arial" w:cs="Arial" w:eastAsia="Arial" w:hAnsi="Arial"/>
          <w:sz w:val="20"/>
          <w:szCs w:val="20"/>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77418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4180" cy="42545"/>
                    </a:xfrm>
                    <a:prstGeom prst="rect">
                      <a:avLst/>
                    </a:prstGeom>
                    <a:noFill/>
                  </pic:spPr>
                </pic:pic>
              </a:graphicData>
            </a:graphic>
          </wp:anchor>
        </w:drawing>
      </w:r>
    </w:p>
    <w:p>
      <w:pPr>
        <w:sectPr>
          <w:pgSz w:w="11900" w:h="16838" w:orient="portrait"/>
          <w:cols w:equalWidth="0" w:num="1">
            <w:col w:w="9839"/>
          </w:cols>
          <w:pgMar w:left="620" w:top="131"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Table of contents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236"/>
        </w:trPr>
        <w:tc>
          <w:tcPr>
            <w:tcW w:w="1760" w:type="dxa"/>
            <w:vAlign w:val="bottom"/>
            <w:tcBorders>
              <w:bottom w:val="single" w:sz="8" w:color="0000EE"/>
            </w:tcBorders>
            <w:gridSpan w:val="7"/>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5400" w:type="dxa"/>
            <w:vAlign w:val="bottom"/>
            <w:tcBorders>
              <w:bottom w:val="single" w:sz="8" w:color="CCEEFF"/>
            </w:tcBorders>
            <w:gridSpan w:val="9"/>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229"/>
        </w:trPr>
        <w:tc>
          <w:tcPr>
            <w:tcW w:w="980" w:type="dxa"/>
            <w:vAlign w:val="bottom"/>
            <w:gridSpan w:val="3"/>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The offering</w:t>
              </w:r>
            </w:hyperlink>
          </w:p>
        </w:tc>
        <w:tc>
          <w:tcPr>
            <w:tcW w:w="6180" w:type="dxa"/>
            <w:vAlign w:val="bottom"/>
            <w:gridSpan w:val="13"/>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gridSpan w:val="4"/>
          </w:tcPr>
          <w:p>
            <w:pPr>
              <w:jc w:val="right"/>
              <w:ind w:right="40"/>
              <w:spacing w:after="0"/>
              <w:rPr>
                <w:rFonts w:ascii="Arial" w:cs="Arial" w:eastAsia="Arial" w:hAnsi="Arial"/>
                <w:sz w:val="18"/>
                <w:szCs w:val="18"/>
                <w:color w:val="0000EE"/>
              </w:rPr>
            </w:pPr>
            <w:hyperlink w:anchor="page10">
              <w:r>
                <w:rPr>
                  <w:rFonts w:ascii="Arial" w:cs="Arial" w:eastAsia="Arial" w:hAnsi="Arial"/>
                  <w:sz w:val="18"/>
                  <w:szCs w:val="18"/>
                  <w:color w:val="0000EE"/>
                </w:rPr>
                <w:t>viii</w:t>
              </w:r>
            </w:hyperlink>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3080" w:type="dxa"/>
            <w:vAlign w:val="bottom"/>
            <w:tcBorders>
              <w:right w:val="single" w:sz="8" w:color="CCEEFF"/>
            </w:tcBorders>
            <w:gridSpan w:val="12"/>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Summary consolidated financial data</w:t>
              </w:r>
            </w:hyperlink>
          </w:p>
        </w:tc>
        <w:tc>
          <w:tcPr>
            <w:tcW w:w="4080" w:type="dxa"/>
            <w:vAlign w:val="bottom"/>
            <w:gridSpan w:val="4"/>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rFonts w:ascii="Arial" w:cs="Arial" w:eastAsia="Arial" w:hAnsi="Arial"/>
                <w:sz w:val="16"/>
                <w:szCs w:val="16"/>
                <w:color w:val="0000EE"/>
                <w:w w:val="74"/>
              </w:rPr>
            </w:pPr>
            <w:hyperlink w:anchor="page12">
              <w:r>
                <w:rPr>
                  <w:rFonts w:ascii="Arial" w:cs="Arial" w:eastAsia="Arial" w:hAnsi="Arial"/>
                  <w:sz w:val="16"/>
                  <w:szCs w:val="16"/>
                  <w:color w:val="0000EE"/>
                  <w:w w:val="74"/>
                </w:rPr>
                <w:t>x</w:t>
              </w:r>
            </w:hyperlink>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29"/>
        </w:trPr>
        <w:tc>
          <w:tcPr>
            <w:tcW w:w="3080" w:type="dxa"/>
            <w:vAlign w:val="bottom"/>
            <w:gridSpan w:val="1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4080" w:type="dxa"/>
            <w:vAlign w:val="bottom"/>
            <w:gridSpan w:val="4"/>
          </w:tcPr>
          <w:p>
            <w:pPr>
              <w:spacing w:after="0"/>
              <w:rPr>
                <w:sz w:val="19"/>
                <w:szCs w:val="19"/>
                <w:color w:val="auto"/>
              </w:rPr>
            </w:pPr>
          </w:p>
        </w:tc>
        <w:tc>
          <w:tcPr>
            <w:tcW w:w="980" w:type="dxa"/>
            <w:vAlign w:val="bottom"/>
            <w:gridSpan w:val="4"/>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w:t>
              </w:r>
            </w:hyperlink>
          </w:p>
        </w:tc>
        <w:tc>
          <w:tcPr>
            <w:tcW w:w="40" w:type="dxa"/>
            <w:vAlign w:val="bottom"/>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4280" w:type="dxa"/>
            <w:vAlign w:val="bottom"/>
            <w:tcBorders>
              <w:right w:val="single" w:sz="8" w:color="CCEEFF"/>
            </w:tcBorders>
            <w:gridSpan w:val="14"/>
            <w:shd w:val="clear" w:color="auto" w:fill="CCEEFF"/>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Special note regarding forward-looking statements</w:t>
              </w:r>
            </w:hyperlink>
          </w:p>
        </w:tc>
        <w:tc>
          <w:tcPr>
            <w:tcW w:w="2880" w:type="dxa"/>
            <w:vAlign w:val="bottom"/>
            <w:gridSpan w:val="2"/>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57</w:t>
              </w:r>
            </w:hyperlink>
          </w:p>
        </w:tc>
        <w:tc>
          <w:tcPr>
            <w:tcW w:w="40" w:type="dxa"/>
            <w:vAlign w:val="bottom"/>
            <w:shd w:val="clear" w:color="auto" w:fill="CCEEFF"/>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0" w:type="dxa"/>
            <w:vAlign w:val="bottom"/>
            <w:tcBorders>
              <w:right w:val="single" w:sz="8" w:color="CCEEFF"/>
            </w:tcBorders>
            <w:shd w:val="clear" w:color="auto" w:fill="0000EE"/>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29"/>
        </w:trPr>
        <w:tc>
          <w:tcPr>
            <w:tcW w:w="208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Market and industry data</w:t>
              </w:r>
            </w:hyperlink>
          </w:p>
        </w:tc>
        <w:tc>
          <w:tcPr>
            <w:tcW w:w="2200" w:type="dxa"/>
            <w:vAlign w:val="bottom"/>
            <w:gridSpan w:val="5"/>
          </w:tcPr>
          <w:p>
            <w:pPr>
              <w:spacing w:after="0"/>
              <w:rPr>
                <w:sz w:val="19"/>
                <w:szCs w:val="19"/>
                <w:color w:val="auto"/>
              </w:rPr>
            </w:pPr>
          </w:p>
        </w:tc>
        <w:tc>
          <w:tcPr>
            <w:tcW w:w="2880" w:type="dxa"/>
            <w:vAlign w:val="bottom"/>
            <w:gridSpan w:val="2"/>
          </w:tcPr>
          <w:p>
            <w:pPr>
              <w:spacing w:after="0"/>
              <w:rPr>
                <w:sz w:val="19"/>
                <w:szCs w:val="19"/>
                <w:color w:val="auto"/>
              </w:rPr>
            </w:pPr>
          </w:p>
        </w:tc>
        <w:tc>
          <w:tcPr>
            <w:tcW w:w="980" w:type="dxa"/>
            <w:vAlign w:val="bottom"/>
            <w:gridSpan w:val="4"/>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59</w:t>
              </w:r>
            </w:hyperlink>
          </w:p>
        </w:tc>
        <w:tc>
          <w:tcPr>
            <w:tcW w:w="40" w:type="dxa"/>
            <w:vAlign w:val="bottom"/>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2080" w:type="dxa"/>
            <w:vAlign w:val="bottom"/>
            <w:tcBorders>
              <w:right w:val="single" w:sz="8" w:color="CCEEFF"/>
            </w:tcBorders>
            <w:gridSpan w:val="9"/>
            <w:shd w:val="clear" w:color="auto" w:fill="CCEEFF"/>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5080" w:type="dxa"/>
            <w:vAlign w:val="bottom"/>
            <w:gridSpan w:val="7"/>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60</w:t>
              </w:r>
            </w:hyperlink>
          </w:p>
        </w:tc>
        <w:tc>
          <w:tcPr>
            <w:tcW w:w="40" w:type="dxa"/>
            <w:vAlign w:val="bottom"/>
            <w:shd w:val="clear" w:color="auto" w:fill="CCEEFF"/>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29"/>
        </w:trPr>
        <w:tc>
          <w:tcPr>
            <w:tcW w:w="1360" w:type="dxa"/>
            <w:vAlign w:val="bottom"/>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Dividend policy</w:t>
              </w:r>
            </w:hyperlink>
          </w:p>
        </w:tc>
        <w:tc>
          <w:tcPr>
            <w:tcW w:w="5800" w:type="dxa"/>
            <w:vAlign w:val="bottom"/>
            <w:gridSpan w:val="10"/>
          </w:tcPr>
          <w:p>
            <w:pPr>
              <w:spacing w:after="0"/>
              <w:rPr>
                <w:sz w:val="19"/>
                <w:szCs w:val="19"/>
                <w:color w:val="auto"/>
              </w:rPr>
            </w:pPr>
          </w:p>
        </w:tc>
        <w:tc>
          <w:tcPr>
            <w:tcW w:w="98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62</w:t>
              </w:r>
            </w:hyperlink>
          </w:p>
        </w:tc>
        <w:tc>
          <w:tcPr>
            <w:tcW w:w="40" w:type="dxa"/>
            <w:vAlign w:val="bottom"/>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1080" w:type="dxa"/>
            <w:vAlign w:val="bottom"/>
            <w:tcBorders>
              <w:right w:val="single" w:sz="8" w:color="CCEEFF"/>
            </w:tcBorders>
            <w:gridSpan w:val="4"/>
            <w:shd w:val="clear" w:color="auto" w:fill="CCEEFF"/>
          </w:tcPr>
          <w:p>
            <w:pPr>
              <w:spacing w:after="0"/>
              <w:rPr>
                <w:rFonts w:ascii="Arial" w:cs="Arial" w:eastAsia="Arial" w:hAnsi="Arial"/>
                <w:sz w:val="18"/>
                <w:szCs w:val="18"/>
                <w:color w:val="0000EE"/>
                <w:w w:val="96"/>
              </w:rPr>
            </w:pPr>
            <w:hyperlink w:anchor="page75">
              <w:r>
                <w:rPr>
                  <w:rFonts w:ascii="Arial" w:cs="Arial" w:eastAsia="Arial" w:hAnsi="Arial"/>
                  <w:sz w:val="18"/>
                  <w:szCs w:val="18"/>
                  <w:color w:val="0000EE"/>
                  <w:w w:val="96"/>
                </w:rPr>
                <w:t>Capitalization</w:t>
              </w:r>
            </w:hyperlink>
          </w:p>
        </w:tc>
        <w:tc>
          <w:tcPr>
            <w:tcW w:w="180" w:type="dxa"/>
            <w:vAlign w:val="bottom"/>
            <w:tcBorders>
              <w:left w:val="single" w:sz="8" w:color="CCEEFF"/>
            </w:tcBorders>
            <w:shd w:val="clear" w:color="auto" w:fill="CCEEFF"/>
          </w:tcPr>
          <w:p>
            <w:pPr>
              <w:spacing w:after="0"/>
              <w:rPr>
                <w:sz w:val="19"/>
                <w:szCs w:val="19"/>
                <w:color w:val="auto"/>
              </w:rPr>
            </w:pPr>
          </w:p>
        </w:tc>
        <w:tc>
          <w:tcPr>
            <w:tcW w:w="5900" w:type="dxa"/>
            <w:vAlign w:val="bottom"/>
            <w:gridSpan w:val="11"/>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63</w:t>
              </w:r>
            </w:hyperlink>
          </w:p>
        </w:tc>
        <w:tc>
          <w:tcPr>
            <w:tcW w:w="40" w:type="dxa"/>
            <w:vAlign w:val="bottom"/>
            <w:shd w:val="clear" w:color="auto" w:fill="CCEEFF"/>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29"/>
        </w:trPr>
        <w:tc>
          <w:tcPr>
            <w:tcW w:w="1080" w:type="dxa"/>
            <w:vAlign w:val="bottom"/>
            <w:gridSpan w:val="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Dilution</w:t>
              </w:r>
            </w:hyperlink>
          </w:p>
        </w:tc>
        <w:tc>
          <w:tcPr>
            <w:tcW w:w="6080" w:type="dxa"/>
            <w:vAlign w:val="bottom"/>
            <w:gridSpan w:val="12"/>
          </w:tcPr>
          <w:p>
            <w:pPr>
              <w:spacing w:after="0"/>
              <w:rPr>
                <w:sz w:val="19"/>
                <w:szCs w:val="19"/>
                <w:color w:val="auto"/>
              </w:rPr>
            </w:pPr>
          </w:p>
        </w:tc>
        <w:tc>
          <w:tcPr>
            <w:tcW w:w="9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65</w:t>
              </w:r>
            </w:hyperlink>
          </w:p>
        </w:tc>
        <w:tc>
          <w:tcPr>
            <w:tcW w:w="40" w:type="dxa"/>
            <w:vAlign w:val="bottom"/>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3080" w:type="dxa"/>
            <w:vAlign w:val="bottom"/>
            <w:tcBorders>
              <w:right w:val="single" w:sz="8" w:color="CCEEFF"/>
            </w:tcBorders>
            <w:gridSpan w:val="12"/>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Selected consolidated financial data</w:t>
              </w:r>
            </w:hyperlink>
          </w:p>
        </w:tc>
        <w:tc>
          <w:tcPr>
            <w:tcW w:w="4080" w:type="dxa"/>
            <w:vAlign w:val="bottom"/>
            <w:gridSpan w:val="4"/>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67</w:t>
              </w:r>
            </w:hyperlink>
          </w:p>
        </w:tc>
        <w:tc>
          <w:tcPr>
            <w:tcW w:w="40" w:type="dxa"/>
            <w:vAlign w:val="bottom"/>
            <w:shd w:val="clear" w:color="auto" w:fill="CCEEFF"/>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20" w:type="dxa"/>
            <w:vAlign w:val="bottom"/>
            <w:tcBorders>
              <w:right w:val="single" w:sz="8" w:color="CCEEFF"/>
            </w:tcBorders>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29"/>
        </w:trPr>
        <w:tc>
          <w:tcPr>
            <w:tcW w:w="716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4"/>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68</w:t>
              </w:r>
            </w:hyperlink>
          </w:p>
        </w:tc>
        <w:tc>
          <w:tcPr>
            <w:tcW w:w="40" w:type="dxa"/>
            <w:vAlign w:val="bottom"/>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760" w:type="dxa"/>
            <w:vAlign w:val="bottom"/>
            <w:gridSpan w:val="2"/>
            <w:shd w:val="clear" w:color="auto" w:fill="CCEEFF"/>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Business</w:t>
              </w:r>
            </w:hyperlink>
          </w:p>
        </w:tc>
        <w:tc>
          <w:tcPr>
            <w:tcW w:w="6400" w:type="dxa"/>
            <w:vAlign w:val="bottom"/>
            <w:gridSpan w:val="14"/>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83</w:t>
              </w:r>
            </w:hyperlink>
          </w:p>
        </w:tc>
        <w:tc>
          <w:tcPr>
            <w:tcW w:w="40" w:type="dxa"/>
            <w:vAlign w:val="bottom"/>
            <w:shd w:val="clear" w:color="auto" w:fill="CCEEFF"/>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29"/>
        </w:trPr>
        <w:tc>
          <w:tcPr>
            <w:tcW w:w="7160" w:type="dxa"/>
            <w:vAlign w:val="bottom"/>
            <w:gridSpan w:val="16"/>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Management</w:t>
              </w:r>
            </w:hyperlink>
          </w:p>
        </w:tc>
        <w:tc>
          <w:tcPr>
            <w:tcW w:w="980" w:type="dxa"/>
            <w:vAlign w:val="bottom"/>
            <w:gridSpan w:val="4"/>
          </w:tcPr>
          <w:p>
            <w:pPr>
              <w:jc w:val="right"/>
              <w:spacing w:after="0"/>
              <w:rPr>
                <w:rFonts w:ascii="Arial" w:cs="Arial" w:eastAsia="Arial" w:hAnsi="Arial"/>
                <w:sz w:val="18"/>
                <w:szCs w:val="18"/>
                <w:color w:val="0000EE"/>
              </w:rPr>
            </w:pPr>
            <w:hyperlink w:anchor="page152">
              <w:r>
                <w:rPr>
                  <w:rFonts w:ascii="Arial" w:cs="Arial" w:eastAsia="Arial" w:hAnsi="Arial"/>
                  <w:sz w:val="18"/>
                  <w:szCs w:val="18"/>
                  <w:color w:val="0000EE"/>
                </w:rPr>
                <w:t>140</w:t>
              </w:r>
            </w:hyperlink>
          </w:p>
        </w:tc>
        <w:tc>
          <w:tcPr>
            <w:tcW w:w="40" w:type="dxa"/>
            <w:vAlign w:val="bottom"/>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2080" w:type="dxa"/>
            <w:vAlign w:val="bottom"/>
            <w:tcBorders>
              <w:right w:val="single" w:sz="8" w:color="CCEEFF"/>
            </w:tcBorders>
            <w:gridSpan w:val="9"/>
            <w:shd w:val="clear" w:color="auto" w:fill="CCEEFF"/>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Executive compensation</w:t>
              </w:r>
            </w:hyperlink>
          </w:p>
        </w:tc>
        <w:tc>
          <w:tcPr>
            <w:tcW w:w="5080" w:type="dxa"/>
            <w:vAlign w:val="bottom"/>
            <w:gridSpan w:val="7"/>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162">
              <w:r>
                <w:rPr>
                  <w:rFonts w:ascii="Arial" w:cs="Arial" w:eastAsia="Arial" w:hAnsi="Arial"/>
                  <w:sz w:val="18"/>
                  <w:szCs w:val="18"/>
                  <w:color w:val="0000EE"/>
                </w:rPr>
                <w:t>150</w:t>
              </w:r>
            </w:hyperlink>
          </w:p>
        </w:tc>
        <w:tc>
          <w:tcPr>
            <w:tcW w:w="40" w:type="dxa"/>
            <w:vAlign w:val="bottom"/>
            <w:shd w:val="clear" w:color="auto" w:fill="CCEEFF"/>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29"/>
        </w:trPr>
        <w:tc>
          <w:tcPr>
            <w:tcW w:w="4280" w:type="dxa"/>
            <w:vAlign w:val="bottom"/>
            <w:gridSpan w:val="14"/>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Certain relationships and related party transactions</w:t>
              </w:r>
            </w:hyperlink>
          </w:p>
        </w:tc>
        <w:tc>
          <w:tcPr>
            <w:tcW w:w="2880" w:type="dxa"/>
            <w:vAlign w:val="bottom"/>
            <w:gridSpan w:val="2"/>
          </w:tcPr>
          <w:p>
            <w:pPr>
              <w:spacing w:after="0"/>
              <w:rPr>
                <w:sz w:val="19"/>
                <w:szCs w:val="19"/>
                <w:color w:val="auto"/>
              </w:rPr>
            </w:pPr>
          </w:p>
        </w:tc>
        <w:tc>
          <w:tcPr>
            <w:tcW w:w="980" w:type="dxa"/>
            <w:vAlign w:val="bottom"/>
            <w:gridSpan w:val="4"/>
          </w:tcPr>
          <w:p>
            <w:pPr>
              <w:jc w:val="right"/>
              <w:spacing w:after="0"/>
              <w:rPr>
                <w:rFonts w:ascii="Arial" w:cs="Arial" w:eastAsia="Arial" w:hAnsi="Arial"/>
                <w:sz w:val="18"/>
                <w:szCs w:val="18"/>
                <w:color w:val="0000EE"/>
              </w:rPr>
            </w:pPr>
            <w:hyperlink w:anchor="page172">
              <w:r>
                <w:rPr>
                  <w:rFonts w:ascii="Arial" w:cs="Arial" w:eastAsia="Arial" w:hAnsi="Arial"/>
                  <w:sz w:val="18"/>
                  <w:szCs w:val="18"/>
                  <w:color w:val="0000EE"/>
                </w:rPr>
                <w:t>160</w:t>
              </w:r>
            </w:hyperlink>
          </w:p>
        </w:tc>
        <w:tc>
          <w:tcPr>
            <w:tcW w:w="40" w:type="dxa"/>
            <w:vAlign w:val="bottom"/>
          </w:tcPr>
          <w:p>
            <w:pPr>
              <w:spacing w:after="0"/>
              <w:rPr>
                <w:sz w:val="19"/>
                <w:szCs w:val="19"/>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1840" w:type="dxa"/>
            <w:vAlign w:val="bottom"/>
            <w:gridSpan w:val="8"/>
            <w:shd w:val="clear" w:color="auto" w:fill="CCEEFF"/>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Principal stockholders</w:t>
              </w:r>
            </w:hyperlink>
          </w:p>
        </w:tc>
        <w:tc>
          <w:tcPr>
            <w:tcW w:w="2440" w:type="dxa"/>
            <w:vAlign w:val="bottom"/>
            <w:tcBorders>
              <w:right w:val="single" w:sz="8" w:color="CCEEFF"/>
            </w:tcBorders>
            <w:gridSpan w:val="6"/>
            <w:shd w:val="clear" w:color="auto" w:fill="CCEEFF"/>
          </w:tcPr>
          <w:p>
            <w:pPr>
              <w:spacing w:after="0"/>
              <w:rPr>
                <w:sz w:val="21"/>
                <w:szCs w:val="21"/>
                <w:color w:val="auto"/>
              </w:rPr>
            </w:pPr>
          </w:p>
        </w:tc>
        <w:tc>
          <w:tcPr>
            <w:tcW w:w="2880" w:type="dxa"/>
            <w:vAlign w:val="bottom"/>
            <w:gridSpan w:val="2"/>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175">
              <w:r>
                <w:rPr>
                  <w:rFonts w:ascii="Arial" w:cs="Arial" w:eastAsia="Arial" w:hAnsi="Arial"/>
                  <w:sz w:val="18"/>
                  <w:szCs w:val="18"/>
                  <w:color w:val="0000EE"/>
                </w:rPr>
                <w:t>163</w:t>
              </w:r>
            </w:hyperlink>
          </w:p>
        </w:tc>
        <w:tc>
          <w:tcPr>
            <w:tcW w:w="40" w:type="dxa"/>
            <w:vAlign w:val="bottom"/>
            <w:shd w:val="clear" w:color="auto" w:fill="CCEEFF"/>
          </w:tcPr>
          <w:p>
            <w:pPr>
              <w:spacing w:after="0"/>
              <w:rPr>
                <w:sz w:val="21"/>
                <w:szCs w:val="21"/>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42"/>
        </w:trPr>
        <w:tc>
          <w:tcPr>
            <w:tcW w:w="2260" w:type="dxa"/>
            <w:vAlign w:val="bottom"/>
            <w:gridSpan w:val="10"/>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Description of capital stock</w:t>
              </w:r>
            </w:hyperlink>
          </w:p>
        </w:tc>
        <w:tc>
          <w:tcPr>
            <w:tcW w:w="4900" w:type="dxa"/>
            <w:vAlign w:val="bottom"/>
            <w:gridSpan w:val="6"/>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178">
              <w:r>
                <w:rPr>
                  <w:rFonts w:ascii="Arial" w:cs="Arial" w:eastAsia="Arial" w:hAnsi="Arial"/>
                  <w:sz w:val="18"/>
                  <w:szCs w:val="18"/>
                  <w:color w:val="0000EE"/>
                </w:rPr>
                <w:t>166</w:t>
              </w:r>
            </w:hyperlink>
          </w:p>
        </w:tc>
        <w:tc>
          <w:tcPr>
            <w:tcW w:w="40" w:type="dxa"/>
            <w:vAlign w:val="bottom"/>
          </w:tcPr>
          <w:p>
            <w:pPr>
              <w:spacing w:after="0"/>
              <w:rPr>
                <w:sz w:val="21"/>
                <w:szCs w:val="21"/>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2460" w:type="dxa"/>
            <w:vAlign w:val="bottom"/>
            <w:gridSpan w:val="11"/>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Shares eligible for future sale</w:t>
              </w:r>
            </w:hyperlink>
          </w:p>
        </w:tc>
        <w:tc>
          <w:tcPr>
            <w:tcW w:w="4700" w:type="dxa"/>
            <w:vAlign w:val="bottom"/>
            <w:gridSpan w:val="5"/>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183">
              <w:r>
                <w:rPr>
                  <w:rFonts w:ascii="Arial" w:cs="Arial" w:eastAsia="Arial" w:hAnsi="Arial"/>
                  <w:sz w:val="18"/>
                  <w:szCs w:val="18"/>
                  <w:color w:val="0000EE"/>
                </w:rPr>
                <w:t>171</w:t>
              </w:r>
            </w:hyperlink>
          </w:p>
        </w:tc>
        <w:tc>
          <w:tcPr>
            <w:tcW w:w="40" w:type="dxa"/>
            <w:vAlign w:val="bottom"/>
            <w:shd w:val="clear" w:color="auto" w:fill="CCEEFF"/>
          </w:tcPr>
          <w:p>
            <w:pPr>
              <w:spacing w:after="0"/>
              <w:rPr>
                <w:sz w:val="21"/>
                <w:szCs w:val="21"/>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42"/>
        </w:trPr>
        <w:tc>
          <w:tcPr>
            <w:tcW w:w="5700" w:type="dxa"/>
            <w:vAlign w:val="bottom"/>
            <w:gridSpan w:val="15"/>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Material U.S. federal income tax consequences to Non-U.S. Holders</w:t>
              </w:r>
            </w:hyperlink>
          </w:p>
        </w:tc>
        <w:tc>
          <w:tcPr>
            <w:tcW w:w="1460" w:type="dxa"/>
            <w:vAlign w:val="bottom"/>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186">
              <w:r>
                <w:rPr>
                  <w:rFonts w:ascii="Arial" w:cs="Arial" w:eastAsia="Arial" w:hAnsi="Arial"/>
                  <w:sz w:val="18"/>
                  <w:szCs w:val="18"/>
                  <w:color w:val="0000EE"/>
                </w:rPr>
                <w:t>174</w:t>
              </w:r>
            </w:hyperlink>
          </w:p>
        </w:tc>
        <w:tc>
          <w:tcPr>
            <w:tcW w:w="40" w:type="dxa"/>
            <w:vAlign w:val="bottom"/>
          </w:tcPr>
          <w:p>
            <w:pPr>
              <w:spacing w:after="0"/>
              <w:rPr>
                <w:sz w:val="21"/>
                <w:szCs w:val="21"/>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1080" w:type="dxa"/>
            <w:vAlign w:val="bottom"/>
            <w:tcBorders>
              <w:right w:val="single" w:sz="8" w:color="CCEEFF"/>
            </w:tcBorders>
            <w:gridSpan w:val="4"/>
            <w:shd w:val="clear" w:color="auto" w:fill="CCEEFF"/>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Underwriting</w:t>
              </w:r>
            </w:hyperlink>
          </w:p>
        </w:tc>
        <w:tc>
          <w:tcPr>
            <w:tcW w:w="4620" w:type="dxa"/>
            <w:vAlign w:val="bottom"/>
            <w:tcBorders>
              <w:left w:val="single" w:sz="8" w:color="CCEEFF"/>
            </w:tcBorders>
            <w:gridSpan w:val="11"/>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190">
              <w:r>
                <w:rPr>
                  <w:rFonts w:ascii="Arial" w:cs="Arial" w:eastAsia="Arial" w:hAnsi="Arial"/>
                  <w:sz w:val="18"/>
                  <w:szCs w:val="18"/>
                  <w:color w:val="0000EE"/>
                </w:rPr>
                <w:t>178</w:t>
              </w:r>
            </w:hyperlink>
          </w:p>
        </w:tc>
        <w:tc>
          <w:tcPr>
            <w:tcW w:w="40" w:type="dxa"/>
            <w:vAlign w:val="bottom"/>
            <w:shd w:val="clear" w:color="auto" w:fill="CCEEFF"/>
          </w:tcPr>
          <w:p>
            <w:pPr>
              <w:spacing w:after="0"/>
              <w:rPr>
                <w:sz w:val="21"/>
                <w:szCs w:val="21"/>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CCEEFF"/>
            </w:tcBorders>
            <w:shd w:val="clear" w:color="auto" w:fill="0000EE"/>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42"/>
        </w:trPr>
        <w:tc>
          <w:tcPr>
            <w:tcW w:w="1080" w:type="dxa"/>
            <w:vAlign w:val="bottom"/>
            <w:gridSpan w:val="4"/>
          </w:tcPr>
          <w:p>
            <w:pPr>
              <w:spacing w:after="0"/>
              <w:rPr>
                <w:rFonts w:ascii="Arial" w:cs="Arial" w:eastAsia="Arial" w:hAnsi="Arial"/>
                <w:sz w:val="18"/>
                <w:szCs w:val="18"/>
                <w:color w:val="0000EE"/>
                <w:w w:val="95"/>
              </w:rPr>
            </w:pPr>
            <w:hyperlink w:anchor="page201">
              <w:r>
                <w:rPr>
                  <w:rFonts w:ascii="Arial" w:cs="Arial" w:eastAsia="Arial" w:hAnsi="Arial"/>
                  <w:sz w:val="18"/>
                  <w:szCs w:val="18"/>
                  <w:color w:val="0000EE"/>
                  <w:w w:val="95"/>
                </w:rPr>
                <w:t>Legal matters</w:t>
              </w:r>
            </w:hyperlink>
          </w:p>
        </w:tc>
        <w:tc>
          <w:tcPr>
            <w:tcW w:w="6080" w:type="dxa"/>
            <w:vAlign w:val="bottom"/>
            <w:gridSpan w:val="12"/>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201">
              <w:r>
                <w:rPr>
                  <w:rFonts w:ascii="Arial" w:cs="Arial" w:eastAsia="Arial" w:hAnsi="Arial"/>
                  <w:sz w:val="18"/>
                  <w:szCs w:val="18"/>
                  <w:color w:val="0000EE"/>
                </w:rPr>
                <w:t>189</w:t>
              </w:r>
            </w:hyperlink>
          </w:p>
        </w:tc>
        <w:tc>
          <w:tcPr>
            <w:tcW w:w="40" w:type="dxa"/>
            <w:vAlign w:val="bottom"/>
          </w:tcPr>
          <w:p>
            <w:pPr>
              <w:spacing w:after="0"/>
              <w:rPr>
                <w:sz w:val="21"/>
                <w:szCs w:val="21"/>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620" w:type="dxa"/>
            <w:vAlign w:val="bottom"/>
            <w:shd w:val="clear" w:color="auto" w:fill="CCEEFF"/>
          </w:tcPr>
          <w:p>
            <w:pPr>
              <w:spacing w:after="0"/>
              <w:rPr>
                <w:rFonts w:ascii="Arial" w:cs="Arial" w:eastAsia="Arial" w:hAnsi="Arial"/>
                <w:sz w:val="18"/>
                <w:szCs w:val="18"/>
                <w:color w:val="0000EE"/>
                <w:w w:val="94"/>
              </w:rPr>
            </w:pPr>
            <w:hyperlink w:anchor="page202">
              <w:r>
                <w:rPr>
                  <w:rFonts w:ascii="Arial" w:cs="Arial" w:eastAsia="Arial" w:hAnsi="Arial"/>
                  <w:sz w:val="18"/>
                  <w:szCs w:val="18"/>
                  <w:color w:val="0000EE"/>
                  <w:w w:val="94"/>
                </w:rPr>
                <w:t>Experts</w:t>
              </w:r>
            </w:hyperlink>
          </w:p>
        </w:tc>
        <w:tc>
          <w:tcPr>
            <w:tcW w:w="460" w:type="dxa"/>
            <w:vAlign w:val="bottom"/>
            <w:tcBorders>
              <w:left w:val="single" w:sz="8" w:color="CCEEFF"/>
              <w:right w:val="single" w:sz="8" w:color="CCEEFF"/>
            </w:tcBorders>
            <w:gridSpan w:val="3"/>
            <w:shd w:val="clear" w:color="auto" w:fill="CCEEFF"/>
          </w:tcPr>
          <w:p>
            <w:pPr>
              <w:spacing w:after="0"/>
              <w:rPr>
                <w:sz w:val="21"/>
                <w:szCs w:val="21"/>
                <w:color w:val="auto"/>
              </w:rPr>
            </w:pPr>
          </w:p>
        </w:tc>
        <w:tc>
          <w:tcPr>
            <w:tcW w:w="6080" w:type="dxa"/>
            <w:vAlign w:val="bottom"/>
            <w:tcBorders>
              <w:left w:val="single" w:sz="8" w:color="CCEEFF"/>
            </w:tcBorders>
            <w:gridSpan w:val="12"/>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rFonts w:ascii="Arial" w:cs="Arial" w:eastAsia="Arial" w:hAnsi="Arial"/>
                <w:sz w:val="18"/>
                <w:szCs w:val="18"/>
                <w:color w:val="0000EE"/>
              </w:rPr>
            </w:pPr>
            <w:hyperlink w:anchor="page202">
              <w:r>
                <w:rPr>
                  <w:rFonts w:ascii="Arial" w:cs="Arial" w:eastAsia="Arial" w:hAnsi="Arial"/>
                  <w:sz w:val="18"/>
                  <w:szCs w:val="18"/>
                  <w:color w:val="0000EE"/>
                </w:rPr>
                <w:t>190</w:t>
              </w:r>
            </w:hyperlink>
          </w:p>
        </w:tc>
        <w:tc>
          <w:tcPr>
            <w:tcW w:w="40" w:type="dxa"/>
            <w:vAlign w:val="bottom"/>
            <w:shd w:val="clear" w:color="auto" w:fill="CCEEFF"/>
          </w:tcPr>
          <w:p>
            <w:pPr>
              <w:spacing w:after="0"/>
              <w:rPr>
                <w:sz w:val="21"/>
                <w:szCs w:val="21"/>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42"/>
        </w:trPr>
        <w:tc>
          <w:tcPr>
            <w:tcW w:w="3480" w:type="dxa"/>
            <w:vAlign w:val="bottom"/>
            <w:gridSpan w:val="13"/>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Where you can find additional information</w:t>
              </w:r>
            </w:hyperlink>
          </w:p>
        </w:tc>
        <w:tc>
          <w:tcPr>
            <w:tcW w:w="3680" w:type="dxa"/>
            <w:vAlign w:val="bottom"/>
            <w:gridSpan w:val="3"/>
          </w:tcPr>
          <w:p>
            <w:pPr>
              <w:spacing w:after="0"/>
              <w:rPr>
                <w:sz w:val="21"/>
                <w:szCs w:val="21"/>
                <w:color w:val="auto"/>
              </w:rPr>
            </w:pPr>
          </w:p>
        </w:tc>
        <w:tc>
          <w:tcPr>
            <w:tcW w:w="980" w:type="dxa"/>
            <w:vAlign w:val="bottom"/>
            <w:gridSpan w:val="4"/>
          </w:tcPr>
          <w:p>
            <w:pPr>
              <w:jc w:val="right"/>
              <w:spacing w:after="0"/>
              <w:rPr>
                <w:rFonts w:ascii="Arial" w:cs="Arial" w:eastAsia="Arial" w:hAnsi="Arial"/>
                <w:sz w:val="18"/>
                <w:szCs w:val="18"/>
                <w:color w:val="0000EE"/>
              </w:rPr>
            </w:pPr>
            <w:hyperlink w:anchor="page203">
              <w:r>
                <w:rPr>
                  <w:rFonts w:ascii="Arial" w:cs="Arial" w:eastAsia="Arial" w:hAnsi="Arial"/>
                  <w:sz w:val="18"/>
                  <w:szCs w:val="18"/>
                  <w:color w:val="0000EE"/>
                </w:rPr>
                <w:t>191</w:t>
              </w:r>
            </w:hyperlink>
          </w:p>
        </w:tc>
        <w:tc>
          <w:tcPr>
            <w:tcW w:w="40" w:type="dxa"/>
            <w:vAlign w:val="bottom"/>
          </w:tcPr>
          <w:p>
            <w:pPr>
              <w:spacing w:after="0"/>
              <w:rPr>
                <w:sz w:val="21"/>
                <w:szCs w:val="21"/>
                <w:color w:val="auto"/>
              </w:rPr>
            </w:pPr>
          </w:p>
        </w:tc>
      </w:tr>
      <w:tr>
        <w:trPr>
          <w:trHeight w:val="27"/>
        </w:trPr>
        <w:tc>
          <w:tcPr>
            <w:tcW w:w="6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71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680" w:type="dxa"/>
            <w:vAlign w:val="bottom"/>
            <w:shd w:val="clear" w:color="auto" w:fill="CCEEFF"/>
          </w:tcPr>
          <w:p>
            <w:pPr>
              <w:spacing w:after="0"/>
              <w:rPr>
                <w:sz w:val="23"/>
                <w:szCs w:val="23"/>
                <w:color w:val="auto"/>
              </w:rPr>
            </w:pPr>
          </w:p>
        </w:tc>
        <w:tc>
          <w:tcPr>
            <w:tcW w:w="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F-1</w:t>
            </w:r>
          </w:p>
        </w:tc>
      </w:tr>
    </w:tbl>
    <w:p>
      <w:pPr>
        <w:spacing w:after="0" w:line="134"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“Century Therapeutics” the “Century Therapeutics” logo, and other trademarks, trade names, or service marks of Century Therapeutics, Inc. appearing in this prospectus are the property of Century Therapeutics, Inc. 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342"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Neither we nor the underwriters have authorized anyone to provide you with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and results of operations may have changed since that date.</w:t>
      </w:r>
    </w:p>
    <w:p>
      <w:pPr>
        <w:spacing w:after="0" w:line="145"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572770</wp:posOffset>
            </wp:positionV>
            <wp:extent cx="679958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488305" cy="9007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8305" cy="900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80"/>
        <w:spacing w:after="0"/>
        <w:rPr>
          <w:sz w:val="20"/>
          <w:szCs w:val="20"/>
          <w:color w:val="auto"/>
        </w:rPr>
      </w:pPr>
      <w:r>
        <w:rPr>
          <w:rFonts w:ascii="Arial" w:cs="Arial" w:eastAsia="Arial" w:hAnsi="Arial"/>
          <w:sz w:val="29"/>
          <w:szCs w:val="29"/>
          <w:b w:val="1"/>
          <w:bCs w:val="1"/>
          <w:color w:val="auto"/>
        </w:rPr>
        <w:t>Prospectus summary</w:t>
      </w:r>
    </w:p>
    <w:p>
      <w:pPr>
        <w:spacing w:after="0" w:line="145" w:lineRule="exact"/>
        <w:rPr>
          <w:sz w:val="20"/>
          <w:szCs w:val="20"/>
          <w:color w:val="auto"/>
        </w:rPr>
      </w:pPr>
    </w:p>
    <w:p>
      <w:pPr>
        <w:ind w:left="1280" w:right="419"/>
        <w:spacing w:after="0" w:line="252" w:lineRule="auto"/>
        <w:rPr>
          <w:sz w:val="20"/>
          <w:szCs w:val="20"/>
          <w:color w:val="auto"/>
        </w:rPr>
      </w:pPr>
      <w:r>
        <w:rPr>
          <w:rFonts w:ascii="Arial" w:cs="Arial" w:eastAsia="Arial" w:hAnsi="Arial"/>
          <w:sz w:val="18"/>
          <w:szCs w:val="18"/>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 looking statements,” and “Management’s discussion and analysis of financial condition and results of operations” and our consolidated financial statements and the related notes included elsewhere in this prospectus. As used in this prospectus, unless the context otherwise requires, references to “we,” “us,” “our,” “the company,” “Century,” and similar references refer to: (i) on or prior to June 2019, to our predecessor, Century Therapeutics, Inc., which we refer to as “Prior Century,” (ii) from June 2019 to the completion of the 2021 Reorganization (as defined herein), to Century Therapeutics, LLC, and (iii) upon completion of the 2021 Reorganization, to Century Therapeutics, Inc., the registrant on the cover page of the registration statement of which this prospectus forms a part.</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Overview</w:t>
      </w:r>
    </w:p>
    <w:p>
      <w:pPr>
        <w:spacing w:after="0" w:line="169" w:lineRule="exact"/>
        <w:rPr>
          <w:sz w:val="20"/>
          <w:szCs w:val="20"/>
          <w:color w:val="auto"/>
        </w:rPr>
      </w:pPr>
    </w:p>
    <w:p>
      <w:pPr>
        <w:ind w:left="1280" w:right="419"/>
        <w:spacing w:after="0" w:line="259"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CRISPR-mediated precision gene editing that allows us to incorporate multiple transgenes and knock-outs intended to optimize cell product performance, sophisticated protein engineering capabilities to develop proprietary next generation chimeric antigen receptors, or CARs, our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highly differentiated iPSC-derived NK, or iNK, and T, or iT, therapeutics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368" w:lineRule="exact"/>
        <w:rPr>
          <w:sz w:val="20"/>
          <w:szCs w:val="20"/>
          <w:color w:val="auto"/>
        </w:rPr>
      </w:pPr>
    </w:p>
    <w:p>
      <w:pPr>
        <w:ind w:left="1280" w:right="479"/>
        <w:spacing w:after="0" w:line="266" w:lineRule="auto"/>
        <w:rPr>
          <w:sz w:val="20"/>
          <w:szCs w:val="20"/>
          <w:color w:val="auto"/>
        </w:rPr>
      </w:pPr>
      <w:r>
        <w:rPr>
          <w:rFonts w:ascii="Arial" w:cs="Arial" w:eastAsia="Arial" w:hAnsi="Arial"/>
          <w:sz w:val="18"/>
          <w:szCs w:val="18"/>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CRISPR-mediated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is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36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key elements of our approach include:</w:t>
      </w:r>
    </w:p>
    <w:p>
      <w:pPr>
        <w:spacing w:after="0" w:line="148" w:lineRule="exact"/>
        <w:rPr>
          <w:sz w:val="20"/>
          <w:szCs w:val="20"/>
          <w:color w:val="auto"/>
        </w:rPr>
      </w:pPr>
    </w:p>
    <w:p>
      <w:pPr>
        <w:ind w:left="1280" w:right="559"/>
        <w:spacing w:after="0" w:line="272" w:lineRule="auto"/>
        <w:rPr>
          <w:sz w:val="20"/>
          <w:szCs w:val="20"/>
          <w:color w:val="auto"/>
        </w:rPr>
      </w:pPr>
      <w:r>
        <w:rPr>
          <w:rFonts w:ascii="Arial" w:cs="Arial" w:eastAsia="Arial" w:hAnsi="Arial"/>
          <w:sz w:val="18"/>
          <w:szCs w:val="18"/>
          <w:b w:val="1"/>
          <w:bCs w:val="1"/>
          <w:color w:val="auto"/>
        </w:rPr>
        <w:t xml:space="preserve">Our efficient precision gene editing technology: </w:t>
      </w:r>
      <w:r>
        <w:rPr>
          <w:rFonts w:ascii="Arial" w:cs="Arial" w:eastAsia="Arial" w:hAnsi="Arial"/>
          <w:sz w:val="18"/>
          <w:szCs w:val="18"/>
          <w:color w:val="auto"/>
        </w:rPr>
        <w:t>We have developed highly efficient gene</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processes to generate our product candidates. We are currently using the CRISPR-MAD7 nuclease to enable precise cutting of the iPSC genome, and have developed proprietary applications of the CRISPR-MAD7 technology to genetically modify iPSCs by simultaneously knocking-out target genes and knocking-in transgenes of interest at precise genetic loci. Our approach preserves genome integrity and achieves more predictable and consistent</w:t>
      </w:r>
    </w:p>
    <w:p>
      <w:pPr>
        <w:sectPr>
          <w:pgSz w:w="11900" w:h="16838" w:orient="portrait"/>
          <w:cols w:equalWidth="0" w:num="1">
            <w:col w:w="9859"/>
          </w:cols>
          <w:pgMar w:left="600" w:top="132" w:right="1440" w:bottom="1023"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023"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488305" cy="9033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8305" cy="903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80" w:right="559"/>
        <w:spacing w:after="0" w:line="268" w:lineRule="auto"/>
        <w:rPr>
          <w:sz w:val="20"/>
          <w:szCs w:val="20"/>
          <w:color w:val="auto"/>
        </w:rPr>
      </w:pPr>
      <w:r>
        <w:rPr>
          <w:rFonts w:ascii="Arial" w:cs="Arial" w:eastAsia="Arial" w:hAnsi="Arial"/>
          <w:sz w:val="18"/>
          <w:szCs w:val="18"/>
          <w:color w:val="auto"/>
        </w:rPr>
        <w:t>transgene expression as compared to viral or transposon driven approaches that result in varied gene copy number and random integration events that risk insertional mutagenesis. Our first product candidate will have six CRISPR-mediated homologous recombination and repair edits, and we plan to incorporate additional edits in our future product candidates.</w:t>
      </w:r>
    </w:p>
    <w:p>
      <w:pPr>
        <w:spacing w:after="0" w:line="82" w:lineRule="exact"/>
        <w:rPr>
          <w:sz w:val="20"/>
          <w:szCs w:val="20"/>
          <w:color w:val="auto"/>
        </w:rPr>
      </w:pPr>
    </w:p>
    <w:p>
      <w:pPr>
        <w:ind w:left="1280" w:right="439"/>
        <w:spacing w:after="0" w:line="257" w:lineRule="auto"/>
        <w:rPr>
          <w:sz w:val="20"/>
          <w:szCs w:val="20"/>
          <w:color w:val="auto"/>
        </w:rPr>
      </w:pPr>
      <w:r>
        <w:rPr>
          <w:rFonts w:ascii="Arial" w:cs="Arial" w:eastAsia="Arial" w:hAnsi="Arial"/>
          <w:sz w:val="18"/>
          <w:szCs w:val="18"/>
          <w:b w:val="1"/>
          <w:bCs w:val="1"/>
          <w:color w:val="auto"/>
        </w:rPr>
        <w:t>Our proprietary Allo-Evasion</w:t>
      </w:r>
      <w:r>
        <w:rPr>
          <w:rFonts w:ascii="Arial" w:cs="Arial" w:eastAsia="Arial" w:hAnsi="Arial"/>
          <w:sz w:val="26"/>
          <w:szCs w:val="26"/>
          <w:b w:val="1"/>
          <w:bCs w:val="1"/>
          <w:color w:val="auto"/>
          <w:vertAlign w:val="superscript"/>
        </w:rPr>
        <w:t>TM</w:t>
      </w:r>
      <w:r>
        <w:rPr>
          <w:rFonts w:ascii="Arial" w:cs="Arial" w:eastAsia="Arial" w:hAnsi="Arial"/>
          <w:sz w:val="18"/>
          <w:szCs w:val="18"/>
          <w:b w:val="1"/>
          <w:bCs w:val="1"/>
          <w:color w:val="auto"/>
        </w:rPr>
        <w:t xml:space="preserve"> technology</w:t>
      </w:r>
      <w:r>
        <w:rPr>
          <w:rFonts w:ascii="Arial" w:cs="Arial" w:eastAsia="Arial" w:hAnsi="Arial"/>
          <w:sz w:val="18"/>
          <w:szCs w:val="18"/>
          <w:color w:val="auto"/>
        </w:rPr>
        <w:t>: We are leveraging our Allo-Evasion</w:t>
      </w:r>
      <w:r>
        <w:rPr>
          <w:rFonts w:ascii="Arial" w:cs="Arial" w:eastAsia="Arial" w:hAnsi="Arial"/>
          <w:sz w:val="26"/>
          <w:szCs w:val="26"/>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to design cells capable of evading identification and destruction by the host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126" w:lineRule="exact"/>
        <w:rPr>
          <w:sz w:val="20"/>
          <w:szCs w:val="20"/>
          <w:color w:val="auto"/>
        </w:rPr>
      </w:pPr>
    </w:p>
    <w:p>
      <w:pPr>
        <w:ind w:left="1280" w:right="419"/>
        <w:spacing w:after="0" w:line="269" w:lineRule="auto"/>
        <w:rPr>
          <w:sz w:val="20"/>
          <w:szCs w:val="20"/>
          <w:color w:val="auto"/>
        </w:rPr>
      </w:pPr>
      <w:r>
        <w:rPr>
          <w:rFonts w:ascii="Arial" w:cs="Arial" w:eastAsia="Arial" w:hAnsi="Arial"/>
          <w:sz w:val="18"/>
          <w:szCs w:val="18"/>
          <w:b w:val="1"/>
          <w:bCs w:val="1"/>
          <w:color w:val="auto"/>
        </w:rPr>
        <w:t>CAR and protein engineering</w:t>
      </w:r>
      <w:r>
        <w:rPr>
          <w:rFonts w:ascii="Arial" w:cs="Arial" w:eastAsia="Arial" w:hAnsi="Arial"/>
          <w:sz w:val="18"/>
          <w:szCs w:val="18"/>
          <w:color w:val="auto"/>
        </w:rPr>
        <w:t>: CAR design is a critical component of innovative cell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118" w:lineRule="exact"/>
        <w:rPr>
          <w:sz w:val="20"/>
          <w:szCs w:val="20"/>
          <w:color w:val="auto"/>
        </w:rPr>
      </w:pPr>
    </w:p>
    <w:p>
      <w:pPr>
        <w:ind w:left="1280" w:right="419"/>
        <w:spacing w:after="0" w:line="270" w:lineRule="auto"/>
        <w:rPr>
          <w:sz w:val="20"/>
          <w:szCs w:val="20"/>
          <w:color w:val="auto"/>
        </w:rPr>
      </w:pPr>
      <w:r>
        <w:rPr>
          <w:rFonts w:ascii="Arial" w:cs="Arial" w:eastAsia="Arial" w:hAnsi="Arial"/>
          <w:sz w:val="18"/>
          <w:szCs w:val="18"/>
          <w:b w:val="1"/>
          <w:bCs w:val="1"/>
          <w:color w:val="auto"/>
        </w:rPr>
        <w:t>Common engineered iPSC progenitor accelerates new product candidate generation</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307" w:lineRule="exact"/>
        <w:rPr>
          <w:sz w:val="20"/>
          <w:szCs w:val="20"/>
          <w:color w:val="auto"/>
        </w:rPr>
      </w:pPr>
    </w:p>
    <w:p>
      <w:pPr>
        <w:ind w:left="1740" w:right="439" w:hanging="145"/>
        <w:spacing w:after="0" w:line="273" w:lineRule="auto"/>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Significant acceleration of new product candidate generation</w:t>
      </w:r>
      <w:r>
        <w:rPr>
          <w:rFonts w:ascii="Arial" w:cs="Arial" w:eastAsia="Arial" w:hAnsi="Arial"/>
          <w:sz w:val="18"/>
          <w:szCs w:val="18"/>
          <w:color w:val="auto"/>
        </w:rPr>
        <w:t>. Multiple product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73" w:lineRule="exact"/>
        <w:rPr>
          <w:rFonts w:ascii="Arial" w:cs="Arial" w:eastAsia="Arial" w:hAnsi="Arial"/>
          <w:sz w:val="18"/>
          <w:szCs w:val="18"/>
          <w:color w:val="auto"/>
        </w:rPr>
      </w:pPr>
    </w:p>
    <w:p>
      <w:pPr>
        <w:ind w:left="1740" w:right="679" w:hanging="145"/>
        <w:spacing w:after="0" w:line="280" w:lineRule="auto"/>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Robust manufacturing processes for multiple product candidates</w:t>
      </w:r>
      <w:r>
        <w:rPr>
          <w:rFonts w:ascii="Arial" w:cs="Arial" w:eastAsia="Arial" w:hAnsi="Arial"/>
          <w:sz w:val="18"/>
          <w:szCs w:val="18"/>
          <w:color w:val="auto"/>
        </w:rPr>
        <w:t>. Since the starting iPSC</w:t>
      </w:r>
      <w:r>
        <w:rPr>
          <w:rFonts w:ascii="Arial" w:cs="Arial" w:eastAsia="Arial" w:hAnsi="Arial"/>
          <w:sz w:val="18"/>
          <w:szCs w:val="18"/>
          <w:i w:val="1"/>
          <w:iCs w:val="1"/>
          <w:color w:val="auto"/>
        </w:rPr>
        <w:t xml:space="preserve"> </w:t>
      </w:r>
      <w:r>
        <w:rPr>
          <w:rFonts w:ascii="Arial" w:cs="Arial" w:eastAsia="Arial" w:hAnsi="Arial"/>
          <w:sz w:val="18"/>
          <w:szCs w:val="18"/>
          <w:color w:val="auto"/>
        </w:rPr>
        <w:t>line is the same for multiple product candidates, our manufacturing processes are predictable and robust.</w:t>
      </w:r>
    </w:p>
    <w:p>
      <w:pPr>
        <w:spacing w:after="0" w:line="69" w:lineRule="exact"/>
        <w:rPr>
          <w:rFonts w:ascii="Arial" w:cs="Arial" w:eastAsia="Arial" w:hAnsi="Arial"/>
          <w:sz w:val="18"/>
          <w:szCs w:val="18"/>
          <w:color w:val="auto"/>
        </w:rPr>
      </w:pPr>
    </w:p>
    <w:p>
      <w:pPr>
        <w:ind w:left="1740" w:right="479" w:hanging="145"/>
        <w:spacing w:after="0" w:line="273" w:lineRule="auto"/>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Predictability of product candidate functionality, safety, and persistence</w:t>
      </w:r>
      <w:r>
        <w:rPr>
          <w:rFonts w:ascii="Arial" w:cs="Arial" w:eastAsia="Arial" w:hAnsi="Arial"/>
          <w:sz w:val="18"/>
          <w:szCs w:val="18"/>
          <w:color w:val="auto"/>
        </w:rPr>
        <w:t>. Because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132" w:lineRule="exact"/>
        <w:rPr>
          <w:sz w:val="20"/>
          <w:szCs w:val="20"/>
          <w:color w:val="auto"/>
        </w:rPr>
      </w:pPr>
    </w:p>
    <w:p>
      <w:pPr>
        <w:ind w:left="1280" w:right="739"/>
        <w:spacing w:after="0" w:line="265" w:lineRule="auto"/>
        <w:rPr>
          <w:sz w:val="20"/>
          <w:szCs w:val="20"/>
          <w:color w:val="auto"/>
        </w:rPr>
      </w:pPr>
      <w:r>
        <w:rPr>
          <w:rFonts w:ascii="Arial" w:cs="Arial" w:eastAsia="Arial" w:hAnsi="Arial"/>
          <w:sz w:val="18"/>
          <w:szCs w:val="18"/>
          <w:color w:val="auto"/>
        </w:rPr>
        <w:t>We expect to file an investigational new drug application, or IND, with the U.S. Food and Drug Administration, or the FDA, for our lead product candidate CNTY-101, a CAR-iNK product</w:t>
      </w:r>
    </w:p>
    <w:p>
      <w:pPr>
        <w:ind w:left="1280"/>
        <w:spacing w:after="0"/>
        <w:tabs>
          <w:tab w:leader="none" w:pos="5940" w:val="left"/>
        </w:tabs>
        <w:rPr>
          <w:sz w:val="20"/>
          <w:szCs w:val="20"/>
          <w:color w:val="auto"/>
        </w:rPr>
      </w:pPr>
      <w:r>
        <w:rPr>
          <w:rFonts w:ascii="Arial" w:cs="Arial" w:eastAsia="Arial" w:hAnsi="Arial"/>
          <w:sz w:val="18"/>
          <w:szCs w:val="18"/>
          <w:color w:val="auto"/>
        </w:rPr>
        <w:t>candidate targeting CD19 for lymphoma, in</w:t>
      </w:r>
      <w:r>
        <w:rPr>
          <w:sz w:val="20"/>
          <w:szCs w:val="20"/>
          <w:color w:val="auto"/>
        </w:rPr>
        <w:tab/>
      </w:r>
      <w:r>
        <w:rPr>
          <w:rFonts w:ascii="Arial" w:cs="Arial" w:eastAsia="Arial" w:hAnsi="Arial"/>
          <w:sz w:val="18"/>
          <w:szCs w:val="18"/>
          <w:color w:val="auto"/>
        </w:rPr>
        <w:t>. We expect to file an IND for CNTY-103,</w:t>
      </w:r>
    </w:p>
    <w:p>
      <w:pPr>
        <w:spacing w:after="0" w:line="22" w:lineRule="exact"/>
        <w:rPr>
          <w:sz w:val="20"/>
          <w:szCs w:val="20"/>
          <w:color w:val="auto"/>
        </w:rPr>
      </w:pPr>
    </w:p>
    <w:p>
      <w:pPr>
        <w:ind w:left="1280"/>
        <w:spacing w:after="0"/>
        <w:tabs>
          <w:tab w:leader="none" w:pos="8740" w:val="left"/>
        </w:tabs>
        <w:rPr>
          <w:sz w:val="20"/>
          <w:szCs w:val="20"/>
          <w:color w:val="auto"/>
        </w:rPr>
      </w:pPr>
      <w:r>
        <w:rPr>
          <w:rFonts w:ascii="Arial" w:cs="Arial" w:eastAsia="Arial" w:hAnsi="Arial"/>
          <w:sz w:val="18"/>
          <w:szCs w:val="18"/>
          <w:color w:val="auto"/>
        </w:rPr>
        <w:t>our CD133 + EGFR iNK product candidate designed to treat glioblastoma, in</w:t>
      </w:r>
      <w:r>
        <w:rPr>
          <w:sz w:val="20"/>
          <w:szCs w:val="20"/>
          <w:color w:val="auto"/>
        </w:rPr>
        <w:tab/>
      </w:r>
      <w:r>
        <w:rPr>
          <w:rFonts w:ascii="Arial" w:cs="Arial" w:eastAsia="Arial" w:hAnsi="Arial"/>
          <w:sz w:val="18"/>
          <w:szCs w:val="18"/>
          <w:color w:val="auto"/>
        </w:rPr>
        <w:t>. Our</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third candidate, CNTY-102, is a bi-specific CD19 + CD79b iNK or iT product candidate targeting</w:t>
      </w:r>
    </w:p>
    <w:p>
      <w:pPr>
        <w:spacing w:after="0" w:line="22" w:lineRule="exact"/>
        <w:rPr>
          <w:sz w:val="20"/>
          <w:szCs w:val="20"/>
          <w:color w:val="auto"/>
        </w:rPr>
      </w:pPr>
    </w:p>
    <w:p>
      <w:pPr>
        <w:ind w:left="1280"/>
        <w:spacing w:after="0"/>
        <w:tabs>
          <w:tab w:leader="none" w:pos="5500" w:val="left"/>
        </w:tabs>
        <w:rPr>
          <w:sz w:val="20"/>
          <w:szCs w:val="20"/>
          <w:color w:val="auto"/>
        </w:rPr>
      </w:pPr>
      <w:r>
        <w:rPr>
          <w:rFonts w:ascii="Arial" w:cs="Arial" w:eastAsia="Arial" w:hAnsi="Arial"/>
          <w:sz w:val="18"/>
          <w:szCs w:val="18"/>
          <w:color w:val="auto"/>
        </w:rPr>
        <w:t>lymphoma, with IND filing expected in</w:t>
      </w:r>
      <w:r>
        <w:rPr>
          <w:sz w:val="20"/>
          <w:szCs w:val="20"/>
          <w:color w:val="auto"/>
        </w:rPr>
        <w:tab/>
      </w:r>
      <w:r>
        <w:rPr>
          <w:rFonts w:ascii="Arial" w:cs="Arial" w:eastAsia="Arial" w:hAnsi="Arial"/>
          <w:sz w:val="18"/>
          <w:szCs w:val="18"/>
          <w:color w:val="auto"/>
        </w:rPr>
        <w:t>, and, our fourth candidate, CNTY-104, is a</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multi-specific product candidate targeting acute myeloid leukemia, or AML, with IND filing</w:t>
      </w:r>
    </w:p>
    <w:p>
      <w:pPr>
        <w:spacing w:after="0" w:line="22" w:lineRule="exact"/>
        <w:rPr>
          <w:sz w:val="20"/>
          <w:szCs w:val="20"/>
          <w:color w:val="auto"/>
        </w:rPr>
      </w:pPr>
    </w:p>
    <w:p>
      <w:pPr>
        <w:ind w:left="1280"/>
        <w:spacing w:after="0"/>
        <w:tabs>
          <w:tab w:leader="none" w:pos="3320" w:val="left"/>
        </w:tabs>
        <w:rPr>
          <w:sz w:val="20"/>
          <w:szCs w:val="20"/>
          <w:color w:val="auto"/>
        </w:rPr>
      </w:pPr>
      <w:r>
        <w:rPr>
          <w:rFonts w:ascii="Arial" w:cs="Arial" w:eastAsia="Arial" w:hAnsi="Arial"/>
          <w:sz w:val="18"/>
          <w:szCs w:val="18"/>
          <w:color w:val="auto"/>
        </w:rPr>
        <w:t>expected in</w:t>
      </w:r>
      <w:r>
        <w:rPr>
          <w:sz w:val="20"/>
          <w:szCs w:val="20"/>
          <w:color w:val="auto"/>
        </w:rPr>
        <w:tab/>
      </w:r>
      <w:r>
        <w:rPr>
          <w:rFonts w:ascii="Arial" w:cs="Arial" w:eastAsia="Arial" w:hAnsi="Arial"/>
          <w:sz w:val="18"/>
          <w:szCs w:val="18"/>
          <w:color w:val="auto"/>
        </w:rPr>
        <w:t>. As there are disease settings which will favor iNK or iT products, we</w:t>
      </w:r>
    </w:p>
    <w:p>
      <w:pPr>
        <w:spacing w:after="0" w:line="22" w:lineRule="exact"/>
        <w:rPr>
          <w:sz w:val="20"/>
          <w:szCs w:val="20"/>
          <w:color w:val="auto"/>
        </w:rPr>
      </w:pPr>
    </w:p>
    <w:p>
      <w:pPr>
        <w:ind w:left="1280" w:right="459"/>
        <w:spacing w:after="0" w:line="266" w:lineRule="auto"/>
        <w:rPr>
          <w:sz w:val="20"/>
          <w:szCs w:val="20"/>
          <w:color w:val="auto"/>
        </w:rPr>
      </w:pPr>
      <w:r>
        <w:rPr>
          <w:rFonts w:ascii="Arial" w:cs="Arial" w:eastAsia="Arial" w:hAnsi="Arial"/>
          <w:sz w:val="18"/>
          <w:szCs w:val="18"/>
          <w:color w:val="auto"/>
        </w:rPr>
        <w:t>are actively investigating both iNK and iT cell platforms for CNTY-102 and CNTY-104, as either may have preferential clinical features. We are also advancing an earlier discovery stage pipeline with novel CARs and binders against multiple solid tumor targets using our iNK and iT cell therapy platforms. We believe that the therapeutics we discover and develop, if approved, will have a significant impact on the quality of life of patients suffering from devastating solid tumor and hematological malignancies. Our approach to developing therapies for life-threatening cancers of highly unmet</w:t>
      </w:r>
    </w:p>
    <w:p>
      <w:pPr>
        <w:sectPr>
          <w:pgSz w:w="11900" w:h="16838" w:orient="portrait"/>
          <w:cols w:equalWidth="0" w:num="1">
            <w:col w:w="9859"/>
          </w:cols>
          <w:pgMar w:left="600" w:top="132" w:right="1440" w:bottom="982" w:gutter="0" w:footer="0" w:header="0"/>
        </w:sectPr>
      </w:pPr>
    </w:p>
    <w:p>
      <w:pPr>
        <w:spacing w:after="0" w:line="37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982"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488305" cy="8776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8305" cy="877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80" w:right="719"/>
        <w:spacing w:after="0" w:line="260" w:lineRule="auto"/>
        <w:rPr>
          <w:sz w:val="20"/>
          <w:szCs w:val="20"/>
          <w:color w:val="auto"/>
        </w:rPr>
      </w:pPr>
      <w:r>
        <w:rPr>
          <w:rFonts w:ascii="Arial" w:cs="Arial" w:eastAsia="Arial" w:hAnsi="Arial"/>
          <w:sz w:val="18"/>
          <w:szCs w:val="18"/>
          <w:color w:val="auto"/>
        </w:rPr>
        <w:t>medical need potentially presents an opportunity to efficiently advance our product candidates through clinical development, regulatory approval and ultimately to commercialization.</w:t>
      </w:r>
    </w:p>
    <w:p>
      <w:pPr>
        <w:spacing w:after="0" w:line="117" w:lineRule="exact"/>
        <w:rPr>
          <w:sz w:val="20"/>
          <w:szCs w:val="20"/>
          <w:color w:val="auto"/>
        </w:rPr>
      </w:pPr>
    </w:p>
    <w:p>
      <w:pPr>
        <w:ind w:left="1280" w:right="539"/>
        <w:spacing w:after="0" w:line="250" w:lineRule="auto"/>
        <w:rPr>
          <w:sz w:val="20"/>
          <w:szCs w:val="20"/>
          <w:color w:val="auto"/>
        </w:rPr>
      </w:pPr>
      <w:r>
        <w:rPr>
          <w:rFonts w:ascii="Arial" w:cs="Arial" w:eastAsia="Arial" w:hAnsi="Arial"/>
          <w:sz w:val="18"/>
          <w:szCs w:val="18"/>
          <w:color w:val="auto"/>
        </w:rPr>
        <w:t>Our collaboration with FUJIFILM Cellular Dynamics Inc., or FCDI, provides us with licenses to certain premier iPSC technologies, patents and know-how, giving us our initial start which enabled us to accelerate generation of our first -generation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Advantages of our proprietary allogeneic cell platform technology</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Key advantages of our proprietary allogeneic cell platform technology include:</w:t>
      </w:r>
    </w:p>
    <w:p>
      <w:pPr>
        <w:spacing w:after="0" w:line="89" w:lineRule="exact"/>
        <w:rPr>
          <w:sz w:val="20"/>
          <w:szCs w:val="20"/>
          <w:color w:val="auto"/>
        </w:rPr>
      </w:pPr>
    </w:p>
    <w:p>
      <w:pPr>
        <w:ind w:left="1740" w:right="459" w:hanging="145"/>
        <w:spacing w:after="0" w:line="256" w:lineRule="auto"/>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Greatly improved therapeutic application: </w:t>
      </w:r>
      <w:r>
        <w:rPr>
          <w:rFonts w:ascii="Arial" w:cs="Arial" w:eastAsia="Arial" w:hAnsi="Arial"/>
          <w:sz w:val="18"/>
          <w:szCs w:val="18"/>
          <w:color w:val="auto"/>
        </w:rPr>
        <w:t>We believe that our Allo-Evasion</w:t>
      </w:r>
      <w:r>
        <w:rPr>
          <w:rFonts w:ascii="Arial" w:cs="Arial" w:eastAsia="Arial" w:hAnsi="Arial"/>
          <w:sz w:val="26"/>
          <w:szCs w:val="26"/>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technology will allow our cell product candidates to escape recognition and destruction by the host immune system. We believe the reduction in allogeneic reactivity enabled by our use of this technology will allow repeat dosing of our CAR-modified cell therapies to improve therapeutic efficacy. In combination with the extended killing capability of optimized immune cells derived from single genetically engineered cell cloning, we envision utilizing repeat dosing to maximize durability of response and efficacy. Additionally, we believe this technology may permit dosing in patients with limited or no immune preconditioning regimes.</w:t>
      </w:r>
    </w:p>
    <w:p>
      <w:pPr>
        <w:spacing w:after="0" w:line="319" w:lineRule="exact"/>
        <w:rPr>
          <w:rFonts w:ascii="Arial" w:cs="Arial" w:eastAsia="Arial" w:hAnsi="Arial"/>
          <w:sz w:val="18"/>
          <w:szCs w:val="18"/>
          <w:color w:val="auto"/>
        </w:rPr>
      </w:pPr>
    </w:p>
    <w:p>
      <w:pPr>
        <w:ind w:left="1740" w:right="539" w:hanging="145"/>
        <w:spacing w:after="0" w:line="272" w:lineRule="auto"/>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product quality, and COGS advantages: </w:t>
      </w:r>
      <w:r>
        <w:rPr>
          <w:rFonts w:ascii="Arial" w:cs="Arial" w:eastAsia="Arial" w:hAnsi="Arial"/>
          <w:sz w:val="18"/>
          <w:szCs w:val="18"/>
          <w:color w:val="auto"/>
        </w:rPr>
        <w:t>We believe our use of iPSCs,</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have the potential to propagate indefinitely, will allow us to develop a streamlined manufacturing process with scalability advantages while producing consistent, high quality, off-the-shelf products at reduced manufacturing costs. Given the indefinite propagation potential of iPSC-derived allogeneic cells, we believe that a single master cell bank can be used for the lifetime of the product.</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pipeline</w:t>
      </w:r>
    </w:p>
    <w:p>
      <w:pPr>
        <w:spacing w:after="0" w:line="142" w:lineRule="exact"/>
        <w:rPr>
          <w:sz w:val="20"/>
          <w:szCs w:val="20"/>
          <w:color w:val="auto"/>
        </w:rPr>
      </w:pPr>
    </w:p>
    <w:p>
      <w:pPr>
        <w:ind w:left="1280" w:right="559"/>
        <w:spacing w:after="0" w:line="236" w:lineRule="auto"/>
        <w:rPr>
          <w:sz w:val="20"/>
          <w:szCs w:val="20"/>
          <w:color w:val="auto"/>
        </w:rPr>
      </w:pPr>
      <w:r>
        <w:rPr>
          <w:rFonts w:ascii="Arial" w:cs="Arial" w:eastAsia="Arial" w:hAnsi="Arial"/>
          <w:sz w:val="18"/>
          <w:szCs w:val="18"/>
          <w:color w:val="auto"/>
        </w:rPr>
        <w:t>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w:t>
      </w:r>
    </w:p>
    <w:p>
      <w:pPr>
        <w:spacing w:after="0" w:line="5" w:lineRule="exact"/>
        <w:rPr>
          <w:sz w:val="20"/>
          <w:szCs w:val="20"/>
          <w:color w:val="auto"/>
        </w:rPr>
      </w:pPr>
    </w:p>
    <w:p>
      <w:pPr>
        <w:ind w:left="1280"/>
        <w:spacing w:after="0"/>
        <w:tabs>
          <w:tab w:leader="none" w:pos="3460" w:val="left"/>
        </w:tabs>
        <w:rPr>
          <w:sz w:val="20"/>
          <w:szCs w:val="20"/>
          <w:color w:val="auto"/>
        </w:rPr>
      </w:pPr>
      <w:r>
        <w:rPr>
          <w:rFonts w:ascii="Arial" w:cs="Arial" w:eastAsia="Arial" w:hAnsi="Arial"/>
          <w:sz w:val="18"/>
          <w:szCs w:val="18"/>
          <w:color w:val="auto"/>
        </w:rPr>
        <w:t>lymphoma, in</w:t>
      </w:r>
      <w:r>
        <w:rPr>
          <w:sz w:val="20"/>
          <w:szCs w:val="20"/>
          <w:color w:val="auto"/>
        </w:rPr>
        <w:tab/>
      </w:r>
      <w:r>
        <w:rPr>
          <w:rFonts w:ascii="Arial" w:cs="Arial" w:eastAsia="Arial" w:hAnsi="Arial"/>
          <w:sz w:val="18"/>
          <w:szCs w:val="18"/>
          <w:color w:val="auto"/>
        </w:rPr>
        <w:t>. Our second product candidate, CNTY-103, is designed to treat</w:t>
      </w:r>
    </w:p>
    <w:p>
      <w:pPr>
        <w:spacing w:after="0" w:line="8" w:lineRule="exact"/>
        <w:rPr>
          <w:sz w:val="20"/>
          <w:szCs w:val="20"/>
          <w:color w:val="auto"/>
        </w:rPr>
      </w:pPr>
    </w:p>
    <w:p>
      <w:pPr>
        <w:ind w:left="1280"/>
        <w:spacing w:after="0"/>
        <w:tabs>
          <w:tab w:leader="none" w:pos="7060" w:val="left"/>
        </w:tabs>
        <w:rPr>
          <w:sz w:val="20"/>
          <w:szCs w:val="20"/>
          <w:color w:val="auto"/>
        </w:rPr>
      </w:pPr>
      <w:r>
        <w:rPr>
          <w:rFonts w:ascii="Arial" w:cs="Arial" w:eastAsia="Arial" w:hAnsi="Arial"/>
          <w:sz w:val="18"/>
          <w:szCs w:val="18"/>
          <w:color w:val="auto"/>
        </w:rPr>
        <w:t>glioblastoma, and we currently anticipate filing an IND in</w:t>
      </w:r>
      <w:r>
        <w:rPr>
          <w:sz w:val="20"/>
          <w:szCs w:val="20"/>
          <w:color w:val="auto"/>
        </w:rPr>
        <w:tab/>
      </w:r>
      <w:r>
        <w:rPr>
          <w:rFonts w:ascii="Arial" w:cs="Arial" w:eastAsia="Arial" w:hAnsi="Arial"/>
          <w:sz w:val="18"/>
          <w:szCs w:val="18"/>
          <w:color w:val="auto"/>
        </w:rPr>
        <w:t>. Our third product</w:t>
      </w:r>
    </w:p>
    <w:p>
      <w:pPr>
        <w:spacing w:after="0" w:line="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candidate, CNTY-102, is designed to further improve B-cell malignancy treatment, and we are</w:t>
      </w:r>
    </w:p>
    <w:p>
      <w:pPr>
        <w:spacing w:after="0" w:line="8" w:lineRule="exact"/>
        <w:rPr>
          <w:sz w:val="20"/>
          <w:szCs w:val="20"/>
          <w:color w:val="auto"/>
        </w:rPr>
      </w:pPr>
    </w:p>
    <w:p>
      <w:pPr>
        <w:ind w:left="1280"/>
        <w:spacing w:after="0"/>
        <w:tabs>
          <w:tab w:leader="none" w:pos="5040" w:val="left"/>
        </w:tabs>
        <w:rPr>
          <w:sz w:val="20"/>
          <w:szCs w:val="20"/>
          <w:color w:val="auto"/>
        </w:rPr>
      </w:pPr>
      <w:r>
        <w:rPr>
          <w:rFonts w:ascii="Arial" w:cs="Arial" w:eastAsia="Arial" w:hAnsi="Arial"/>
          <w:sz w:val="18"/>
          <w:szCs w:val="18"/>
          <w:color w:val="auto"/>
        </w:rPr>
        <w:t>planning on filing an IND for it in</w:t>
      </w:r>
      <w:r>
        <w:rPr>
          <w:sz w:val="20"/>
          <w:szCs w:val="20"/>
          <w:color w:val="auto"/>
        </w:rPr>
        <w:tab/>
      </w:r>
      <w:r>
        <w:rPr>
          <w:rFonts w:ascii="Arial" w:cs="Arial" w:eastAsia="Arial" w:hAnsi="Arial"/>
          <w:sz w:val="18"/>
          <w:szCs w:val="18"/>
          <w:color w:val="auto"/>
        </w:rPr>
        <w:t>. Our fourth product candidate, CNTY-104, is being</w:t>
      </w:r>
    </w:p>
    <w:p>
      <w:pPr>
        <w:spacing w:after="0" w:line="8" w:lineRule="exact"/>
        <w:rPr>
          <w:sz w:val="20"/>
          <w:szCs w:val="20"/>
          <w:color w:val="auto"/>
        </w:rPr>
      </w:pPr>
    </w:p>
    <w:p>
      <w:pPr>
        <w:ind w:left="1280"/>
        <w:spacing w:after="0"/>
        <w:tabs>
          <w:tab w:leader="none" w:pos="6860" w:val="left"/>
        </w:tabs>
        <w:rPr>
          <w:sz w:val="20"/>
          <w:szCs w:val="20"/>
          <w:color w:val="auto"/>
        </w:rPr>
      </w:pPr>
      <w:r>
        <w:rPr>
          <w:rFonts w:ascii="Arial" w:cs="Arial" w:eastAsia="Arial" w:hAnsi="Arial"/>
          <w:sz w:val="18"/>
          <w:szCs w:val="18"/>
          <w:color w:val="auto"/>
        </w:rPr>
        <w:t>developed to treat AML with the IND filing expected in</w:t>
      </w:r>
      <w:r>
        <w:rPr>
          <w:sz w:val="20"/>
          <w:szCs w:val="20"/>
          <w:color w:val="auto"/>
        </w:rPr>
        <w:tab/>
      </w:r>
      <w:r>
        <w:rPr>
          <w:rFonts w:ascii="Arial" w:cs="Arial" w:eastAsia="Arial" w:hAnsi="Arial"/>
          <w:sz w:val="18"/>
          <w:szCs w:val="18"/>
          <w:color w:val="auto"/>
        </w:rPr>
        <w:t>. Our development programs</w:t>
      </w:r>
    </w:p>
    <w:p>
      <w:pPr>
        <w:spacing w:after="0" w:line="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consist of the product candidates illustrated in the pipeline chart below:</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488305" cy="8691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8305" cy="869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right="419"/>
        <w:spacing w:after="0" w:line="253" w:lineRule="auto"/>
        <w:rPr>
          <w:sz w:val="20"/>
          <w:szCs w:val="20"/>
          <w:color w:val="auto"/>
        </w:rPr>
      </w:pPr>
      <w:r>
        <w:rPr>
          <w:rFonts w:ascii="Arial" w:cs="Arial" w:eastAsia="Arial" w:hAnsi="Arial"/>
          <w:sz w:val="18"/>
          <w:szCs w:val="18"/>
          <w:b w:val="1"/>
          <w:bCs w:val="1"/>
          <w:color w:val="auto"/>
        </w:rPr>
        <w:t xml:space="preserve">CNTY-101: Our CAR-iNK candidate targeting CD19 for relapsed, refractory B-cell lymphoma. </w:t>
      </w:r>
      <w:r>
        <w:rPr>
          <w:rFonts w:ascii="Arial" w:cs="Arial" w:eastAsia="Arial" w:hAnsi="Arial"/>
          <w:sz w:val="18"/>
          <w:szCs w:val="18"/>
          <w:color w:val="auto"/>
        </w:rPr>
        <w:t>Our lead product candidate, CNTY-101, is an allogeneic, iPSC-derived CAR-iNK cell</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that has been engineered to express CD19 CAR, soluble IL-15, an EGFR safety switch, and also contains gene edits needed to incorporate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We expect clinical candidate clone selection in the first half of 2021, and plan to move into IND enabling preclinical and technical studies and manufacturing at that time. We anticipate filing an IND to advance</w:t>
      </w:r>
    </w:p>
    <w:p>
      <w:pPr>
        <w:spacing w:after="0" w:line="1" w:lineRule="exact"/>
        <w:rPr>
          <w:sz w:val="20"/>
          <w:szCs w:val="20"/>
          <w:color w:val="auto"/>
        </w:rPr>
      </w:pPr>
    </w:p>
    <w:p>
      <w:pPr>
        <w:ind w:left="1280"/>
        <w:spacing w:after="0"/>
        <w:tabs>
          <w:tab w:leader="none" w:pos="5680" w:val="left"/>
        </w:tabs>
        <w:rPr>
          <w:sz w:val="20"/>
          <w:szCs w:val="20"/>
          <w:color w:val="auto"/>
        </w:rPr>
      </w:pPr>
      <w:r>
        <w:rPr>
          <w:rFonts w:ascii="Arial" w:cs="Arial" w:eastAsia="Arial" w:hAnsi="Arial"/>
          <w:sz w:val="18"/>
          <w:szCs w:val="18"/>
          <w:color w:val="auto"/>
        </w:rPr>
        <w:t>CNTY-101 into a Phase 1 clinical trial in</w:t>
      </w:r>
      <w:r>
        <w:rPr>
          <w:sz w:val="20"/>
          <w:szCs w:val="20"/>
          <w:color w:val="auto"/>
        </w:rPr>
        <w:tab/>
      </w:r>
      <w:r>
        <w:rPr>
          <w:rFonts w:ascii="Arial" w:cs="Arial" w:eastAsia="Arial" w:hAnsi="Arial"/>
          <w:sz w:val="13"/>
          <w:szCs w:val="13"/>
          <w:color w:val="auto"/>
        </w:rPr>
        <w:t>.</w:t>
      </w:r>
    </w:p>
    <w:p>
      <w:pPr>
        <w:spacing w:after="0" w:line="134" w:lineRule="exact"/>
        <w:rPr>
          <w:sz w:val="20"/>
          <w:szCs w:val="20"/>
          <w:color w:val="auto"/>
        </w:rPr>
      </w:pPr>
    </w:p>
    <w:p>
      <w:pPr>
        <w:ind w:left="1280" w:right="459"/>
        <w:spacing w:after="0" w:line="269" w:lineRule="auto"/>
        <w:rPr>
          <w:sz w:val="20"/>
          <w:szCs w:val="20"/>
          <w:color w:val="auto"/>
        </w:rPr>
      </w:pPr>
      <w:r>
        <w:rPr>
          <w:rFonts w:ascii="Arial" w:cs="Arial" w:eastAsia="Arial" w:hAnsi="Arial"/>
          <w:sz w:val="18"/>
          <w:szCs w:val="18"/>
          <w:b w:val="1"/>
          <w:bCs w:val="1"/>
          <w:color w:val="auto"/>
        </w:rPr>
        <w:t xml:space="preserve">CNTY-103: Our CAR-iNK candidate targeting CD133 + EGFR for recurrent glioblastoma.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w:t>
      </w:r>
    </w:p>
    <w:p>
      <w:pPr>
        <w:spacing w:after="0" w:line="2" w:lineRule="exact"/>
        <w:rPr>
          <w:sz w:val="20"/>
          <w:szCs w:val="20"/>
          <w:color w:val="auto"/>
        </w:rPr>
      </w:pPr>
    </w:p>
    <w:p>
      <w:pPr>
        <w:ind w:left="1280"/>
        <w:spacing w:after="0"/>
        <w:tabs>
          <w:tab w:leader="none" w:pos="8000" w:val="left"/>
        </w:tabs>
        <w:rPr>
          <w:sz w:val="20"/>
          <w:szCs w:val="20"/>
          <w:color w:val="auto"/>
        </w:rPr>
      </w:pPr>
      <w:r>
        <w:rPr>
          <w:rFonts w:ascii="Arial" w:cs="Arial" w:eastAsia="Arial" w:hAnsi="Arial"/>
          <w:sz w:val="18"/>
          <w:szCs w:val="18"/>
          <w:color w:val="auto"/>
        </w:rPr>
        <w:t>an IND and/or clinical trial application, or CTA, for recurrent GBM in</w:t>
      </w:r>
      <w:r>
        <w:rPr>
          <w:sz w:val="20"/>
          <w:szCs w:val="20"/>
          <w:color w:val="auto"/>
        </w:rPr>
        <w:tab/>
      </w:r>
      <w:r>
        <w:rPr>
          <w:rFonts w:ascii="Arial" w:cs="Arial" w:eastAsia="Arial" w:hAnsi="Arial"/>
          <w:sz w:val="13"/>
          <w:szCs w:val="13"/>
          <w:color w:val="auto"/>
        </w:rPr>
        <w:t>.</w:t>
      </w:r>
    </w:p>
    <w:p>
      <w:pPr>
        <w:spacing w:after="0" w:line="148" w:lineRule="exact"/>
        <w:rPr>
          <w:sz w:val="20"/>
          <w:szCs w:val="20"/>
          <w:color w:val="auto"/>
        </w:rPr>
      </w:pPr>
    </w:p>
    <w:p>
      <w:pPr>
        <w:ind w:left="1280" w:right="479"/>
        <w:spacing w:after="0" w:line="270" w:lineRule="auto"/>
        <w:rPr>
          <w:sz w:val="20"/>
          <w:szCs w:val="20"/>
          <w:color w:val="auto"/>
        </w:rPr>
      </w:pPr>
      <w:r>
        <w:rPr>
          <w:rFonts w:ascii="Arial" w:cs="Arial" w:eastAsia="Arial" w:hAnsi="Arial"/>
          <w:sz w:val="18"/>
          <w:szCs w:val="18"/>
          <w:b w:val="1"/>
          <w:bCs w:val="1"/>
          <w:color w:val="auto"/>
        </w:rPr>
        <w:t xml:space="preserve">CNTY-102: Our CAR-iT or CAR-iNK candidate targeting CD19 + CD79b for relapsed, refractory B-cell lymphoma and other B-cell malignancies. </w:t>
      </w:r>
      <w:r>
        <w:rPr>
          <w:rFonts w:ascii="Arial" w:cs="Arial" w:eastAsia="Arial" w:hAnsi="Arial"/>
          <w:sz w:val="18"/>
          <w:szCs w:val="18"/>
          <w:color w:val="auto"/>
        </w:rPr>
        <w:t>CNTY-102 will simultaneously</w:t>
      </w:r>
      <w:r>
        <w:rPr>
          <w:rFonts w:ascii="Arial" w:cs="Arial" w:eastAsia="Arial" w:hAnsi="Arial"/>
          <w:sz w:val="18"/>
          <w:szCs w:val="18"/>
          <w:b w:val="1"/>
          <w:bCs w:val="1"/>
          <w:color w:val="auto"/>
        </w:rPr>
        <w:t xml:space="preserve"> </w:t>
      </w:r>
      <w:r>
        <w:rPr>
          <w:rFonts w:ascii="Arial" w:cs="Arial" w:eastAsia="Arial" w:hAnsi="Arial"/>
          <w:sz w:val="18"/>
          <w:szCs w:val="18"/>
          <w:color w:val="auto"/>
        </w:rPr>
        <w:t>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w:t>
      </w:r>
    </w:p>
    <w:p>
      <w:pPr>
        <w:spacing w:after="0" w:line="1" w:lineRule="exact"/>
        <w:rPr>
          <w:sz w:val="20"/>
          <w:szCs w:val="20"/>
          <w:color w:val="auto"/>
        </w:rPr>
      </w:pPr>
    </w:p>
    <w:p>
      <w:pPr>
        <w:ind w:left="1280"/>
        <w:spacing w:after="0"/>
        <w:tabs>
          <w:tab w:leader="none" w:pos="6360" w:val="left"/>
        </w:tabs>
        <w:rPr>
          <w:sz w:val="20"/>
          <w:szCs w:val="20"/>
          <w:color w:val="auto"/>
        </w:rPr>
      </w:pPr>
      <w:r>
        <w:rPr>
          <w:rFonts w:ascii="Arial" w:cs="Arial" w:eastAsia="Arial" w:hAnsi="Arial"/>
          <w:sz w:val="18"/>
          <w:szCs w:val="18"/>
          <w:color w:val="auto"/>
        </w:rPr>
        <w:t>currently envision filing the IND for CNTY-102 in</w:t>
      </w:r>
      <w:r>
        <w:rPr>
          <w:sz w:val="20"/>
          <w:szCs w:val="20"/>
          <w:color w:val="auto"/>
        </w:rPr>
        <w:tab/>
      </w:r>
      <w:r>
        <w:rPr>
          <w:rFonts w:ascii="Arial" w:cs="Arial" w:eastAsia="Arial" w:hAnsi="Arial"/>
          <w:sz w:val="18"/>
          <w:szCs w:val="18"/>
          <w:color w:val="auto"/>
        </w:rPr>
        <w:t>.</w:t>
      </w:r>
    </w:p>
    <w:p>
      <w:pPr>
        <w:spacing w:after="0" w:line="148" w:lineRule="exact"/>
        <w:rPr>
          <w:sz w:val="20"/>
          <w:szCs w:val="20"/>
          <w:color w:val="auto"/>
        </w:rPr>
      </w:pPr>
    </w:p>
    <w:p>
      <w:pPr>
        <w:ind w:left="1280" w:right="439"/>
        <w:spacing w:after="0" w:line="270" w:lineRule="auto"/>
        <w:rPr>
          <w:sz w:val="20"/>
          <w:szCs w:val="20"/>
          <w:color w:val="auto"/>
        </w:rPr>
      </w:pPr>
      <w:r>
        <w:rPr>
          <w:rFonts w:ascii="Arial" w:cs="Arial" w:eastAsia="Arial" w:hAnsi="Arial"/>
          <w:sz w:val="18"/>
          <w:szCs w:val="18"/>
          <w:b w:val="1"/>
          <w:bCs w:val="1"/>
          <w:color w:val="auto"/>
        </w:rPr>
        <w:t xml:space="preserve">CNTY-104: Our CAR-iT or CAR-iNK multi-specific candidate for acute myeloid leukemia. </w:t>
      </w:r>
      <w:r>
        <w:rPr>
          <w:rFonts w:ascii="Arial" w:cs="Arial" w:eastAsia="Arial" w:hAnsi="Arial"/>
          <w:sz w:val="18"/>
          <w:szCs w:val="18"/>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w:t>
      </w:r>
    </w:p>
    <w:p>
      <w:pPr>
        <w:spacing w:after="0" w:line="1" w:lineRule="exact"/>
        <w:rPr>
          <w:sz w:val="20"/>
          <w:szCs w:val="20"/>
          <w:color w:val="auto"/>
        </w:rPr>
      </w:pPr>
    </w:p>
    <w:p>
      <w:pPr>
        <w:ind w:left="1280"/>
        <w:spacing w:after="0"/>
        <w:tabs>
          <w:tab w:leader="none" w:pos="6360" w:val="left"/>
        </w:tabs>
        <w:rPr>
          <w:sz w:val="20"/>
          <w:szCs w:val="20"/>
          <w:color w:val="auto"/>
        </w:rPr>
      </w:pPr>
      <w:r>
        <w:rPr>
          <w:rFonts w:ascii="Arial" w:cs="Arial" w:eastAsia="Arial" w:hAnsi="Arial"/>
          <w:sz w:val="18"/>
          <w:szCs w:val="18"/>
          <w:color w:val="auto"/>
        </w:rPr>
        <w:t>currently envision filing the IND for CNTY-104 in</w:t>
      </w:r>
      <w:r>
        <w:rPr>
          <w:sz w:val="20"/>
          <w:szCs w:val="20"/>
          <w:color w:val="auto"/>
        </w:rPr>
        <w:tab/>
      </w:r>
      <w:r>
        <w:rPr>
          <w:rFonts w:ascii="Arial" w:cs="Arial" w:eastAsia="Arial" w:hAnsi="Arial"/>
          <w:sz w:val="18"/>
          <w:szCs w:val="18"/>
          <w:color w:val="auto"/>
        </w:rPr>
        <w:t>.</w:t>
      </w:r>
    </w:p>
    <w:p>
      <w:pPr>
        <w:spacing w:after="0" w:line="134" w:lineRule="exact"/>
        <w:rPr>
          <w:sz w:val="20"/>
          <w:szCs w:val="20"/>
          <w:color w:val="auto"/>
        </w:rPr>
      </w:pPr>
    </w:p>
    <w:p>
      <w:pPr>
        <w:ind w:left="1280" w:right="479"/>
        <w:spacing w:after="0" w:line="272" w:lineRule="auto"/>
        <w:rPr>
          <w:sz w:val="20"/>
          <w:szCs w:val="20"/>
          <w:color w:val="auto"/>
        </w:rPr>
      </w:pPr>
      <w:r>
        <w:rPr>
          <w:rFonts w:ascii="Arial" w:cs="Arial" w:eastAsia="Arial" w:hAnsi="Arial"/>
          <w:sz w:val="18"/>
          <w:szCs w:val="18"/>
          <w:b w:val="1"/>
          <w:bCs w:val="1"/>
          <w:color w:val="auto"/>
        </w:rPr>
        <w:t xml:space="preserve">Discovery platform. </w:t>
      </w:r>
      <w:r>
        <w:rPr>
          <w:rFonts w:ascii="Arial" w:cs="Arial" w:eastAsia="Arial" w:hAnsi="Arial"/>
          <w:sz w:val="18"/>
          <w:szCs w:val="18"/>
          <w:color w:val="auto"/>
        </w:rPr>
        <w:t>In addition to our named programs, we are actively engaged in a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strategy</w:t>
      </w:r>
    </w:p>
    <w:p>
      <w:pPr>
        <w:spacing w:after="0" w:line="169" w:lineRule="exact"/>
        <w:rPr>
          <w:sz w:val="20"/>
          <w:szCs w:val="20"/>
          <w:color w:val="auto"/>
        </w:rPr>
      </w:pPr>
    </w:p>
    <w:p>
      <w:pPr>
        <w:ind w:left="1280" w:right="599"/>
        <w:spacing w:after="0" w:line="266" w:lineRule="auto"/>
        <w:rPr>
          <w:sz w:val="20"/>
          <w:szCs w:val="20"/>
          <w:color w:val="auto"/>
        </w:rPr>
      </w:pPr>
      <w:r>
        <w:rPr>
          <w:rFonts w:ascii="Arial" w:cs="Arial" w:eastAsia="Arial" w:hAnsi="Arial"/>
          <w:sz w:val="18"/>
          <w:szCs w:val="18"/>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81" w:lineRule="exact"/>
        <w:rPr>
          <w:sz w:val="20"/>
          <w:szCs w:val="20"/>
          <w:color w:val="auto"/>
        </w:rPr>
      </w:pPr>
    </w:p>
    <w:p>
      <w:pPr>
        <w:ind w:left="1420" w:right="459" w:hanging="147"/>
        <w:spacing w:after="0" w:line="29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Build a leading cell therapy company leveraging our comprehensive iPSC-derived allogeneic cell therapy platforms designed to overcome the limitations of existing cancer therapies.</w:t>
      </w:r>
    </w:p>
    <w:p>
      <w:pPr>
        <w:spacing w:after="0" w:line="294" w:lineRule="exact"/>
        <w:rPr>
          <w:rFonts w:ascii="Arial" w:cs="Arial" w:eastAsia="Arial" w:hAnsi="Arial"/>
          <w:sz w:val="18"/>
          <w:szCs w:val="18"/>
          <w:color w:val="auto"/>
        </w:rPr>
      </w:pPr>
    </w:p>
    <w:p>
      <w:pPr>
        <w:ind w:left="1420" w:right="1159" w:hanging="147"/>
        <w:spacing w:after="0" w:line="301"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Maximize the potential to treat a broad range of cancers by exploiting the distinct biologies of both NK and T cells.</w:t>
      </w:r>
    </w:p>
    <w:p>
      <w:pPr>
        <w:spacing w:after="0" w:line="11" w:lineRule="exact"/>
        <w:rPr>
          <w:rFonts w:ascii="Arial" w:cs="Arial" w:eastAsia="Arial" w:hAnsi="Arial"/>
          <w:sz w:val="18"/>
          <w:szCs w:val="18"/>
          <w:color w:val="auto"/>
        </w:rPr>
      </w:pPr>
    </w:p>
    <w:p>
      <w:pPr>
        <w:ind w:left="1420" w:right="1019" w:hanging="147"/>
        <w:spacing w:after="0" w:line="250"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Leverage our Allo-Evasion</w:t>
      </w:r>
      <w:r>
        <w:rPr>
          <w:rFonts w:ascii="Arial" w:cs="Arial" w:eastAsia="Arial" w:hAnsi="Arial"/>
          <w:sz w:val="26"/>
          <w:szCs w:val="26"/>
          <w:b w:val="1"/>
          <w:bCs w:val="1"/>
          <w:color w:val="auto"/>
          <w:vertAlign w:val="superscript"/>
        </w:rPr>
        <w:t>TM</w:t>
      </w:r>
      <w:r>
        <w:rPr>
          <w:rFonts w:ascii="Arial" w:cs="Arial" w:eastAsia="Arial" w:hAnsi="Arial"/>
          <w:sz w:val="18"/>
          <w:szCs w:val="18"/>
          <w:b w:val="1"/>
          <w:bCs w:val="1"/>
          <w:color w:val="auto"/>
        </w:rPr>
        <w:t xml:space="preserve"> technology across our product platform to avoid host rejection and enable repeat dosing.</w:t>
      </w:r>
    </w:p>
    <w:p>
      <w:pPr>
        <w:spacing w:after="0" w:line="85" w:lineRule="exact"/>
        <w:rPr>
          <w:rFonts w:ascii="Arial" w:cs="Arial" w:eastAsia="Arial" w:hAnsi="Arial"/>
          <w:sz w:val="18"/>
          <w:szCs w:val="18"/>
          <w:color w:val="auto"/>
        </w:rPr>
      </w:pPr>
    </w:p>
    <w:p>
      <w:pPr>
        <w:ind w:left="1420" w:right="1279" w:hanging="147"/>
        <w:spacing w:after="0" w:line="301"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Exploit serial gene editing of iPSCs to create product candidates with enhanced functionalities and fit for purpose product characteristics.</w:t>
      </w:r>
    </w:p>
    <w:p>
      <w:pPr>
        <w:spacing w:after="0" w:line="59" w:lineRule="exact"/>
        <w:rPr>
          <w:rFonts w:ascii="Arial" w:cs="Arial" w:eastAsia="Arial" w:hAnsi="Arial"/>
          <w:sz w:val="18"/>
          <w:szCs w:val="18"/>
          <w:color w:val="auto"/>
        </w:rPr>
      </w:pPr>
    </w:p>
    <w:p>
      <w:pPr>
        <w:ind w:left="1420" w:right="1639" w:hanging="147"/>
        <w:spacing w:after="0" w:line="301"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Leverage our own future manufacturing infrastructure, product and process understanding, and scale-up technologies to minimize manufacturing risk.</w:t>
      </w:r>
    </w:p>
    <w:p>
      <w:pPr>
        <w:sectPr>
          <w:pgSz w:w="11900" w:h="16838" w:orient="portrait"/>
          <w:cols w:equalWidth="0" w:num="1">
            <w:col w:w="9859"/>
          </w:cols>
          <w:pgMar w:left="600" w:top="131" w:right="1440" w:bottom="1440" w:gutter="0" w:footer="0" w:header="0"/>
        </w:sectPr>
      </w:pPr>
    </w:p>
    <w:p>
      <w:pPr>
        <w:spacing w:after="0" w:line="33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255270</wp:posOffset>
            </wp:positionV>
            <wp:extent cx="679958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488305" cy="893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8305" cy="893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team</w:t>
      </w:r>
    </w:p>
    <w:p>
      <w:pPr>
        <w:spacing w:after="0" w:line="155" w:lineRule="exact"/>
        <w:rPr>
          <w:sz w:val="20"/>
          <w:szCs w:val="20"/>
          <w:color w:val="auto"/>
        </w:rPr>
      </w:pPr>
    </w:p>
    <w:p>
      <w:pPr>
        <w:ind w:left="1280" w:right="439"/>
        <w:spacing w:after="0" w:line="250" w:lineRule="auto"/>
        <w:rPr>
          <w:sz w:val="20"/>
          <w:szCs w:val="20"/>
          <w:color w:val="auto"/>
        </w:rPr>
      </w:pPr>
      <w:r>
        <w:rPr>
          <w:rFonts w:ascii="Arial" w:cs="Arial" w:eastAsia="Arial" w:hAnsi="Arial"/>
          <w:sz w:val="18"/>
          <w:szCs w:val="18"/>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Development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143" w:lineRule="exact"/>
        <w:rPr>
          <w:sz w:val="20"/>
          <w:szCs w:val="20"/>
          <w:color w:val="auto"/>
        </w:rPr>
      </w:pPr>
    </w:p>
    <w:p>
      <w:pPr>
        <w:ind w:left="1280" w:right="539"/>
        <w:spacing w:after="0" w:line="251" w:lineRule="auto"/>
        <w:rPr>
          <w:sz w:val="20"/>
          <w:szCs w:val="20"/>
          <w:color w:val="auto"/>
        </w:rPr>
      </w:pPr>
      <w:r>
        <w:rPr>
          <w:rFonts w:ascii="Arial" w:cs="Arial" w:eastAsia="Arial" w:hAnsi="Arial"/>
          <w:sz w:val="18"/>
          <w:szCs w:val="18"/>
          <w:color w:val="auto"/>
        </w:rPr>
        <w:t>Our board of directors includes members with extensive experience leading companies in the fields of biotechnology and biopharmaceuticals, including Joseph Jimenez, former Chief Executive Officer of Novartis, and Toshikazu Ban, Corporate Vice President and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126" w:lineRule="exact"/>
        <w:rPr>
          <w:sz w:val="20"/>
          <w:szCs w:val="20"/>
          <w:color w:val="auto"/>
        </w:rPr>
      </w:pPr>
    </w:p>
    <w:p>
      <w:pPr>
        <w:ind w:left="1280" w:right="659"/>
        <w:spacing w:after="0" w:line="252" w:lineRule="auto"/>
        <w:rPr>
          <w:sz w:val="20"/>
          <w:szCs w:val="20"/>
          <w:color w:val="auto"/>
        </w:rPr>
      </w:pPr>
      <w:r>
        <w:rPr>
          <w:rFonts w:ascii="Arial" w:cs="Arial" w:eastAsia="Arial" w:hAnsi="Arial"/>
          <w:sz w:val="18"/>
          <w:szCs w:val="18"/>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Risks associated with our business</w:t>
      </w:r>
    </w:p>
    <w:p>
      <w:pPr>
        <w:spacing w:after="0" w:line="155" w:lineRule="exact"/>
        <w:rPr>
          <w:sz w:val="20"/>
          <w:szCs w:val="20"/>
          <w:color w:val="auto"/>
        </w:rPr>
      </w:pPr>
    </w:p>
    <w:p>
      <w:pPr>
        <w:ind w:left="1280" w:right="439"/>
        <w:spacing w:after="0" w:line="254"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311" w:lineRule="exact"/>
        <w:rPr>
          <w:sz w:val="20"/>
          <w:szCs w:val="20"/>
          <w:color w:val="auto"/>
        </w:rPr>
      </w:pPr>
    </w:p>
    <w:p>
      <w:pPr>
        <w:ind w:left="1420" w:right="739" w:hanging="147"/>
        <w:spacing w:after="0" w:line="275"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losses since our inception, and anticipate that we will continue to incur significant losses in the foreseeable future;</w:t>
      </w:r>
    </w:p>
    <w:p>
      <w:pPr>
        <w:spacing w:after="0" w:line="90" w:lineRule="exact"/>
        <w:rPr>
          <w:rFonts w:ascii="Arial" w:cs="Arial" w:eastAsia="Arial" w:hAnsi="Arial"/>
          <w:sz w:val="18"/>
          <w:szCs w:val="18"/>
          <w:color w:val="auto"/>
        </w:rPr>
      </w:pPr>
    </w:p>
    <w:p>
      <w:pPr>
        <w:ind w:left="1420" w:right="459" w:hanging="147"/>
        <w:spacing w:after="0" w:line="272"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very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305" w:lineRule="exact"/>
        <w:rPr>
          <w:rFonts w:ascii="Arial" w:cs="Arial" w:eastAsia="Arial" w:hAnsi="Arial"/>
          <w:sz w:val="18"/>
          <w:szCs w:val="18"/>
          <w:color w:val="auto"/>
        </w:rPr>
      </w:pPr>
    </w:p>
    <w:p>
      <w:pPr>
        <w:ind w:left="1420" w:right="759" w:hanging="147"/>
        <w:spacing w:after="0" w:line="275"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to raise substantial additional financing to fund our operations and continue the development of our product candidates;</w:t>
      </w:r>
    </w:p>
    <w:p>
      <w:pPr>
        <w:spacing w:after="0" w:line="77" w:lineRule="exact"/>
        <w:rPr>
          <w:rFonts w:ascii="Arial" w:cs="Arial" w:eastAsia="Arial" w:hAnsi="Arial"/>
          <w:sz w:val="18"/>
          <w:szCs w:val="18"/>
          <w:color w:val="auto"/>
        </w:rPr>
      </w:pPr>
    </w:p>
    <w:p>
      <w:pPr>
        <w:ind w:left="1420" w:right="499" w:hanging="147"/>
        <w:spacing w:after="0" w:line="270"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highly dependent on our strategic relationships and collaborations and any termination or loss of significant rights under such arrangements with our strategic partners could seriously harm our business;</w:t>
      </w:r>
    </w:p>
    <w:p>
      <w:pPr>
        <w:spacing w:after="0" w:line="95" w:lineRule="exact"/>
        <w:rPr>
          <w:rFonts w:ascii="Arial" w:cs="Arial" w:eastAsia="Arial" w:hAnsi="Arial"/>
          <w:sz w:val="18"/>
          <w:szCs w:val="18"/>
          <w:color w:val="auto"/>
        </w:rPr>
      </w:pPr>
    </w:p>
    <w:p>
      <w:pPr>
        <w:ind w:left="1420" w:right="739" w:hanging="147"/>
        <w:spacing w:after="0" w:line="270"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may materially and adversely affect our business and our financial results and could cause a disruption to our supply chain and the development of our product candidates;</w:t>
      </w:r>
    </w:p>
    <w:p>
      <w:pPr>
        <w:spacing w:after="0" w:line="81" w:lineRule="exact"/>
        <w:rPr>
          <w:rFonts w:ascii="Arial" w:cs="Arial" w:eastAsia="Arial" w:hAnsi="Arial"/>
          <w:sz w:val="18"/>
          <w:szCs w:val="18"/>
          <w:color w:val="auto"/>
        </w:rPr>
      </w:pPr>
    </w:p>
    <w:p>
      <w:pPr>
        <w:jc w:val="both"/>
        <w:ind w:left="1420" w:right="419" w:hanging="147"/>
        <w:spacing w:after="0" w:line="270"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utilizing CAR-iNK and CAR-iT cells represents a novel approach to immuno-oncology treatment of cancer, and we must overcome significant challenges in order to develop, commercialize, and manufacture our product candidates;</w:t>
      </w:r>
    </w:p>
    <w:p>
      <w:pPr>
        <w:spacing w:after="0" w:line="81" w:lineRule="exact"/>
        <w:rPr>
          <w:rFonts w:ascii="Arial" w:cs="Arial" w:eastAsia="Arial" w:hAnsi="Arial"/>
          <w:sz w:val="18"/>
          <w:szCs w:val="18"/>
          <w:color w:val="auto"/>
        </w:rPr>
      </w:pPr>
    </w:p>
    <w:p>
      <w:pPr>
        <w:ind w:left="1420" w:right="739" w:hanging="147"/>
        <w:spacing w:after="0" w:line="275"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manufacture and distribution of our iPSC-derived cell product candidates is complex and subject to a multitude of risks;</w:t>
      </w:r>
    </w:p>
    <w:p>
      <w:pPr>
        <w:spacing w:after="0" w:line="90" w:lineRule="exact"/>
        <w:rPr>
          <w:rFonts w:ascii="Arial" w:cs="Arial" w:eastAsia="Arial" w:hAnsi="Arial"/>
          <w:sz w:val="18"/>
          <w:szCs w:val="18"/>
          <w:color w:val="auto"/>
        </w:rPr>
      </w:pPr>
    </w:p>
    <w:p>
      <w:pPr>
        <w:ind w:left="1420" w:right="439" w:hanging="147"/>
        <w:spacing w:after="0" w:line="270"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successfully commercialize our lead product candidate CNTY-101 or any of our other product candidates for which we receive regulatory approval, or experience significant delays in doing so, our business will be materially harmed; and</w:t>
      </w:r>
    </w:p>
    <w:p>
      <w:pPr>
        <w:sectPr>
          <w:pgSz w:w="11900" w:h="16838" w:orient="portrait"/>
          <w:cols w:equalWidth="0" w:num="1">
            <w:col w:w="9859"/>
          </w:cols>
          <w:pgMar w:left="600" w:top="131" w:right="1440" w:bottom="1440" w:gutter="0" w:footer="0" w:header="0"/>
        </w:sectPr>
      </w:pPr>
    </w:p>
    <w:p>
      <w:pPr>
        <w:spacing w:after="0" w:line="36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255270</wp:posOffset>
            </wp:positionV>
            <wp:extent cx="679958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488305" cy="8460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8305" cy="846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20" w:right="919" w:hanging="147"/>
        <w:spacing w:after="0" w:line="275"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face difficulties in obtaining, protecting, maintaining, and enforcing our intellectual property rights, including intellectual property rights that are licensed to us.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Recent developments</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On February 25, 2021, we sold 24,721,999 shares of our Series C preferred stock, par value</w:t>
      </w:r>
    </w:p>
    <w:p>
      <w:pPr>
        <w:spacing w:after="0" w:line="8" w:lineRule="exact"/>
        <w:rPr>
          <w:sz w:val="20"/>
          <w:szCs w:val="20"/>
          <w:color w:val="auto"/>
        </w:rPr>
      </w:pPr>
    </w:p>
    <w:p>
      <w:pPr>
        <w:ind w:left="1280" w:right="419"/>
        <w:spacing w:after="0" w:line="251" w:lineRule="auto"/>
        <w:rPr>
          <w:sz w:val="20"/>
          <w:szCs w:val="20"/>
          <w:color w:val="auto"/>
        </w:rPr>
      </w:pPr>
      <w:r>
        <w:rPr>
          <w:rFonts w:ascii="Arial" w:cs="Arial" w:eastAsia="Arial" w:hAnsi="Arial"/>
          <w:sz w:val="18"/>
          <w:szCs w:val="18"/>
          <w:color w:val="auto"/>
        </w:rPr>
        <w:t>$0.0001 per share, or the Series C preferred stock, to certain institutional investors at a price of approximately $ 6.472 per share, for gross proceeds of approximately $160 million, which we refer to herein as the Series C Financing. The shares of Series C preferred stock were sold pursuant to an exemption from registration under the Securities Act. Upon the closing of this offering, all outstanding shares of our preferred stock, including our Series C preferred stock, will be automatically converted into an aggregate of 85,865,789 shares of common stock.</w:t>
      </w:r>
    </w:p>
    <w:p>
      <w:pPr>
        <w:spacing w:after="0" w:line="176"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corporate information</w:t>
      </w:r>
    </w:p>
    <w:p>
      <w:pPr>
        <w:spacing w:after="0" w:line="169" w:lineRule="exact"/>
        <w:rPr>
          <w:sz w:val="20"/>
          <w:szCs w:val="20"/>
          <w:color w:val="auto"/>
        </w:rPr>
      </w:pPr>
    </w:p>
    <w:p>
      <w:pPr>
        <w:ind w:left="1280" w:right="419"/>
        <w:spacing w:after="0" w:line="266" w:lineRule="auto"/>
        <w:rPr>
          <w:sz w:val="20"/>
          <w:szCs w:val="20"/>
          <w:color w:val="auto"/>
        </w:rPr>
      </w:pPr>
      <w:r>
        <w:rPr>
          <w:rFonts w:ascii="Arial" w:cs="Arial" w:eastAsia="Arial" w:hAnsi="Arial"/>
          <w:sz w:val="18"/>
          <w:szCs w:val="18"/>
          <w:color w:val="auto"/>
        </w:rPr>
        <w:t>We were formed in 2018 as Century Therapeutics, Inc., a Delaware corporation, or Prior Century. In connection with an investment in our Company by Bayer Healthcare LLC, in 2019, Prior Century contributed substantially all of its operating assets and cash to a newly formed entity, Century Therapeutics, LLC, or the LLC Entity, in exchange for units of the LLC Entity. We refer to this transaction as the 2019 Reorganization. From June 2019 to February 2021, our business was operated through the LLC Entity. On February 25, 2021, the LLC Entity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 We refer to these transactions on February 25, 2021 as the 2021 Reorganization.</w:t>
      </w:r>
    </w:p>
    <w:p>
      <w:pPr>
        <w:spacing w:after="0" w:line="139" w:lineRule="exact"/>
        <w:rPr>
          <w:sz w:val="20"/>
          <w:szCs w:val="20"/>
          <w:color w:val="auto"/>
        </w:rPr>
      </w:pPr>
    </w:p>
    <w:p>
      <w:pPr>
        <w:ind w:left="1280" w:right="779"/>
        <w:spacing w:after="0" w:line="267" w:lineRule="auto"/>
        <w:rPr>
          <w:sz w:val="20"/>
          <w:szCs w:val="20"/>
          <w:color w:val="auto"/>
        </w:rPr>
      </w:pPr>
      <w:r>
        <w:rPr>
          <w:rFonts w:ascii="Arial" w:cs="Arial" w:eastAsia="Arial" w:hAnsi="Arial"/>
          <w:sz w:val="18"/>
          <w:szCs w:val="18"/>
          <w:color w:val="auto"/>
        </w:rPr>
        <w:t>Our principal executive offices are located at 3675 Market Street, Philadelphia, Pennsylvania 19104, and our telephone number is (267) 817-5790. Our corporate website is www.centurytx.com.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 and do not intend it to be an active link to our website.</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55" w:lineRule="exact"/>
        <w:rPr>
          <w:sz w:val="20"/>
          <w:szCs w:val="20"/>
          <w:color w:val="auto"/>
        </w:rPr>
      </w:pPr>
    </w:p>
    <w:p>
      <w:pPr>
        <w:ind w:left="1280" w:right="499"/>
        <w:spacing w:after="0" w:line="267"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98" w:lineRule="exact"/>
        <w:rPr>
          <w:sz w:val="20"/>
          <w:szCs w:val="20"/>
          <w:color w:val="auto"/>
        </w:rPr>
      </w:pPr>
    </w:p>
    <w:p>
      <w:pPr>
        <w:ind w:left="1420" w:right="519" w:hanging="147"/>
        <w:spacing w:after="0" w:line="270"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95" w:lineRule="exact"/>
        <w:rPr>
          <w:rFonts w:ascii="Arial" w:cs="Arial" w:eastAsia="Arial" w:hAnsi="Arial"/>
          <w:sz w:val="18"/>
          <w:szCs w:val="18"/>
          <w:color w:val="auto"/>
        </w:rPr>
      </w:pPr>
    </w:p>
    <w:p>
      <w:pPr>
        <w:ind w:left="1420" w:right="1319" w:hanging="147"/>
        <w:spacing w:after="0" w:line="275"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90" w:lineRule="exact"/>
        <w:rPr>
          <w:rFonts w:ascii="Arial" w:cs="Arial" w:eastAsia="Arial" w:hAnsi="Arial"/>
          <w:sz w:val="18"/>
          <w:szCs w:val="18"/>
          <w:color w:val="auto"/>
        </w:rPr>
      </w:pPr>
    </w:p>
    <w:p>
      <w:pPr>
        <w:ind w:left="1420" w:right="719" w:hanging="147"/>
        <w:spacing w:after="0" w:line="270"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95" w:lineRule="exact"/>
        <w:rPr>
          <w:rFonts w:ascii="Arial" w:cs="Arial" w:eastAsia="Arial" w:hAnsi="Arial"/>
          <w:sz w:val="18"/>
          <w:szCs w:val="18"/>
          <w:color w:val="auto"/>
        </w:rPr>
      </w:pPr>
    </w:p>
    <w:p>
      <w:pPr>
        <w:ind w:left="1420" w:hanging="147"/>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129" w:lineRule="exact"/>
        <w:rPr>
          <w:rFonts w:ascii="Arial" w:cs="Arial" w:eastAsia="Arial" w:hAnsi="Arial"/>
          <w:sz w:val="18"/>
          <w:szCs w:val="18"/>
          <w:color w:val="auto"/>
        </w:rPr>
      </w:pPr>
    </w:p>
    <w:p>
      <w:pPr>
        <w:ind w:left="1420" w:right="819" w:hanging="147"/>
        <w:spacing w:after="0" w:line="275"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ectPr>
          <w:pgSz w:w="11900" w:h="16838" w:orient="portrait"/>
          <w:cols w:equalWidth="0" w:num="1">
            <w:col w:w="9859"/>
          </w:cols>
          <w:pgMar w:left="600" w:top="131" w:right="1440" w:bottom="1440" w:gutter="0" w:footer="0" w:header="0"/>
        </w:sectPr>
      </w:pPr>
    </w:p>
    <w:p>
      <w:pPr>
        <w:spacing w:after="0" w:line="37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255270</wp:posOffset>
            </wp:positionV>
            <wp:extent cx="679958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488305" cy="8469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88305" cy="8469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extended transition periods for complying with new or revised accounting standards.</w:t>
      </w:r>
    </w:p>
    <w:p>
      <w:pPr>
        <w:spacing w:after="0" w:line="156" w:lineRule="exact"/>
        <w:rPr>
          <w:sz w:val="20"/>
          <w:szCs w:val="20"/>
          <w:color w:val="auto"/>
        </w:rPr>
      </w:pPr>
    </w:p>
    <w:p>
      <w:pPr>
        <w:ind w:left="1280" w:right="639"/>
        <w:spacing w:after="0" w:line="268" w:lineRule="auto"/>
        <w:rPr>
          <w:sz w:val="20"/>
          <w:szCs w:val="20"/>
          <w:color w:val="auto"/>
        </w:rPr>
      </w:pPr>
      <w:r>
        <w:rPr>
          <w:rFonts w:ascii="Arial" w:cs="Arial" w:eastAsia="Arial" w:hAnsi="Arial"/>
          <w:sz w:val="18"/>
          <w:szCs w:val="18"/>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38" w:lineRule="exact"/>
        <w:rPr>
          <w:sz w:val="20"/>
          <w:szCs w:val="20"/>
          <w:color w:val="auto"/>
        </w:rPr>
      </w:pPr>
    </w:p>
    <w:p>
      <w:pPr>
        <w:ind w:left="1280" w:right="419"/>
        <w:spacing w:after="0" w:line="268"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w:t>
      </w:r>
    </w:p>
    <w:p>
      <w:pPr>
        <w:spacing w:after="0" w:line="138" w:lineRule="exact"/>
        <w:rPr>
          <w:sz w:val="20"/>
          <w:szCs w:val="20"/>
          <w:color w:val="auto"/>
        </w:rPr>
      </w:pPr>
    </w:p>
    <w:p>
      <w:pPr>
        <w:ind w:left="1280" w:right="479"/>
        <w:spacing w:after="0" w:line="266" w:lineRule="auto"/>
        <w:rPr>
          <w:sz w:val="20"/>
          <w:szCs w:val="20"/>
          <w:color w:val="auto"/>
        </w:rPr>
      </w:pPr>
      <w:r>
        <w:rPr>
          <w:rFonts w:ascii="Arial" w:cs="Arial" w:eastAsia="Arial" w:hAnsi="Arial"/>
          <w:sz w:val="18"/>
          <w:szCs w:val="18"/>
          <w:color w:val="auto"/>
        </w:rPr>
        <w:t>We will remain an emerging growth company until the earliest of (1) the last day of the fiscal year following the fifth anniversary of the closing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29" w:lineRule="exact"/>
        <w:rPr>
          <w:sz w:val="20"/>
          <w:szCs w:val="20"/>
          <w:color w:val="auto"/>
        </w:rPr>
      </w:pPr>
    </w:p>
    <w:p>
      <w:pPr>
        <w:ind w:left="1280" w:right="559"/>
        <w:spacing w:after="0" w:line="26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$250.0 million or (ii) our annual revenue is less than $100.0 million during the most recently</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completed fiscal year and the market value of our stock held by non-affiliates is less than</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$700.0 million. If we are a smaller reporting company at the time we cease to be an emerging</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growth company, we may continue to rely on exemptions from certain disclosure requirements</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that are available to smaller reporting companies. Specifically, as a smaller reporting company we</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may choose to present only the two most recent fiscal years of audited financial statements in our</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Annual Report on Form 10-K and, similar to emerging growth companies, smaller reporting</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companies have reduced disclosure obligations regarding executive compensation.</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488305" cy="8512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8305" cy="851217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Arial" w:cs="Arial" w:eastAsia="Arial" w:hAnsi="Arial"/>
          <w:sz w:val="29"/>
          <w:szCs w:val="29"/>
          <w:b w:val="1"/>
          <w:bCs w:val="1"/>
          <w:color w:val="auto"/>
        </w:rPr>
        <w:t>The offering</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 offered by us</w:t>
      </w:r>
    </w:p>
    <w:p>
      <w:pPr>
        <w:spacing w:after="0" w:line="129" w:lineRule="exact"/>
        <w:rPr>
          <w:sz w:val="20"/>
          <w:szCs w:val="20"/>
          <w:color w:val="auto"/>
        </w:rPr>
      </w:pPr>
    </w:p>
    <w:p>
      <w:pPr>
        <w:ind w:left="1280" w:right="20"/>
        <w:spacing w:after="0" w:line="285" w:lineRule="auto"/>
        <w:rPr>
          <w:sz w:val="20"/>
          <w:szCs w:val="20"/>
          <w:color w:val="auto"/>
        </w:rPr>
      </w:pPr>
      <w:r>
        <w:rPr>
          <w:rFonts w:ascii="Arial" w:cs="Arial" w:eastAsia="Arial" w:hAnsi="Arial"/>
          <w:sz w:val="18"/>
          <w:szCs w:val="18"/>
          <w:b w:val="1"/>
          <w:bCs w:val="1"/>
          <w:color w:val="auto"/>
        </w:rPr>
        <w:t>Underwriters’ option to purchase additional shares</w:t>
      </w:r>
    </w:p>
    <w:p>
      <w:pPr>
        <w:spacing w:after="0" w:line="60" w:lineRule="exact"/>
        <w:rPr>
          <w:sz w:val="20"/>
          <w:szCs w:val="20"/>
          <w:color w:val="auto"/>
        </w:rPr>
      </w:pPr>
    </w:p>
    <w:p>
      <w:pPr>
        <w:ind w:left="1280"/>
        <w:spacing w:after="0" w:line="285" w:lineRule="auto"/>
        <w:rPr>
          <w:sz w:val="20"/>
          <w:szCs w:val="20"/>
          <w:color w:val="auto"/>
        </w:rPr>
      </w:pPr>
      <w:r>
        <w:rPr>
          <w:rFonts w:ascii="Arial" w:cs="Arial" w:eastAsia="Arial" w:hAnsi="Arial"/>
          <w:sz w:val="18"/>
          <w:szCs w:val="18"/>
          <w:b w:val="1"/>
          <w:bCs w:val="1"/>
          <w:color w:val="auto"/>
        </w:rPr>
        <w:t>Common stock to be outstanding after this offering</w:t>
      </w:r>
    </w:p>
    <w:p>
      <w:pPr>
        <w:spacing w:after="0" w:line="200" w:lineRule="exact"/>
        <w:rPr>
          <w:sz w:val="20"/>
          <w:szCs w:val="20"/>
          <w:color w:val="auto"/>
        </w:rPr>
      </w:pPr>
    </w:p>
    <w:p>
      <w:pPr>
        <w:spacing w:after="0" w:line="3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100"/>
        <w:spacing w:after="0" w:line="285" w:lineRule="auto"/>
        <w:rPr>
          <w:sz w:val="20"/>
          <w:szCs w:val="20"/>
          <w:color w:val="auto"/>
        </w:rPr>
      </w:pPr>
      <w:r>
        <w:rPr>
          <w:rFonts w:ascii="Arial" w:cs="Arial" w:eastAsia="Arial" w:hAnsi="Arial"/>
          <w:sz w:val="18"/>
          <w:szCs w:val="18"/>
          <w:b w:val="1"/>
          <w:bCs w:val="1"/>
          <w:color w:val="auto"/>
        </w:rPr>
        <w:t>Proposed Nasdaq Global Market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28"/>
        <w:spacing w:after="0"/>
        <w:rPr>
          <w:sz w:val="20"/>
          <w:szCs w:val="20"/>
          <w:color w:val="auto"/>
        </w:rPr>
      </w:pPr>
      <w:r>
        <w:rPr>
          <w:rFonts w:ascii="Arial" w:cs="Arial" w:eastAsia="Arial" w:hAnsi="Arial"/>
          <w:sz w:val="18"/>
          <w:szCs w:val="18"/>
          <w:color w:val="auto"/>
        </w:rPr>
        <w:t>shares.</w:t>
      </w:r>
    </w:p>
    <w:p>
      <w:pPr>
        <w:spacing w:after="0" w:line="345" w:lineRule="exact"/>
        <w:rPr>
          <w:sz w:val="20"/>
          <w:szCs w:val="20"/>
          <w:color w:val="auto"/>
        </w:rPr>
      </w:pPr>
    </w:p>
    <w:p>
      <w:pPr>
        <w:ind w:left="628"/>
        <w:spacing w:after="0"/>
        <w:rPr>
          <w:sz w:val="20"/>
          <w:szCs w:val="20"/>
          <w:color w:val="auto"/>
        </w:rPr>
      </w:pPr>
      <w:r>
        <w:rPr>
          <w:rFonts w:ascii="Arial" w:cs="Arial" w:eastAsia="Arial" w:hAnsi="Arial"/>
          <w:sz w:val="18"/>
          <w:szCs w:val="18"/>
          <w:color w:val="auto"/>
        </w:rPr>
        <w:t>shares.</w:t>
      </w:r>
    </w:p>
    <w:p>
      <w:pPr>
        <w:spacing w:after="0" w:line="345" w:lineRule="exact"/>
        <w:rPr>
          <w:sz w:val="20"/>
          <w:szCs w:val="20"/>
          <w:color w:val="auto"/>
        </w:rPr>
      </w:pPr>
    </w:p>
    <w:p>
      <w:pPr>
        <w:ind w:left="628"/>
        <w:spacing w:after="0"/>
        <w:tabs>
          <w:tab w:leader="none" w:pos="2508"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8"/>
          <w:szCs w:val="18"/>
          <w:color w:val="auto"/>
        </w:rPr>
        <w:t>shares if the</w:t>
      </w:r>
    </w:p>
    <w:p>
      <w:pPr>
        <w:spacing w:after="0" w:line="22" w:lineRule="exact"/>
        <w:rPr>
          <w:sz w:val="20"/>
          <w:szCs w:val="20"/>
          <w:color w:val="auto"/>
        </w:rPr>
      </w:pPr>
    </w:p>
    <w:p>
      <w:pPr>
        <w:ind w:left="8" w:right="599"/>
        <w:spacing w:after="0" w:line="275" w:lineRule="auto"/>
        <w:rPr>
          <w:sz w:val="20"/>
          <w:szCs w:val="20"/>
          <w:color w:val="auto"/>
        </w:rPr>
      </w:pPr>
      <w:r>
        <w:rPr>
          <w:rFonts w:ascii="Arial" w:cs="Arial" w:eastAsia="Arial" w:hAnsi="Arial"/>
          <w:sz w:val="18"/>
          <w:szCs w:val="18"/>
          <w:color w:val="auto"/>
        </w:rPr>
        <w:t>underwriters exercise in full their option to purchase additional shares).</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estimate that the net proceeds from this offering</w:t>
      </w:r>
    </w:p>
    <w:p>
      <w:pPr>
        <w:spacing w:after="0" w:line="22" w:lineRule="exact"/>
        <w:rPr>
          <w:sz w:val="20"/>
          <w:szCs w:val="20"/>
          <w:color w:val="auto"/>
        </w:rPr>
      </w:pPr>
    </w:p>
    <w:p>
      <w:pPr>
        <w:ind w:left="8"/>
        <w:spacing w:after="0"/>
        <w:tabs>
          <w:tab w:leader="none" w:pos="2528" w:val="left"/>
        </w:tabs>
        <w:rPr>
          <w:sz w:val="20"/>
          <w:szCs w:val="20"/>
          <w:color w:val="auto"/>
        </w:rPr>
      </w:pPr>
      <w:r>
        <w:rPr>
          <w:rFonts w:ascii="Arial" w:cs="Arial" w:eastAsia="Arial" w:hAnsi="Arial"/>
          <w:sz w:val="18"/>
          <w:szCs w:val="18"/>
          <w:color w:val="auto"/>
        </w:rPr>
        <w:t>will be approximately $</w:t>
      </w:r>
      <w:r>
        <w:rPr>
          <w:sz w:val="20"/>
          <w:szCs w:val="20"/>
          <w:color w:val="auto"/>
        </w:rPr>
        <w:tab/>
      </w:r>
      <w:r>
        <w:rPr>
          <w:rFonts w:ascii="Arial" w:cs="Arial" w:eastAsia="Arial" w:hAnsi="Arial"/>
          <w:sz w:val="18"/>
          <w:szCs w:val="18"/>
          <w:color w:val="auto"/>
        </w:rPr>
        <w:t>million (or</w:t>
      </w:r>
    </w:p>
    <w:p>
      <w:pPr>
        <w:spacing w:after="0" w:line="22" w:lineRule="exact"/>
        <w:rPr>
          <w:sz w:val="20"/>
          <w:szCs w:val="20"/>
          <w:color w:val="auto"/>
        </w:rPr>
      </w:pPr>
    </w:p>
    <w:p>
      <w:pPr>
        <w:ind w:left="8" w:right="879"/>
        <w:spacing w:after="0" w:line="265" w:lineRule="auto"/>
        <w:rPr>
          <w:sz w:val="20"/>
          <w:szCs w:val="20"/>
          <w:color w:val="auto"/>
        </w:rPr>
      </w:pPr>
      <w:r>
        <w:rPr>
          <w:rFonts w:ascii="Arial" w:cs="Arial" w:eastAsia="Arial" w:hAnsi="Arial"/>
          <w:sz w:val="18"/>
          <w:szCs w:val="18"/>
          <w:color w:val="auto"/>
        </w:rPr>
        <w:t>approximately $ million if the underwriters exercise in full their option to purchase up to</w:t>
      </w:r>
    </w:p>
    <w:p>
      <w:pPr>
        <w:ind w:left="8" w:right="619" w:firstLine="1151"/>
        <w:spacing w:after="0" w:line="265" w:lineRule="auto"/>
        <w:rPr>
          <w:sz w:val="20"/>
          <w:szCs w:val="20"/>
          <w:color w:val="auto"/>
        </w:rPr>
      </w:pPr>
      <w:r>
        <w:rPr>
          <w:rFonts w:ascii="Arial" w:cs="Arial" w:eastAsia="Arial" w:hAnsi="Arial"/>
          <w:sz w:val="18"/>
          <w:szCs w:val="18"/>
          <w:color w:val="auto"/>
        </w:rPr>
        <w:t>additional shares of common stock), based on the assumed initial public offering price of</w:t>
      </w:r>
    </w:p>
    <w:p>
      <w:pPr>
        <w:ind w:left="8" w:right="419" w:hanging="8"/>
        <w:spacing w:after="0" w:line="268" w:lineRule="auto"/>
        <w:tabs>
          <w:tab w:leader="none" w:pos="738"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after deducting underwriting discounts and commissions and estimated offering expenses payable by us.</w:t>
      </w:r>
    </w:p>
    <w:p>
      <w:pPr>
        <w:spacing w:after="0" w:line="138" w:lineRule="exact"/>
        <w:rPr>
          <w:sz w:val="20"/>
          <w:szCs w:val="20"/>
          <w:color w:val="auto"/>
        </w:rPr>
      </w:pPr>
    </w:p>
    <w:p>
      <w:pPr>
        <w:ind w:left="8" w:right="479"/>
        <w:spacing w:after="0" w:line="282" w:lineRule="auto"/>
        <w:rPr>
          <w:sz w:val="20"/>
          <w:szCs w:val="20"/>
          <w:color w:val="auto"/>
        </w:rPr>
      </w:pPr>
      <w:r>
        <w:rPr>
          <w:rFonts w:ascii="Arial" w:cs="Arial" w:eastAsia="Arial" w:hAnsi="Arial"/>
          <w:sz w:val="18"/>
          <w:szCs w:val="18"/>
          <w:color w:val="auto"/>
        </w:rPr>
        <w:t>We intend to use the net proceeds from this offering to fund research and development of our product candidates and development programs, including our pre-clinical and clinical development of CNTY-101, CNTY-103, CNTY-102, and CNTY-104, to continue developing manufacturing capabilities for our product candidates, and for working capital and other general corporate purposes, including costs and expenses associated with being a public company.</w:t>
      </w:r>
    </w:p>
    <w:p>
      <w:pPr>
        <w:spacing w:after="0" w:line="138" w:lineRule="exact"/>
        <w:rPr>
          <w:sz w:val="20"/>
          <w:szCs w:val="20"/>
          <w:color w:val="auto"/>
        </w:rPr>
      </w:pPr>
    </w:p>
    <w:p>
      <w:pPr>
        <w:ind w:left="8" w:right="479"/>
        <w:spacing w:after="0" w:line="291" w:lineRule="auto"/>
        <w:rPr>
          <w:sz w:val="20"/>
          <w:szCs w:val="20"/>
          <w:color w:val="auto"/>
        </w:rPr>
      </w:pPr>
      <w:r>
        <w:rPr>
          <w:rFonts w:ascii="Arial" w:cs="Arial" w:eastAsia="Arial" w:hAnsi="Arial"/>
          <w:sz w:val="18"/>
          <w:szCs w:val="18"/>
          <w:color w:val="auto"/>
        </w:rPr>
        <w:t>See the section titled “Use of proceeds” for additional information.</w:t>
      </w:r>
    </w:p>
    <w:p>
      <w:pPr>
        <w:spacing w:after="0" w:line="90" w:lineRule="exact"/>
        <w:rPr>
          <w:sz w:val="20"/>
          <w:szCs w:val="20"/>
          <w:color w:val="auto"/>
        </w:rPr>
      </w:pPr>
    </w:p>
    <w:p>
      <w:pPr>
        <w:ind w:left="8" w:right="539"/>
        <w:spacing w:after="0" w:line="267" w:lineRule="auto"/>
        <w:rPr>
          <w:sz w:val="20"/>
          <w:szCs w:val="20"/>
          <w:color w:val="auto"/>
        </w:rPr>
      </w:pPr>
      <w:r>
        <w:rPr>
          <w:rFonts w:ascii="Arial" w:cs="Arial" w:eastAsia="Arial" w:hAnsi="Arial"/>
          <w:sz w:val="18"/>
          <w:szCs w:val="18"/>
          <w:color w:val="auto"/>
        </w:rPr>
        <w:t>You should read the section titled “Risk factors” for a discussion of factors to consider carefully, together with all the other information included in this prospectus, before deciding to invest in our common stock.</w:t>
      </w:r>
    </w:p>
    <w:p>
      <w:pPr>
        <w:spacing w:after="0" w:line="315" w:lineRule="exact"/>
        <w:rPr>
          <w:sz w:val="20"/>
          <w:szCs w:val="20"/>
          <w:color w:val="auto"/>
        </w:rPr>
      </w:pPr>
    </w:p>
    <w:p>
      <w:pPr>
        <w:ind w:left="8"/>
        <w:spacing w:after="0"/>
        <w:rPr>
          <w:sz w:val="20"/>
          <w:szCs w:val="20"/>
          <w:color w:val="auto"/>
        </w:rPr>
      </w:pPr>
      <w:r>
        <w:rPr>
          <w:rFonts w:ascii="Arial" w:cs="Arial" w:eastAsia="Arial" w:hAnsi="Arial"/>
          <w:sz w:val="18"/>
          <w:szCs w:val="18"/>
          <w:color w:val="auto"/>
        </w:rPr>
        <w:t>“IPSC”</w:t>
      </w:r>
    </w:p>
    <w:p>
      <w:pPr>
        <w:spacing w:after="0" w:line="155" w:lineRule="exact"/>
        <w:rPr>
          <w:sz w:val="20"/>
          <w:szCs w:val="20"/>
          <w:color w:val="auto"/>
        </w:rPr>
      </w:pPr>
    </w:p>
    <w:p>
      <w:pPr>
        <w:sectPr>
          <w:pgSz w:w="11900" w:h="16838" w:orient="portrait"/>
          <w:cols w:equalWidth="0" w:num="2">
            <w:col w:w="4260" w:space="672"/>
            <w:col w:w="4928"/>
          </w:cols>
          <w:pgMar w:left="600" w:top="132" w:right="1440"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The number of shares of our common stock to be outstanding after this offering is based</w:t>
      </w:r>
    </w:p>
    <w:p>
      <w:pPr>
        <w:spacing w:after="0" w:line="22" w:lineRule="exact"/>
        <w:rPr>
          <w:sz w:val="20"/>
          <w:szCs w:val="20"/>
          <w:color w:val="auto"/>
        </w:rPr>
      </w:pPr>
    </w:p>
    <w:p>
      <w:pPr>
        <w:ind w:left="1280" w:right="819"/>
        <w:spacing w:after="0" w:line="270" w:lineRule="auto"/>
        <w:rPr>
          <w:sz w:val="20"/>
          <w:szCs w:val="20"/>
          <w:color w:val="auto"/>
        </w:rPr>
      </w:pPr>
      <w:r>
        <w:rPr>
          <w:rFonts w:ascii="Arial" w:cs="Arial" w:eastAsia="Arial" w:hAnsi="Arial"/>
          <w:sz w:val="18"/>
          <w:szCs w:val="18"/>
          <w:color w:val="auto"/>
        </w:rPr>
        <w:t>on shares of common stock outstanding as of December 31, 2020, assuming the conversion of all outstanding shares of our convertible preferred stock into an aggregate of 85,865,789 shares of common stock upon the closing of this offering, and excludes:</w:t>
      </w:r>
    </w:p>
    <w:p>
      <w:pPr>
        <w:spacing w:after="0" w:line="95" w:lineRule="exact"/>
        <w:rPr>
          <w:sz w:val="20"/>
          <w:szCs w:val="20"/>
          <w:color w:val="auto"/>
        </w:rPr>
      </w:pPr>
    </w:p>
    <w:p>
      <w:pPr>
        <w:ind w:left="2040" w:hanging="767"/>
        <w:spacing w:after="0"/>
        <w:tabs>
          <w:tab w:leader="none" w:pos="2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stock options as of</w:t>
      </w:r>
    </w:p>
    <w:p>
      <w:pPr>
        <w:spacing w:after="0" w:line="22" w:lineRule="exact"/>
        <w:rPr>
          <w:sz w:val="20"/>
          <w:szCs w:val="20"/>
          <w:color w:val="auto"/>
        </w:rPr>
      </w:pPr>
    </w:p>
    <w:p>
      <w:pPr>
        <w:ind w:left="1420"/>
        <w:spacing w:after="0"/>
        <w:tabs>
          <w:tab w:leader="none" w:pos="7240" w:val="left"/>
        </w:tabs>
        <w:rPr>
          <w:sz w:val="20"/>
          <w:szCs w:val="20"/>
          <w:color w:val="auto"/>
        </w:rPr>
      </w:pPr>
      <w:r>
        <w:rPr>
          <w:rFonts w:ascii="Arial" w:cs="Arial" w:eastAsia="Arial" w:hAnsi="Arial"/>
          <w:sz w:val="18"/>
          <w:szCs w:val="18"/>
          <w:color w:val="auto"/>
        </w:rPr>
        <w:t>December 31, 2020, at a weighted-average exercise price of $</w:t>
      </w:r>
      <w:r>
        <w:rPr>
          <w:sz w:val="20"/>
          <w:szCs w:val="20"/>
          <w:color w:val="auto"/>
        </w:rPr>
        <w:tab/>
      </w:r>
      <w:r>
        <w:rPr>
          <w:rFonts w:ascii="Arial" w:cs="Arial" w:eastAsia="Arial" w:hAnsi="Arial"/>
          <w:sz w:val="18"/>
          <w:szCs w:val="18"/>
          <w:color w:val="auto"/>
        </w:rPr>
        <w:t>per share;</w:t>
      </w:r>
    </w:p>
    <w:p>
      <w:pPr>
        <w:spacing w:after="0" w:line="129" w:lineRule="exact"/>
        <w:rPr>
          <w:sz w:val="20"/>
          <w:szCs w:val="20"/>
          <w:color w:val="auto"/>
        </w:rPr>
      </w:pPr>
    </w:p>
    <w:p>
      <w:pPr>
        <w:ind w:left="1420" w:right="1119" w:hanging="147"/>
        <w:spacing w:after="0" w:line="275"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40,540 shares of our common stock issuable upon the exercise of warrants to purchase common stock, at a weighted-average exercise price of $5.55 per share;</w:t>
      </w:r>
    </w:p>
    <w:p>
      <w:pPr>
        <w:spacing w:after="0" w:line="90" w:lineRule="exact"/>
        <w:rPr>
          <w:rFonts w:ascii="Arial" w:cs="Arial" w:eastAsia="Arial" w:hAnsi="Arial"/>
          <w:sz w:val="18"/>
          <w:szCs w:val="18"/>
          <w:color w:val="auto"/>
        </w:rPr>
      </w:pPr>
    </w:p>
    <w:p>
      <w:pPr>
        <w:ind w:left="1420" w:right="499" w:hanging="147"/>
        <w:spacing w:after="0" w:line="268" w:lineRule="auto"/>
        <w:tabs>
          <w:tab w:leader="none" w:pos="20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common stock reserved for issuance pursuant to future awards as of December 31, 2020 under our 2018 Stock Option and Grant Plan, as amended, or the 2018 Plan, which will become available under our 2021 Equity Incentive Plan, or the 2021 Plan, after the consummation of this offering;</w:t>
      </w:r>
    </w:p>
    <w:p>
      <w:pPr>
        <w:sectPr>
          <w:pgSz w:w="11900" w:h="16838" w:orient="portrait"/>
          <w:cols w:equalWidth="0" w:num="1">
            <w:col w:w="9859"/>
          </w:cols>
          <w:pgMar w:left="60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249555</wp:posOffset>
            </wp:positionV>
            <wp:extent cx="679958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488305" cy="7931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88305" cy="793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420" w:right="439" w:hanging="147"/>
        <w:spacing w:after="0" w:line="268" w:lineRule="auto"/>
        <w:tabs>
          <w:tab w:leader="none" w:pos="20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97" w:lineRule="exact"/>
        <w:rPr>
          <w:rFonts w:ascii="Arial" w:cs="Arial" w:eastAsia="Arial" w:hAnsi="Arial"/>
          <w:sz w:val="18"/>
          <w:szCs w:val="18"/>
          <w:color w:val="auto"/>
        </w:rPr>
      </w:pPr>
    </w:p>
    <w:p>
      <w:pPr>
        <w:ind w:left="1420" w:right="539" w:hanging="147"/>
        <w:spacing w:after="0" w:line="268" w:lineRule="auto"/>
        <w:tabs>
          <w:tab w:leader="none" w:pos="20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Employee Stock Purchase Plan, or the ESPP, will become effective upon the effectiveness of the Registration Statement of which this prospectus forms a part, as well as any future increases in the number of shares of common stock reserved for issuance under the ESPP.</w:t>
      </w:r>
    </w:p>
    <w:p>
      <w:pPr>
        <w:spacing w:after="0" w:line="125" w:lineRule="exact"/>
        <w:rPr>
          <w:sz w:val="20"/>
          <w:szCs w:val="20"/>
          <w:color w:val="auto"/>
        </w:rPr>
      </w:pPr>
    </w:p>
    <w:p>
      <w:pPr>
        <w:ind w:left="1280" w:right="579"/>
        <w:spacing w:after="0" w:line="275"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pacing w:after="0" w:line="91" w:lineRule="exact"/>
        <w:rPr>
          <w:sz w:val="20"/>
          <w:szCs w:val="20"/>
          <w:color w:val="auto"/>
        </w:rPr>
      </w:pPr>
    </w:p>
    <w:p>
      <w:pPr>
        <w:ind w:left="1420" w:hanging="147"/>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outstanding options or warrants described above;</w:t>
      </w:r>
    </w:p>
    <w:p>
      <w:pPr>
        <w:spacing w:after="0" w:line="129" w:lineRule="exact"/>
        <w:rPr>
          <w:rFonts w:ascii="Arial" w:cs="Arial" w:eastAsia="Arial" w:hAnsi="Arial"/>
          <w:sz w:val="18"/>
          <w:szCs w:val="18"/>
          <w:color w:val="auto"/>
        </w:rPr>
      </w:pPr>
    </w:p>
    <w:p>
      <w:pPr>
        <w:ind w:left="1420" w:hanging="147"/>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completion of the 2021 Reorganization;</w:t>
      </w:r>
    </w:p>
    <w:p>
      <w:pPr>
        <w:spacing w:after="0" w:line="129" w:lineRule="exact"/>
        <w:rPr>
          <w:rFonts w:ascii="Arial" w:cs="Arial" w:eastAsia="Arial" w:hAnsi="Arial"/>
          <w:sz w:val="18"/>
          <w:szCs w:val="18"/>
          <w:color w:val="auto"/>
        </w:rPr>
      </w:pPr>
    </w:p>
    <w:p>
      <w:pPr>
        <w:ind w:left="1420" w:hanging="147"/>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completion of the Series C Financing;</w:t>
      </w:r>
    </w:p>
    <w:p>
      <w:pPr>
        <w:spacing w:after="0" w:line="129" w:lineRule="exact"/>
        <w:rPr>
          <w:rFonts w:ascii="Arial" w:cs="Arial" w:eastAsia="Arial" w:hAnsi="Arial"/>
          <w:sz w:val="18"/>
          <w:szCs w:val="18"/>
          <w:color w:val="auto"/>
        </w:rPr>
      </w:pPr>
    </w:p>
    <w:p>
      <w:pPr>
        <w:ind w:left="1420" w:right="839" w:hanging="147"/>
        <w:spacing w:after="0" w:line="275"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and effectiveness of our second amended and restated certificate of incorporation immediately prior to the closing of this offering;</w:t>
      </w:r>
    </w:p>
    <w:p>
      <w:pPr>
        <w:spacing w:after="0" w:line="91" w:lineRule="exact"/>
        <w:rPr>
          <w:sz w:val="20"/>
          <w:szCs w:val="20"/>
          <w:color w:val="auto"/>
        </w:rPr>
      </w:pPr>
    </w:p>
    <w:p>
      <w:pPr>
        <w:jc w:val="right"/>
        <w:ind w:right="439"/>
        <w:spacing w:after="0"/>
        <w:tabs>
          <w:tab w:leader="none" w:pos="6780" w:val="left"/>
          <w:tab w:leader="none" w:pos="5460" w:val="left"/>
        </w:tabs>
        <w:rPr>
          <w:sz w:val="20"/>
          <w:szCs w:val="20"/>
          <w:color w:val="auto"/>
        </w:rPr>
      </w:pPr>
      <w:r>
        <w:rPr>
          <w:rFonts w:ascii="Arial" w:cs="Arial" w:eastAsia="Arial" w:hAnsi="Arial"/>
          <w:sz w:val="18"/>
          <w:szCs w:val="18"/>
          <w:color w:val="auto"/>
        </w:rPr>
        <w:t>• 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reverse stock split of our common stock to be effected prior to the</w:t>
      </w:r>
    </w:p>
    <w:p>
      <w:pPr>
        <w:spacing w:after="0" w:line="2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closing of this offering;</w:t>
      </w:r>
    </w:p>
    <w:p>
      <w:pPr>
        <w:spacing w:after="0" w:line="129" w:lineRule="exact"/>
        <w:rPr>
          <w:sz w:val="20"/>
          <w:szCs w:val="20"/>
          <w:color w:val="auto"/>
        </w:rPr>
      </w:pPr>
    </w:p>
    <w:p>
      <w:pPr>
        <w:ind w:left="1420" w:right="479" w:hanging="147"/>
        <w:spacing w:after="0" w:line="275"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all our preferred stock outstanding into an aggregate of 85,865,789 shares of our common stock upon the closing of this offering; and</w:t>
      </w:r>
    </w:p>
    <w:p>
      <w:pPr>
        <w:spacing w:after="0" w:line="91" w:lineRule="exact"/>
        <w:rPr>
          <w:sz w:val="20"/>
          <w:szCs w:val="20"/>
          <w:color w:val="auto"/>
        </w:rPr>
      </w:pPr>
    </w:p>
    <w:p>
      <w:pPr>
        <w:ind w:left="1280"/>
        <w:spacing w:after="0"/>
        <w:tabs>
          <w:tab w:leader="none" w:pos="7960" w:val="left"/>
        </w:tabs>
        <w:rPr>
          <w:sz w:val="20"/>
          <w:szCs w:val="20"/>
          <w:color w:val="auto"/>
        </w:rPr>
      </w:pPr>
      <w:r>
        <w:rPr>
          <w:rFonts w:ascii="Arial" w:cs="Arial" w:eastAsia="Arial" w:hAnsi="Arial"/>
          <w:sz w:val="18"/>
          <w:szCs w:val="18"/>
          <w:color w:val="auto"/>
        </w:rPr>
        <w:t>• no exercise by the underwriters of their option to purchase up to</w:t>
      </w:r>
      <w:r>
        <w:rPr>
          <w:sz w:val="20"/>
          <w:szCs w:val="20"/>
          <w:color w:val="auto"/>
        </w:rPr>
        <w:tab/>
      </w:r>
      <w:r>
        <w:rPr>
          <w:rFonts w:ascii="Arial" w:cs="Arial" w:eastAsia="Arial" w:hAnsi="Arial"/>
          <w:sz w:val="18"/>
          <w:szCs w:val="18"/>
          <w:color w:val="auto"/>
        </w:rPr>
        <w:t>additional shares</w:t>
      </w:r>
    </w:p>
    <w:p>
      <w:pPr>
        <w:spacing w:after="0" w:line="2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of our common stock.</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255270</wp:posOffset>
            </wp:positionV>
            <wp:extent cx="679958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302260</wp:posOffset>
            </wp:positionV>
            <wp:extent cx="5605780" cy="7940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5780" cy="794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80"/>
        <w:spacing w:after="0"/>
        <w:rPr>
          <w:sz w:val="20"/>
          <w:szCs w:val="20"/>
          <w:color w:val="auto"/>
        </w:rPr>
      </w:pPr>
      <w:r>
        <w:rPr>
          <w:rFonts w:ascii="Arial" w:cs="Arial" w:eastAsia="Arial" w:hAnsi="Arial"/>
          <w:sz w:val="29"/>
          <w:szCs w:val="29"/>
          <w:b w:val="1"/>
          <w:bCs w:val="1"/>
          <w:color w:val="auto"/>
        </w:rPr>
        <w:t>Summary consolidated financial data</w:t>
      </w:r>
    </w:p>
    <w:p>
      <w:pPr>
        <w:spacing w:after="0" w:line="177" w:lineRule="exact"/>
        <w:rPr>
          <w:sz w:val="20"/>
          <w:szCs w:val="20"/>
          <w:color w:val="auto"/>
        </w:rPr>
      </w:pPr>
    </w:p>
    <w:p>
      <w:pPr>
        <w:ind w:left="1280" w:right="500"/>
        <w:spacing w:after="0" w:line="266" w:lineRule="auto"/>
        <w:rPr>
          <w:sz w:val="20"/>
          <w:szCs w:val="20"/>
          <w:color w:val="auto"/>
        </w:rPr>
      </w:pPr>
      <w:r>
        <w:rPr>
          <w:rFonts w:ascii="Arial" w:cs="Arial" w:eastAsia="Arial" w:hAnsi="Arial"/>
          <w:sz w:val="18"/>
          <w:szCs w:val="18"/>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Our historical results are not necessarily indicative of the results that may be expected in the future. You should read the following consolidated financial data together with our audited consolidated financial statements and the related notes included elsewhere in this prospectus and the information in the section titled “Management’s discussion and analysis of financial condition and results of operations.”</w:t>
      </w:r>
    </w:p>
    <w:p>
      <w:pPr>
        <w:spacing w:after="0" w:line="200" w:lineRule="exact"/>
        <w:rPr>
          <w:sz w:val="20"/>
          <w:szCs w:val="20"/>
          <w:color w:val="auto"/>
        </w:rPr>
      </w:pPr>
    </w:p>
    <w:p>
      <w:pPr>
        <w:spacing w:after="0" w:line="231"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40" w:type="dxa"/>
            <w:vAlign w:val="bottom"/>
            <w:gridSpan w:val="3"/>
          </w:tcPr>
          <w:p>
            <w:pPr>
              <w:ind w:left="500"/>
              <w:spacing w:after="0"/>
              <w:rPr>
                <w:sz w:val="20"/>
                <w:szCs w:val="20"/>
                <w:color w:val="auto"/>
              </w:rPr>
            </w:pPr>
            <w:r>
              <w:rPr>
                <w:rFonts w:ascii="Arial" w:cs="Arial" w:eastAsia="Arial" w:hAnsi="Arial"/>
                <w:sz w:val="16"/>
                <w:szCs w:val="16"/>
                <w:b w:val="1"/>
                <w:bCs w:val="1"/>
                <w:color w:val="auto"/>
              </w:rPr>
              <w:t>Successor</w:t>
            </w:r>
          </w:p>
        </w:tc>
        <w:tc>
          <w:tcPr>
            <w:tcW w:w="136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Successor</w:t>
            </w:r>
          </w:p>
        </w:tc>
        <w:tc>
          <w:tcPr>
            <w:tcW w:w="1640" w:type="dxa"/>
            <w:vAlign w:val="bottom"/>
            <w:gridSpan w:val="3"/>
          </w:tcPr>
          <w:p>
            <w:pPr>
              <w:jc w:val="right"/>
              <w:ind w:right="191"/>
              <w:spacing w:after="0"/>
              <w:rPr>
                <w:sz w:val="20"/>
                <w:szCs w:val="20"/>
                <w:color w:val="auto"/>
              </w:rPr>
            </w:pPr>
            <w:r>
              <w:rPr>
                <w:rFonts w:ascii="Arial" w:cs="Arial" w:eastAsia="Arial" w:hAnsi="Arial"/>
                <w:sz w:val="16"/>
                <w:szCs w:val="16"/>
                <w:b w:val="1"/>
                <w:bCs w:val="1"/>
                <w:color w:val="auto"/>
              </w:rPr>
              <w:t>period from</w:t>
            </w:r>
          </w:p>
        </w:tc>
        <w:tc>
          <w:tcPr>
            <w:tcW w:w="136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period from</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year ended</w:t>
            </w:r>
          </w:p>
        </w:tc>
        <w:tc>
          <w:tcPr>
            <w:tcW w:w="3000" w:type="dxa"/>
            <w:vAlign w:val="bottom"/>
            <w:gridSpan w:val="8"/>
          </w:tcPr>
          <w:p>
            <w:pPr>
              <w:jc w:val="right"/>
              <w:ind w:right="100"/>
              <w:spacing w:after="0"/>
              <w:rPr>
                <w:sz w:val="20"/>
                <w:szCs w:val="20"/>
                <w:color w:val="auto"/>
              </w:rPr>
            </w:pPr>
            <w:r>
              <w:rPr>
                <w:rFonts w:ascii="Arial" w:cs="Arial" w:eastAsia="Arial" w:hAnsi="Arial"/>
                <w:sz w:val="16"/>
                <w:szCs w:val="16"/>
                <w:b w:val="1"/>
                <w:bCs w:val="1"/>
                <w:color w:val="auto"/>
              </w:rPr>
              <w:t>June 21, 2019 to January 1, 2019 to</w:t>
            </w:r>
          </w:p>
        </w:tc>
        <w:tc>
          <w:tcPr>
            <w:tcW w:w="0" w:type="dxa"/>
            <w:vAlign w:val="bottom"/>
          </w:tcPr>
          <w:p>
            <w:pPr>
              <w:spacing w:after="0"/>
              <w:rPr>
                <w:sz w:val="1"/>
                <w:szCs w:val="1"/>
                <w:color w:val="auto"/>
              </w:rPr>
            </w:pPr>
          </w:p>
        </w:tc>
      </w:tr>
      <w:tr>
        <w:trPr>
          <w:trHeight w:val="227"/>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3280" w:type="dxa"/>
            <w:vAlign w:val="bottom"/>
            <w:gridSpan w:val="5"/>
          </w:tcPr>
          <w:p>
            <w:pPr>
              <w:jc w:val="right"/>
              <w:ind w:right="151"/>
              <w:spacing w:after="0"/>
              <w:rPr>
                <w:sz w:val="20"/>
                <w:szCs w:val="20"/>
                <w:color w:val="auto"/>
              </w:rPr>
            </w:pPr>
            <w:r>
              <w:rPr>
                <w:rFonts w:ascii="Arial" w:cs="Arial" w:eastAsia="Arial" w:hAnsi="Arial"/>
                <w:sz w:val="16"/>
                <w:szCs w:val="16"/>
                <w:b w:val="1"/>
                <w:bCs w:val="1"/>
                <w:color w:val="auto"/>
              </w:rPr>
              <w:t>December 31, 2020December 31, 2019</w:t>
            </w:r>
          </w:p>
        </w:tc>
        <w:tc>
          <w:tcPr>
            <w:tcW w:w="1360" w:type="dxa"/>
            <w:vAlign w:val="bottom"/>
            <w:gridSpan w:val="5"/>
          </w:tcPr>
          <w:p>
            <w:pPr>
              <w:ind w:left="200"/>
              <w:spacing w:after="0"/>
              <w:rPr>
                <w:sz w:val="20"/>
                <w:szCs w:val="20"/>
                <w:color w:val="auto"/>
              </w:rPr>
            </w:pPr>
            <w:r>
              <w:rPr>
                <w:rFonts w:ascii="Arial" w:cs="Arial" w:eastAsia="Arial" w:hAnsi="Arial"/>
                <w:sz w:val="16"/>
                <w:szCs w:val="16"/>
                <w:b w:val="1"/>
                <w:bCs w:val="1"/>
                <w:color w:val="auto"/>
              </w:rPr>
              <w:t>June 20, 2019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39,681</w:t>
            </w:r>
          </w:p>
        </w:tc>
        <w:tc>
          <w:tcPr>
            <w:tcW w:w="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10,107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9,495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3,622</w:t>
            </w:r>
          </w:p>
        </w:tc>
        <w:tc>
          <w:tcPr>
            <w:tcW w:w="7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 off of in-process research and</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development asset</w:t>
            </w:r>
          </w:p>
        </w:tc>
        <w:tc>
          <w:tcPr>
            <w:tcW w:w="8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4,722</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225,946</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53,898</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239,675</w:t>
            </w:r>
          </w:p>
        </w:tc>
        <w:tc>
          <w:tcPr>
            <w:tcW w:w="7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(53,898)</w:t>
            </w: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(239,675)</w:t>
            </w:r>
          </w:p>
        </w:tc>
        <w:tc>
          <w:tcPr>
            <w:tcW w:w="7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(6,304)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704</w:t>
            </w:r>
          </w:p>
        </w:tc>
        <w:tc>
          <w:tcPr>
            <w:tcW w:w="5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908</w:t>
            </w:r>
          </w:p>
        </w:tc>
        <w:tc>
          <w:tcPr>
            <w:tcW w:w="7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(53,575)</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(238,767)</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(6,002)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spacing w:after="0"/>
              <w:rPr>
                <w:sz w:val="17"/>
                <w:szCs w:val="17"/>
                <w:color w:val="auto"/>
              </w:rPr>
            </w:pPr>
          </w:p>
        </w:tc>
        <w:tc>
          <w:tcPr>
            <w:tcW w:w="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2020</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  27,211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44,064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vMerge w:val="continue"/>
          </w:tcPr>
          <w:p>
            <w:pPr>
              <w:spacing w:after="0"/>
              <w:rPr>
                <w:sz w:val="23"/>
                <w:szCs w:val="23"/>
                <w:color w:val="auto"/>
              </w:rPr>
            </w:pPr>
          </w:p>
        </w:tc>
        <w:tc>
          <w:tcPr>
            <w:tcW w:w="3980" w:type="dxa"/>
            <w:vAlign w:val="bottom"/>
            <w:shd w:val="clear" w:color="auto" w:fill="CCEEFF"/>
          </w:tcPr>
          <w:p>
            <w:pPr>
              <w:spacing w:after="0" w:line="268" w:lineRule="exact"/>
              <w:rPr>
                <w:sz w:val="20"/>
                <w:szCs w:val="20"/>
                <w:color w:val="auto"/>
              </w:rPr>
            </w:pPr>
            <w:r>
              <w:rPr>
                <w:rFonts w:ascii="Arial" w:cs="Arial" w:eastAsia="Arial" w:hAnsi="Arial"/>
                <w:sz w:val="18"/>
                <w:szCs w:val="18"/>
                <w:color w:val="auto"/>
              </w:rPr>
              <w:t>Working capital</w:t>
            </w:r>
            <w:r>
              <w:rPr>
                <w:rFonts w:ascii="Arial" w:cs="Arial" w:eastAsia="Arial" w:hAnsi="Arial"/>
                <w:sz w:val="26"/>
                <w:szCs w:val="26"/>
                <w:color w:val="auto"/>
                <w:vertAlign w:val="superscript"/>
              </w:rPr>
              <w:t>(1)</w:t>
            </w:r>
          </w:p>
        </w:tc>
        <w:tc>
          <w:tcPr>
            <w:tcW w:w="8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66,685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81,128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106,776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90,896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units</w:t>
            </w:r>
          </w:p>
        </w:tc>
        <w:tc>
          <w:tcPr>
            <w:tcW w:w="8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396,539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396,539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Subscription receivable</w:t>
            </w: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(31,900)</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(70,000)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8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(292,342)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(238,767)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Total members’ equity</w:t>
            </w: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73,349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87,902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280" w:right="600" w:hanging="7"/>
        <w:spacing w:after="0" w:line="278" w:lineRule="auto"/>
        <w:tabs>
          <w:tab w:leader="none" w:pos="1495"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ectPr>
          <w:pgSz w:w="11900" w:h="16838" w:orient="portrait"/>
          <w:cols w:equalWidth="0" w:num="1">
            <w:col w:w="9920"/>
          </w:cols>
          <w:pgMar w:left="600" w:top="132"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264160</wp:posOffset>
            </wp:positionV>
            <wp:extent cx="679958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920"/>
          </w:cols>
          <w:pgMar w:left="600" w:top="132" w:right="1379"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Risk factors</w:t>
      </w:r>
    </w:p>
    <w:p>
      <w:pPr>
        <w:spacing w:after="0" w:line="145"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and results of operations.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Risks related to our financial position and capital requirements</w:t>
      </w:r>
    </w:p>
    <w:p>
      <w:pPr>
        <w:spacing w:after="0" w:line="147" w:lineRule="exact"/>
        <w:rPr>
          <w:sz w:val="20"/>
          <w:szCs w:val="20"/>
          <w:color w:val="auto"/>
        </w:rPr>
      </w:pPr>
    </w:p>
    <w:p>
      <w:pPr>
        <w:ind w:left="1260" w:right="699"/>
        <w:spacing w:after="0" w:line="301"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08"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We are a preclinical stage biopharmaceutical company with a limited operating history on which to base your investment decision. 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in-licensing intellectual property, and establishing manufacturing processes and arrangements with third parties for the manufacture of initial quantities of our product candidates and component materials. All of our product candidates are still in the discovery and preclinical testing phase. We do not expect to submit an Investigational New Drug Application, or IND, for any of our product candidates until</w:t>
      </w:r>
    </w:p>
    <w:p>
      <w:pPr>
        <w:spacing w:after="0" w:line="1" w:lineRule="exact"/>
        <w:rPr>
          <w:sz w:val="20"/>
          <w:szCs w:val="20"/>
          <w:color w:val="auto"/>
        </w:rPr>
      </w:pPr>
    </w:p>
    <w:p>
      <w:pPr>
        <w:ind w:left="1260" w:right="459" w:firstLine="1037"/>
        <w:spacing w:after="0" w:line="266" w:lineRule="auto"/>
        <w:tabs>
          <w:tab w:leader="none" w:pos="24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not yet demonstrated our ability to successfully commence or complete a clinical trial, submit an IND,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108" w:lineRule="exact"/>
        <w:rPr>
          <w:sz w:val="20"/>
          <w:szCs w:val="20"/>
          <w:color w:val="auto"/>
        </w:rPr>
      </w:pPr>
    </w:p>
    <w:p>
      <w:pPr>
        <w:ind w:left="1260" w:right="919"/>
        <w:spacing w:after="0" w:line="301"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expect to incur significant losses for the foreseeable future.</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incurred significant operating losses since our inception. If our product candidates are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successfully developed and approved, we may never generate any revenue. Our net losses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were $6.0 million, $238.8 million and $53.6 million for the period from January 1, 2019 through</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20, 2019 (our predecessor, Century Therapeutics, Inc., or Prior Century), the period from</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21, 2019 through December 31, 2019 (our successor after the completion of the 2021</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Reorganization (as defined herein), or the Successor), and the year ended December 31, 2020</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(Successor), respectively. We had a members’ deficit of $292.3 million as of December 31, 2020.</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net loss for the period from June 21, 2019 through December 31, 2019 (Successor) and our</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members’ deficit as of December 31, 2020 (Successor) included a charge to expense of</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$225.9 million related to in-process research and development assets, or IPR&amp;D, acquired from</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Prior Century. Substantially all of our losses have resulted from expenses incurred in connection</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our research and development programs, the acquisition of IPR&amp;D from Prior Century and</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general and administrative costs associated with our operations. All of our product</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candidates will require the expenditure of substantial additional development time and resources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before we would be able to apply for or receive regulatory approvals and begin realizing product</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sales. We expect to continue to incur losses for the foreseeable future, and we anticipate these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losses will increase as we continue our development of, seek regulatory approval for, and</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potentially commercialize any of our product candidates and seek to identify, assess, acquire, in-</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license, or develop additional product candidates. Our prior losses, combined with expected</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future losses, have had and will continue to have a negative effect on our stockholders’ deficit</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working capital.</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839"/>
        <w:spacing w:after="0" w:line="260" w:lineRule="auto"/>
        <w:rPr>
          <w:sz w:val="20"/>
          <w:szCs w:val="20"/>
          <w:color w:val="auto"/>
        </w:rPr>
      </w:pPr>
      <w:r>
        <w:rPr>
          <w:rFonts w:ascii="Arial" w:cs="Arial" w:eastAsia="Arial" w:hAnsi="Arial"/>
          <w:sz w:val="18"/>
          <w:szCs w:val="18"/>
          <w:color w:val="auto"/>
        </w:rPr>
        <w:t>We expect that it will be several years, if ever, before we have a commercialized product. We anticipate that our expenses will increase substantially if, and as, we:</w:t>
      </w:r>
    </w:p>
    <w:p>
      <w:pPr>
        <w:spacing w:after="0" w:line="103" w:lineRule="exact"/>
        <w:rPr>
          <w:sz w:val="20"/>
          <w:szCs w:val="20"/>
          <w:color w:val="auto"/>
        </w:rPr>
      </w:pPr>
    </w:p>
    <w:p>
      <w:pPr>
        <w:ind w:left="1400" w:right="479" w:hanging="145"/>
        <w:spacing w:after="0" w:line="275"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advance our induced pluripotent stem cells, or iPSC-derived allogeneic, cell therapy platforms;</w:t>
      </w:r>
    </w:p>
    <w:p>
      <w:pPr>
        <w:spacing w:after="0" w:line="77" w:lineRule="exact"/>
        <w:rPr>
          <w:rFonts w:ascii="Arial" w:cs="Arial" w:eastAsia="Arial" w:hAnsi="Arial"/>
          <w:sz w:val="18"/>
          <w:szCs w:val="18"/>
          <w:color w:val="auto"/>
        </w:rPr>
      </w:pPr>
    </w:p>
    <w:p>
      <w:pPr>
        <w:ind w:left="1400" w:right="739" w:hanging="145"/>
        <w:spacing w:after="0" w:line="275"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preclinical development of, and initiate clinical development of CNTY-101 and our other product candidates;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29" w:lineRule="exact"/>
        <w:rPr>
          <w:rFonts w:ascii="Arial" w:cs="Arial" w:eastAsia="Arial" w:hAnsi="Arial"/>
          <w:sz w:val="18"/>
          <w:szCs w:val="18"/>
          <w:color w:val="auto"/>
        </w:rPr>
      </w:pPr>
    </w:p>
    <w:p>
      <w:pPr>
        <w:ind w:left="1400" w:right="739" w:hanging="145"/>
        <w:spacing w:after="0" w:line="275"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90" w:lineRule="exact"/>
        <w:rPr>
          <w:rFonts w:ascii="Arial" w:cs="Arial" w:eastAsia="Arial" w:hAnsi="Arial"/>
          <w:sz w:val="18"/>
          <w:szCs w:val="18"/>
          <w:color w:val="auto"/>
        </w:rPr>
      </w:pPr>
    </w:p>
    <w:p>
      <w:pPr>
        <w:ind w:left="1400" w:right="719" w:hanging="145"/>
        <w:spacing w:after="0" w:line="275"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29" w:lineRule="exact"/>
        <w:rPr>
          <w:rFonts w:ascii="Arial" w:cs="Arial" w:eastAsia="Arial" w:hAnsi="Arial"/>
          <w:sz w:val="18"/>
          <w:szCs w:val="18"/>
          <w:color w:val="auto"/>
        </w:rPr>
      </w:pPr>
    </w:p>
    <w:p>
      <w:pPr>
        <w:ind w:left="1400" w:right="719" w:hanging="145"/>
        <w:spacing w:after="0" w:line="268"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97" w:lineRule="exact"/>
        <w:rPr>
          <w:rFonts w:ascii="Arial" w:cs="Arial" w:eastAsia="Arial" w:hAnsi="Arial"/>
          <w:sz w:val="18"/>
          <w:szCs w:val="18"/>
          <w:color w:val="auto"/>
        </w:rPr>
      </w:pPr>
    </w:p>
    <w:p>
      <w:pPr>
        <w:ind w:left="1400" w:hanging="145"/>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56" w:lineRule="exact"/>
        <w:rPr>
          <w:sz w:val="20"/>
          <w:szCs w:val="20"/>
          <w:color w:val="auto"/>
        </w:rPr>
      </w:pPr>
    </w:p>
    <w:p>
      <w:pPr>
        <w:ind w:left="1260" w:right="439"/>
        <w:spacing w:after="0" w:line="275"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w:t>
      </w:r>
    </w:p>
    <w:p>
      <w:pPr>
        <w:spacing w:after="0" w:line="109" w:lineRule="exact"/>
        <w:rPr>
          <w:sz w:val="20"/>
          <w:szCs w:val="20"/>
          <w:color w:val="auto"/>
        </w:rPr>
      </w:pPr>
    </w:p>
    <w:p>
      <w:pPr>
        <w:ind w:left="1260" w:right="639"/>
        <w:spacing w:after="0" w:line="301" w:lineRule="auto"/>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108"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We have no product candidates in clinical development or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27" w:lineRule="exact"/>
        <w:rPr>
          <w:sz w:val="20"/>
          <w:szCs w:val="20"/>
          <w:color w:val="auto"/>
        </w:rPr>
      </w:pPr>
    </w:p>
    <w:p>
      <w:pPr>
        <w:jc w:val="both"/>
        <w:ind w:left="1260" w:right="839"/>
        <w:spacing w:after="0" w:line="268" w:lineRule="auto"/>
        <w:rPr>
          <w:sz w:val="20"/>
          <w:szCs w:val="20"/>
          <w:color w:val="auto"/>
        </w:rPr>
      </w:pPr>
      <w:r>
        <w:rPr>
          <w:rFonts w:ascii="Arial" w:cs="Arial" w:eastAsia="Arial" w:hAnsi="Arial"/>
          <w:sz w:val="18"/>
          <w:szCs w:val="18"/>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116" w:lineRule="exact"/>
        <w:rPr>
          <w:sz w:val="20"/>
          <w:szCs w:val="20"/>
          <w:color w:val="auto"/>
        </w:rPr>
      </w:pPr>
    </w:p>
    <w:p>
      <w:pPr>
        <w:ind w:left="1260" w:right="619"/>
        <w:spacing w:after="0" w:line="283" w:lineRule="auto"/>
        <w:rPr>
          <w:sz w:val="20"/>
          <w:szCs w:val="20"/>
          <w:color w:val="auto"/>
        </w:rPr>
      </w:pPr>
      <w:r>
        <w:rPr>
          <w:rFonts w:ascii="Arial" w:cs="Arial" w:eastAsia="Arial" w:hAnsi="Arial"/>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10"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We intend to use the proceeds from this offering to, among other uses, fund research and development of our product candidates and development programs, including our preclinical and clinical development of CNTY-101, CNTY-103, CNTY-102, and CNTY-104. Our research and development expenses increased from $14.3 million for the year ended</w:t>
      </w:r>
    </w:p>
    <w:p>
      <w:pPr>
        <w:sectPr>
          <w:pgSz w:w="11900" w:h="16838" w:orient="portrait"/>
          <w:cols w:equalWidth="0" w:num="1">
            <w:col w:w="9859"/>
          </w:cols>
          <w:pgMar w:left="600" w:top="132" w:right="1440" w:bottom="523" w:gutter="0" w:footer="0" w:header="0"/>
        </w:sectPr>
      </w:pPr>
    </w:p>
    <w:p>
      <w:pPr>
        <w:spacing w:after="0" w:line="200" w:lineRule="exact"/>
        <w:rPr>
          <w:sz w:val="20"/>
          <w:szCs w:val="20"/>
          <w:color w:val="auto"/>
        </w:rPr>
      </w:pPr>
    </w:p>
    <w:p>
      <w:pPr>
        <w:spacing w:after="0" w:line="208"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523"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39"/>
        <w:spacing w:after="0" w:line="249" w:lineRule="auto"/>
        <w:rPr>
          <w:sz w:val="20"/>
          <w:szCs w:val="20"/>
          <w:color w:val="auto"/>
        </w:rPr>
      </w:pPr>
      <w:r>
        <w:rPr>
          <w:rFonts w:ascii="Arial" w:cs="Arial" w:eastAsia="Arial" w:hAnsi="Arial"/>
          <w:sz w:val="18"/>
          <w:szCs w:val="18"/>
          <w:color w:val="auto"/>
        </w:rPr>
        <w:t>December 31, 2019 to $ 39.7 million for the year ended December 31, 2020. As of December 31, 2020, we had cash, and cash equivalents of $27.2 million and marketable securities of $ 49.6 million. Based on our current business plans, we believe that the net proceeds from this offering, together with our existing cash and cash equivalents, will be sufficient for us to fund our operating</w:t>
      </w:r>
    </w:p>
    <w:p>
      <w:pPr>
        <w:spacing w:after="0" w:line="2" w:lineRule="exact"/>
        <w:rPr>
          <w:sz w:val="20"/>
          <w:szCs w:val="20"/>
          <w:color w:val="auto"/>
        </w:rPr>
      </w:pPr>
    </w:p>
    <w:p>
      <w:pPr>
        <w:ind w:left="1260"/>
        <w:spacing w:after="0"/>
        <w:tabs>
          <w:tab w:leader="none" w:pos="7400" w:val="left"/>
        </w:tabs>
        <w:rPr>
          <w:sz w:val="20"/>
          <w:szCs w:val="20"/>
          <w:color w:val="auto"/>
        </w:rPr>
      </w:pPr>
      <w:r>
        <w:rPr>
          <w:rFonts w:ascii="Arial" w:cs="Arial" w:eastAsia="Arial" w:hAnsi="Arial"/>
          <w:sz w:val="18"/>
          <w:szCs w:val="18"/>
          <w:color w:val="auto"/>
        </w:rPr>
        <w:t>expenses and capital expenditures requirements for the next</w:t>
      </w:r>
      <w:r>
        <w:rPr>
          <w:sz w:val="20"/>
          <w:szCs w:val="20"/>
          <w:color w:val="auto"/>
        </w:rPr>
        <w:tab/>
      </w:r>
      <w:r>
        <w:rPr>
          <w:rFonts w:ascii="Arial" w:cs="Arial" w:eastAsia="Arial" w:hAnsi="Arial"/>
          <w:sz w:val="18"/>
          <w:szCs w:val="18"/>
          <w:color w:val="auto"/>
        </w:rPr>
        <w:t>months after this filing.</w:t>
      </w:r>
    </w:p>
    <w:p>
      <w:pPr>
        <w:spacing w:after="0" w:line="143"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Attempting to secure additional financing will divert our management from our day- 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333" w:lineRule="exact"/>
        <w:rPr>
          <w:sz w:val="20"/>
          <w:szCs w:val="20"/>
          <w:color w:val="auto"/>
        </w:rPr>
      </w:pPr>
    </w:p>
    <w:p>
      <w:pPr>
        <w:jc w:val="both"/>
        <w:ind w:left="1260" w:right="459"/>
        <w:spacing w:after="0" w:line="26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12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 -linked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343"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If we raise additional funds through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 Because of the numerous risks and uncertainties associated with product development, we are unable to predict the timing or amount of increased expenses or when or if we will be able to achieve or maintain profitability.</w:t>
      </w:r>
    </w:p>
    <w:p>
      <w:pPr>
        <w:spacing w:after="0" w:line="131" w:lineRule="exact"/>
        <w:rPr>
          <w:sz w:val="20"/>
          <w:szCs w:val="20"/>
          <w:color w:val="auto"/>
        </w:rPr>
      </w:pPr>
    </w:p>
    <w:p>
      <w:pPr>
        <w:ind w:left="1260" w:right="679"/>
        <w:spacing w:after="0" w:line="301"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95" w:lineRule="exact"/>
        <w:rPr>
          <w:sz w:val="20"/>
          <w:szCs w:val="20"/>
          <w:color w:val="auto"/>
        </w:rPr>
      </w:pPr>
    </w:p>
    <w:p>
      <w:pPr>
        <w:ind w:left="1260" w:right="579"/>
        <w:spacing w:after="0" w:line="250" w:lineRule="auto"/>
        <w:rPr>
          <w:sz w:val="20"/>
          <w:szCs w:val="20"/>
          <w:color w:val="auto"/>
        </w:rPr>
      </w:pPr>
      <w:r>
        <w:rPr>
          <w:rFonts w:ascii="Arial" w:cs="Arial" w:eastAsia="Arial" w:hAnsi="Arial"/>
          <w:sz w:val="18"/>
          <w:szCs w:val="18"/>
          <w:color w:val="auto"/>
        </w:rPr>
        <w:t>The net operating losses of Prior Century carried over to us as a result of the merger of Prior Century with and into us on February 25, 2021 in the amount of approximately $ 5.0 million of federal net operating loss carryforwards, and approximately $9.5 million of state and local net operating loss carryforwards. 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 -change income may be limited. We believe that Prior Century or we may have experienced an ownership change in the past, which may affect our ability to utilize our net operating loss carryforwards. In addition, we may experience ownership changes in the future as a result of this offering or subsequent shifts in our stock</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779"/>
        <w:spacing w:after="0" w:line="291" w:lineRule="auto"/>
        <w:rPr>
          <w:sz w:val="20"/>
          <w:szCs w:val="20"/>
          <w:color w:val="auto"/>
        </w:rPr>
      </w:pPr>
      <w:r>
        <w:rPr>
          <w:rFonts w:ascii="Arial" w:cs="Arial" w:eastAsia="Arial" w:hAnsi="Arial"/>
          <w:sz w:val="18"/>
          <w:szCs w:val="18"/>
          <w:color w:val="auto"/>
        </w:rPr>
        <w:t>ownership, some of which are outside our control. Similar limitations will apply to our ability to carry forward any unused tax credits to offset future taxable income.</w:t>
      </w:r>
    </w:p>
    <w:p>
      <w:pPr>
        <w:spacing w:after="0" w:line="95" w:lineRule="exact"/>
        <w:rPr>
          <w:sz w:val="20"/>
          <w:szCs w:val="20"/>
          <w:color w:val="auto"/>
        </w:rPr>
      </w:pPr>
    </w:p>
    <w:p>
      <w:pPr>
        <w:ind w:left="1260" w:right="859"/>
        <w:spacing w:after="0" w:line="298" w:lineRule="auto"/>
        <w:rPr>
          <w:sz w:val="20"/>
          <w:szCs w:val="20"/>
          <w:color w:val="auto"/>
        </w:rPr>
      </w:pPr>
      <w:r>
        <w:rPr>
          <w:rFonts w:ascii="Arial" w:cs="Arial" w:eastAsia="Arial" w:hAnsi="Arial"/>
          <w:sz w:val="18"/>
          <w:szCs w:val="18"/>
          <w:b w:val="1"/>
          <w:bCs w:val="1"/>
          <w:i w:val="1"/>
          <w:iCs w:val="1"/>
          <w:color w:val="auto"/>
        </w:rPr>
        <w:t>Our Option Agreement with Bayer HealthCare LLC may require us to sell certain of our product candidates, which may limit the value we could generate from our product candidates.</w:t>
      </w:r>
    </w:p>
    <w:p>
      <w:pPr>
        <w:spacing w:after="0" w:line="125" w:lineRule="exact"/>
        <w:rPr>
          <w:sz w:val="20"/>
          <w:szCs w:val="20"/>
          <w:color w:val="auto"/>
        </w:rPr>
      </w:pPr>
    </w:p>
    <w:p>
      <w:pPr>
        <w:ind w:left="1260" w:right="579"/>
        <w:spacing w:after="0" w:line="282" w:lineRule="auto"/>
        <w:rPr>
          <w:sz w:val="20"/>
          <w:szCs w:val="20"/>
          <w:color w:val="auto"/>
        </w:rPr>
      </w:pPr>
      <w:r>
        <w:rPr>
          <w:rFonts w:ascii="Arial" w:cs="Arial" w:eastAsia="Arial" w:hAnsi="Arial"/>
          <w:sz w:val="18"/>
          <w:szCs w:val="18"/>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Bayer may exercise its ROFR for up to four of the first ten Research Products for which an IND is submitted, subject to certain limitations.</w:t>
      </w:r>
    </w:p>
    <w:p>
      <w:pPr>
        <w:spacing w:after="0" w:line="138" w:lineRule="exact"/>
        <w:rPr>
          <w:sz w:val="20"/>
          <w:szCs w:val="20"/>
          <w:color w:val="auto"/>
        </w:rPr>
      </w:pPr>
    </w:p>
    <w:p>
      <w:pPr>
        <w:ind w:left="1260" w:right="459"/>
        <w:spacing w:after="0" w:line="291" w:lineRule="auto"/>
        <w:rPr>
          <w:sz w:val="20"/>
          <w:szCs w:val="20"/>
          <w:color w:val="auto"/>
        </w:rPr>
      </w:pPr>
      <w:r>
        <w:rPr>
          <w:rFonts w:ascii="Arial" w:cs="Arial" w:eastAsia="Arial" w:hAnsi="Arial"/>
          <w:sz w:val="18"/>
          <w:szCs w:val="18"/>
          <w:color w:val="auto"/>
        </w:rPr>
        <w:t>For a more complete description of the Option Agreement, please see the section titled “Business —Licensing Partnerships and Collaborations—Bayer Healthcare LLC” in this prospectus.</w:t>
      </w:r>
    </w:p>
    <w:p>
      <w:pPr>
        <w:spacing w:after="0" w:line="117" w:lineRule="exact"/>
        <w:rPr>
          <w:sz w:val="20"/>
          <w:szCs w:val="20"/>
          <w:color w:val="auto"/>
        </w:rPr>
      </w:pPr>
    </w:p>
    <w:p>
      <w:pPr>
        <w:ind w:left="1260" w:right="499"/>
        <w:spacing w:after="0" w:line="282" w:lineRule="auto"/>
        <w:rPr>
          <w:sz w:val="20"/>
          <w:szCs w:val="20"/>
          <w:color w:val="auto"/>
        </w:rPr>
      </w:pPr>
      <w:r>
        <w:rPr>
          <w:rFonts w:ascii="Arial" w:cs="Arial" w:eastAsia="Arial" w:hAnsi="Arial"/>
          <w:sz w:val="18"/>
          <w:szCs w:val="18"/>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116" w:lineRule="exact"/>
        <w:rPr>
          <w:sz w:val="20"/>
          <w:szCs w:val="20"/>
          <w:color w:val="auto"/>
        </w:rPr>
      </w:pPr>
    </w:p>
    <w:p>
      <w:pPr>
        <w:ind w:left="1260" w:right="439"/>
        <w:spacing w:after="0" w:line="317"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07" w:lineRule="exact"/>
        <w:rPr>
          <w:sz w:val="20"/>
          <w:szCs w:val="20"/>
          <w:color w:val="auto"/>
        </w:rPr>
      </w:pPr>
    </w:p>
    <w:p>
      <w:pPr>
        <w:ind w:left="1260" w:right="459"/>
        <w:spacing w:after="0" w:line="281" w:lineRule="auto"/>
        <w:rPr>
          <w:sz w:val="20"/>
          <w:szCs w:val="20"/>
          <w:color w:val="auto"/>
        </w:rPr>
      </w:pPr>
      <w:r>
        <w:rPr>
          <w:rFonts w:ascii="Arial" w:cs="Arial" w:eastAsia="Arial" w:hAnsi="Arial"/>
          <w:sz w:val="18"/>
          <w:szCs w:val="18"/>
          <w:color w:val="auto"/>
        </w:rPr>
        <w:t>Global financial markets have experienced, as a result of the COVID-19 pandemic, and have in the past experienced, extreme volatility and disruptions,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32" w:lineRule="exact"/>
        <w:rPr>
          <w:sz w:val="20"/>
          <w:szCs w:val="20"/>
          <w:color w:val="auto"/>
        </w:rPr>
      </w:pPr>
    </w:p>
    <w:p>
      <w:pPr>
        <w:ind w:left="1260" w:right="459"/>
        <w:spacing w:after="0" w:line="282"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including very recently in connection with the ongoing COVID-19 pandemic, which has resulted in decreased stock prices for many companies notwithstanding the lack of a fundamental change in their underlying business models or prospects. These fluctuations have often been unrelated or disproportionate to the operating performance of those companies. Broad market and industry factors, including potentially worsening economic conditions and other adverse effects, or developments relating to the ongoing COVID-19 pandemic, political, regulatory, and other market conditions, may negatively affect the market price of shares of our common stock, regardless of our actual operating performance.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33" w:lineRule="exact"/>
        <w:rPr>
          <w:sz w:val="20"/>
          <w:szCs w:val="20"/>
          <w:color w:val="auto"/>
        </w:rPr>
      </w:pPr>
    </w:p>
    <w:p>
      <w:pPr>
        <w:ind w:left="1260" w:right="479"/>
        <w:spacing w:after="0" w:line="283" w:lineRule="auto"/>
        <w:rPr>
          <w:sz w:val="20"/>
          <w:szCs w:val="20"/>
          <w:color w:val="auto"/>
        </w:rPr>
      </w:pPr>
      <w:r>
        <w:rPr>
          <w:rFonts w:ascii="Arial" w:cs="Arial" w:eastAsia="Arial" w:hAnsi="Arial"/>
          <w:sz w:val="18"/>
          <w:szCs w:val="18"/>
          <w:b w:val="1"/>
          <w:bCs w:val="1"/>
          <w:i w:val="1"/>
          <w:iCs w:val="1"/>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124" w:lineRule="exact"/>
        <w:rPr>
          <w:sz w:val="20"/>
          <w:szCs w:val="20"/>
          <w:color w:val="auto"/>
        </w:rPr>
      </w:pPr>
    </w:p>
    <w:p>
      <w:pPr>
        <w:ind w:left="1260" w:right="739"/>
        <w:spacing w:after="0" w:line="265" w:lineRule="auto"/>
        <w:rPr>
          <w:sz w:val="20"/>
          <w:szCs w:val="20"/>
          <w:color w:val="auto"/>
        </w:rPr>
      </w:pPr>
      <w:r>
        <w:rPr>
          <w:rFonts w:ascii="Arial" w:cs="Arial" w:eastAsia="Arial" w:hAnsi="Arial"/>
          <w:sz w:val="18"/>
          <w:szCs w:val="18"/>
          <w:color w:val="auto"/>
        </w:rPr>
        <w:t>We are very early in our development efforts and all of our product candidates are still in preclinical development. We expect to file an IND for our lead product candidate CNTY-101, in</w:t>
      </w:r>
    </w:p>
    <w:p>
      <w:pPr>
        <w:ind w:left="1260" w:right="499" w:firstLine="1096"/>
        <w:spacing w:after="0" w:line="267" w:lineRule="auto"/>
        <w:rPr>
          <w:sz w:val="20"/>
          <w:szCs w:val="20"/>
          <w:color w:val="auto"/>
        </w:rPr>
      </w:pPr>
      <w:r>
        <w:rPr>
          <w:rFonts w:ascii="Arial" w:cs="Arial" w:eastAsia="Arial" w:hAnsi="Arial"/>
          <w:sz w:val="18"/>
          <w:szCs w:val="18"/>
          <w:color w:val="auto"/>
        </w:rPr>
        <w:t>and we expect to file an IND for CNTY-103 in .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367" w:lineRule="exact"/>
        <w:rPr>
          <w:sz w:val="20"/>
          <w:szCs w:val="20"/>
          <w:color w:val="auto"/>
        </w:rPr>
      </w:pPr>
    </w:p>
    <w:p>
      <w:pPr>
        <w:ind w:left="1260" w:right="699"/>
        <w:spacing w:after="0" w:line="267" w:lineRule="auto"/>
        <w:rPr>
          <w:sz w:val="20"/>
          <w:szCs w:val="20"/>
          <w:color w:val="auto"/>
        </w:rPr>
      </w:pPr>
      <w:r>
        <w:rPr>
          <w:rFonts w:ascii="Arial" w:cs="Arial" w:eastAsia="Arial" w:hAnsi="Arial"/>
          <w:sz w:val="18"/>
          <w:szCs w:val="18"/>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FDA, or certain other foreign regulatory agencies before we may commercialize our product candidates.</w:t>
      </w:r>
    </w:p>
    <w:p>
      <w:pPr>
        <w:spacing w:after="0" w:line="125" w:lineRule="exact"/>
        <w:rPr>
          <w:sz w:val="20"/>
          <w:szCs w:val="20"/>
          <w:color w:val="auto"/>
        </w:rPr>
      </w:pPr>
    </w:p>
    <w:p>
      <w:pPr>
        <w:ind w:left="1260" w:right="739"/>
        <w:spacing w:after="0" w:line="275" w:lineRule="auto"/>
        <w:rPr>
          <w:sz w:val="20"/>
          <w:szCs w:val="20"/>
          <w:color w:val="auto"/>
        </w:rPr>
      </w:pPr>
      <w:r>
        <w:rPr>
          <w:rFonts w:ascii="Arial" w:cs="Arial" w:eastAsia="Arial" w:hAnsi="Arial"/>
          <w:sz w:val="18"/>
          <w:szCs w:val="18"/>
          <w:color w:val="auto"/>
        </w:rPr>
        <w:t>The clinical and commercial success of our product candidates will depend on several factors, including the following:</w:t>
      </w:r>
    </w:p>
    <w:p>
      <w:pPr>
        <w:spacing w:after="0" w:line="91" w:lineRule="exact"/>
        <w:rPr>
          <w:sz w:val="20"/>
          <w:szCs w:val="20"/>
          <w:color w:val="auto"/>
        </w:rPr>
      </w:pPr>
    </w:p>
    <w:p>
      <w:pPr>
        <w:ind w:left="1400" w:right="819" w:hanging="145"/>
        <w:spacing w:after="0" w:line="27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w:t>
      </w:r>
    </w:p>
    <w:p>
      <w:pPr>
        <w:spacing w:after="0" w:line="104" w:lineRule="exact"/>
        <w:rPr>
          <w:rFonts w:ascii="Arial" w:cs="Arial" w:eastAsia="Arial" w:hAnsi="Arial"/>
          <w:sz w:val="18"/>
          <w:szCs w:val="18"/>
          <w:color w:val="auto"/>
        </w:rPr>
      </w:pPr>
    </w:p>
    <w:p>
      <w:pPr>
        <w:ind w:left="1400" w:right="839" w:hanging="145"/>
        <w:spacing w:after="0" w:line="27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INDs or comparable foreign applications that allow commencement of our planned clinical trials or future clinical trials for our product candidates;</w:t>
      </w:r>
    </w:p>
    <w:p>
      <w:pPr>
        <w:spacing w:after="0" w:line="90" w:lineRule="exact"/>
        <w:rPr>
          <w:rFonts w:ascii="Arial" w:cs="Arial" w:eastAsia="Arial" w:hAnsi="Arial"/>
          <w:sz w:val="18"/>
          <w:szCs w:val="18"/>
          <w:color w:val="auto"/>
        </w:rPr>
      </w:pPr>
    </w:p>
    <w:p>
      <w:pPr>
        <w:ind w:left="1400" w:right="599" w:hanging="145"/>
        <w:spacing w:after="0" w:line="27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cGCPs, and current Good Laboratory Practices, or GLPs;</w:t>
      </w:r>
    </w:p>
    <w:p>
      <w:pPr>
        <w:spacing w:after="0" w:line="90" w:lineRule="exact"/>
        <w:rPr>
          <w:rFonts w:ascii="Arial" w:cs="Arial" w:eastAsia="Arial" w:hAnsi="Arial"/>
          <w:sz w:val="18"/>
          <w:szCs w:val="18"/>
          <w:color w:val="auto"/>
        </w:rPr>
      </w:pPr>
    </w:p>
    <w:p>
      <w:pPr>
        <w:ind w:left="1400" w:right="719" w:hanging="145"/>
        <w:spacing w:after="0" w:line="280"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positive results from our future clinical programs that support a finding of safety and effectiveness and an acceptable risk-benefit profile of our product candidates in the intended populations;</w:t>
      </w:r>
    </w:p>
    <w:p>
      <w:pPr>
        <w:spacing w:after="0" w:line="310" w:lineRule="exact"/>
        <w:rPr>
          <w:rFonts w:ascii="Arial" w:cs="Arial" w:eastAsia="Arial" w:hAnsi="Arial"/>
          <w:sz w:val="18"/>
          <w:szCs w:val="18"/>
          <w:color w:val="auto"/>
        </w:rPr>
      </w:pPr>
    </w:p>
    <w:p>
      <w:pPr>
        <w:ind w:left="1400" w:hanging="145"/>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29" w:lineRule="exact"/>
        <w:rPr>
          <w:rFonts w:ascii="Arial" w:cs="Arial" w:eastAsia="Arial" w:hAnsi="Arial"/>
          <w:sz w:val="18"/>
          <w:szCs w:val="18"/>
          <w:color w:val="auto"/>
        </w:rPr>
      </w:pPr>
    </w:p>
    <w:p>
      <w:pPr>
        <w:ind w:left="1400" w:right="439" w:hanging="145"/>
        <w:spacing w:after="0" w:line="27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arrangements with CMOs for clinical supply and, where applicable, commercial manufacturing capabilities;</w:t>
      </w:r>
    </w:p>
    <w:p>
      <w:pPr>
        <w:spacing w:after="0" w:line="90" w:lineRule="exact"/>
        <w:rPr>
          <w:rFonts w:ascii="Arial" w:cs="Arial" w:eastAsia="Arial" w:hAnsi="Arial"/>
          <w:sz w:val="18"/>
          <w:szCs w:val="18"/>
          <w:color w:val="auto"/>
        </w:rPr>
      </w:pPr>
    </w:p>
    <w:p>
      <w:pPr>
        <w:ind w:left="1400" w:right="1159" w:hanging="145"/>
        <w:spacing w:after="0" w:line="27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and/or regulatory exclusivity for our product candidates;</w:t>
      </w:r>
    </w:p>
    <w:p>
      <w:pPr>
        <w:spacing w:after="0" w:line="90" w:lineRule="exact"/>
        <w:rPr>
          <w:rFonts w:ascii="Arial" w:cs="Arial" w:eastAsia="Arial" w:hAnsi="Arial"/>
          <w:sz w:val="18"/>
          <w:szCs w:val="18"/>
          <w:color w:val="auto"/>
        </w:rPr>
      </w:pPr>
    </w:p>
    <w:p>
      <w:pPr>
        <w:ind w:left="1400" w:right="819" w:hanging="145"/>
        <w:spacing w:after="0" w:line="27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launch of our product candidates, if approved, whether alone or in collaboration with others;</w:t>
      </w:r>
    </w:p>
    <w:p>
      <w:pPr>
        <w:spacing w:after="0" w:line="90" w:lineRule="exact"/>
        <w:rPr>
          <w:rFonts w:ascii="Arial" w:cs="Arial" w:eastAsia="Arial" w:hAnsi="Arial"/>
          <w:sz w:val="18"/>
          <w:szCs w:val="18"/>
          <w:color w:val="auto"/>
        </w:rPr>
      </w:pPr>
    </w:p>
    <w:p>
      <w:pPr>
        <w:ind w:left="1400" w:right="999" w:hanging="145"/>
        <w:spacing w:after="0" w:line="270"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the benefits and use of our product candidates, including method of administration, if and when approved, by patients, the medical community, and third-party payors;</w:t>
      </w:r>
    </w:p>
    <w:p>
      <w:pPr>
        <w:spacing w:after="0" w:line="108" w:lineRule="exact"/>
        <w:rPr>
          <w:rFonts w:ascii="Arial" w:cs="Arial" w:eastAsia="Arial" w:hAnsi="Arial"/>
          <w:sz w:val="18"/>
          <w:szCs w:val="18"/>
          <w:color w:val="auto"/>
        </w:rPr>
      </w:pPr>
    </w:p>
    <w:p>
      <w:pPr>
        <w:ind w:left="1400" w:hanging="145"/>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129" w:lineRule="exact"/>
        <w:rPr>
          <w:rFonts w:ascii="Arial" w:cs="Arial" w:eastAsia="Arial" w:hAnsi="Arial"/>
          <w:sz w:val="18"/>
          <w:szCs w:val="18"/>
          <w:color w:val="auto"/>
        </w:rPr>
      </w:pPr>
    </w:p>
    <w:p>
      <w:pPr>
        <w:ind w:left="1400" w:right="939" w:hanging="145"/>
        <w:spacing w:after="0" w:line="270"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and patients’ willingness to pay out-of-pocket in the absence of such coverage and adequate reimbursement;</w:t>
      </w:r>
    </w:p>
    <w:p>
      <w:pPr>
        <w:spacing w:after="0" w:line="95" w:lineRule="exact"/>
        <w:rPr>
          <w:rFonts w:ascii="Arial" w:cs="Arial" w:eastAsia="Arial" w:hAnsi="Arial"/>
          <w:sz w:val="18"/>
          <w:szCs w:val="18"/>
          <w:color w:val="auto"/>
        </w:rPr>
      </w:pPr>
    </w:p>
    <w:p>
      <w:pPr>
        <w:ind w:left="1400" w:right="939" w:hanging="145"/>
        <w:spacing w:after="0" w:line="27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a physician training system and network for administration of our product candidates;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enforcement and defense of intellectual property rights and claims; and</w:t>
      </w:r>
    </w:p>
    <w:p>
      <w:pPr>
        <w:spacing w:after="0" w:line="129" w:lineRule="exact"/>
        <w:rPr>
          <w:rFonts w:ascii="Arial" w:cs="Arial" w:eastAsia="Arial" w:hAnsi="Arial"/>
          <w:sz w:val="18"/>
          <w:szCs w:val="18"/>
          <w:color w:val="auto"/>
        </w:rPr>
      </w:pPr>
    </w:p>
    <w:p>
      <w:pPr>
        <w:ind w:left="1400" w:right="759" w:hanging="145"/>
        <w:spacing w:after="0" w:line="275"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maintenance of a continued acceptable safety, tolerability, and efficacy profile of our product candidates following approval.</w:t>
      </w:r>
    </w:p>
    <w:p>
      <w:pPr>
        <w:sectPr>
          <w:pgSz w:w="11900" w:h="16838" w:orient="portrait"/>
          <w:cols w:equalWidth="0" w:num="1">
            <w:col w:w="9859"/>
          </w:cols>
          <w:pgMar w:left="600" w:top="132" w:right="1440" w:bottom="1440" w:gutter="0" w:footer="0" w:header="0"/>
        </w:sectPr>
      </w:pPr>
    </w:p>
    <w:p>
      <w:pPr>
        <w:spacing w:after="0" w:line="40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02" w:lineRule="exact"/>
        <w:rPr>
          <w:sz w:val="20"/>
          <w:szCs w:val="20"/>
          <w:color w:val="auto"/>
        </w:rPr>
      </w:pPr>
    </w:p>
    <w:p>
      <w:pPr>
        <w:ind w:left="1260" w:right="499"/>
        <w:spacing w:after="0" w:line="285"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CNTY-101 and our other product candidates.</w:t>
      </w:r>
    </w:p>
    <w:p>
      <w:pPr>
        <w:spacing w:after="0" w:line="122"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We cannot guarantee that an IND application will be cleared by the FDA for CNTY-101 or our other product candidates or that CNTY-101 or our other product candidates will be approved for commercialization, on a timely basis or at all. Although certain of our employees have prior experience with clinical trials and regulatory approvals, we have not previously completed any clinical trials or submitted an IND or a BLA to the FDA, or similar regulatory approval filings to comparable foreign authorities, for any product candidate, and we cannot be certain that CNTY-101 or our other product candidates will be successful in clinical trials or receive regulatory approval. The FDA and other comparable global regulatory authorities can delay, limit, or deny approval of a product candidate for many reasons. Any delay in obtaining, or inability to obtain, applicable regulatory approval will delay or harm our ability to successfully initiate clinical trials and commercialize CNTY-101 or our other product candidates and materially adversely affect our business, financial condition, results of operations, and growth prospects.</w:t>
      </w:r>
    </w:p>
    <w:p>
      <w:pPr>
        <w:spacing w:after="0" w:line="139"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127"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121" w:lineRule="exact"/>
        <w:rPr>
          <w:sz w:val="20"/>
          <w:szCs w:val="20"/>
          <w:color w:val="auto"/>
        </w:rPr>
      </w:pPr>
    </w:p>
    <w:p>
      <w:pPr>
        <w:ind w:left="1260" w:right="1059"/>
        <w:spacing w:after="0" w:line="301" w:lineRule="auto"/>
        <w:rPr>
          <w:sz w:val="20"/>
          <w:szCs w:val="20"/>
          <w:color w:val="auto"/>
        </w:rPr>
      </w:pPr>
      <w:r>
        <w:rPr>
          <w:rFonts w:ascii="Arial" w:cs="Arial" w:eastAsia="Arial" w:hAnsi="Arial"/>
          <w:sz w:val="18"/>
          <w:szCs w:val="18"/>
          <w:b w:val="1"/>
          <w:bCs w:val="1"/>
          <w:i w:val="1"/>
          <w:iCs w:val="1"/>
          <w:color w:val="auto"/>
        </w:rPr>
        <w:t>Our business depends upon the success of our iPSC-derived allogeneic cell therapy platforms.</w:t>
      </w:r>
    </w:p>
    <w:p>
      <w:pPr>
        <w:spacing w:after="0" w:line="108"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product candidates have never been evaluated in human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352"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color w:val="auto"/>
        </w:rPr>
        <w:t>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104" w:lineRule="exact"/>
        <w:rPr>
          <w:sz w:val="20"/>
          <w:szCs w:val="20"/>
          <w:color w:val="auto"/>
        </w:rPr>
      </w:pPr>
    </w:p>
    <w:p>
      <w:pPr>
        <w:jc w:val="both"/>
        <w:ind w:left="1260" w:right="859"/>
        <w:spacing w:after="0" w:line="267" w:lineRule="auto"/>
        <w:rPr>
          <w:sz w:val="20"/>
          <w:szCs w:val="20"/>
          <w:color w:val="auto"/>
        </w:rPr>
      </w:pPr>
      <w:r>
        <w:rPr>
          <w:rFonts w:ascii="Arial" w:cs="Arial" w:eastAsia="Arial" w:hAnsi="Arial"/>
          <w:sz w:val="18"/>
          <w:szCs w:val="18"/>
          <w:b w:val="1"/>
          <w:bCs w:val="1"/>
          <w:i w:val="1"/>
          <w:iCs w:val="1"/>
          <w:color w:val="auto"/>
        </w:rPr>
        <w:t>Utilizing CAR-iNK and CAR- iT cells represents a novel approach to immuno-oncology treatment of cancer, and we must overcome significant challenges in order to develop, commercialize, and manufacture our product candidates.</w:t>
      </w:r>
    </w:p>
    <w:p>
      <w:pPr>
        <w:spacing w:after="0" w:line="125"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have concentrated our research and development efforts on developing CAR-iNK and CAR-iT cell therapies. To date, the FDA has only approved 19 cell-based therapies for commercialization. The processes and requirements imposed by the FDA or other applicable regulatory authorities may cause delays and additional costs in obtaining approvals for our product candidates. Because our iPSC -derived allogeneic cell therapy platforms are novel, and cell-based therapies are relatively new, regulatory agencies may lack experience in evaluating our product candidates utilizing CAR -iNK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cell therapies creates significant challenges for us, including:</w:t>
      </w:r>
    </w:p>
    <w:p>
      <w:pPr>
        <w:spacing w:after="0" w:line="117" w:lineRule="exact"/>
        <w:rPr>
          <w:sz w:val="20"/>
          <w:szCs w:val="20"/>
          <w:color w:val="auto"/>
        </w:rPr>
      </w:pPr>
    </w:p>
    <w:p>
      <w:pPr>
        <w:ind w:left="1400" w:right="439" w:hanging="145"/>
        <w:spacing w:after="0" w:line="275"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 manufacturing process to produce our cells on a large scale and in a cost-effective manner;</w:t>
      </w:r>
    </w:p>
    <w:p>
      <w:pPr>
        <w:spacing w:after="0" w:line="77" w:lineRule="exact"/>
        <w:rPr>
          <w:rFonts w:ascii="Arial" w:cs="Arial" w:eastAsia="Arial" w:hAnsi="Arial"/>
          <w:sz w:val="18"/>
          <w:szCs w:val="18"/>
          <w:color w:val="auto"/>
        </w:rPr>
      </w:pPr>
    </w:p>
    <w:p>
      <w:pPr>
        <w:ind w:left="1400" w:right="659" w:hanging="145"/>
        <w:spacing w:after="0" w:line="275"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any observed side effects with the therapy;</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technical limitations of our CRISPR-MAD7 gene editing technology; and</w:t>
      </w:r>
    </w:p>
    <w:p>
      <w:pPr>
        <w:spacing w:after="0" w:line="115" w:lineRule="exact"/>
        <w:rPr>
          <w:rFonts w:ascii="Arial" w:cs="Arial" w:eastAsia="Arial" w:hAnsi="Arial"/>
          <w:sz w:val="18"/>
          <w:szCs w:val="18"/>
          <w:color w:val="auto"/>
        </w:rPr>
      </w:pPr>
    </w:p>
    <w:p>
      <w:pPr>
        <w:ind w:left="1400" w:right="759" w:hanging="145"/>
        <w:spacing w:after="0" w:line="275"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distribution network to support the commercialization of any approved products.</w:t>
      </w:r>
    </w:p>
    <w:p>
      <w:pPr>
        <w:spacing w:after="0" w:line="118" w:lineRule="exact"/>
        <w:rPr>
          <w:sz w:val="20"/>
          <w:szCs w:val="20"/>
          <w:color w:val="auto"/>
        </w:rPr>
      </w:pPr>
    </w:p>
    <w:p>
      <w:pPr>
        <w:ind w:left="1260" w:right="759"/>
        <w:spacing w:after="0" w:line="260" w:lineRule="auto"/>
        <w:rPr>
          <w:sz w:val="20"/>
          <w:szCs w:val="20"/>
          <w:color w:val="auto"/>
        </w:rPr>
      </w:pPr>
      <w:r>
        <w:rPr>
          <w:rFonts w:ascii="Arial" w:cs="Arial" w:eastAsia="Arial" w:hAnsi="Arial"/>
          <w:sz w:val="18"/>
          <w:szCs w:val="18"/>
          <w:color w:val="auto"/>
        </w:rPr>
        <w:t>We must be able to overcome these challenges in order for us to develop, commercialize, and manufacture our product candidates utilizing CAR-iNK and CAR-iT cells.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not yet demonstrated long-term stability of cryopreserved CAR-iNK cells.</w:t>
      </w:r>
    </w:p>
    <w:p>
      <w:pPr>
        <w:spacing w:after="0" w:line="16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have not yet demonstrated long-term stability of cryopreserved CAR-iNK cells and, therefore, do not know if we will be able to store the cryopreserved cells for extended periods of time. If we are unable to demonstrate long -term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w:t>
      </w:r>
    </w:p>
    <w:p>
      <w:pPr>
        <w:spacing w:after="0" w:line="176"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22"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We use CRISPR-based nuclease to enable precise editing of the iPSC genome. For CNTY-101, we used the nuclease Cpf-1 but have shifted to CRISPR-MAD7 for all subsequent product candidates, and we may utilize CRISPR- MAD7 for CNTY-101 in the future. We decided to shift to CRISPR-MAD7 because we entered into a license agreement with Inscripta, Inc. and obtained a non-exclusive, royalty -free, irrevocable license to a patent portfolio covering the composition, production and use of CRISPR-MAD7. We have optimized the protocols to produce CRISPR-MAD7 and have achieved similar cutting and HDR efficiencies compared to Cpf-1, but we don’t have as much experimental data with CRISPR-MAD7 as we do with Cpf1. We may encounter technical liabilities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99"/>
        <w:spacing w:after="0" w:line="254" w:lineRule="auto"/>
        <w:rPr>
          <w:sz w:val="20"/>
          <w:szCs w:val="20"/>
          <w:color w:val="auto"/>
        </w:rPr>
      </w:pPr>
      <w:r>
        <w:rPr>
          <w:rFonts w:ascii="Arial" w:cs="Arial" w:eastAsia="Arial" w:hAnsi="Arial"/>
          <w:sz w:val="18"/>
          <w:szCs w:val="18"/>
          <w:color w:val="auto"/>
        </w:rPr>
        <w:t>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123"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36"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36"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In addition, the cell therapy industry is rapidly developing, and our competitors may introduce new gene-editing technologies that render our technology less attractive. Competitive pressures may force us to implement new gene-editing technologies at a substantial cost or delay in our clinical development process. In addition,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385" w:lineRule="exact"/>
        <w:rPr>
          <w:sz w:val="20"/>
          <w:szCs w:val="20"/>
          <w:color w:val="auto"/>
        </w:rPr>
      </w:pPr>
    </w:p>
    <w:p>
      <w:pPr>
        <w:ind w:left="1260" w:right="819"/>
        <w:spacing w:after="0" w:line="254"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09"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357"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12 -year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360" w:lineRule="exact"/>
        <w:rPr>
          <w:sz w:val="20"/>
          <w:szCs w:val="20"/>
          <w:color w:val="auto"/>
        </w:rPr>
      </w:pPr>
    </w:p>
    <w:p>
      <w:pPr>
        <w:ind w:left="1260" w:right="959"/>
        <w:spacing w:after="0" w:line="252" w:lineRule="auto"/>
        <w:rPr>
          <w:sz w:val="20"/>
          <w:szCs w:val="20"/>
          <w:color w:val="auto"/>
        </w:rPr>
      </w:pPr>
      <w:r>
        <w:rPr>
          <w:rFonts w:ascii="Arial" w:cs="Arial" w:eastAsia="Arial" w:hAnsi="Arial"/>
          <w:sz w:val="18"/>
          <w:szCs w:val="18"/>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124" w:lineRule="exact"/>
        <w:rPr>
          <w:sz w:val="20"/>
          <w:szCs w:val="20"/>
          <w:color w:val="auto"/>
        </w:rPr>
      </w:pPr>
    </w:p>
    <w:p>
      <w:pPr>
        <w:jc w:val="both"/>
        <w:ind w:left="1260" w:right="739"/>
        <w:spacing w:after="0" w:line="254"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clinical candidates are approved for</w:t>
      </w:r>
    </w:p>
    <w:p>
      <w:pPr>
        <w:sectPr>
          <w:pgSz w:w="11900" w:h="16838" w:orient="portrait"/>
          <w:cols w:equalWidth="0" w:num="1">
            <w:col w:w="9859"/>
          </w:cols>
          <w:pgMar w:left="600" w:top="131" w:right="1440" w:bottom="1101" w:gutter="0" w:footer="0" w:header="0"/>
        </w:sectPr>
      </w:pP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101"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72" w:lineRule="exact"/>
        <w:rPr>
          <w:sz w:val="20"/>
          <w:szCs w:val="20"/>
          <w:color w:val="auto"/>
        </w:rPr>
      </w:pPr>
    </w:p>
    <w:p>
      <w:pPr>
        <w:ind w:left="1260" w:right="619"/>
        <w:spacing w:after="0" w:line="232" w:lineRule="auto"/>
        <w:rPr>
          <w:sz w:val="20"/>
          <w:szCs w:val="20"/>
          <w:color w:val="auto"/>
        </w:rPr>
      </w:pPr>
      <w:r>
        <w:rPr>
          <w:rFonts w:ascii="Arial" w:cs="Arial" w:eastAsia="Arial" w:hAnsi="Arial"/>
          <w:sz w:val="18"/>
          <w:szCs w:val="18"/>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23"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All of our product candidates are in preclinical development and their risk of failure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39"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 -stage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 stage clinical trials make it difficult to extrapolate the results of earlier clinical trials to later clinical trials.</w:t>
      </w:r>
    </w:p>
    <w:p>
      <w:pPr>
        <w:spacing w:after="0" w:line="360"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future clinical trials will ultimately be successful or support clinical development of our current or any of our future product candidates.</w:t>
      </w:r>
    </w:p>
    <w:p>
      <w:pPr>
        <w:spacing w:after="0" w:line="131"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future clinical trials that we could conduct that could delay or prevent our ability to receive marketing approval or commercialize our lead product candidates or any future product candidates, including:</w:t>
      </w:r>
    </w:p>
    <w:p>
      <w:pPr>
        <w:spacing w:after="0" w:line="109" w:lineRule="exact"/>
        <w:rPr>
          <w:sz w:val="20"/>
          <w:szCs w:val="20"/>
          <w:color w:val="auto"/>
        </w:rPr>
      </w:pPr>
    </w:p>
    <w:p>
      <w:pPr>
        <w:ind w:left="1400" w:right="979" w:hanging="145"/>
        <w:spacing w:after="0" w:line="270"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the FDA, or ethics committees may not authorize us or our investigators to commence a clinical trial or conduct a clinical trial at a prospective trial site;</w:t>
      </w:r>
    </w:p>
    <w:p>
      <w:pPr>
        <w:spacing w:after="0" w:line="81" w:lineRule="exact"/>
        <w:rPr>
          <w:rFonts w:ascii="Arial" w:cs="Arial" w:eastAsia="Arial" w:hAnsi="Arial"/>
          <w:sz w:val="18"/>
          <w:szCs w:val="18"/>
          <w:color w:val="auto"/>
        </w:rPr>
      </w:pPr>
    </w:p>
    <w:p>
      <w:pPr>
        <w:ind w:left="1400" w:right="559" w:hanging="145"/>
        <w:spacing w:after="0" w:line="270"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95" w:lineRule="exact"/>
        <w:rPr>
          <w:rFonts w:ascii="Arial" w:cs="Arial" w:eastAsia="Arial" w:hAnsi="Arial"/>
          <w:sz w:val="18"/>
          <w:szCs w:val="18"/>
          <w:color w:val="auto"/>
        </w:rPr>
      </w:pPr>
    </w:p>
    <w:p>
      <w:pPr>
        <w:ind w:left="1400" w:hanging="145"/>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29" w:lineRule="exact"/>
        <w:rPr>
          <w:rFonts w:ascii="Arial" w:cs="Arial" w:eastAsia="Arial" w:hAnsi="Arial"/>
          <w:sz w:val="18"/>
          <w:szCs w:val="18"/>
          <w:color w:val="auto"/>
        </w:rPr>
      </w:pPr>
    </w:p>
    <w:p>
      <w:pPr>
        <w:ind w:left="1400" w:right="559" w:hanging="145"/>
        <w:spacing w:after="0" w:line="272"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318" w:lineRule="exact"/>
        <w:rPr>
          <w:rFonts w:ascii="Arial" w:cs="Arial" w:eastAsia="Arial" w:hAnsi="Arial"/>
          <w:sz w:val="18"/>
          <w:szCs w:val="18"/>
          <w:color w:val="auto"/>
        </w:rPr>
      </w:pPr>
    </w:p>
    <w:p>
      <w:pPr>
        <w:ind w:left="1400" w:right="559" w:hanging="145"/>
        <w:spacing w:after="0" w:line="268"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ectPr>
          <w:pgSz w:w="11900" w:h="16838" w:orient="portrait"/>
          <w:cols w:equalWidth="0" w:num="1">
            <w:col w:w="9859"/>
          </w:cols>
          <w:pgMar w:left="600" w:top="132" w:right="1440" w:bottom="1074" w:gutter="0" w:footer="0" w:header="0"/>
        </w:sectPr>
      </w:pP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074"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699" w:hanging="145"/>
        <w:spacing w:after="0" w:line="268"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97" w:lineRule="exact"/>
        <w:rPr>
          <w:rFonts w:ascii="Arial" w:cs="Arial" w:eastAsia="Arial" w:hAnsi="Arial"/>
          <w:sz w:val="18"/>
          <w:szCs w:val="18"/>
          <w:color w:val="auto"/>
        </w:rPr>
      </w:pPr>
    </w:p>
    <w:p>
      <w:pPr>
        <w:ind w:left="1400" w:right="739" w:hanging="145"/>
        <w:spacing w:after="0" w:line="268"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97" w:lineRule="exact"/>
        <w:rPr>
          <w:rFonts w:ascii="Arial" w:cs="Arial" w:eastAsia="Arial" w:hAnsi="Arial"/>
          <w:sz w:val="18"/>
          <w:szCs w:val="18"/>
          <w:color w:val="auto"/>
        </w:rPr>
      </w:pPr>
    </w:p>
    <w:p>
      <w:pPr>
        <w:ind w:left="1400" w:hanging="145"/>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any of our product candidates may be greater than we anticipate;</w:t>
      </w:r>
    </w:p>
    <w:p>
      <w:pPr>
        <w:spacing w:after="0" w:line="129" w:lineRule="exact"/>
        <w:rPr>
          <w:rFonts w:ascii="Arial" w:cs="Arial" w:eastAsia="Arial" w:hAnsi="Arial"/>
          <w:sz w:val="18"/>
          <w:szCs w:val="18"/>
          <w:color w:val="auto"/>
        </w:rPr>
      </w:pPr>
    </w:p>
    <w:p>
      <w:pPr>
        <w:ind w:left="1400" w:right="739" w:hanging="145"/>
        <w:spacing w:after="0" w:line="27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of our product candidates or other materials necessary to conduct clinical trials of our product candidates may be inadequate to initiate or complete a given clinical trial;</w:t>
      </w:r>
    </w:p>
    <w:p>
      <w:pPr>
        <w:spacing w:after="0" w:line="90" w:lineRule="exact"/>
        <w:rPr>
          <w:rFonts w:ascii="Arial" w:cs="Arial" w:eastAsia="Arial" w:hAnsi="Arial"/>
          <w:sz w:val="18"/>
          <w:szCs w:val="18"/>
          <w:color w:val="auto"/>
        </w:rPr>
      </w:pPr>
    </w:p>
    <w:p>
      <w:pPr>
        <w:ind w:left="1400" w:right="859" w:hanging="145"/>
        <w:spacing w:after="0" w:line="27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our product candidates for use in clinical trials;</w:t>
      </w:r>
    </w:p>
    <w:p>
      <w:pPr>
        <w:spacing w:after="0" w:line="90" w:lineRule="exact"/>
        <w:rPr>
          <w:rFonts w:ascii="Arial" w:cs="Arial" w:eastAsia="Arial" w:hAnsi="Arial"/>
          <w:sz w:val="18"/>
          <w:szCs w:val="18"/>
          <w:color w:val="auto"/>
        </w:rPr>
      </w:pPr>
    </w:p>
    <w:p>
      <w:pPr>
        <w:ind w:left="1400" w:right="659" w:hanging="145"/>
        <w:spacing w:after="0" w:line="27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reports from clinical testing of other therapies may raise safety or efficacy concerns about our product candidates;</w:t>
      </w:r>
    </w:p>
    <w:p>
      <w:pPr>
        <w:spacing w:after="0" w:line="90" w:lineRule="exact"/>
        <w:rPr>
          <w:rFonts w:ascii="Arial" w:cs="Arial" w:eastAsia="Arial" w:hAnsi="Arial"/>
          <w:sz w:val="18"/>
          <w:szCs w:val="18"/>
          <w:color w:val="auto"/>
        </w:rPr>
      </w:pPr>
    </w:p>
    <w:p>
      <w:pPr>
        <w:jc w:val="both"/>
        <w:ind w:left="1400" w:right="519" w:hanging="145"/>
        <w:spacing w:after="0" w:line="270"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108" w:lineRule="exact"/>
        <w:rPr>
          <w:rFonts w:ascii="Arial" w:cs="Arial" w:eastAsia="Arial" w:hAnsi="Arial"/>
          <w:sz w:val="18"/>
          <w:szCs w:val="18"/>
          <w:color w:val="auto"/>
        </w:rPr>
      </w:pPr>
    </w:p>
    <w:p>
      <w:pPr>
        <w:ind w:left="1400" w:right="439" w:hanging="145"/>
        <w:spacing w:after="0" w:line="270"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applicable foreign regulatory agencies may require us to submit additional data such as long-term toxicology studies, or impose other requirements before permitting us to initiate a clinical trial.</w:t>
      </w:r>
    </w:p>
    <w:p>
      <w:pPr>
        <w:spacing w:after="0" w:line="122"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that may be approved for the indications being investigated by us.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encounter unresolved ethical issues associated with enrolling patients in future clinical trials of our product candidates in lieu of prescribing existing treatments that have established safety and efficacy profiles.</w:t>
      </w:r>
    </w:p>
    <w:p>
      <w:pPr>
        <w:spacing w:after="0" w:line="139"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37"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w:t>
      </w:r>
    </w:p>
    <w:p>
      <w:pPr>
        <w:sectPr>
          <w:pgSz w:w="11900" w:h="16838" w:orient="portrait"/>
          <w:cols w:equalWidth="0" w:num="1">
            <w:col w:w="9859"/>
          </w:cols>
          <w:pgMar w:left="600" w:top="131" w:right="1440" w:bottom="994" w:gutter="0" w:footer="0" w:header="0"/>
        </w:sect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994"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69" w:lineRule="exact"/>
        <w:rPr>
          <w:sz w:val="20"/>
          <w:szCs w:val="20"/>
          <w:color w:val="auto"/>
        </w:rPr>
      </w:pPr>
    </w:p>
    <w:p>
      <w:pPr>
        <w:ind w:left="1260" w:right="539"/>
        <w:spacing w:after="0" w:line="229" w:lineRule="auto"/>
        <w:rPr>
          <w:sz w:val="20"/>
          <w:szCs w:val="20"/>
          <w:color w:val="auto"/>
        </w:rPr>
      </w:pPr>
      <w:r>
        <w:rPr>
          <w:rFonts w:ascii="Arial" w:cs="Arial" w:eastAsia="Arial" w:hAnsi="Arial"/>
          <w:sz w:val="18"/>
          <w:szCs w:val="18"/>
          <w:b w:val="1"/>
          <w:bCs w:val="1"/>
          <w:i w:val="1"/>
          <w:iCs w:val="1"/>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11"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The design and implementation of clinical trials is a complex process. While the employees who will implement our clinical trials have experience in the field, we, as an organization, have no experience designing and no experience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 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391" w:lineRule="exact"/>
        <w:rPr>
          <w:sz w:val="20"/>
          <w:szCs w:val="20"/>
          <w:color w:val="auto"/>
        </w:rPr>
      </w:pPr>
    </w:p>
    <w:p>
      <w:pPr>
        <w:ind w:left="1260" w:right="799"/>
        <w:spacing w:after="0" w:line="232"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110"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143"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3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70"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b w:val="1"/>
          <w:bCs w:val="1"/>
          <w:i w:val="1"/>
          <w:iCs w:val="1"/>
          <w:color w:val="auto"/>
        </w:rPr>
        <w:t>We may not be able to file our INDs to commence clinical trials on the timelines we expect, and even if we are able to, the FDA may not permit us to proceed.</w:t>
      </w:r>
    </w:p>
    <w:p>
      <w:pPr>
        <w:spacing w:after="0" w:line="95"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color w:val="auto"/>
        </w:rPr>
        <w:t>We expect our pipeline to yield multiple INDs, including INDs for our CNTY-101, CNTY- 103, and CNTY-102 product candidates from our iPSC-derived allogeneic cell therapy platforms. We cannot be sure that submission</w:t>
      </w:r>
    </w:p>
    <w:p>
      <w:pPr>
        <w:sectPr>
          <w:pgSz w:w="11900" w:h="16838" w:orient="portrait"/>
          <w:cols w:equalWidth="0" w:num="1">
            <w:col w:w="9859"/>
          </w:cols>
          <w:pgMar w:left="600" w:top="131" w:right="1440" w:bottom="1034"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034"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of an IND will result in the FDA allowing testing and clinical trials to begin, or that, once begun, issues will not arise that suspend or terminate such clinical trials. The manufacturing of our product candidates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we cannot guarantee that such regulatory authorities will not change their requirements in the future.</w:t>
      </w:r>
    </w:p>
    <w:p>
      <w:pPr>
        <w:spacing w:after="0" w:line="170" w:lineRule="exact"/>
        <w:rPr>
          <w:sz w:val="20"/>
          <w:szCs w:val="20"/>
          <w:color w:val="auto"/>
        </w:rPr>
      </w:pPr>
    </w:p>
    <w:p>
      <w:pPr>
        <w:ind w:left="1260" w:right="459"/>
        <w:spacing w:after="0" w:line="226" w:lineRule="auto"/>
        <w:rPr>
          <w:sz w:val="20"/>
          <w:szCs w:val="20"/>
          <w:color w:val="auto"/>
        </w:rPr>
      </w:pPr>
      <w:r>
        <w:rPr>
          <w:rFonts w:ascii="Arial" w:cs="Arial" w:eastAsia="Arial" w:hAnsi="Arial"/>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24" w:lineRule="exact"/>
        <w:rPr>
          <w:sz w:val="20"/>
          <w:szCs w:val="20"/>
          <w:color w:val="auto"/>
        </w:rPr>
      </w:pPr>
    </w:p>
    <w:p>
      <w:pPr>
        <w:ind w:left="1260" w:right="519"/>
        <w:spacing w:after="0" w:line="250" w:lineRule="auto"/>
        <w:rPr>
          <w:sz w:val="20"/>
          <w:szCs w:val="20"/>
          <w:color w:val="auto"/>
        </w:rPr>
      </w:pPr>
      <w:r>
        <w:rPr>
          <w:rFonts w:ascii="Arial" w:cs="Arial" w:eastAsia="Arial" w:hAnsi="Arial"/>
          <w:sz w:val="18"/>
          <w:szCs w:val="18"/>
          <w:color w:val="auto"/>
        </w:rPr>
        <w:t>We focus on the development of programmed cellular immunotherapies for patients with cancer,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175" w:lineRule="exact"/>
        <w:rPr>
          <w:sz w:val="20"/>
          <w:szCs w:val="20"/>
          <w:color w:val="auto"/>
        </w:rPr>
      </w:pPr>
    </w:p>
    <w:p>
      <w:pPr>
        <w:ind w:left="1260" w:right="799"/>
        <w:spacing w:after="0" w:line="237" w:lineRule="auto"/>
        <w:rPr>
          <w:sz w:val="20"/>
          <w:szCs w:val="20"/>
          <w:color w:val="auto"/>
        </w:rPr>
      </w:pPr>
      <w:r>
        <w:rPr>
          <w:rFonts w:ascii="Arial" w:cs="Arial" w:eastAsia="Arial" w:hAnsi="Arial"/>
          <w:sz w:val="18"/>
          <w:szCs w:val="18"/>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3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Patients we intend to treat with our product candidates may also receive chemotherapy, radiation,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w:t>
      </w:r>
    </w:p>
    <w:p>
      <w:pPr>
        <w:spacing w:after="0" w:line="391" w:lineRule="exact"/>
        <w:rPr>
          <w:sz w:val="20"/>
          <w:szCs w:val="20"/>
          <w:color w:val="auto"/>
        </w:rPr>
      </w:pPr>
    </w:p>
    <w:p>
      <w:pPr>
        <w:jc w:val="both"/>
        <w:ind w:left="1260" w:right="919"/>
        <w:spacing w:after="0" w:line="237" w:lineRule="auto"/>
        <w:rPr>
          <w:sz w:val="20"/>
          <w:szCs w:val="20"/>
          <w:color w:val="auto"/>
        </w:rPr>
      </w:pPr>
      <w:r>
        <w:rPr>
          <w:rFonts w:ascii="Arial" w:cs="Arial" w:eastAsia="Arial" w:hAnsi="Arial"/>
          <w:sz w:val="18"/>
          <w:szCs w:val="18"/>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3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Identifying and qualifying patients to participate in clinical trials of CNTY- 101 is critical to our success. The timing of our clinical trials depends in part on the speed at which we can recruit patients to participate in testing CNTY- 101,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timeline for recruiting patients, conducting trials, and obtaining regulatory approval of potential products may be delayed, the commercial prospects of CNTY- 101 or our other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108"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31"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36" w:lineRule="exact"/>
        <w:rPr>
          <w:sz w:val="20"/>
          <w:szCs w:val="20"/>
          <w:color w:val="auto"/>
        </w:rPr>
      </w:pPr>
    </w:p>
    <w:p>
      <w:pPr>
        <w:ind w:left="1260" w:right="519"/>
        <w:spacing w:after="0" w:line="250" w:lineRule="auto"/>
        <w:rPr>
          <w:sz w:val="20"/>
          <w:szCs w:val="20"/>
          <w:color w:val="auto"/>
        </w:rPr>
      </w:pPr>
      <w:r>
        <w:rPr>
          <w:rFonts w:ascii="Arial" w:cs="Arial" w:eastAsia="Arial" w:hAnsi="Arial"/>
          <w:sz w:val="18"/>
          <w:szCs w:val="18"/>
          <w:color w:val="auto"/>
        </w:rPr>
        <w:t>We are collecting data about CNTY-101 in preclinical studies and will continue to do so in clinical trials, if and when they begin. To date, we have only evaluated CNTY-101 in preclinical mouse models and we therefore do not know the side effect profile of our products in humans.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131"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358" w:lineRule="exact"/>
        <w:rPr>
          <w:sz w:val="20"/>
          <w:szCs w:val="20"/>
          <w:color w:val="auto"/>
        </w:rPr>
      </w:pPr>
    </w:p>
    <w:p>
      <w:pPr>
        <w:ind w:left="1260" w:right="619"/>
        <w:spacing w:after="0" w:line="254" w:lineRule="auto"/>
        <w:rPr>
          <w:sz w:val="20"/>
          <w:szCs w:val="20"/>
          <w:color w:val="auto"/>
        </w:rPr>
      </w:pPr>
      <w:r>
        <w:rPr>
          <w:rFonts w:ascii="Arial" w:cs="Arial" w:eastAsia="Arial" w:hAnsi="Arial"/>
          <w:sz w:val="18"/>
          <w:szCs w:val="18"/>
          <w:color w:val="auto"/>
        </w:rPr>
        <w:t>Further, if CNTY- 101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325" w:lineRule="exact"/>
        <w:rPr>
          <w:sz w:val="20"/>
          <w:szCs w:val="20"/>
          <w:color w:val="auto"/>
        </w:rPr>
      </w:pPr>
    </w:p>
    <w:p>
      <w:pPr>
        <w:ind w:left="1400" w:right="799" w:hanging="145"/>
        <w:spacing w:after="0" w:line="275"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request that we recall or withdraw the product from the market or may limit the approval of the product through labeling or other means;</w:t>
      </w:r>
    </w:p>
    <w:p>
      <w:pPr>
        <w:spacing w:after="0" w:line="77" w:lineRule="exact"/>
        <w:rPr>
          <w:rFonts w:ascii="Arial" w:cs="Arial" w:eastAsia="Arial" w:hAnsi="Arial"/>
          <w:sz w:val="18"/>
          <w:szCs w:val="18"/>
          <w:color w:val="auto"/>
        </w:rPr>
      </w:pPr>
    </w:p>
    <w:p>
      <w:pPr>
        <w:ind w:left="1400" w:right="819" w:hanging="145"/>
        <w:spacing w:after="0" w:line="275"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 or a precaution;</w:t>
      </w:r>
    </w:p>
    <w:p>
      <w:pPr>
        <w:spacing w:after="0" w:line="90" w:lineRule="exact"/>
        <w:rPr>
          <w:rFonts w:ascii="Arial" w:cs="Arial" w:eastAsia="Arial" w:hAnsi="Arial"/>
          <w:sz w:val="18"/>
          <w:szCs w:val="18"/>
          <w:color w:val="auto"/>
        </w:rPr>
      </w:pPr>
    </w:p>
    <w:p>
      <w:pPr>
        <w:ind w:left="1400" w:right="979" w:hanging="145"/>
        <w:spacing w:after="0" w:line="275"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decide to recall or remove the product from the marketplace;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819" w:hanging="145"/>
        <w:spacing w:after="0" w:line="275"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and/or held liable for injury caused to individuals exposed to or taking our product candidates;</w:t>
      </w:r>
    </w:p>
    <w:p>
      <w:pPr>
        <w:spacing w:after="0" w:line="50" w:lineRule="exact"/>
        <w:rPr>
          <w:rFonts w:ascii="Arial" w:cs="Arial" w:eastAsia="Arial" w:hAnsi="Arial"/>
          <w:sz w:val="18"/>
          <w:szCs w:val="18"/>
          <w:color w:val="auto"/>
        </w:rPr>
      </w:pPr>
    </w:p>
    <w:p>
      <w:pPr>
        <w:ind w:left="1400" w:hanging="145"/>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the public perception of the safety of CNTY-101 or our other product candidates; and</w:t>
      </w:r>
    </w:p>
    <w:p>
      <w:pPr>
        <w:spacing w:after="0" w:line="88" w:lineRule="exact"/>
        <w:rPr>
          <w:rFonts w:ascii="Arial" w:cs="Arial" w:eastAsia="Arial" w:hAnsi="Arial"/>
          <w:sz w:val="18"/>
          <w:szCs w:val="18"/>
          <w:color w:val="auto"/>
        </w:rPr>
      </w:pPr>
    </w:p>
    <w:p>
      <w:pPr>
        <w:ind w:left="1400" w:hanging="145"/>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3"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69" w:lineRule="exact"/>
        <w:rPr>
          <w:sz w:val="20"/>
          <w:szCs w:val="20"/>
          <w:color w:val="auto"/>
        </w:rPr>
      </w:pPr>
    </w:p>
    <w:p>
      <w:pPr>
        <w:ind w:left="1260" w:right="519"/>
        <w:spacing w:after="0" w:line="232"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or negative clinical trial results from our cell-based therapy competitors, may impact public perception of our company and product candidates, or impair our ability to conduct our business.</w:t>
      </w:r>
    </w:p>
    <w:p>
      <w:pPr>
        <w:spacing w:after="0" w:line="123"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Our iPSC-derived allogeneic cell therapy platforms utilize a relatively novel technology involving the genetic modification of iPSC’s and utilization of those modified cells in other individuals, and no iNK cell -based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175" w:lineRule="exact"/>
        <w:rPr>
          <w:sz w:val="20"/>
          <w:szCs w:val="20"/>
          <w:color w:val="auto"/>
        </w:rPr>
      </w:pPr>
    </w:p>
    <w:p>
      <w:pPr>
        <w:ind w:left="1260" w:right="1159"/>
        <w:spacing w:after="0" w:line="254"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95"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71"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95"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176" w:lineRule="exact"/>
        <w:rPr>
          <w:sz w:val="20"/>
          <w:szCs w:val="20"/>
          <w:color w:val="auto"/>
        </w:rPr>
      </w:pPr>
    </w:p>
    <w:p>
      <w:pPr>
        <w:ind w:left="1260" w:right="439"/>
        <w:spacing w:after="0" w:line="229" w:lineRule="auto"/>
        <w:rPr>
          <w:sz w:val="20"/>
          <w:szCs w:val="20"/>
          <w:color w:val="auto"/>
        </w:rPr>
      </w:pPr>
      <w:r>
        <w:rPr>
          <w:rFonts w:ascii="Arial" w:cs="Arial" w:eastAsia="Arial" w:hAnsi="Arial"/>
          <w:sz w:val="18"/>
          <w:szCs w:val="18"/>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111" w:lineRule="exact"/>
        <w:rPr>
          <w:sz w:val="20"/>
          <w:szCs w:val="20"/>
          <w:color w:val="auto"/>
        </w:rPr>
      </w:pPr>
    </w:p>
    <w:p>
      <w:pPr>
        <w:ind w:left="1260" w:right="639"/>
        <w:spacing w:after="0" w:line="253" w:lineRule="auto"/>
        <w:rPr>
          <w:sz w:val="20"/>
          <w:szCs w:val="20"/>
          <w:color w:val="auto"/>
        </w:rPr>
      </w:pPr>
      <w:r>
        <w:rPr>
          <w:rFonts w:ascii="Arial" w:cs="Arial" w:eastAsia="Arial" w:hAnsi="Arial"/>
          <w:sz w:val="18"/>
          <w:szCs w:val="18"/>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w:t>
      </w:r>
    </w:p>
    <w:p>
      <w:pPr>
        <w:sectPr>
          <w:pgSz w:w="11900" w:h="16838" w:orient="portrait"/>
          <w:cols w:equalWidth="0" w:num="1">
            <w:col w:w="9859"/>
          </w:cols>
          <w:pgMar w:left="600" w:top="132" w:right="1440" w:bottom="1142"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142"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19"/>
        <w:spacing w:after="0" w:line="260" w:lineRule="auto"/>
        <w:rPr>
          <w:sz w:val="20"/>
          <w:szCs w:val="20"/>
          <w:color w:val="auto"/>
        </w:rPr>
      </w:pPr>
      <w:r>
        <w:rPr>
          <w:rFonts w:ascii="Arial" w:cs="Arial" w:eastAsia="Arial" w:hAnsi="Arial"/>
          <w:sz w:val="18"/>
          <w:szCs w:val="18"/>
          <w:color w:val="auto"/>
        </w:rPr>
        <w:t>regulatory agencies, or unanticipated events during our preclinical studies or clinical trials may force us to terminate or adjust our development program.</w:t>
      </w:r>
    </w:p>
    <w:p>
      <w:pPr>
        <w:spacing w:after="0" w:line="117"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358"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386" w:lineRule="exact"/>
        <w:rPr>
          <w:sz w:val="20"/>
          <w:szCs w:val="20"/>
          <w:color w:val="auto"/>
        </w:rPr>
      </w:pPr>
    </w:p>
    <w:p>
      <w:pPr>
        <w:ind w:left="1260" w:right="479"/>
        <w:spacing w:after="0" w:line="22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38" w:lineRule="exact"/>
        <w:rPr>
          <w:sz w:val="20"/>
          <w:szCs w:val="20"/>
          <w:color w:val="auto"/>
        </w:rPr>
      </w:pPr>
    </w:p>
    <w:p>
      <w:pPr>
        <w:ind w:left="1260" w:right="599"/>
        <w:spacing w:after="0" w:line="250" w:lineRule="auto"/>
        <w:rPr>
          <w:sz w:val="20"/>
          <w:szCs w:val="20"/>
          <w:color w:val="auto"/>
        </w:rPr>
      </w:pPr>
      <w:r>
        <w:rPr>
          <w:rFonts w:ascii="Arial" w:cs="Arial" w:eastAsia="Arial" w:hAnsi="Arial"/>
          <w:sz w:val="18"/>
          <w:szCs w:val="18"/>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the ongoing COVID-19 pandemic,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United States government has shut down several times and certain regulatory agencies, such as the FDA, have had to furlough critical FDA employees and stop critical activities.</w:t>
      </w:r>
    </w:p>
    <w:p>
      <w:pPr>
        <w:spacing w:after="0" w:line="34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 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60" w:right="479"/>
        <w:spacing w:after="0" w:line="23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preclinical studies, and we will rely on third parties to conduct, supervise, and monitor future clinical trials for our product candidates.</w:t>
      </w:r>
    </w:p>
    <w:p>
      <w:pPr>
        <w:spacing w:after="0" w:line="122"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We rely on third-party CROs, study sites, and others to conduct, supervise, and monitor our preclinical studies for our product candidates and we expect to rely on third parties to similarly conduct, supervise, and monitor any future clinical trials for our product candidates. We expect to continue to rely on third parties, such as CROs, clinical data management organizations, medical institutions, and clinical investigators, to conduct our preclinical studies, and intend to rely on third parties in connection with the commencement of future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including as a result of the impact of the COVID- 19 pandemic, could substantially harm our business because we may be delayed in completing or unable to complete the studies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142"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trials and future clinical trials is conducted in accordance with the general investigational plan and protocols for such trial. We must also ensure that our preclinical and future clinical trials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trials and future clinical trials may be deemed unreliable and the FDA, or comparable foreign regulatory authorities may require us to perform additional studies.</w:t>
      </w:r>
    </w:p>
    <w:p>
      <w:pPr>
        <w:spacing w:after="0" w:line="142"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23"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138"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future clinical trials in accordance with regulatory requirements or our stated protocols, if these parties are adversely impacted by the COVID-19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and future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 -party service providers in the future, our business, financial condition, results of operations, and prospects may be materially harmed.</w:t>
      </w:r>
    </w:p>
    <w:p>
      <w:pPr>
        <w:spacing w:after="0" w:line="345"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385" w:lineRule="exact"/>
        <w:rPr>
          <w:sz w:val="20"/>
          <w:szCs w:val="20"/>
          <w:color w:val="auto"/>
        </w:rPr>
      </w:pPr>
    </w:p>
    <w:p>
      <w:pPr>
        <w:ind w:left="1260" w:right="879"/>
        <w:spacing w:after="0" w:line="23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49"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387" w:lineRule="exact"/>
        <w:rPr>
          <w:sz w:val="20"/>
          <w:szCs w:val="20"/>
          <w:color w:val="auto"/>
        </w:rPr>
      </w:pPr>
    </w:p>
    <w:p>
      <w:pPr>
        <w:jc w:val="both"/>
        <w:ind w:left="1260" w:right="539"/>
        <w:spacing w:after="0" w:line="237" w:lineRule="auto"/>
        <w:rPr>
          <w:sz w:val="20"/>
          <w:szCs w:val="20"/>
          <w:color w:val="auto"/>
        </w:rPr>
      </w:pPr>
      <w:r>
        <w:rPr>
          <w:rFonts w:ascii="Arial" w:cs="Arial" w:eastAsia="Arial" w:hAnsi="Arial"/>
          <w:sz w:val="18"/>
          <w:szCs w:val="18"/>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49"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Our business strategy includes leveraging our strategic partnership with FCDI, and may include additional future partnerships for manufacturing, product development, product commercialization,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352"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339"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111" w:lineRule="exact"/>
        <w:rPr>
          <w:sz w:val="20"/>
          <w:szCs w:val="20"/>
          <w:color w:val="auto"/>
        </w:rPr>
      </w:pPr>
    </w:p>
    <w:p>
      <w:pPr>
        <w:ind w:left="1400" w:hanging="145"/>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expenditure of substantial operational, financial and management resources;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dilutive issuances of our securities;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actual or contingent liabilities; and</w:t>
      </w:r>
    </w:p>
    <w:p>
      <w:pPr>
        <w:spacing w:after="0" w:line="129" w:lineRule="exact"/>
        <w:rPr>
          <w:rFonts w:ascii="Arial" w:cs="Arial" w:eastAsia="Arial" w:hAnsi="Arial"/>
          <w:sz w:val="18"/>
          <w:szCs w:val="18"/>
          <w:color w:val="auto"/>
        </w:rPr>
      </w:pPr>
    </w:p>
    <w:p>
      <w:pPr>
        <w:ind w:left="1400" w:right="919" w:hanging="145"/>
        <w:spacing w:after="0" w:line="275"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expiration of the arrangement, which would delay the development and may increase the cost of developing our product candidates.</w:t>
      </w:r>
    </w:p>
    <w:p>
      <w:pPr>
        <w:spacing w:after="0" w:line="131"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354"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prospectus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Risks related to manufacturing</w:t>
      </w:r>
    </w:p>
    <w:p>
      <w:pPr>
        <w:spacing w:after="0" w:line="187" w:lineRule="exact"/>
        <w:rPr>
          <w:sz w:val="20"/>
          <w:szCs w:val="20"/>
          <w:color w:val="auto"/>
        </w:rPr>
      </w:pPr>
    </w:p>
    <w:p>
      <w:pPr>
        <w:jc w:val="both"/>
        <w:ind w:left="1260" w:right="519"/>
        <w:spacing w:after="0" w:line="237" w:lineRule="auto"/>
        <w:rPr>
          <w:sz w:val="20"/>
          <w:szCs w:val="20"/>
          <w:color w:val="auto"/>
        </w:rPr>
      </w:pPr>
      <w:r>
        <w:rPr>
          <w:rFonts w:ascii="Arial" w:cs="Arial" w:eastAsia="Arial" w:hAnsi="Arial"/>
          <w:sz w:val="18"/>
          <w:szCs w:val="18"/>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49"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140"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We have no direct experience in the manufacture of cell-based therapies. We are still developing with third parties optimized and reproducible manufacturing processes for clinical and commercial-scale manufacturing of our product candidates, and none of our manufacturing processes have been validated for commercial production</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124"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391" w:lineRule="exact"/>
        <w:rPr>
          <w:sz w:val="20"/>
          <w:szCs w:val="20"/>
          <w:color w:val="auto"/>
        </w:rPr>
      </w:pPr>
    </w:p>
    <w:p>
      <w:pPr>
        <w:ind w:left="1260" w:right="559"/>
        <w:spacing w:after="0" w:line="228" w:lineRule="auto"/>
        <w:rPr>
          <w:sz w:val="20"/>
          <w:szCs w:val="20"/>
          <w:color w:val="auto"/>
        </w:rPr>
      </w:pPr>
      <w:r>
        <w:rPr>
          <w:rFonts w:ascii="Arial" w:cs="Arial" w:eastAsia="Arial" w:hAnsi="Arial"/>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93"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COVID -19 pandemic, the business and operations of our suppliers may be disrupted or delayed, and we in turn may experience disruptions or delays in our supply chain. An inability to continue to source product from any of these suppliers, which could be due to the impacts of the COVID-19 pandemic,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354"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385"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b w:val="1"/>
          <w:bCs w:val="1"/>
          <w:i w:val="1"/>
          <w:iCs w:val="1"/>
          <w:color w:val="auto"/>
        </w:rPr>
        <w:t>We currently rely on third parties for the manufacture of our product candidates for development, however, we intend to operate our own manufacturing facility in the future for the production of certain of our product candidates.</w:t>
      </w:r>
    </w:p>
    <w:p>
      <w:pPr>
        <w:spacing w:after="0" w:line="95"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We currently do not operate manufacturing facilities and rely on FCDI for the manufacture of our product candidates and CMOs for the manufacture of related raw materials for clinical and preclinical development. If we</w:t>
      </w:r>
    </w:p>
    <w:p>
      <w:pPr>
        <w:sectPr>
          <w:pgSz w:w="11900" w:h="16838" w:orient="portrait"/>
          <w:cols w:equalWidth="0" w:num="1">
            <w:col w:w="9859"/>
          </w:cols>
          <w:pgMar w:left="600" w:top="131" w:right="1440" w:bottom="496"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496"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are unable to successfully construct our own manufacturing facilities, we expect to rely on third parties for commercial manufacture if any of our product candidates receive marketing approval. We have partnered with FCDI for the manufacture and supply of our product candidates for future clinical development, as well as to establish commercial supplies of our product candidates, if approved. We are investing in the construction of our own 53,000 square foot cell therapy manufacturing facility in Branchburg, New Jersey, but there can be no assurance our manufacturing facility will become operational on schedule or at all.</w:t>
      </w:r>
    </w:p>
    <w:p>
      <w:pPr>
        <w:spacing w:after="0" w:line="130" w:lineRule="exact"/>
        <w:rPr>
          <w:sz w:val="20"/>
          <w:szCs w:val="20"/>
          <w:color w:val="auto"/>
        </w:rPr>
      </w:pPr>
    </w:p>
    <w:p>
      <w:pPr>
        <w:ind w:left="1260" w:right="459"/>
        <w:spacing w:after="0" w:line="265" w:lineRule="auto"/>
        <w:rPr>
          <w:sz w:val="20"/>
          <w:szCs w:val="20"/>
          <w:color w:val="auto"/>
        </w:rPr>
      </w:pPr>
      <w:r>
        <w:rPr>
          <w:rFonts w:ascii="Arial" w:cs="Arial" w:eastAsia="Arial" w:hAnsi="Arial"/>
          <w:sz w:val="18"/>
          <w:szCs w:val="18"/>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379" w:lineRule="exact"/>
        <w:rPr>
          <w:sz w:val="20"/>
          <w:szCs w:val="20"/>
          <w:color w:val="auto"/>
        </w:rPr>
      </w:pPr>
    </w:p>
    <w:p>
      <w:pPr>
        <w:ind w:left="1260" w:right="599"/>
        <w:spacing w:after="0" w:line="270" w:lineRule="auto"/>
        <w:rPr>
          <w:sz w:val="20"/>
          <w:szCs w:val="20"/>
          <w:color w:val="auto"/>
        </w:rPr>
      </w:pPr>
      <w:r>
        <w:rPr>
          <w:rFonts w:ascii="Arial" w:cs="Arial" w:eastAsia="Arial" w:hAnsi="Arial"/>
          <w:sz w:val="18"/>
          <w:szCs w:val="18"/>
          <w:color w:val="auto"/>
        </w:rPr>
        <w:t>Our or a CMO’s failure to execute on our manufacturing requirements, to do so on commercially reasonable terms and comply with cGMP could adversely affect our business in a number of ways, including:</w:t>
      </w:r>
    </w:p>
    <w:p>
      <w:pPr>
        <w:spacing w:after="0" w:line="95" w:lineRule="exact"/>
        <w:rPr>
          <w:sz w:val="20"/>
          <w:szCs w:val="20"/>
          <w:color w:val="auto"/>
        </w:rPr>
      </w:pPr>
    </w:p>
    <w:p>
      <w:pPr>
        <w:ind w:left="1400" w:right="839" w:hanging="145"/>
        <w:spacing w:after="0" w:line="275"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CNTY-101 or our other product candidates under development;</w:t>
      </w:r>
    </w:p>
    <w:p>
      <w:pPr>
        <w:spacing w:after="0" w:line="90" w:lineRule="exact"/>
        <w:rPr>
          <w:rFonts w:ascii="Arial" w:cs="Arial" w:eastAsia="Arial" w:hAnsi="Arial"/>
          <w:sz w:val="18"/>
          <w:szCs w:val="18"/>
          <w:color w:val="auto"/>
        </w:rPr>
      </w:pPr>
    </w:p>
    <w:p>
      <w:pPr>
        <w:ind w:left="1400" w:right="759" w:hanging="145"/>
        <w:spacing w:after="0" w:line="275"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90" w:lineRule="exact"/>
        <w:rPr>
          <w:rFonts w:ascii="Arial" w:cs="Arial" w:eastAsia="Arial" w:hAnsi="Arial"/>
          <w:sz w:val="18"/>
          <w:szCs w:val="18"/>
          <w:color w:val="auto"/>
        </w:rPr>
      </w:pPr>
    </w:p>
    <w:p>
      <w:pPr>
        <w:ind w:left="1400" w:right="1099" w:hanging="145"/>
        <w:spacing w:after="0" w:line="275"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142" w:lineRule="exact"/>
        <w:rPr>
          <w:rFonts w:ascii="Arial" w:cs="Arial" w:eastAsia="Arial" w:hAnsi="Arial"/>
          <w:sz w:val="18"/>
          <w:szCs w:val="18"/>
          <w:color w:val="auto"/>
        </w:rPr>
      </w:pPr>
    </w:p>
    <w:p>
      <w:pPr>
        <w:ind w:left="1400" w:right="1099" w:hanging="145"/>
        <w:spacing w:after="0" w:line="270"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CNTY-101 or our other product candidates, an inability to meet commercial demands for CNTY-101 or our other product candidates.</w:t>
      </w:r>
    </w:p>
    <w:p>
      <w:pPr>
        <w:spacing w:after="0" w:line="122" w:lineRule="exact"/>
        <w:rPr>
          <w:sz w:val="20"/>
          <w:szCs w:val="20"/>
          <w:color w:val="auto"/>
        </w:rPr>
      </w:pPr>
    </w:p>
    <w:p>
      <w:pPr>
        <w:ind w:left="1260" w:right="599"/>
        <w:spacing w:after="0" w:line="268" w:lineRule="auto"/>
        <w:rPr>
          <w:sz w:val="20"/>
          <w:szCs w:val="20"/>
          <w:color w:val="auto"/>
        </w:rPr>
      </w:pPr>
      <w:r>
        <w:rPr>
          <w:rFonts w:ascii="Arial" w:cs="Arial" w:eastAsia="Arial" w:hAnsi="Arial"/>
          <w:sz w:val="18"/>
          <w:szCs w:val="18"/>
          <w:color w:val="auto"/>
        </w:rPr>
        <w:t>Any performance failure on the part of us or our existing or future CMOs could delay clinical development or marketing approval, and any related remedial measures may be costly or time-consuming to implement. If our current CMOs cannot perform as agreed, we may be required to replace such manufacturers and we may be unable to replace them on a timely basis or at all.</w:t>
      </w:r>
    </w:p>
    <w:p>
      <w:pPr>
        <w:spacing w:after="0" w:line="138" w:lineRule="exact"/>
        <w:rPr>
          <w:sz w:val="20"/>
          <w:szCs w:val="20"/>
          <w:color w:val="auto"/>
        </w:rPr>
      </w:pPr>
    </w:p>
    <w:p>
      <w:pPr>
        <w:ind w:left="1260" w:right="679"/>
        <w:spacing w:after="0" w:line="270" w:lineRule="auto"/>
        <w:rPr>
          <w:sz w:val="20"/>
          <w:szCs w:val="20"/>
          <w:color w:val="auto"/>
        </w:rPr>
      </w:pPr>
      <w:r>
        <w:rPr>
          <w:rFonts w:ascii="Arial" w:cs="Arial" w:eastAsia="Arial" w:hAnsi="Arial"/>
          <w:sz w:val="18"/>
          <w:szCs w:val="18"/>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54" w:lineRule="exact"/>
        <w:rPr>
          <w:sz w:val="20"/>
          <w:szCs w:val="20"/>
          <w:color w:val="auto"/>
        </w:rPr>
      </w:pPr>
    </w:p>
    <w:p>
      <w:pPr>
        <w:jc w:val="both"/>
        <w:ind w:left="1260" w:right="1059"/>
        <w:spacing w:after="0" w:line="237"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49"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believe that internal cGMP manufacturing is important to facilitate clinical product supply, lower the risk of manufacturing disruptions, and enable more cost-effective manufacturing. We believe our Branchburg, New Jersey facility, once complete, will allow us to supply certain of our product candidates needed for our early-stage clinical trials and preclinical studies. The design, construction, qualification, and regulatory approvals for such facilities require substantial capital and technical expertise and any delay could limit our development activities and our opportunities for growth, or negatively impact our financial results.</w:t>
      </w:r>
    </w:p>
    <w:p>
      <w:pPr>
        <w:sectPr>
          <w:pgSz w:w="11900" w:h="16838" w:orient="portrait"/>
          <w:cols w:equalWidth="0" w:num="1">
            <w:col w:w="9859"/>
          </w:cols>
          <w:pgMar w:left="600" w:top="131" w:right="1440" w:bottom="590" w:gutter="0" w:footer="0" w:header="0"/>
        </w:sect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59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also may encounter problems with the following:</w:t>
      </w:r>
    </w:p>
    <w:p>
      <w:pPr>
        <w:spacing w:after="0" w:line="129" w:lineRule="exact"/>
        <w:rPr>
          <w:sz w:val="20"/>
          <w:szCs w:val="20"/>
          <w:color w:val="auto"/>
        </w:rPr>
      </w:pPr>
    </w:p>
    <w:p>
      <w:pPr>
        <w:ind w:left="1400" w:right="979" w:hanging="145"/>
        <w:spacing w:after="0" w:line="275"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complying with regulations regarding donor traceability, manufacturing, release of product candidates and other requirements from regulatory authorities outside the United States;</w:t>
      </w:r>
    </w:p>
    <w:p>
      <w:pPr>
        <w:spacing w:after="0" w:line="77" w:lineRule="exact"/>
        <w:rPr>
          <w:rFonts w:ascii="Arial" w:cs="Arial" w:eastAsia="Arial" w:hAnsi="Arial"/>
          <w:sz w:val="18"/>
          <w:szCs w:val="18"/>
          <w:color w:val="auto"/>
        </w:rPr>
      </w:pPr>
    </w:p>
    <w:p>
      <w:pPr>
        <w:ind w:left="1400" w:right="1099" w:hanging="145"/>
        <w:spacing w:after="0" w:line="275"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facility; and</w:t>
      </w:r>
    </w:p>
    <w:p>
      <w:pPr>
        <w:spacing w:after="0" w:line="102" w:lineRule="exact"/>
        <w:rPr>
          <w:rFonts w:ascii="Arial" w:cs="Arial" w:eastAsia="Arial" w:hAnsi="Arial"/>
          <w:sz w:val="18"/>
          <w:szCs w:val="18"/>
          <w:color w:val="auto"/>
        </w:rPr>
      </w:pPr>
    </w:p>
    <w:p>
      <w:pPr>
        <w:ind w:left="1400" w:hanging="145"/>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156"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76" w:lineRule="exact"/>
        <w:rPr>
          <w:sz w:val="20"/>
          <w:szCs w:val="20"/>
          <w:color w:val="auto"/>
        </w:rPr>
      </w:pPr>
    </w:p>
    <w:p>
      <w:pPr>
        <w:ind w:left="1260" w:right="619"/>
        <w:spacing w:after="0" w:line="254" w:lineRule="auto"/>
        <w:rPr>
          <w:sz w:val="20"/>
          <w:szCs w:val="20"/>
          <w:color w:val="auto"/>
        </w:rPr>
      </w:pPr>
      <w:r>
        <w:rPr>
          <w:rFonts w:ascii="Arial" w:cs="Arial" w:eastAsia="Arial" w:hAnsi="Arial"/>
          <w:sz w:val="18"/>
          <w:szCs w:val="18"/>
          <w:b w:val="1"/>
          <w:bCs w:val="1"/>
          <w:i w:val="1"/>
          <w:iCs w:val="1"/>
          <w:color w:val="auto"/>
        </w:rPr>
        <w:t>We are dependent on third parties to store our CAR-iNK and CAR-iT cells and master and working cell banks of the engineered iPSC cells.</w:t>
      </w:r>
    </w:p>
    <w:p>
      <w:pPr>
        <w:spacing w:after="0" w:line="122"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The CAR-iNK and CAR-iT cells and the master and working cell banks of the engineered iPSC cells are stored in freezers at third -party biorepositories and will also be stored in our freezers at our production facility if and when it becomes operational. If these materials are damaged at these facilities, including by the loss or malfunction of these freezers or our back-up power systems, as well as by damage from fire, power loss or other natural disasters, we would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Risks related to commercialization of our product candidates</w:t>
      </w:r>
    </w:p>
    <w:p>
      <w:pPr>
        <w:spacing w:after="0" w:line="187" w:lineRule="exact"/>
        <w:rPr>
          <w:sz w:val="20"/>
          <w:szCs w:val="20"/>
          <w:color w:val="auto"/>
        </w:rPr>
      </w:pPr>
    </w:p>
    <w:p>
      <w:pPr>
        <w:ind w:left="1260" w:right="719"/>
        <w:spacing w:after="0" w:line="237" w:lineRule="auto"/>
        <w:rPr>
          <w:sz w:val="20"/>
          <w:szCs w:val="20"/>
          <w:color w:val="auto"/>
        </w:rPr>
      </w:pPr>
      <w:r>
        <w:rPr>
          <w:rFonts w:ascii="Arial" w:cs="Arial" w:eastAsia="Arial" w:hAnsi="Arial"/>
          <w:sz w:val="18"/>
          <w:szCs w:val="18"/>
          <w:b w:val="1"/>
          <w:bCs w:val="1"/>
          <w:i w:val="1"/>
          <w:iCs w:val="1"/>
          <w:color w:val="auto"/>
        </w:rPr>
        <w:t>If we are unable to successfully commercialize CNTY- 101 or any of our other product candidates for which we receive regulatory approval, or experience significant delays in doing so, our business will be materially harmed.</w:t>
      </w:r>
    </w:p>
    <w:p>
      <w:pPr>
        <w:spacing w:after="0" w:line="122" w:lineRule="exact"/>
        <w:rPr>
          <w:sz w:val="20"/>
          <w:szCs w:val="20"/>
          <w:color w:val="auto"/>
        </w:rPr>
      </w:pPr>
    </w:p>
    <w:p>
      <w:pPr>
        <w:jc w:val="both"/>
        <w:ind w:left="1260" w:right="819"/>
        <w:spacing w:after="0" w:line="254" w:lineRule="auto"/>
        <w:rPr>
          <w:sz w:val="20"/>
          <w:szCs w:val="20"/>
          <w:color w:val="auto"/>
        </w:rPr>
      </w:pPr>
      <w:r>
        <w:rPr>
          <w:rFonts w:ascii="Arial" w:cs="Arial" w:eastAsia="Arial" w:hAnsi="Arial"/>
          <w:sz w:val="18"/>
          <w:szCs w:val="18"/>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110" w:lineRule="exact"/>
        <w:rPr>
          <w:sz w:val="20"/>
          <w:szCs w:val="20"/>
          <w:color w:val="auto"/>
        </w:rPr>
      </w:pPr>
    </w:p>
    <w:p>
      <w:pPr>
        <w:ind w:left="1400" w:right="719" w:hanging="145"/>
        <w:spacing w:after="0" w:line="275"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whether alone or in collaboration with others;</w:t>
      </w:r>
    </w:p>
    <w:p>
      <w:pPr>
        <w:spacing w:after="0" w:line="77" w:lineRule="exact"/>
        <w:rPr>
          <w:rFonts w:ascii="Arial" w:cs="Arial" w:eastAsia="Arial" w:hAnsi="Arial"/>
          <w:sz w:val="18"/>
          <w:szCs w:val="18"/>
          <w:color w:val="auto"/>
        </w:rPr>
      </w:pPr>
    </w:p>
    <w:p>
      <w:pPr>
        <w:ind w:left="1400" w:right="559" w:hanging="145"/>
        <w:spacing w:after="0" w:line="270"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receiving an approved label with claims that are necessary or desirable for successful marketing, and that does not contain safety or other limitations that would impede our ability to market our product candidates;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739" w:hanging="145"/>
        <w:spacing w:after="0" w:line="275"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creating market demand for our product candidates through marketing, sales, and promotion activities;</w:t>
      </w:r>
    </w:p>
    <w:p>
      <w:pPr>
        <w:spacing w:after="0" w:line="90" w:lineRule="exact"/>
        <w:rPr>
          <w:rFonts w:ascii="Arial" w:cs="Arial" w:eastAsia="Arial" w:hAnsi="Arial"/>
          <w:sz w:val="18"/>
          <w:szCs w:val="18"/>
          <w:color w:val="auto"/>
        </w:rPr>
      </w:pPr>
    </w:p>
    <w:p>
      <w:pPr>
        <w:ind w:left="1400" w:right="739" w:hanging="145"/>
        <w:spacing w:after="0" w:line="275"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hiring, training, and deploying a sales force or contracting with third parties to commercialize our product candidates;</w:t>
      </w:r>
    </w:p>
    <w:p>
      <w:pPr>
        <w:spacing w:after="0" w:line="90" w:lineRule="exact"/>
        <w:rPr>
          <w:rFonts w:ascii="Arial" w:cs="Arial" w:eastAsia="Arial" w:hAnsi="Arial"/>
          <w:sz w:val="18"/>
          <w:szCs w:val="18"/>
          <w:color w:val="auto"/>
        </w:rPr>
      </w:pPr>
    </w:p>
    <w:p>
      <w:pPr>
        <w:ind w:left="1400" w:right="1019" w:hanging="145"/>
        <w:spacing w:after="0" w:line="270"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either on our own or through third parties, product candidates in sufficient quantities and at acceptable quality and cost to meet commercial demand at launch and thereafter;</w:t>
      </w:r>
    </w:p>
    <w:p>
      <w:pPr>
        <w:spacing w:after="0" w:line="108" w:lineRule="exact"/>
        <w:rPr>
          <w:rFonts w:ascii="Arial" w:cs="Arial" w:eastAsia="Arial" w:hAnsi="Arial"/>
          <w:sz w:val="18"/>
          <w:szCs w:val="18"/>
          <w:color w:val="auto"/>
        </w:rPr>
      </w:pPr>
    </w:p>
    <w:p>
      <w:pPr>
        <w:ind w:left="1400" w:right="619" w:hanging="145"/>
        <w:spacing w:after="0" w:line="275"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agreements with wholesalers, distributors, and group purchasing organizations on commercially reasonable terms;</w:t>
      </w:r>
    </w:p>
    <w:p>
      <w:pPr>
        <w:spacing w:after="0" w:line="90" w:lineRule="exact"/>
        <w:rPr>
          <w:rFonts w:ascii="Arial" w:cs="Arial" w:eastAsia="Arial" w:hAnsi="Arial"/>
          <w:sz w:val="18"/>
          <w:szCs w:val="18"/>
          <w:color w:val="auto"/>
        </w:rPr>
      </w:pPr>
    </w:p>
    <w:p>
      <w:pPr>
        <w:ind w:left="1400" w:right="939" w:hanging="145"/>
        <w:spacing w:after="0" w:line="275"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creating partnerships with, or offering licenses to, third parties to promote and sell product candidates in foreign markets where we receive marketing approval;</w:t>
      </w:r>
    </w:p>
    <w:p>
      <w:pPr>
        <w:spacing w:after="0" w:line="104" w:lineRule="exact"/>
        <w:rPr>
          <w:rFonts w:ascii="Arial" w:cs="Arial" w:eastAsia="Arial" w:hAnsi="Arial"/>
          <w:sz w:val="18"/>
          <w:szCs w:val="18"/>
          <w:color w:val="auto"/>
        </w:rPr>
      </w:pPr>
    </w:p>
    <w:p>
      <w:pPr>
        <w:ind w:left="1400" w:right="1179" w:hanging="145"/>
        <w:spacing w:after="0" w:line="275"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maintaining, protecting, and enforcing patent and trade secret protection and regulatory exclusivity for our product candidates;</w:t>
      </w:r>
    </w:p>
    <w:p>
      <w:pPr>
        <w:spacing w:after="0" w:line="90" w:lineRule="exact"/>
        <w:rPr>
          <w:rFonts w:ascii="Arial" w:cs="Arial" w:eastAsia="Arial" w:hAnsi="Arial"/>
          <w:sz w:val="18"/>
          <w:szCs w:val="18"/>
          <w:color w:val="auto"/>
        </w:rPr>
      </w:pPr>
    </w:p>
    <w:p>
      <w:pPr>
        <w:ind w:left="1400" w:right="779" w:hanging="145"/>
        <w:spacing w:after="0" w:line="275"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achieving market acceptance of our product candidates by patients, the medical community, and third-party payors;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achieving appropriate reimbursement for our product candidates;</w:t>
      </w:r>
    </w:p>
    <w:p>
      <w:pPr>
        <w:spacing w:after="0" w:line="142" w:lineRule="exact"/>
        <w:rPr>
          <w:rFonts w:ascii="Arial" w:cs="Arial" w:eastAsia="Arial" w:hAnsi="Arial"/>
          <w:sz w:val="18"/>
          <w:szCs w:val="18"/>
          <w:color w:val="auto"/>
        </w:rPr>
      </w:pPr>
    </w:p>
    <w:p>
      <w:pPr>
        <w:ind w:left="1400" w:hanging="145"/>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an acceptable tolerability profile of our product candidates following launch.</w:t>
      </w:r>
    </w:p>
    <w:p>
      <w:pPr>
        <w:spacing w:after="0" w:line="170" w:lineRule="exact"/>
        <w:rPr>
          <w:sz w:val="20"/>
          <w:szCs w:val="20"/>
          <w:color w:val="auto"/>
        </w:rPr>
      </w:pPr>
    </w:p>
    <w:p>
      <w:pPr>
        <w:ind w:left="1260" w:right="499"/>
        <w:spacing w:after="0" w:line="275" w:lineRule="auto"/>
        <w:rPr>
          <w:sz w:val="20"/>
          <w:szCs w:val="20"/>
          <w:color w:val="auto"/>
        </w:rPr>
      </w:pPr>
      <w:r>
        <w:rPr>
          <w:rFonts w:ascii="Arial" w:cs="Arial" w:eastAsia="Arial" w:hAnsi="Arial"/>
          <w:sz w:val="18"/>
          <w:szCs w:val="18"/>
          <w:color w:val="auto"/>
        </w:rPr>
        <w:t>To the extent we are not able to do any of the foregoing, our business, financial condition, results of operations, and prospects will be materially harmed.</w:t>
      </w:r>
    </w:p>
    <w:p>
      <w:pPr>
        <w:spacing w:after="0" w:line="149" w:lineRule="exact"/>
        <w:rPr>
          <w:sz w:val="20"/>
          <w:szCs w:val="20"/>
          <w:color w:val="auto"/>
        </w:rPr>
      </w:pPr>
    </w:p>
    <w:p>
      <w:pPr>
        <w:ind w:left="1260" w:right="619"/>
        <w:spacing w:after="0" w:line="23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35"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50"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In addition, because reprogramming technology and gene editing technology are available on a non-exclusive basis, the number of companies developing iPSC-derived products and products using gene editing technology is expected to increase, which will 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389"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w:t>
      </w:r>
    </w:p>
    <w:p>
      <w:pPr>
        <w:spacing w:after="0" w:line="109"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144"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385" w:lineRule="exact"/>
        <w:rPr>
          <w:sz w:val="20"/>
          <w:szCs w:val="20"/>
          <w:color w:val="auto"/>
        </w:rPr>
      </w:pPr>
    </w:p>
    <w:p>
      <w:pPr>
        <w:ind w:left="1260" w:right="839"/>
        <w:spacing w:after="0" w:line="237"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13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payers is essential for most patients to be able to afford expensive treatments, such as cellular immunotherapy. There is significant uncertainty related to the insurance coverage and reimbursement of newly approved products by government and third-party payers. In particular, there is no body of established practices and precedents for reimbursement of cellular immunotherapies, and it is difficult to predict what the regulatory authority or private payer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1099"/>
        <w:spacing w:after="0" w:line="254" w:lineRule="auto"/>
        <w:rPr>
          <w:sz w:val="20"/>
          <w:szCs w:val="20"/>
          <w:color w:val="auto"/>
        </w:rPr>
      </w:pPr>
      <w:r>
        <w:rPr>
          <w:rFonts w:ascii="Arial" w:cs="Arial" w:eastAsia="Arial" w:hAnsi="Arial"/>
          <w:sz w:val="18"/>
          <w:szCs w:val="18"/>
          <w:color w:val="auto"/>
        </w:rPr>
        <w:t>commercialize our product candidates. Even if coverage is provided, the approved reimbursement amount may not be sufficient to allow us to establish or maintain pricing to generate income.</w:t>
      </w:r>
    </w:p>
    <w:p>
      <w:pPr>
        <w:spacing w:after="0" w:line="123"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 party payers,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76"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b w:val="1"/>
          <w:bCs w:val="1"/>
          <w:i w:val="1"/>
          <w:iCs w:val="1"/>
          <w:color w:val="auto"/>
        </w:rPr>
        <w:t>Even if we obtain regulatory and marketing approval for a product candidate, our product candidates will remain subject to regulatory oversight.</w:t>
      </w:r>
    </w:p>
    <w:p>
      <w:pPr>
        <w:spacing w:after="0" w:line="122"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 -keeping, and submission of safety and other post-market information. The FDA has significant post-market authority, including, for example, the authority to require labeling changes based on new safety information and to require post- 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 -marketing testing, including post- 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356"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340" w:lineRule="exact"/>
        <w:rPr>
          <w:sz w:val="20"/>
          <w:szCs w:val="20"/>
          <w:color w:val="auto"/>
        </w:rPr>
      </w:pPr>
    </w:p>
    <w:p>
      <w:pPr>
        <w:ind w:left="1260" w:right="579"/>
        <w:spacing w:after="0" w:line="260" w:lineRule="auto"/>
        <w:rPr>
          <w:sz w:val="20"/>
          <w:szCs w:val="20"/>
          <w:color w:val="auto"/>
        </w:rPr>
      </w:pPr>
      <w:r>
        <w:rPr>
          <w:rFonts w:ascii="Arial" w:cs="Arial" w:eastAsia="Arial" w:hAnsi="Arial"/>
          <w:sz w:val="18"/>
          <w:szCs w:val="18"/>
          <w:color w:val="auto"/>
        </w:rPr>
        <w:t>If we or our contractors fail to comply with applicable regulatory requirements following approval of CNTY-101 or our other product candidates, a regulatory authority may:</w:t>
      </w:r>
    </w:p>
    <w:p>
      <w:pPr>
        <w:spacing w:after="0" w:line="103" w:lineRule="exact"/>
        <w:rPr>
          <w:sz w:val="20"/>
          <w:szCs w:val="20"/>
          <w:color w:val="auto"/>
        </w:rPr>
      </w:pPr>
    </w:p>
    <w:p>
      <w:pPr>
        <w:ind w:left="1400" w:hanging="145"/>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21" w:lineRule="exact"/>
        <w:rPr>
          <w:rFonts w:ascii="Arial" w:cs="Arial" w:eastAsia="Arial" w:hAnsi="Arial"/>
          <w:sz w:val="18"/>
          <w:szCs w:val="18"/>
          <w:color w:val="auto"/>
        </w:rPr>
      </w:pPr>
    </w:p>
    <w:p>
      <w:pPr>
        <w:ind w:left="1400" w:hanging="145"/>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21" w:lineRule="exact"/>
        <w:rPr>
          <w:rFonts w:ascii="Arial" w:cs="Arial" w:eastAsia="Arial" w:hAnsi="Arial"/>
          <w:sz w:val="18"/>
          <w:szCs w:val="18"/>
          <w:color w:val="auto"/>
        </w:rPr>
      </w:pPr>
    </w:p>
    <w:p>
      <w:pPr>
        <w:ind w:left="1400" w:hanging="145"/>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21" w:lineRule="exact"/>
        <w:rPr>
          <w:rFonts w:ascii="Arial" w:cs="Arial" w:eastAsia="Arial" w:hAnsi="Arial"/>
          <w:sz w:val="18"/>
          <w:szCs w:val="18"/>
          <w:color w:val="auto"/>
        </w:rPr>
      </w:pPr>
    </w:p>
    <w:p>
      <w:pPr>
        <w:ind w:left="1400" w:hanging="145"/>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1" w:lineRule="exact"/>
        <w:rPr>
          <w:rFonts w:ascii="Arial" w:cs="Arial" w:eastAsia="Arial" w:hAnsi="Arial"/>
          <w:sz w:val="18"/>
          <w:szCs w:val="18"/>
          <w:color w:val="auto"/>
        </w:rPr>
      </w:pPr>
    </w:p>
    <w:p>
      <w:pPr>
        <w:ind w:left="1400" w:hanging="145"/>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1" w:lineRule="exact"/>
        <w:rPr>
          <w:rFonts w:ascii="Arial" w:cs="Arial" w:eastAsia="Arial" w:hAnsi="Arial"/>
          <w:sz w:val="18"/>
          <w:szCs w:val="18"/>
          <w:color w:val="auto"/>
        </w:rPr>
      </w:pPr>
    </w:p>
    <w:p>
      <w:pPr>
        <w:ind w:left="1400" w:right="1319" w:hanging="145"/>
        <w:spacing w:after="0" w:line="265"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w:t>
      </w:r>
    </w:p>
    <w:p>
      <w:pPr>
        <w:ind w:left="1400" w:hanging="145"/>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hanging="145"/>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21" w:lineRule="exact"/>
        <w:rPr>
          <w:rFonts w:ascii="Arial" w:cs="Arial" w:eastAsia="Arial" w:hAnsi="Arial"/>
          <w:sz w:val="18"/>
          <w:szCs w:val="18"/>
          <w:color w:val="auto"/>
        </w:rPr>
      </w:pPr>
    </w:p>
    <w:p>
      <w:pPr>
        <w:ind w:left="1400" w:hanging="145"/>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21" w:lineRule="exact"/>
        <w:rPr>
          <w:rFonts w:ascii="Arial" w:cs="Arial" w:eastAsia="Arial" w:hAnsi="Arial"/>
          <w:sz w:val="18"/>
          <w:szCs w:val="18"/>
          <w:color w:val="auto"/>
        </w:rPr>
      </w:pPr>
    </w:p>
    <w:p>
      <w:pPr>
        <w:ind w:left="1400" w:hanging="145"/>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70" w:lineRule="exact"/>
        <w:rPr>
          <w:sz w:val="20"/>
          <w:szCs w:val="20"/>
          <w:color w:val="auto"/>
        </w:rPr>
      </w:pPr>
    </w:p>
    <w:p>
      <w:pPr>
        <w:ind w:left="1260" w:right="559"/>
        <w:spacing w:after="0" w:line="26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and adversely affect our business, financial condition, results of operations, and prospects.</w:t>
      </w:r>
    </w:p>
    <w:p>
      <w:pPr>
        <w:spacing w:after="0" w:line="158"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we may not achieve broad market acceptance.</w:t>
      </w:r>
    </w:p>
    <w:p>
      <w:pPr>
        <w:spacing w:after="0" w:line="122"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324" w:lineRule="exact"/>
        <w:rPr>
          <w:sz w:val="20"/>
          <w:szCs w:val="20"/>
          <w:color w:val="auto"/>
        </w:rPr>
      </w:pPr>
    </w:p>
    <w:p>
      <w:pPr>
        <w:ind w:left="1400" w:hanging="145"/>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29" w:lineRule="exact"/>
        <w:rPr>
          <w:rFonts w:ascii="Arial" w:cs="Arial" w:eastAsia="Arial" w:hAnsi="Arial"/>
          <w:sz w:val="18"/>
          <w:szCs w:val="18"/>
          <w:color w:val="auto"/>
        </w:rPr>
      </w:pPr>
    </w:p>
    <w:p>
      <w:pPr>
        <w:ind w:left="1400" w:right="819" w:hanging="145"/>
        <w:spacing w:after="0" w:line="275"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comparable foreign regulatory authority, such as a “black box” warning;</w:t>
      </w:r>
    </w:p>
    <w:p>
      <w:pPr>
        <w:spacing w:after="0" w:line="90" w:lineRule="exact"/>
        <w:rPr>
          <w:rFonts w:ascii="Arial" w:cs="Arial" w:eastAsia="Arial" w:hAnsi="Arial"/>
          <w:sz w:val="18"/>
          <w:szCs w:val="18"/>
          <w:color w:val="auto"/>
        </w:rPr>
      </w:pPr>
    </w:p>
    <w:p>
      <w:pPr>
        <w:ind w:left="1400" w:right="739" w:hanging="145"/>
        <w:spacing w:after="0" w:line="275"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therapies in development that could be approved or commercially launched prior to approval of our product candidates;</w:t>
      </w:r>
    </w:p>
    <w:p>
      <w:pPr>
        <w:spacing w:after="0" w:line="90" w:lineRule="exact"/>
        <w:rPr>
          <w:rFonts w:ascii="Arial" w:cs="Arial" w:eastAsia="Arial" w:hAnsi="Arial"/>
          <w:sz w:val="18"/>
          <w:szCs w:val="18"/>
          <w:color w:val="auto"/>
        </w:rPr>
      </w:pPr>
    </w:p>
    <w:p>
      <w:pPr>
        <w:ind w:left="1400" w:right="1179" w:hanging="145"/>
        <w:spacing w:after="0" w:line="275"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1400" w:right="1319" w:hanging="145"/>
        <w:spacing w:after="0" w:line="275"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any future changes to the United States healthcare system;</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 and</w:t>
      </w:r>
    </w:p>
    <w:p>
      <w:pPr>
        <w:spacing w:after="0" w:line="129" w:lineRule="exact"/>
        <w:rPr>
          <w:rFonts w:ascii="Arial" w:cs="Arial" w:eastAsia="Arial" w:hAnsi="Arial"/>
          <w:sz w:val="18"/>
          <w:szCs w:val="18"/>
          <w:color w:val="auto"/>
        </w:rPr>
      </w:pPr>
    </w:p>
    <w:p>
      <w:pPr>
        <w:ind w:left="1400" w:right="599" w:hanging="145"/>
        <w:spacing w:after="0" w:line="272"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359"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57"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49" w:lineRule="exact"/>
        <w:rPr>
          <w:sz w:val="20"/>
          <w:szCs w:val="20"/>
          <w:color w:val="auto"/>
        </w:rPr>
      </w:pPr>
    </w:p>
    <w:p>
      <w:pPr>
        <w:ind w:left="1260" w:right="679"/>
        <w:spacing w:after="0" w:line="267" w:lineRule="auto"/>
        <w:rPr>
          <w:sz w:val="20"/>
          <w:szCs w:val="20"/>
          <w:color w:val="auto"/>
        </w:rPr>
      </w:pPr>
      <w:r>
        <w:rPr>
          <w:rFonts w:ascii="Arial" w:cs="Arial" w:eastAsia="Arial" w:hAnsi="Arial"/>
          <w:sz w:val="18"/>
          <w:szCs w:val="18"/>
          <w:color w:val="auto"/>
        </w:rPr>
        <w:t>In order to market any product outside of the United States, we must establish and comply with the numerous and varying safety, efficacy, and other regulatory requirements of other jurisdictions, including potential additional 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176" w:lineRule="exact"/>
        <w:rPr>
          <w:sz w:val="20"/>
          <w:szCs w:val="20"/>
          <w:color w:val="auto"/>
        </w:rPr>
      </w:pPr>
    </w:p>
    <w:p>
      <w:pPr>
        <w:ind w:left="1260" w:right="599"/>
        <w:spacing w:after="0" w:line="237" w:lineRule="auto"/>
        <w:rPr>
          <w:sz w:val="20"/>
          <w:szCs w:val="20"/>
          <w:color w:val="auto"/>
        </w:rPr>
      </w:pPr>
      <w:r>
        <w:rPr>
          <w:rFonts w:ascii="Arial" w:cs="Arial" w:eastAsia="Arial" w:hAnsi="Arial"/>
          <w:sz w:val="18"/>
          <w:szCs w:val="18"/>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35"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367" w:lineRule="exact"/>
        <w:rPr>
          <w:sz w:val="20"/>
          <w:szCs w:val="20"/>
          <w:color w:val="auto"/>
        </w:rPr>
      </w:pPr>
    </w:p>
    <w:p>
      <w:pPr>
        <w:ind w:left="1260" w:right="579"/>
        <w:spacing w:after="0" w:line="266" w:lineRule="auto"/>
        <w:rPr>
          <w:sz w:val="20"/>
          <w:szCs w:val="20"/>
          <w:color w:val="auto"/>
        </w:rPr>
      </w:pPr>
      <w:r>
        <w:rPr>
          <w:rFonts w:ascii="Arial" w:cs="Arial" w:eastAsia="Arial" w:hAnsi="Arial"/>
          <w:sz w:val="18"/>
          <w:szCs w:val="18"/>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42"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128"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In the event we are unable to develop a marketing and sales infrastructure, we may not be able to commercialize CNTY-101 or our other product candidates in the United States or elsewhere, which could limit our ability to generate product revenues and materially harm our business, financial condition, results of operations, and prospects.</w:t>
      </w:r>
    </w:p>
    <w:p>
      <w:pPr>
        <w:spacing w:after="0" w:line="157" w:lineRule="exact"/>
        <w:rPr>
          <w:sz w:val="20"/>
          <w:szCs w:val="20"/>
          <w:color w:val="auto"/>
        </w:rPr>
      </w:pPr>
    </w:p>
    <w:p>
      <w:pPr>
        <w:ind w:left="1260" w:right="1019"/>
        <w:spacing w:after="0" w:line="254" w:lineRule="auto"/>
        <w:rPr>
          <w:sz w:val="20"/>
          <w:szCs w:val="20"/>
          <w:color w:val="auto"/>
        </w:rPr>
      </w:pPr>
      <w:r>
        <w:rPr>
          <w:rFonts w:ascii="Arial" w:cs="Arial" w:eastAsia="Arial" w:hAnsi="Arial"/>
          <w:sz w:val="18"/>
          <w:szCs w:val="18"/>
          <w:b w:val="1"/>
          <w:bCs w:val="1"/>
          <w:i w:val="1"/>
          <w:iCs w:val="1"/>
          <w:color w:val="auto"/>
        </w:rPr>
        <w:t>If the market opportunities for our products are smaller than we believe they are, our revenue may be adversely affected, and our business may suffer.</w:t>
      </w:r>
    </w:p>
    <w:p>
      <w:pPr>
        <w:spacing w:after="0" w:line="135" w:lineRule="exact"/>
        <w:rPr>
          <w:sz w:val="20"/>
          <w:szCs w:val="20"/>
          <w:color w:val="auto"/>
        </w:rPr>
      </w:pPr>
    </w:p>
    <w:p>
      <w:pPr>
        <w:ind w:left="1260" w:right="599"/>
        <w:spacing w:after="0" w:line="270"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third-line use. When cancer is detected early enough, first-line therapy, usually</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chemotherapy, hormone therapy, surgery, radiation therapy, or a combination of these, is sometimes adequate to cure the cancer or prolong life without a cure. Second- and third -line therapies are administered to patients when prior therapy is not effective. Initial planned clinical trials are expected to enroll patients who have received other available therapies in order to first evaluate whether the product is safe and whether there is any activity. We do not know at this time whether CNTY-101 or any of our other product candidates will be safe for use in humans or whether they will demonstrate any anti-cancer activity. Subsequently, we plan to conduct additional clinical trials depending on the activity we note in the initial clinical trials. If the activity is sufficient, we may initially seek approval of any product candidates we develop as a therapy for patients who have received one or more prior treatments. Subsequently, for those products that prove to be sufficiently beneficial, if any, we would expect to seek approval potentially in earlier lines of therapy, but there is no guarantee that product candidates we develop, even if approved for later lines of therapy, would be approved for earlier lines of therapy, and, prior to any such approvals, we may have to conduct additional clinical trials.</w:t>
      </w:r>
    </w:p>
    <w:p>
      <w:pPr>
        <w:spacing w:after="0" w:line="345"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focus our research and product development on differentiating engineered iPSC into NK-, T-, or other immune cells for the treatment of various cancers. Our projections of both the number of people who have these cancers, as well as the subset of people with these cancers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74"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35"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96" w:lineRule="exact"/>
        <w:rPr>
          <w:sz w:val="20"/>
          <w:szCs w:val="20"/>
          <w:color w:val="auto"/>
        </w:rPr>
      </w:pPr>
    </w:p>
    <w:p>
      <w:pPr>
        <w:jc w:val="both"/>
        <w:ind w:left="1400" w:right="579" w:hanging="145"/>
        <w:spacing w:after="0" w:line="270"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CNTY-101 and our other product candidates, which may change from time to time;</w:t>
      </w:r>
    </w:p>
    <w:p>
      <w:pPr>
        <w:spacing w:after="0" w:line="95" w:lineRule="exact"/>
        <w:rPr>
          <w:rFonts w:ascii="Arial" w:cs="Arial" w:eastAsia="Arial" w:hAnsi="Arial"/>
          <w:sz w:val="18"/>
          <w:szCs w:val="18"/>
          <w:color w:val="auto"/>
        </w:rPr>
      </w:pPr>
    </w:p>
    <w:p>
      <w:pPr>
        <w:ind w:left="1400" w:right="539" w:hanging="145"/>
        <w:spacing w:after="0" w:line="275"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CNTY-101 and our other product candidates, if approved, and potential future drugs or biologics that compete with our products;</w:t>
      </w:r>
    </w:p>
    <w:p>
      <w:pPr>
        <w:spacing w:after="0" w:line="77" w:lineRule="exact"/>
        <w:rPr>
          <w:rFonts w:ascii="Arial" w:cs="Arial" w:eastAsia="Arial" w:hAnsi="Arial"/>
          <w:sz w:val="18"/>
          <w:szCs w:val="18"/>
          <w:color w:val="auto"/>
        </w:rPr>
      </w:pPr>
    </w:p>
    <w:p>
      <w:pPr>
        <w:ind w:left="1400" w:right="1179" w:hanging="145"/>
        <w:spacing w:after="0" w:line="275"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manufacturing CNTY-101 and our other product candidates, which may vary depending on the quantity of production and the terms of our agreements with CMOs;</w:t>
      </w:r>
    </w:p>
    <w:p>
      <w:pPr>
        <w:spacing w:after="0" w:line="90" w:lineRule="exact"/>
        <w:rPr>
          <w:rFonts w:ascii="Arial" w:cs="Arial" w:eastAsia="Arial" w:hAnsi="Arial"/>
          <w:sz w:val="18"/>
          <w:szCs w:val="18"/>
          <w:color w:val="auto"/>
        </w:rPr>
      </w:pPr>
    </w:p>
    <w:p>
      <w:pPr>
        <w:ind w:left="1400" w:right="659" w:hanging="145"/>
        <w:spacing w:after="0" w:line="275"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5" w:lineRule="exact"/>
        <w:rPr>
          <w:rFonts w:ascii="Arial" w:cs="Arial" w:eastAsia="Arial" w:hAnsi="Arial"/>
          <w:sz w:val="18"/>
          <w:szCs w:val="18"/>
          <w:color w:val="auto"/>
        </w:rPr>
      </w:pPr>
    </w:p>
    <w:p>
      <w:pPr>
        <w:ind w:left="1400" w:right="679" w:hanging="145"/>
        <w:spacing w:after="0" w:line="275"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11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78" w:lineRule="exact"/>
        <w:rPr>
          <w:sz w:val="20"/>
          <w:szCs w:val="20"/>
          <w:color w:val="auto"/>
        </w:rPr>
      </w:pPr>
    </w:p>
    <w:p>
      <w:pPr>
        <w:ind w:left="1260" w:right="439"/>
        <w:spacing w:after="0" w:line="237" w:lineRule="auto"/>
        <w:rPr>
          <w:sz w:val="20"/>
          <w:szCs w:val="20"/>
          <w:color w:val="auto"/>
        </w:rPr>
      </w:pPr>
      <w:r>
        <w:rPr>
          <w:rFonts w:ascii="Arial" w:cs="Arial" w:eastAsia="Arial" w:hAnsi="Arial"/>
          <w:sz w:val="22"/>
          <w:szCs w:val="22"/>
          <w:b w:val="1"/>
          <w:bCs w:val="1"/>
          <w:color w:val="auto"/>
        </w:rPr>
        <w:t>Risks related to employee matters, managing growth and other risks related to our business</w:t>
      </w:r>
    </w:p>
    <w:p>
      <w:pPr>
        <w:spacing w:after="0" w:line="156" w:lineRule="exact"/>
        <w:rPr>
          <w:sz w:val="20"/>
          <w:szCs w:val="20"/>
          <w:color w:val="auto"/>
        </w:rPr>
      </w:pPr>
    </w:p>
    <w:p>
      <w:pPr>
        <w:ind w:left="1260" w:right="899"/>
        <w:spacing w:after="0" w:line="237"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22" w:lineRule="exact"/>
        <w:rPr>
          <w:sz w:val="20"/>
          <w:szCs w:val="20"/>
          <w:color w:val="auto"/>
        </w:rPr>
      </w:pPr>
    </w:p>
    <w:p>
      <w:pPr>
        <w:ind w:left="1260" w:right="639"/>
        <w:spacing w:after="0" w:line="251"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 -derived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138"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We are highly dependent upon our senior management, particularly Osvaldo Flores, Ph.D.,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CNTY- 101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44"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390" w:lineRule="exact"/>
        <w:rPr>
          <w:sz w:val="20"/>
          <w:szCs w:val="20"/>
          <w:color w:val="auto"/>
        </w:rPr>
      </w:pPr>
    </w:p>
    <w:p>
      <w:pPr>
        <w:ind w:left="1260" w:right="1279"/>
        <w:spacing w:after="0" w:line="254" w:lineRule="auto"/>
        <w:rPr>
          <w:sz w:val="20"/>
          <w:szCs w:val="20"/>
          <w:color w:val="auto"/>
        </w:rPr>
      </w:pPr>
      <w:r>
        <w:rPr>
          <w:rFonts w:ascii="Arial" w:cs="Arial" w:eastAsia="Arial" w:hAnsi="Arial"/>
          <w:sz w:val="18"/>
          <w:szCs w:val="18"/>
          <w:b w:val="1"/>
          <w:bCs w:val="1"/>
          <w:i w:val="1"/>
          <w:iCs w:val="1"/>
          <w:color w:val="auto"/>
        </w:rPr>
        <w:t>We will need to increase the size and capabilities of our organization, and we may experience difficulties in managing our growth.</w:t>
      </w:r>
    </w:p>
    <w:p>
      <w:pPr>
        <w:spacing w:after="0" w:line="109"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As of March 1, 2021, we had 96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identifying, recruiting, integrating, maintaining, and motivating additional employees;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739" w:hanging="145"/>
        <w:spacing w:after="0" w:line="270"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or other comparable authority review process for CNTY-101 and our other product candidates, while complying with our contractual obligations to contractors and other third parties; and</w:t>
      </w:r>
    </w:p>
    <w:p>
      <w:pPr>
        <w:spacing w:after="0" w:line="95" w:lineRule="exact"/>
        <w:rPr>
          <w:rFonts w:ascii="Arial" w:cs="Arial" w:eastAsia="Arial" w:hAnsi="Arial"/>
          <w:sz w:val="18"/>
          <w:szCs w:val="18"/>
          <w:color w:val="auto"/>
        </w:rPr>
      </w:pPr>
    </w:p>
    <w:p>
      <w:pPr>
        <w:ind w:left="1400" w:right="1219" w:hanging="145"/>
        <w:spacing w:after="0" w:line="275"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left="1260" w:right="899"/>
        <w:spacing w:after="0" w:line="251" w:lineRule="auto"/>
        <w:rPr>
          <w:sz w:val="20"/>
          <w:szCs w:val="20"/>
          <w:color w:val="auto"/>
        </w:rPr>
      </w:pPr>
      <w:r>
        <w:rPr>
          <w:rFonts w:ascii="Arial" w:cs="Arial" w:eastAsia="Arial" w:hAnsi="Arial"/>
          <w:sz w:val="18"/>
          <w:szCs w:val="18"/>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 -to-day activities in order to devote a substantial amount of time to managing these growth activities. In addition, we expect to incur additional costs in hiring, training, and retaining such additional personnel.</w:t>
      </w:r>
    </w:p>
    <w:p>
      <w:pPr>
        <w:spacing w:after="0" w:line="141"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383" w:lineRule="exact"/>
        <w:rPr>
          <w:sz w:val="20"/>
          <w:szCs w:val="20"/>
          <w:color w:val="auto"/>
        </w:rPr>
      </w:pPr>
    </w:p>
    <w:p>
      <w:pPr>
        <w:jc w:val="both"/>
        <w:ind w:left="1260" w:right="779"/>
        <w:spacing w:after="0" w:line="237"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35"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Public health crises, such as pandemics or similar outbreaks, could adversely impact our business. A novel virus, severe acute respiratory syndrome coronavirus 2, or SARS-CpV-2 or coronavirus, which causes COVID-19 has spread to most countries across the world, including all 50 states within the United States and Canadian Provinces, including Philadelphia, Pennsylvania, Washington, and Hamilton, Ontario where our operations are located, and Madison, Wisconsin, where the manufacturing site for our product candidates is located. The coronavirus pandemic is evolving and has led to the implementation of various responses, including government-imposed quarantines, travel restrictions, and other public health safety measures. The extent to which the coronavirus impacts our operations or those of our consultants and collaborators, including FCDI, will depend on future developments, which are highly uncertain and cannot be predicted with confidence, including the duration of the outbreak, new information that will emerge concerning the severity of the coronavirus, new strains or mutations of the coronavirus, and the actions to contain the coronavirus or treat its impact, among others. In response to the spread of COVID-19, we have closed our executive offices with our administrative employees continuing their work outside of our offices and limited the number of staff in any given research and development laboratory and have taken other precautionary measures as well, including the periodic testing of our employees. We have experienced modest delays in our discovery and development activities as a result of the COVID-19 pandemic, primarily due to temporary and partial shutdowns at certain of our CROs and academic institutions that have since resumed operations, and due to the Pennsylvania, Washington, and Ontario stay-at-home orders.</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Potential disruptions to our preclinical development efforts include, but are not limited to:</w:t>
      </w:r>
    </w:p>
    <w:p>
      <w:pPr>
        <w:spacing w:after="0" w:line="129" w:lineRule="exact"/>
        <w:rPr>
          <w:sz w:val="20"/>
          <w:szCs w:val="20"/>
          <w:color w:val="auto"/>
        </w:rPr>
      </w:pPr>
    </w:p>
    <w:p>
      <w:pPr>
        <w:ind w:left="1400" w:right="519" w:hanging="145"/>
        <w:spacing w:after="0" w:line="270"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IND-enabling studies due to restrictions of on-site staff, limited or no access to animal facilities, and unforeseen circumstances at contract research organizations (CROs) and vendors;</w:t>
      </w:r>
    </w:p>
    <w:p>
      <w:pPr>
        <w:spacing w:after="0" w:line="95" w:lineRule="exact"/>
        <w:rPr>
          <w:rFonts w:ascii="Arial" w:cs="Arial" w:eastAsia="Arial" w:hAnsi="Arial"/>
          <w:sz w:val="18"/>
          <w:szCs w:val="18"/>
          <w:color w:val="auto"/>
        </w:rPr>
      </w:pPr>
    </w:p>
    <w:p>
      <w:pPr>
        <w:ind w:left="1400" w:right="559" w:hanging="145"/>
        <w:spacing w:after="0" w:line="268"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employee or other resources that would otherwise be focused on the conduct of our preclinical work, including because of sickness of employees or their families, the desire of employees to avoid travel or contact with large groups of people, an increased reliance on working from home, school closures, or mass transit disruptions; and</w:t>
      </w:r>
    </w:p>
    <w:p>
      <w:pPr>
        <w:spacing w:after="0" w:line="97" w:lineRule="exact"/>
        <w:rPr>
          <w:rFonts w:ascii="Arial" w:cs="Arial" w:eastAsia="Arial" w:hAnsi="Arial"/>
          <w:sz w:val="18"/>
          <w:szCs w:val="18"/>
          <w:color w:val="auto"/>
        </w:rPr>
      </w:pPr>
    </w:p>
    <w:p>
      <w:pPr>
        <w:ind w:left="1400" w:right="1119" w:hanging="145"/>
        <w:spacing w:after="0" w:line="275"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w:t>
      </w:r>
    </w:p>
    <w:p>
      <w:pPr>
        <w:spacing w:after="0" w:line="131"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We have not yet commenced clinical trial activities for any of our product candidates. If we commence clinical trials for one or more of our product candidates, potential disruptions of those clinical activities as a result of COVID-19 or similar pandemics include, but are not limited to the interruption of key clinical trial activities,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enrolling patients in clinical trials, interruption of, or delays in receiving, supplies of our product candidates, regulatory delays, changes in regulations as part of a response to the COVID-19 pandemic, and additional delays, difficulties, or interruptions as a result of current or future shutdowns.</w:t>
      </w:r>
    </w:p>
    <w:p>
      <w:pPr>
        <w:spacing w:after="0" w:line="123" w:lineRule="exact"/>
        <w:rPr>
          <w:sz w:val="20"/>
          <w:szCs w:val="20"/>
          <w:color w:val="auto"/>
        </w:rPr>
      </w:pPr>
    </w:p>
    <w:p>
      <w:pPr>
        <w:ind w:left="1260" w:right="539"/>
        <w:spacing w:after="0" w:line="250" w:lineRule="auto"/>
        <w:rPr>
          <w:sz w:val="20"/>
          <w:szCs w:val="20"/>
          <w:color w:val="auto"/>
        </w:rPr>
      </w:pPr>
      <w:r>
        <w:rPr>
          <w:rFonts w:ascii="Arial" w:cs="Arial" w:eastAsia="Arial" w:hAnsi="Arial"/>
          <w:sz w:val="18"/>
          <w:szCs w:val="18"/>
          <w:color w:val="auto"/>
        </w:rPr>
        <w:t>The COVID-19 global pandemic continues to rapidly evolve. Although many countries, including certain countries in Europe and the United States, have re-opened, rises in new cases have caused certain countries to re- initiate restrictions. The extent to which the outbreak may affect our preclinical studies, clinical trials, business, financial condition, and results of operations will depend on future developments, which are highly uncertain and cannot be predicted at this time, such as the ultimate geographic spread of the disease, the duration of the outbreak, travel restrictions, the availability of vaccines, and actions to contain the outbreak or treat its impact.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391"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b w:val="1"/>
          <w:bCs w:val="1"/>
          <w:i w:val="1"/>
          <w:iCs w:val="1"/>
          <w:color w:val="auto"/>
        </w:rPr>
        <w:t>We have incurred indebtedness, and we may incur additional indebtedness, which could adversely affect our business.</w:t>
      </w:r>
    </w:p>
    <w:p>
      <w:pPr>
        <w:spacing w:after="0" w:line="122"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As of March 25, 2021, we had an outstanding balance of $10.0 million under our Loan and Security Agreement with Hercules Capital, Inc., or the Loan Agreement. Our indebtedness could have important consequences to our stockholders. For example, it:</w:t>
      </w:r>
    </w:p>
    <w:p>
      <w:pPr>
        <w:spacing w:after="0" w:line="110" w:lineRule="exact"/>
        <w:rPr>
          <w:sz w:val="20"/>
          <w:szCs w:val="20"/>
          <w:color w:val="auto"/>
        </w:rPr>
      </w:pPr>
    </w:p>
    <w:p>
      <w:pPr>
        <w:ind w:left="1400" w:hanging="145"/>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and industry conditions;</w:t>
      </w:r>
    </w:p>
    <w:p>
      <w:pPr>
        <w:spacing w:after="0" w:line="129" w:lineRule="exact"/>
        <w:rPr>
          <w:rFonts w:ascii="Arial" w:cs="Arial" w:eastAsia="Arial" w:hAnsi="Arial"/>
          <w:sz w:val="18"/>
          <w:szCs w:val="18"/>
          <w:color w:val="auto"/>
        </w:rPr>
      </w:pPr>
    </w:p>
    <w:p>
      <w:pPr>
        <w:ind w:left="1400" w:right="559" w:hanging="145"/>
        <w:spacing w:after="0" w:line="270"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95" w:lineRule="exact"/>
        <w:rPr>
          <w:rFonts w:ascii="Arial" w:cs="Arial" w:eastAsia="Arial" w:hAnsi="Arial"/>
          <w:sz w:val="18"/>
          <w:szCs w:val="18"/>
          <w:color w:val="auto"/>
        </w:rPr>
      </w:pPr>
    </w:p>
    <w:p>
      <w:pPr>
        <w:ind w:left="1400" w:right="799" w:hanging="145"/>
        <w:spacing w:after="0" w:line="275"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or refinancing in the future for working capital, clinical trials, research and development, or other purposes.</w:t>
      </w:r>
    </w:p>
    <w:p>
      <w:pPr>
        <w:spacing w:after="0" w:line="104"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Any of the above-listed factors could materially adversely affect our business, financial condition, results of operations, and cash flows. The Loan Agreement also contains certain financial and other covenants, including limitations on, among other things, additional indebtedness, out licensing,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which could have a material adverse effect on our business, financial condition, and results of operations.</w:t>
      </w:r>
    </w:p>
    <w:p>
      <w:pPr>
        <w:spacing w:after="0" w:line="170" w:lineRule="exact"/>
        <w:rPr>
          <w:sz w:val="20"/>
          <w:szCs w:val="20"/>
          <w:color w:val="auto"/>
        </w:rPr>
      </w:pPr>
    </w:p>
    <w:p>
      <w:pPr>
        <w:ind w:left="1260" w:right="919"/>
        <w:spacing w:after="0" w:line="237"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35"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14" w:lineRule="exact"/>
        <w:rPr>
          <w:sz w:val="20"/>
          <w:szCs w:val="20"/>
          <w:color w:val="auto"/>
        </w:rPr>
      </w:pPr>
    </w:p>
    <w:p>
      <w:pPr>
        <w:ind w:left="1400" w:right="479" w:hanging="145"/>
        <w:spacing w:after="0" w:line="266"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439" w:hanging="145"/>
        <w:spacing w:after="0" w:line="26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326" w:lineRule="exact"/>
        <w:rPr>
          <w:rFonts w:ascii="Arial" w:cs="Arial" w:eastAsia="Arial" w:hAnsi="Arial"/>
          <w:sz w:val="18"/>
          <w:szCs w:val="18"/>
          <w:color w:val="auto"/>
        </w:rPr>
      </w:pPr>
    </w:p>
    <w:p>
      <w:pPr>
        <w:ind w:left="1400" w:right="579" w:hanging="145"/>
        <w:spacing w:after="0" w:line="26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325" w:lineRule="exact"/>
        <w:rPr>
          <w:rFonts w:ascii="Arial" w:cs="Arial" w:eastAsia="Arial" w:hAnsi="Arial"/>
          <w:sz w:val="18"/>
          <w:szCs w:val="18"/>
          <w:color w:val="auto"/>
        </w:rPr>
      </w:pPr>
    </w:p>
    <w:p>
      <w:pPr>
        <w:ind w:left="1400" w:right="479" w:hanging="145"/>
        <w:spacing w:after="0" w:line="26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325" w:lineRule="exact"/>
        <w:rPr>
          <w:rFonts w:ascii="Arial" w:cs="Arial" w:eastAsia="Arial" w:hAnsi="Arial"/>
          <w:sz w:val="18"/>
          <w:szCs w:val="18"/>
          <w:color w:val="auto"/>
        </w:rPr>
      </w:pPr>
    </w:p>
    <w:p>
      <w:pPr>
        <w:ind w:left="1400" w:right="659" w:hanging="145"/>
        <w:spacing w:after="0" w:line="266"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102" w:lineRule="exact"/>
        <w:rPr>
          <w:rFonts w:ascii="Arial" w:cs="Arial" w:eastAsia="Arial" w:hAnsi="Arial"/>
          <w:sz w:val="18"/>
          <w:szCs w:val="18"/>
          <w:color w:val="auto"/>
        </w:rPr>
      </w:pPr>
    </w:p>
    <w:p>
      <w:pPr>
        <w:jc w:val="both"/>
        <w:ind w:left="1400" w:right="459" w:hanging="145"/>
        <w:spacing w:after="0" w:line="270"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Foreign Corrupt Practices Act, or FCPA, which prohibits companies and their intermediaries from making, or offering or promising to make improper payments to non-United States officials for the purpose of obtaining or retaining business or otherwise seeking favorable treatment; and</w:t>
      </w:r>
    </w:p>
    <w:p>
      <w:pPr>
        <w:spacing w:after="0" w:line="95" w:lineRule="exact"/>
        <w:rPr>
          <w:rFonts w:ascii="Arial" w:cs="Arial" w:eastAsia="Arial" w:hAnsi="Arial"/>
          <w:sz w:val="18"/>
          <w:szCs w:val="18"/>
          <w:color w:val="auto"/>
        </w:rPr>
      </w:pPr>
    </w:p>
    <w:p>
      <w:pPr>
        <w:ind w:left="1400" w:right="439" w:hanging="145"/>
        <w:spacing w:after="0" w:line="265"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and biologic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 that have enacted or proposed requirements regarding the collection, retention, distribution, use, security, sharing, transfer, storage, and other processing of personally identifiable information and other data relating to individuals (including the EU General Data Protection Regulation 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699"/>
        <w:spacing w:after="0" w:line="270"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involves substantial costs. It is possible that governmental authorities will</w:t>
      </w:r>
    </w:p>
    <w:p>
      <w:pPr>
        <w:sectPr>
          <w:pgSz w:w="11900" w:h="16838" w:orient="portrait"/>
          <w:cols w:equalWidth="0" w:num="1">
            <w:col w:w="9859"/>
          </w:cols>
          <w:pgMar w:left="600" w:top="132" w:right="1440" w:bottom="805" w:gutter="0" w:footer="0" w:header="0"/>
        </w:sect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805"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398" w:lineRule="exact"/>
        <w:rPr>
          <w:sz w:val="20"/>
          <w:szCs w:val="20"/>
          <w:color w:val="auto"/>
        </w:rPr>
      </w:pPr>
    </w:p>
    <w:p>
      <w:pPr>
        <w:ind w:left="1260" w:right="1079"/>
        <w:spacing w:after="0" w:line="237" w:lineRule="auto"/>
        <w:rPr>
          <w:sz w:val="20"/>
          <w:szCs w:val="20"/>
          <w:color w:val="auto"/>
        </w:rPr>
      </w:pPr>
      <w:r>
        <w:rPr>
          <w:rFonts w:ascii="Arial" w:cs="Arial" w:eastAsia="Arial" w:hAnsi="Arial"/>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35"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w:t>
      </w:r>
    </w:p>
    <w:p>
      <w:pPr>
        <w:spacing w:after="0" w:line="139" w:lineRule="exact"/>
        <w:rPr>
          <w:sz w:val="20"/>
          <w:szCs w:val="20"/>
          <w:color w:val="auto"/>
        </w:rPr>
      </w:pPr>
    </w:p>
    <w:p>
      <w:pPr>
        <w:ind w:left="1260" w:right="459"/>
        <w:spacing w:after="0" w:line="265" w:lineRule="auto"/>
        <w:rPr>
          <w:sz w:val="20"/>
          <w:szCs w:val="20"/>
          <w:color w:val="auto"/>
        </w:rPr>
      </w:pPr>
      <w:r>
        <w:rPr>
          <w:rFonts w:ascii="Arial" w:cs="Arial" w:eastAsia="Arial" w:hAnsi="Arial"/>
          <w:sz w:val="18"/>
          <w:szCs w:val="18"/>
          <w:color w:val="auto"/>
        </w:rPr>
        <w:t>The ACA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The Trump administration issued executive orders which sought to reduce burdens associated with the ACA and modified how it was implemented. Other legislative changes have been proposed and adopted since passage of the ACA. The ACA has also been subject to challenges in the courts. On December 14, 2018, a Texas U.S. District Court Judge ruled that the ACA is unconstitutional in its entirety because the “individual mandate” was repealed by the United States Congress, or Congress. On December 18, 2019, the Fifth Circuit U.S. Court of Appeals held that the individual mandate is unconstitutional and remanded the case to the Texas District Court to reconsider its earlier invalidation of the entire ACA. An appeal was taken to the U.S. Supreme Court which heard oral arguments in the case on November 10, 2020. A ruling is expected in 2021.</w:t>
      </w:r>
    </w:p>
    <w:p>
      <w:pPr>
        <w:spacing w:after="0" w:line="379"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Further changes to and under the ACA remain possible, although the new Biden administration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build on the ACA. It is unknown what form any such changes or any law proposed to replace the ACA would take, and how or whether it may affect our business in the</w:t>
      </w:r>
    </w:p>
    <w:p>
      <w:pPr>
        <w:sectPr>
          <w:pgSz w:w="11900" w:h="16838" w:orient="portrait"/>
          <w:cols w:equalWidth="0" w:num="1">
            <w:col w:w="9859"/>
          </w:cols>
          <w:pgMar w:left="600" w:top="132" w:right="1440" w:bottom="967" w:gutter="0" w:footer="0" w:header="0"/>
        </w:sectPr>
      </w:pPr>
    </w:p>
    <w:p>
      <w:pPr>
        <w:spacing w:after="0" w:line="200" w:lineRule="exact"/>
        <w:rPr>
          <w:sz w:val="20"/>
          <w:szCs w:val="20"/>
          <w:color w:val="auto"/>
        </w:rPr>
      </w:pPr>
    </w:p>
    <w:p>
      <w:pPr>
        <w:spacing w:after="0" w:line="20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967"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color w:val="auto"/>
        </w:rPr>
        <w:t>future. We expect that changes to the ACA, the Medicare and Medicaid programs, changes allowing the federal government to directly negotiate drug and biologic prices, and changes stemming from other healthcare reform measures, especially with regard to healthcare access, financing, or other legislation in individual states, could have a material adverse effect on the healthcare industry.</w:t>
      </w:r>
    </w:p>
    <w:p>
      <w:pPr>
        <w:spacing w:after="0" w:line="124"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color w:val="auto"/>
        </w:rPr>
        <w:t>The Budget Control Act of 2011 has resulted in reductions in spending on certain government programs, including aggregate reductions to Medicare payments to healthcare providers of up to 2.0% per fiscal year. These reductions have been extended until 2030 unless additional Congressional action is taken.</w:t>
      </w:r>
    </w:p>
    <w:p>
      <w:pPr>
        <w:spacing w:after="0" w:line="136" w:lineRule="exact"/>
        <w:rPr>
          <w:sz w:val="20"/>
          <w:szCs w:val="20"/>
          <w:color w:val="auto"/>
        </w:rPr>
      </w:pPr>
    </w:p>
    <w:p>
      <w:pPr>
        <w:ind w:left="1260" w:right="659"/>
        <w:spacing w:after="0" w:line="253" w:lineRule="auto"/>
        <w:rPr>
          <w:sz w:val="20"/>
          <w:szCs w:val="20"/>
          <w:color w:val="auto"/>
        </w:rPr>
      </w:pPr>
      <w:r>
        <w:rPr>
          <w:rFonts w:ascii="Arial" w:cs="Arial" w:eastAsia="Arial" w:hAnsi="Arial"/>
          <w:sz w:val="18"/>
          <w:szCs w:val="18"/>
          <w:color w:val="auto"/>
        </w:rPr>
        <w:t>Any reduction in reimbursement from Medicare, Medicaid, or other government programs may result in a similar reduction in payments from private payers. The implementation of cost containment measures or other healthcare reforms may prevent us from being able to generate revenue, attain and maintain profitability of our product and product candidates, if approved.</w:t>
      </w:r>
    </w:p>
    <w:p>
      <w:pPr>
        <w:spacing w:after="0" w:line="136" w:lineRule="exact"/>
        <w:rPr>
          <w:sz w:val="20"/>
          <w:szCs w:val="20"/>
          <w:color w:val="auto"/>
        </w:rPr>
      </w:pPr>
    </w:p>
    <w:p>
      <w:pPr>
        <w:ind w:left="1260" w:right="619"/>
        <w:spacing w:after="0" w:line="251"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71" w:lineRule="exact"/>
        <w:rPr>
          <w:sz w:val="20"/>
          <w:szCs w:val="20"/>
          <w:color w:val="auto"/>
        </w:rPr>
      </w:pPr>
    </w:p>
    <w:p>
      <w:pPr>
        <w:ind w:left="1260" w:right="899"/>
        <w:spacing w:after="0" w:line="254"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09"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are required to maintain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Annual Report on Form 10-K for that year, as required by Section 404 of the Sarbanes-Oxley Act of 2002, or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 In addition,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143"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39"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We believe that any internal controls and procedures, no matter how well-conceived and operated, can provide only reasonable, not absolute, assurance that the objectives of the control system are met. We may discover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5"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57" w:lineRule="exact"/>
        <w:rPr>
          <w:sz w:val="20"/>
          <w:szCs w:val="20"/>
          <w:color w:val="auto"/>
        </w:rPr>
      </w:pPr>
    </w:p>
    <w:p>
      <w:pPr>
        <w:ind w:left="1260" w:right="519"/>
        <w:spacing w:after="0" w:line="237" w:lineRule="auto"/>
        <w:rPr>
          <w:sz w:val="20"/>
          <w:szCs w:val="20"/>
          <w:color w:val="auto"/>
        </w:rPr>
      </w:pPr>
      <w:r>
        <w:rPr>
          <w:rFonts w:ascii="Arial" w:cs="Arial" w:eastAsia="Arial" w:hAnsi="Arial"/>
          <w:sz w:val="18"/>
          <w:szCs w:val="18"/>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35"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366" w:lineRule="exact"/>
        <w:rPr>
          <w:sz w:val="20"/>
          <w:szCs w:val="20"/>
          <w:color w:val="auto"/>
        </w:rPr>
      </w:pPr>
    </w:p>
    <w:p>
      <w:pPr>
        <w:ind w:left="1260" w:right="759"/>
        <w:spacing w:after="0" w:line="267"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57"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35"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While we currently have no product candidates that have commenced clinical trials or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26"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98" w:lineRule="exact"/>
        <w:rPr>
          <w:sz w:val="20"/>
          <w:szCs w:val="20"/>
          <w:color w:val="auto"/>
        </w:rPr>
      </w:pPr>
    </w:p>
    <w:p>
      <w:pPr>
        <w:ind w:left="1400" w:hanging="145"/>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42" w:lineRule="exact"/>
        <w:rPr>
          <w:rFonts w:ascii="Arial" w:cs="Arial" w:eastAsia="Arial" w:hAnsi="Arial"/>
          <w:sz w:val="18"/>
          <w:szCs w:val="18"/>
          <w:color w:val="auto"/>
        </w:rPr>
      </w:pPr>
    </w:p>
    <w:p>
      <w:pPr>
        <w:ind w:left="1400" w:hanging="145"/>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hanging="145"/>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CNTY-101 or our other product candidates; and</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56"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386" w:lineRule="exact"/>
        <w:rPr>
          <w:sz w:val="20"/>
          <w:szCs w:val="20"/>
          <w:color w:val="auto"/>
        </w:rPr>
      </w:pPr>
    </w:p>
    <w:p>
      <w:pPr>
        <w:ind w:left="1260" w:right="499"/>
        <w:spacing w:after="0" w:line="232" w:lineRule="auto"/>
        <w:rPr>
          <w:sz w:val="20"/>
          <w:szCs w:val="20"/>
          <w:color w:val="auto"/>
        </w:rPr>
      </w:pPr>
      <w:r>
        <w:rPr>
          <w:rFonts w:ascii="Arial" w:cs="Arial" w:eastAsia="Arial" w:hAnsi="Arial"/>
          <w:sz w:val="18"/>
          <w:szCs w:val="18"/>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50"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w:t>
      </w:r>
    </w:p>
    <w:p>
      <w:pPr>
        <w:sectPr>
          <w:pgSz w:w="11900" w:h="16838" w:orient="portrait"/>
          <w:cols w:equalWidth="0" w:num="1">
            <w:col w:w="9859"/>
          </w:cols>
          <w:pgMar w:left="600" w:top="132" w:right="1440" w:bottom="7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792"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339"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0" w:lineRule="exact"/>
        <w:rPr>
          <w:sz w:val="20"/>
          <w:szCs w:val="20"/>
          <w:color w:val="auto"/>
        </w:rPr>
      </w:pPr>
    </w:p>
    <w:p>
      <w:pPr>
        <w:ind w:left="1260" w:right="619"/>
        <w:spacing w:after="0"/>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297"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or our collaborators may be subject to federal, state, and foreign data privacy and security laws and regulations. In the United States, numerous federal and state laws and regulations, including federal health information privacy laws, state data breach notification laws, state health information privacy laws, and federal and state consumer protection laws, govern the collection, use, disclosure, storage, transfer, protection, and other processing of health-related and other personal information could apply to our operations or the operations of our collaborators. 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data breach is costly. By way of example, the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Additionally, a new privacy law, the California Privacy Rights Act, or the CPRA, was approved by California voters in the election of November 3, 2020. The CPRA, which will take effect in most material respects on January 1, 2023, modifies the CCPA significantly, potentially resulting in further uncertainty and requiring us to incur additional costs and expenses in an effort to comply.</w:t>
      </w:r>
    </w:p>
    <w:p>
      <w:pPr>
        <w:spacing w:after="0" w:line="141"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Foreign data protection laws, including the GDPR, may also apply to health- related and other personal information obtained outside of the United States. The GDPR went into effect in the EU in May 2018 and introduced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 European Union and United States agreed to a transfer framework for data transferred from the European Union to the United States called the Privacy Shield, but the Privacy Shield was invalidated in July 2020 by the Court of Justice of the European Union. Further, the vote in the United Kingdom in favor of exiting the European Union, referred to as Brexit, has created uncertainty with regard to data protection regulation in the United Kingdom. The United Kingdom has transposed the GDPR into domestic law with a United Kingdom version of the GDPR that took effect in January 2021, which could expose us to two parallel regimes, each of which potentially authorizes similar fines and other potentially divergent enforcement actions for violations. In addition, it is still</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unclear whether transfer of data from the European Economic Area to the United Kingdom will remain lawful under the GDPR. On December 24, 2020, the United Kingdom and European Union entered into a Trade and Cooperation Agreement. The Trade and Cooperation Agreement provides for a transitional period during which the United Kingdom will be treated like an European Union member state in relation to processing and transfers of personal data for</w:t>
      </w:r>
    </w:p>
    <w:p>
      <w:pPr>
        <w:spacing w:after="0" w:line="1" w:lineRule="exact"/>
        <w:rPr>
          <w:sz w:val="20"/>
          <w:szCs w:val="20"/>
          <w:color w:val="auto"/>
        </w:rPr>
      </w:pPr>
    </w:p>
    <w:p>
      <w:pPr>
        <w:ind w:left="1260" w:right="659"/>
        <w:spacing w:after="0" w:line="272" w:lineRule="auto"/>
        <w:rPr>
          <w:sz w:val="20"/>
          <w:szCs w:val="20"/>
          <w:color w:val="auto"/>
        </w:rPr>
      </w:pPr>
      <w:r>
        <w:rPr>
          <w:rFonts w:ascii="Arial" w:cs="Arial" w:eastAsia="Arial" w:hAnsi="Arial"/>
          <w:sz w:val="18"/>
          <w:szCs w:val="18"/>
          <w:color w:val="auto"/>
        </w:rPr>
        <w:t>four months from January 1, 2021. This may be extended by two further months. After such period, the United Kingdom will be a “third country” under the GDPR unless the European Commission adopts an adequacy decision in respect of transfers of personal data to the United Kingdom.</w:t>
      </w:r>
    </w:p>
    <w:p>
      <w:pPr>
        <w:spacing w:after="0" w:line="346"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Compliance with United States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386" w:lineRule="exact"/>
        <w:rPr>
          <w:sz w:val="20"/>
          <w:szCs w:val="20"/>
          <w:color w:val="auto"/>
        </w:rPr>
      </w:pPr>
    </w:p>
    <w:p>
      <w:pPr>
        <w:ind w:left="1260" w:right="919"/>
        <w:spacing w:after="0" w:line="23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49"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47" w:lineRule="exact"/>
        <w:rPr>
          <w:sz w:val="20"/>
          <w:szCs w:val="20"/>
          <w:color w:val="auto"/>
        </w:rPr>
      </w:pPr>
    </w:p>
    <w:p>
      <w:pPr>
        <w:ind w:left="1260" w:right="439"/>
        <w:spacing w:after="0" w:line="301" w:lineRule="auto"/>
        <w:rPr>
          <w:sz w:val="20"/>
          <w:szCs w:val="20"/>
          <w:color w:val="auto"/>
        </w:rPr>
      </w:pPr>
      <w:r>
        <w:rPr>
          <w:rFonts w:ascii="Arial" w:cs="Arial" w:eastAsia="Arial" w:hAnsi="Arial"/>
          <w:sz w:val="18"/>
          <w:szCs w:val="18"/>
          <w:b w:val="1"/>
          <w:bCs w:val="1"/>
          <w:i w:val="1"/>
          <w:iCs w:val="1"/>
          <w:color w:val="auto"/>
        </w:rPr>
        <w:t>We do not currently own any issued patents or non-provisional patent applications relating to our product candidates</w:t>
      </w:r>
      <w:r>
        <w:rPr>
          <w:rFonts w:ascii="Arial" w:cs="Arial" w:eastAsia="Arial" w:hAnsi="Arial"/>
          <w:sz w:val="18"/>
          <w:szCs w:val="18"/>
          <w:color w:val="auto"/>
        </w:rPr>
        <w:t>.</w:t>
      </w:r>
    </w:p>
    <w:p>
      <w:pPr>
        <w:sectPr>
          <w:pgSz w:w="11900" w:h="16838" w:orient="portrait"/>
          <w:cols w:equalWidth="0" w:num="1">
            <w:col w:w="9859"/>
          </w:cols>
          <w:pgMar w:left="600" w:top="132" w:right="1440" w:bottom="980" w:gutter="0" w:footer="0" w:header="0"/>
        </w:sectPr>
      </w:pPr>
    </w:p>
    <w:p>
      <w:pPr>
        <w:spacing w:after="0" w:line="37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98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Given the early stage of development of our product candidates, our patent portfolio is similarly at a very early stage. In particular, we do not own any issued patents or non-provisional patent applications, and we have not filed any patent applications related to our product candidates other than CNTY-101.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provisional patent applications in the United States related to CNTY-101 and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spacing w:after="0" w:line="172" w:lineRule="exact"/>
        <w:rPr>
          <w:sz w:val="20"/>
          <w:szCs w:val="20"/>
          <w:color w:val="auto"/>
        </w:rPr>
      </w:pPr>
    </w:p>
    <w:p>
      <w:pPr>
        <w:ind w:left="1260" w:right="539"/>
        <w:spacing w:after="0" w:line="237" w:lineRule="auto"/>
        <w:rPr>
          <w:sz w:val="20"/>
          <w:szCs w:val="20"/>
          <w:color w:val="auto"/>
        </w:rPr>
      </w:pPr>
      <w:r>
        <w:rPr>
          <w:rFonts w:ascii="Arial" w:cs="Arial" w:eastAsia="Arial" w:hAnsi="Arial"/>
          <w:sz w:val="18"/>
          <w:szCs w:val="18"/>
          <w:b w:val="1"/>
          <w:bCs w:val="1"/>
          <w:i w:val="1"/>
          <w:iCs w:val="1"/>
          <w:color w:val="auto"/>
        </w:rPr>
        <w:t>If any of our license agreements with FCDI or our other licensors are terminated, we could lose our rights to key components enabling our iPSC-derived allogeneic cell therapy platforms.</w:t>
      </w:r>
    </w:p>
    <w:p>
      <w:pPr>
        <w:spacing w:after="0" w:line="122"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Our commercial success will depend in part on the maintenance of our license agreements. In September 2018, we entered into an exclusive license with FCDI, pursuant to which we have received an exclusive license to certain patents and know-how related to the differentiation of iPSC cells into immune -effector cells in the field of cancer immunotherapeutics, or the Differentiation License, and a non- exclusive license for the rights to certain patents and know-how related to the reprogramming of human somatic cells to iPSCs in the field of cancer immunotherapeutics, or the Reprogramming License, and together with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372" w:lineRule="exact"/>
        <w:rPr>
          <w:sz w:val="20"/>
          <w:szCs w:val="20"/>
          <w:color w:val="auto"/>
        </w:rPr>
      </w:pPr>
    </w:p>
    <w:p>
      <w:pPr>
        <w:ind w:left="1260" w:right="559"/>
        <w:spacing w:after="0" w:line="267" w:lineRule="auto"/>
        <w:rPr>
          <w:sz w:val="20"/>
          <w:szCs w:val="20"/>
          <w:color w:val="auto"/>
        </w:rPr>
      </w:pPr>
      <w:r>
        <w:rPr>
          <w:rFonts w:ascii="Arial" w:cs="Arial" w:eastAsia="Arial" w:hAnsi="Arial"/>
          <w:sz w:val="18"/>
          <w:szCs w:val="18"/>
          <w:color w:val="auto"/>
        </w:rPr>
        <w:t>The FCDI Licenses and certain of our other license agreements impose, and future license agreements may impose, various diligence, milestone payment, royalty, and other obligations on us. If we fail to comply with our obligations under the FCDI Licenses, our other license agreements, or any future license agreements with any party, or we are subject to a bankruptcy, the licensor may have the right to terminate the license, in which event we would not be able to develop products covered by such license.</w:t>
      </w:r>
    </w:p>
    <w:p>
      <w:pPr>
        <w:spacing w:after="0" w:line="139"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If, for any reason, the FCDI Licenses or any of our other license agreements are terminated or we otherwise lose the rights under such agreements, it would adversely affect our business. If we breach any material obligations under the FCDI Licenses or any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559"/>
        <w:spacing w:after="0" w:line="275" w:lineRule="auto"/>
        <w:rPr>
          <w:sz w:val="20"/>
          <w:szCs w:val="20"/>
          <w:color w:val="auto"/>
        </w:rPr>
      </w:pPr>
      <w:r>
        <w:rPr>
          <w:rFonts w:ascii="Arial" w:cs="Arial" w:eastAsia="Arial" w:hAnsi="Arial"/>
          <w:sz w:val="18"/>
          <w:szCs w:val="18"/>
          <w:color w:val="auto"/>
        </w:rPr>
        <w:t>For a more complete description of the FCDI Licenses, please see the section titled “Business— Licensing, Partnerships and Collaborations” in this prospectus.</w:t>
      </w:r>
    </w:p>
    <w:p>
      <w:pPr>
        <w:spacing w:after="0" w:line="149" w:lineRule="exact"/>
        <w:rPr>
          <w:sz w:val="20"/>
          <w:szCs w:val="20"/>
          <w:color w:val="auto"/>
        </w:rPr>
      </w:pPr>
    </w:p>
    <w:p>
      <w:pPr>
        <w:ind w:left="1260" w:right="819"/>
        <w:spacing w:after="0" w:line="254"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intellectual property rights in the future for the development of CNTY-101 and our other product candidates.</w:t>
      </w:r>
    </w:p>
    <w:p>
      <w:pPr>
        <w:spacing w:after="0" w:line="122"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339" w:lineRule="exact"/>
        <w:rPr>
          <w:sz w:val="20"/>
          <w:szCs w:val="20"/>
          <w:color w:val="auto"/>
        </w:rPr>
      </w:pPr>
    </w:p>
    <w:p>
      <w:pPr>
        <w:ind w:left="1400" w:right="479" w:hanging="145"/>
        <w:spacing w:after="0" w:line="268"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111" w:lineRule="exact"/>
        <w:rPr>
          <w:rFonts w:ascii="Arial" w:cs="Arial" w:eastAsia="Arial" w:hAnsi="Arial"/>
          <w:sz w:val="18"/>
          <w:szCs w:val="18"/>
          <w:color w:val="auto"/>
        </w:rPr>
      </w:pPr>
    </w:p>
    <w:p>
      <w:pPr>
        <w:ind w:left="1400" w:right="919" w:hanging="145"/>
        <w:spacing w:after="0" w:line="270"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licensing agreement;</w:t>
      </w:r>
    </w:p>
    <w:p>
      <w:pPr>
        <w:spacing w:after="0" w:line="95" w:lineRule="exact"/>
        <w:rPr>
          <w:rFonts w:ascii="Arial" w:cs="Arial" w:eastAsia="Arial" w:hAnsi="Arial"/>
          <w:sz w:val="18"/>
          <w:szCs w:val="18"/>
          <w:color w:val="auto"/>
        </w:rPr>
      </w:pPr>
    </w:p>
    <w:p>
      <w:pPr>
        <w:ind w:left="1400" w:hanging="145"/>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right to sublicense patents and other intellectual property rights to third parties;</w:t>
      </w:r>
    </w:p>
    <w:p>
      <w:pPr>
        <w:spacing w:after="0" w:line="129" w:lineRule="exact"/>
        <w:rPr>
          <w:rFonts w:ascii="Arial" w:cs="Arial" w:eastAsia="Arial" w:hAnsi="Arial"/>
          <w:sz w:val="18"/>
          <w:szCs w:val="18"/>
          <w:color w:val="auto"/>
        </w:rPr>
      </w:pPr>
    </w:p>
    <w:p>
      <w:pPr>
        <w:ind w:left="1400" w:right="619" w:hanging="145"/>
        <w:spacing w:after="0" w:line="270"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95" w:lineRule="exact"/>
        <w:rPr>
          <w:rFonts w:ascii="Arial" w:cs="Arial" w:eastAsia="Arial" w:hAnsi="Arial"/>
          <w:sz w:val="18"/>
          <w:szCs w:val="18"/>
          <w:color w:val="auto"/>
        </w:rPr>
      </w:pPr>
    </w:p>
    <w:p>
      <w:pPr>
        <w:ind w:left="1400" w:hanging="145"/>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29" w:lineRule="exact"/>
        <w:rPr>
          <w:rFonts w:ascii="Arial" w:cs="Arial" w:eastAsia="Arial" w:hAnsi="Arial"/>
          <w:sz w:val="18"/>
          <w:szCs w:val="18"/>
          <w:color w:val="auto"/>
        </w:rPr>
      </w:pPr>
    </w:p>
    <w:p>
      <w:pPr>
        <w:ind w:left="1400" w:right="699" w:hanging="145"/>
        <w:spacing w:after="0" w:line="275"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ownership of inventions, know-how, and other intellectual property resulting from the joint creation or use of intellectual property by our licensors and us and our partners.</w:t>
      </w:r>
    </w:p>
    <w:p>
      <w:pPr>
        <w:spacing w:after="0" w:line="131" w:lineRule="exact"/>
        <w:rPr>
          <w:sz w:val="20"/>
          <w:szCs w:val="20"/>
          <w:color w:val="auto"/>
        </w:rPr>
      </w:pPr>
    </w:p>
    <w:p>
      <w:pPr>
        <w:ind w:left="1260" w:right="799"/>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25"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40"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Under one of the FCDI Licenses and certain other in-licenses under which we sublicense certain rights related to our technology, we rely on FCDI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 and loss of such rights.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59"/>
        <w:spacing w:after="0" w:line="260" w:lineRule="auto"/>
        <w:rPr>
          <w:sz w:val="20"/>
          <w:szCs w:val="20"/>
          <w:color w:val="auto"/>
        </w:rPr>
      </w:pPr>
      <w:r>
        <w:rPr>
          <w:rFonts w:ascii="Arial" w:cs="Arial" w:eastAsia="Arial" w:hAnsi="Arial"/>
          <w:sz w:val="18"/>
          <w:szCs w:val="18"/>
          <w:color w:val="auto"/>
        </w:rPr>
        <w:t>For a more complete description of the FCDI Licenses, please see the section titled “Business— License Agreements” in this prospectus.</w:t>
      </w:r>
    </w:p>
    <w:p>
      <w:pPr>
        <w:spacing w:after="0" w:line="162" w:lineRule="exact"/>
        <w:rPr>
          <w:sz w:val="20"/>
          <w:szCs w:val="20"/>
          <w:color w:val="auto"/>
        </w:rPr>
      </w:pPr>
    </w:p>
    <w:p>
      <w:pPr>
        <w:ind w:left="1260" w:right="1399"/>
        <w:spacing w:after="0" w:line="254" w:lineRule="auto"/>
        <w:rPr>
          <w:sz w:val="20"/>
          <w:szCs w:val="20"/>
          <w:color w:val="auto"/>
        </w:rPr>
      </w:pPr>
      <w:r>
        <w:rPr>
          <w:rFonts w:ascii="Arial" w:cs="Arial" w:eastAsia="Arial" w:hAnsi="Arial"/>
          <w:sz w:val="18"/>
          <w:szCs w:val="18"/>
          <w:b w:val="1"/>
          <w:bCs w:val="1"/>
          <w:i w:val="1"/>
          <w:iCs w:val="1"/>
          <w:color w:val="auto"/>
        </w:rPr>
        <w:t>Our success depends on our ability to obtain, maintain, protect, and enforce our intellectual property and our proprietary technologies.</w:t>
      </w:r>
    </w:p>
    <w:p>
      <w:pPr>
        <w:spacing w:after="0" w:line="109"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provisional patent applications with respect to CNTY-101 and other aspects of our product technology, our patent portfolio is in an earlier stage of prosecution, and we have not filed any patent applications related to our product candidates other than CNTY-101. We do not own any issued patents related to CNTY-101 and our other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200" w:lineRule="exact"/>
        <w:rPr>
          <w:sz w:val="20"/>
          <w:szCs w:val="20"/>
          <w:color w:val="auto"/>
        </w:rPr>
      </w:pPr>
    </w:p>
    <w:p>
      <w:pPr>
        <w:spacing w:after="0" w:line="369"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Because CNTY-101 is our lead product candidate, and because our other product candidates are based on similar technology, if we are unable to obtain patent protection for CNTY-101, our other product candidates in our pipeline could be significantly impaired, which could materially adversely affect our business, financial conditions, results of operations, and growth prospects.</w:t>
      </w:r>
    </w:p>
    <w:p>
      <w:pPr>
        <w:spacing w:after="0" w:line="150"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We cannot be certain that the claims in our pending patent applications will be considered patentable by the United States Patent and Trademark Office, or USPTO, courts in the United States or by the patent offices and courts 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354"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98" w:lineRule="exact"/>
        <w:rPr>
          <w:sz w:val="20"/>
          <w:szCs w:val="20"/>
          <w:color w:val="auto"/>
        </w:rPr>
      </w:pPr>
    </w:p>
    <w:p>
      <w:pPr>
        <w:jc w:val="both"/>
        <w:ind w:left="1400" w:right="979" w:hanging="145"/>
        <w:spacing w:after="0" w:line="268"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7" w:lineRule="exact"/>
        <w:rPr>
          <w:rFonts w:ascii="Arial" w:cs="Arial" w:eastAsia="Arial" w:hAnsi="Arial"/>
          <w:sz w:val="18"/>
          <w:szCs w:val="18"/>
          <w:color w:val="auto"/>
        </w:rPr>
      </w:pPr>
    </w:p>
    <w:p>
      <w:pPr>
        <w:ind w:left="1400" w:hanging="145"/>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29" w:lineRule="exact"/>
        <w:rPr>
          <w:rFonts w:ascii="Arial" w:cs="Arial" w:eastAsia="Arial" w:hAnsi="Arial"/>
          <w:sz w:val="18"/>
          <w:szCs w:val="18"/>
          <w:color w:val="auto"/>
        </w:rPr>
      </w:pPr>
    </w:p>
    <w:p>
      <w:pPr>
        <w:ind w:left="1400" w:right="1319" w:hanging="145"/>
        <w:spacing w:after="0" w:line="275"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ectPr>
          <w:pgSz w:w="11900" w:h="16838" w:orient="portrait"/>
          <w:cols w:equalWidth="0" w:num="1">
            <w:col w:w="9859"/>
          </w:cols>
          <w:pgMar w:left="600" w:top="132" w:right="1440" w:bottom="1440" w:gutter="0" w:footer="0" w:header="0"/>
        </w:sectPr>
      </w:pP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619" w:hanging="145"/>
        <w:spacing w:after="0" w:line="268"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84" w:lineRule="exact"/>
        <w:rPr>
          <w:rFonts w:ascii="Arial" w:cs="Arial" w:eastAsia="Arial" w:hAnsi="Arial"/>
          <w:sz w:val="18"/>
          <w:szCs w:val="18"/>
          <w:color w:val="auto"/>
        </w:rPr>
      </w:pPr>
    </w:p>
    <w:p>
      <w:pPr>
        <w:ind w:left="1400" w:right="639" w:hanging="145"/>
        <w:spacing w:after="0" w:line="268"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7" w:lineRule="exact"/>
        <w:rPr>
          <w:rFonts w:ascii="Arial" w:cs="Arial" w:eastAsia="Arial" w:hAnsi="Arial"/>
          <w:sz w:val="18"/>
          <w:szCs w:val="18"/>
          <w:color w:val="auto"/>
        </w:rPr>
      </w:pPr>
    </w:p>
    <w:p>
      <w:pPr>
        <w:ind w:left="1400" w:right="659" w:hanging="145"/>
        <w:spacing w:after="0" w:line="270"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122"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344" w:lineRule="exact"/>
        <w:rPr>
          <w:sz w:val="20"/>
          <w:szCs w:val="20"/>
          <w:color w:val="auto"/>
        </w:rPr>
      </w:pPr>
    </w:p>
    <w:p>
      <w:pPr>
        <w:ind w:left="1260" w:right="439"/>
        <w:spacing w:after="0" w:line="249"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w:t>
      </w:r>
    </w:p>
    <w:p>
      <w:pPr>
        <w:spacing w:after="0" w:line="3"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168" w:lineRule="exact"/>
        <w:rPr>
          <w:sz w:val="20"/>
          <w:szCs w:val="20"/>
          <w:color w:val="auto"/>
        </w:rPr>
      </w:pPr>
    </w:p>
    <w:p>
      <w:pPr>
        <w:ind w:left="1260" w:right="439"/>
        <w:spacing w:after="0" w:line="237"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35"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41"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123" w:lineRule="exact"/>
        <w:rPr>
          <w:sz w:val="20"/>
          <w:szCs w:val="20"/>
          <w:color w:val="auto"/>
        </w:rPr>
      </w:pPr>
    </w:p>
    <w:p>
      <w:pPr>
        <w:ind w:left="1260" w:right="439"/>
        <w:spacing w:after="0" w:line="249"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CNTY- 101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0" w:lineRule="exact"/>
        <w:rPr>
          <w:sz w:val="20"/>
          <w:szCs w:val="20"/>
          <w:color w:val="auto"/>
        </w:rPr>
      </w:pPr>
    </w:p>
    <w:p>
      <w:pPr>
        <w:spacing w:after="0" w:line="209" w:lineRule="exact"/>
        <w:rPr>
          <w:sz w:val="20"/>
          <w:szCs w:val="20"/>
          <w:color w:val="auto"/>
        </w:rPr>
      </w:pPr>
    </w:p>
    <w:p>
      <w:pPr>
        <w:ind w:left="1260" w:right="619"/>
        <w:spacing w:after="0" w:line="254"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35"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367"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w:t>
      </w:r>
    </w:p>
    <w:p>
      <w:pPr>
        <w:sectPr>
          <w:pgSz w:w="11900" w:h="16838" w:orient="portrait"/>
          <w:cols w:equalWidth="0" w:num="1">
            <w:col w:w="9859"/>
          </w:cols>
          <w:pgMar w:left="600" w:top="132" w:right="1440" w:bottom="1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142" w:gutter="0" w:footer="0" w:header="0"/>
          <w:type w:val="continuous"/>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360"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38"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366"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366"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386" w:lineRule="exact"/>
        <w:rPr>
          <w:sz w:val="20"/>
          <w:szCs w:val="20"/>
          <w:color w:val="auto"/>
        </w:rPr>
      </w:pPr>
    </w:p>
    <w:p>
      <w:pPr>
        <w:ind w:left="1260" w:right="1359"/>
        <w:spacing w:after="0" w:line="254"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5" w:lineRule="exact"/>
        <w:rPr>
          <w:sz w:val="20"/>
          <w:szCs w:val="20"/>
          <w:color w:val="auto"/>
        </w:rPr>
      </w:pPr>
    </w:p>
    <w:p>
      <w:pPr>
        <w:ind w:left="1260" w:right="679"/>
        <w:spacing w:after="0" w:line="270"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5" w:lineRule="exact"/>
        <w:rPr>
          <w:sz w:val="20"/>
          <w:szCs w:val="20"/>
          <w:color w:val="auto"/>
        </w:rPr>
      </w:pPr>
    </w:p>
    <w:p>
      <w:pPr>
        <w:ind w:left="1400" w:right="859" w:hanging="145"/>
        <w:spacing w:after="0" w:line="275" w:lineRule="auto"/>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CNTY-101 and our other product candidates but that are not covered by the claims of the patents that we own or license;</w:t>
      </w:r>
    </w:p>
    <w:p>
      <w:pPr>
        <w:sectPr>
          <w:pgSz w:w="11900" w:h="16838" w:orient="portrait"/>
          <w:cols w:equalWidth="0" w:num="1">
            <w:col w:w="9859"/>
          </w:cols>
          <w:pgMar w:left="600" w:top="132" w:right="1440" w:bottom="1440" w:gutter="0" w:footer="0" w:header="0"/>
        </w:sectPr>
      </w:pP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1079" w:hanging="145"/>
        <w:spacing w:after="0" w:line="275"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make the inventions covered by the issued patents or patent application that we own or license;</w:t>
      </w:r>
    </w:p>
    <w:p>
      <w:pPr>
        <w:spacing w:after="0" w:line="90" w:lineRule="exact"/>
        <w:rPr>
          <w:rFonts w:ascii="Arial" w:cs="Arial" w:eastAsia="Arial" w:hAnsi="Arial"/>
          <w:sz w:val="18"/>
          <w:szCs w:val="18"/>
          <w:color w:val="auto"/>
        </w:rPr>
      </w:pPr>
    </w:p>
    <w:p>
      <w:pPr>
        <w:ind w:left="1400" w:right="879" w:hanging="145"/>
        <w:spacing w:after="0" w:line="275"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file patent applications covering certain of our inventions;</w:t>
      </w:r>
    </w:p>
    <w:p>
      <w:pPr>
        <w:spacing w:after="0" w:line="77" w:lineRule="exact"/>
        <w:rPr>
          <w:rFonts w:ascii="Arial" w:cs="Arial" w:eastAsia="Arial" w:hAnsi="Arial"/>
          <w:sz w:val="18"/>
          <w:szCs w:val="18"/>
          <w:color w:val="auto"/>
        </w:rPr>
      </w:pPr>
    </w:p>
    <w:p>
      <w:pPr>
        <w:ind w:left="1400" w:right="499" w:hanging="145"/>
        <w:spacing w:after="0" w:line="270"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95" w:lineRule="exact"/>
        <w:rPr>
          <w:rFonts w:ascii="Arial" w:cs="Arial" w:eastAsia="Arial" w:hAnsi="Arial"/>
          <w:sz w:val="18"/>
          <w:szCs w:val="18"/>
          <w:color w:val="auto"/>
        </w:rPr>
      </w:pPr>
    </w:p>
    <w:p>
      <w:pPr>
        <w:ind w:left="1400" w:hanging="145"/>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29" w:lineRule="exact"/>
        <w:rPr>
          <w:rFonts w:ascii="Arial" w:cs="Arial" w:eastAsia="Arial" w:hAnsi="Arial"/>
          <w:sz w:val="18"/>
          <w:szCs w:val="18"/>
          <w:color w:val="auto"/>
        </w:rPr>
      </w:pPr>
    </w:p>
    <w:p>
      <w:pPr>
        <w:ind w:left="1400" w:right="519" w:hanging="145"/>
        <w:spacing w:after="0" w:line="275"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90" w:lineRule="exact"/>
        <w:rPr>
          <w:rFonts w:ascii="Arial" w:cs="Arial" w:eastAsia="Arial" w:hAnsi="Arial"/>
          <w:sz w:val="18"/>
          <w:szCs w:val="18"/>
          <w:color w:val="auto"/>
        </w:rPr>
      </w:pPr>
    </w:p>
    <w:p>
      <w:pPr>
        <w:ind w:left="1400" w:right="719" w:hanging="145"/>
        <w:spacing w:after="0" w:line="270"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5" w:lineRule="exact"/>
        <w:rPr>
          <w:rFonts w:ascii="Arial" w:cs="Arial" w:eastAsia="Arial" w:hAnsi="Arial"/>
          <w:sz w:val="18"/>
          <w:szCs w:val="18"/>
          <w:color w:val="auto"/>
        </w:rPr>
      </w:pPr>
    </w:p>
    <w:p>
      <w:pPr>
        <w:ind w:left="1400" w:hanging="145"/>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56" w:lineRule="exact"/>
        <w:rPr>
          <w:sz w:val="20"/>
          <w:szCs w:val="20"/>
          <w:color w:val="auto"/>
        </w:rPr>
      </w:pPr>
    </w:p>
    <w:p>
      <w:pPr>
        <w:ind w:left="1260" w:right="599"/>
        <w:spacing w:after="0" w:line="275" w:lineRule="auto"/>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49" w:lineRule="exact"/>
        <w:rPr>
          <w:sz w:val="20"/>
          <w:szCs w:val="20"/>
          <w:color w:val="auto"/>
        </w:rPr>
      </w:pPr>
    </w:p>
    <w:p>
      <w:pPr>
        <w:ind w:left="1260" w:right="459"/>
        <w:spacing w:after="0" w:line="22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51"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 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366" w:lineRule="exact"/>
        <w:rPr>
          <w:sz w:val="20"/>
          <w:szCs w:val="20"/>
          <w:color w:val="auto"/>
        </w:rPr>
      </w:pPr>
    </w:p>
    <w:p>
      <w:pPr>
        <w:ind w:left="1260" w:right="499"/>
        <w:spacing w:after="0" w:line="265" w:lineRule="auto"/>
        <w:rPr>
          <w:sz w:val="20"/>
          <w:szCs w:val="20"/>
          <w:color w:val="auto"/>
        </w:rPr>
      </w:pPr>
      <w:r>
        <w:rPr>
          <w:rFonts w:ascii="Arial" w:cs="Arial" w:eastAsia="Arial" w:hAnsi="Arial"/>
          <w:sz w:val="18"/>
          <w:szCs w:val="18"/>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hanging="145"/>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5" w:lineRule="exact"/>
        <w:rPr>
          <w:rFonts w:ascii="Arial" w:cs="Arial" w:eastAsia="Arial" w:hAnsi="Arial"/>
          <w:sz w:val="18"/>
          <w:szCs w:val="18"/>
          <w:color w:val="auto"/>
        </w:rPr>
      </w:pPr>
    </w:p>
    <w:p>
      <w:pPr>
        <w:ind w:left="1400" w:hanging="145"/>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29" w:lineRule="exact"/>
        <w:rPr>
          <w:rFonts w:ascii="Arial" w:cs="Arial" w:eastAsia="Arial" w:hAnsi="Arial"/>
          <w:sz w:val="18"/>
          <w:szCs w:val="18"/>
          <w:color w:val="auto"/>
        </w:rPr>
      </w:pPr>
    </w:p>
    <w:p>
      <w:pPr>
        <w:ind w:left="1400" w:right="499" w:hanging="145"/>
        <w:spacing w:after="0" w:line="275"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prevent us from commercializing CNTY-101 and our other product candidates until the asserted patent expires or is held finally invalid or not infringed in a court of law;</w:t>
      </w:r>
    </w:p>
    <w:p>
      <w:pPr>
        <w:spacing w:after="0" w:line="90" w:lineRule="exact"/>
        <w:rPr>
          <w:rFonts w:ascii="Arial" w:cs="Arial" w:eastAsia="Arial" w:hAnsi="Arial"/>
          <w:sz w:val="18"/>
          <w:szCs w:val="18"/>
          <w:color w:val="auto"/>
        </w:rPr>
      </w:pPr>
    </w:p>
    <w:p>
      <w:pPr>
        <w:ind w:left="1400" w:right="619" w:hanging="145"/>
        <w:spacing w:after="0" w:line="275"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29" w:lineRule="exact"/>
        <w:rPr>
          <w:rFonts w:ascii="Arial" w:cs="Arial" w:eastAsia="Arial" w:hAnsi="Arial"/>
          <w:sz w:val="18"/>
          <w:szCs w:val="18"/>
          <w:color w:val="auto"/>
        </w:rPr>
      </w:pPr>
    </w:p>
    <w:p>
      <w:pPr>
        <w:ind w:left="1400" w:right="499" w:hanging="145"/>
        <w:spacing w:after="0" w:line="270"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22"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CNTY- 101 and our other product candidates, which could harm our business, financial condition, and operating results.</w:t>
      </w:r>
    </w:p>
    <w:p>
      <w:pPr>
        <w:spacing w:after="0" w:line="344"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38"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71" w:lineRule="exact"/>
        <w:rPr>
          <w:sz w:val="20"/>
          <w:szCs w:val="20"/>
          <w:color w:val="auto"/>
        </w:rPr>
      </w:pPr>
    </w:p>
    <w:p>
      <w:pPr>
        <w:ind w:left="1260" w:right="439"/>
        <w:spacing w:after="0" w:line="237" w:lineRule="auto"/>
        <w:rPr>
          <w:sz w:val="20"/>
          <w:szCs w:val="20"/>
          <w:color w:val="auto"/>
        </w:rPr>
      </w:pPr>
      <w:r>
        <w:rPr>
          <w:rFonts w:ascii="Arial" w:cs="Arial" w:eastAsia="Arial" w:hAnsi="Arial"/>
          <w:sz w:val="18"/>
          <w:szCs w:val="18"/>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35"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field of gene- 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398" w:lineRule="exact"/>
        <w:rPr>
          <w:sz w:val="20"/>
          <w:szCs w:val="20"/>
          <w:color w:val="auto"/>
        </w:rPr>
      </w:pPr>
    </w:p>
    <w:p>
      <w:pPr>
        <w:jc w:val="both"/>
        <w:ind w:left="1260" w:right="919"/>
        <w:spacing w:after="0" w:line="23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35"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spacing w:after="0" w:line="367"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39"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In addition, we may in the future choose to challenge the patentability of claims in a third-party’s patent by requesting that the USPTO review the patent claims in re-examination, post-grant review, inter partes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144"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43"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57" w:lineRule="exact"/>
        <w:rPr>
          <w:sz w:val="20"/>
          <w:szCs w:val="20"/>
          <w:color w:val="auto"/>
        </w:rPr>
      </w:pPr>
    </w:p>
    <w:p>
      <w:pPr>
        <w:ind w:left="1260" w:right="659"/>
        <w:spacing w:after="0" w:line="237" w:lineRule="auto"/>
        <w:rPr>
          <w:sz w:val="20"/>
          <w:szCs w:val="20"/>
          <w:color w:val="auto"/>
        </w:rPr>
      </w:pPr>
      <w:r>
        <w:rPr>
          <w:rFonts w:ascii="Arial" w:cs="Arial" w:eastAsia="Arial" w:hAnsi="Arial"/>
          <w:sz w:val="18"/>
          <w:szCs w:val="18"/>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49"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27"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61"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5"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w:t>
      </w:r>
    </w:p>
    <w:p>
      <w:pPr>
        <w:sectPr>
          <w:pgSz w:w="11900" w:h="16838" w:orient="portrait"/>
          <w:cols w:equalWidth="0" w:num="1">
            <w:col w:w="9859"/>
          </w:cols>
          <w:pgMar w:left="600" w:top="132" w:right="1440" w:bottom="1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142" w:gutter="0" w:footer="0" w:header="0"/>
          <w:type w:val="continuous"/>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357"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89"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CNTY-101 and our other product candidates for an adequate amount of time.</w:t>
      </w:r>
    </w:p>
    <w:p>
      <w:pPr>
        <w:spacing w:after="0" w:line="135"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389"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b w:val="1"/>
          <w:bCs w:val="1"/>
          <w:i w:val="1"/>
          <w:iCs w:val="1"/>
          <w:color w:val="auto"/>
        </w:rPr>
        <w:t>If we do not obtain patent term extension for CNTY-101 and our other product candidates, our business may be materially harmed.</w:t>
      </w:r>
    </w:p>
    <w:p>
      <w:pPr>
        <w:spacing w:after="0" w:line="135"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ectPr>
          <w:pgSz w:w="11900" w:h="16838" w:orient="portrait"/>
          <w:cols w:equalWidth="0" w:num="1">
            <w:col w:w="9859"/>
          </w:cols>
          <w:pgMar w:left="600" w:top="132" w:right="1440" w:bottom="10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020" w:gutter="0" w:footer="0" w:header="0"/>
          <w:type w:val="continuous"/>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4"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30"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4"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1" w:lineRule="exact"/>
        <w:rPr>
          <w:sz w:val="20"/>
          <w:szCs w:val="20"/>
          <w:color w:val="auto"/>
        </w:rPr>
      </w:pPr>
    </w:p>
    <w:p>
      <w:pPr>
        <w:ind w:left="1260" w:right="779"/>
        <w:spacing w:after="0" w:line="232"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96"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174" w:lineRule="exact"/>
        <w:rPr>
          <w:sz w:val="20"/>
          <w:szCs w:val="20"/>
          <w:color w:val="auto"/>
        </w:rPr>
      </w:pPr>
    </w:p>
    <w:p>
      <w:pPr>
        <w:ind w:left="1260" w:right="1059"/>
        <w:spacing w:after="0" w:line="25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82"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79"/>
        <w:spacing w:after="0" w:line="250" w:lineRule="auto"/>
        <w:rPr>
          <w:sz w:val="20"/>
          <w:szCs w:val="20"/>
          <w:color w:val="auto"/>
        </w:rPr>
      </w:pPr>
      <w:r>
        <w:rPr>
          <w:rFonts w:ascii="Arial" w:cs="Arial" w:eastAsia="Arial" w:hAnsi="Arial"/>
          <w:sz w:val="18"/>
          <w:szCs w:val="18"/>
          <w:color w:val="auto"/>
        </w:rPr>
        <w:t>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31"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359"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86"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3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CNTY-101 and our other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9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87" w:lineRule="exact"/>
        <w:rPr>
          <w:sz w:val="20"/>
          <w:szCs w:val="20"/>
          <w:color w:val="auto"/>
        </w:rPr>
      </w:pPr>
    </w:p>
    <w:p>
      <w:pPr>
        <w:ind w:left="1260" w:right="1259"/>
        <w:spacing w:after="0" w:line="254"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develop or be sustained.</w:t>
      </w:r>
    </w:p>
    <w:p>
      <w:pPr>
        <w:spacing w:after="0" w:line="109"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color w:val="auto"/>
        </w:rPr>
        <w:t>Prior to this offering, there has been no public market for our common stock. Although we intend to apply to have our common stock listed on the Nasdaq Global Market, or Nasdaq, an active trading market for our common stock may never develop or be sustained following this offering.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If, after listing,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6" w:lineRule="exact"/>
        <w:rPr>
          <w:sz w:val="20"/>
          <w:szCs w:val="20"/>
          <w:color w:val="auto"/>
        </w:rPr>
      </w:pPr>
    </w:p>
    <w:p>
      <w:pPr>
        <w:ind w:left="1260" w:right="1299"/>
        <w:spacing w:after="0" w:line="254" w:lineRule="auto"/>
        <w:rPr>
          <w:sz w:val="20"/>
          <w:szCs w:val="20"/>
          <w:color w:val="auto"/>
        </w:rPr>
      </w:pPr>
      <w:r>
        <w:rPr>
          <w:rFonts w:ascii="Arial" w:cs="Arial" w:eastAsia="Arial" w:hAnsi="Arial"/>
          <w:sz w:val="18"/>
          <w:szCs w:val="18"/>
          <w:b w:val="1"/>
          <w:bCs w:val="1"/>
          <w:i w:val="1"/>
          <w:iCs w:val="1"/>
          <w:color w:val="auto"/>
        </w:rPr>
        <w:t>The trading price of the shares of our common stock could be highly volatile, and purchasers of our common stock could incur substantial losses.</w:t>
      </w:r>
    </w:p>
    <w:p>
      <w:pPr>
        <w:spacing w:after="0" w:line="109"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114" w:lineRule="exact"/>
        <w:rPr>
          <w:sz w:val="20"/>
          <w:szCs w:val="20"/>
          <w:color w:val="auto"/>
        </w:rPr>
      </w:pPr>
    </w:p>
    <w:p>
      <w:pPr>
        <w:jc w:val="both"/>
        <w:ind w:left="1400" w:right="919" w:hanging="145"/>
        <w:spacing w:after="0" w:line="270"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commencement, enrollment, or results of our current and future preclinical studies and clinical trials, and the results of trials of our competitors or those of other companies in our market sector;</w:t>
      </w:r>
    </w:p>
    <w:p>
      <w:pPr>
        <w:spacing w:after="0" w:line="95" w:lineRule="exact"/>
        <w:rPr>
          <w:rFonts w:ascii="Arial" w:cs="Arial" w:eastAsia="Arial" w:hAnsi="Arial"/>
          <w:sz w:val="18"/>
          <w:szCs w:val="18"/>
          <w:color w:val="auto"/>
        </w:rPr>
      </w:pPr>
    </w:p>
    <w:p>
      <w:pPr>
        <w:ind w:left="1400" w:right="939" w:hanging="145"/>
        <w:spacing w:after="0" w:line="275"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29" w:lineRule="exact"/>
        <w:rPr>
          <w:rFonts w:ascii="Arial" w:cs="Arial" w:eastAsia="Arial" w:hAnsi="Arial"/>
          <w:sz w:val="18"/>
          <w:szCs w:val="18"/>
          <w:color w:val="auto"/>
        </w:rPr>
      </w:pPr>
    </w:p>
    <w:p>
      <w:pPr>
        <w:ind w:left="1400" w:right="459" w:hanging="145"/>
        <w:spacing w:after="0" w:line="275"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especially in light of current reforms to the United States healthcare system;</w:t>
      </w:r>
    </w:p>
    <w:p>
      <w:pPr>
        <w:spacing w:after="0" w:line="77" w:lineRule="exact"/>
        <w:rPr>
          <w:rFonts w:ascii="Arial" w:cs="Arial" w:eastAsia="Arial" w:hAnsi="Arial"/>
          <w:sz w:val="18"/>
          <w:szCs w:val="18"/>
          <w:color w:val="auto"/>
        </w:rPr>
      </w:pPr>
    </w:p>
    <w:p>
      <w:pPr>
        <w:ind w:left="1400" w:right="1419" w:hanging="145"/>
        <w:spacing w:after="0" w:line="275"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or failure of our efforts to acquire, license, or develop additional product candidates;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115" w:lineRule="exact"/>
        <w:rPr>
          <w:rFonts w:ascii="Arial" w:cs="Arial" w:eastAsia="Arial" w:hAnsi="Arial"/>
          <w:sz w:val="18"/>
          <w:szCs w:val="18"/>
          <w:color w:val="auto"/>
        </w:rPr>
      </w:pPr>
    </w:p>
    <w:p>
      <w:pPr>
        <w:ind w:left="1400" w:right="499" w:hanging="145"/>
        <w:spacing w:after="0" w:line="275"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129" w:lineRule="exact"/>
        <w:rPr>
          <w:rFonts w:ascii="Arial" w:cs="Arial" w:eastAsia="Arial" w:hAnsi="Arial"/>
          <w:sz w:val="18"/>
          <w:szCs w:val="18"/>
          <w:color w:val="auto"/>
        </w:rPr>
      </w:pPr>
    </w:p>
    <w:p>
      <w:pPr>
        <w:ind w:left="1400" w:right="959" w:hanging="145"/>
        <w:spacing w:after="0" w:line="275"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changes to our relationship with FCDI, any manufacturers, suppliers, licensors, future collaborators, or other strategic partners;</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5" w:lineRule="exact"/>
        <w:rPr>
          <w:rFonts w:ascii="Arial" w:cs="Arial" w:eastAsia="Arial" w:hAnsi="Arial"/>
          <w:sz w:val="18"/>
          <w:szCs w:val="18"/>
          <w:color w:val="auto"/>
        </w:rPr>
      </w:pPr>
    </w:p>
    <w:p>
      <w:pPr>
        <w:ind w:left="1400" w:right="639" w:hanging="145"/>
        <w:spacing w:after="0" w:line="275"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5"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129" w:lineRule="exact"/>
        <w:rPr>
          <w:rFonts w:ascii="Arial" w:cs="Arial" w:eastAsia="Arial" w:hAnsi="Arial"/>
          <w:sz w:val="18"/>
          <w:szCs w:val="18"/>
          <w:color w:val="auto"/>
        </w:rPr>
      </w:pPr>
    </w:p>
    <w:p>
      <w:pPr>
        <w:ind w:left="1400" w:right="739" w:hanging="145"/>
        <w:spacing w:after="0" w:line="275"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156" w:lineRule="exact"/>
        <w:rPr>
          <w:sz w:val="20"/>
          <w:szCs w:val="20"/>
          <w:color w:val="auto"/>
        </w:rPr>
      </w:pPr>
    </w:p>
    <w:p>
      <w:pPr>
        <w:ind w:left="1260" w:right="1259"/>
        <w:spacing w:after="0" w:line="254"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59"/>
        <w:spacing w:after="0" w:line="254" w:lineRule="auto"/>
        <w:rPr>
          <w:sz w:val="20"/>
          <w:szCs w:val="20"/>
          <w:color w:val="auto"/>
        </w:rPr>
      </w:pPr>
      <w:r>
        <w:rPr>
          <w:rFonts w:ascii="Arial" w:cs="Arial" w:eastAsia="Arial" w:hAnsi="Arial"/>
          <w:sz w:val="18"/>
          <w:szCs w:val="18"/>
          <w:color w:val="auto"/>
        </w:rPr>
        <w:t>us, could cause us to incur substantial costs and divert management’s attention and resources, which could have a material adverse effect on our business, financial condition, and results of operations.</w:t>
      </w:r>
    </w:p>
    <w:p>
      <w:pPr>
        <w:spacing w:after="0" w:line="168" w:lineRule="exact"/>
        <w:rPr>
          <w:sz w:val="20"/>
          <w:szCs w:val="20"/>
          <w:color w:val="auto"/>
        </w:rPr>
      </w:pPr>
    </w:p>
    <w:p>
      <w:pPr>
        <w:ind w:left="1260" w:right="1539"/>
        <w:spacing w:after="0" w:line="254" w:lineRule="auto"/>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agree.</w:t>
      </w:r>
    </w:p>
    <w:p>
      <w:pPr>
        <w:spacing w:after="0" w:line="109" w:lineRule="exact"/>
        <w:rPr>
          <w:sz w:val="20"/>
          <w:szCs w:val="20"/>
          <w:color w:val="auto"/>
        </w:rPr>
      </w:pPr>
    </w:p>
    <w:p>
      <w:pPr>
        <w:ind w:left="1260" w:right="479"/>
        <w:spacing w:after="0" w:line="235"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69" w:lineRule="exact"/>
        <w:rPr>
          <w:sz w:val="20"/>
          <w:szCs w:val="20"/>
          <w:color w:val="auto"/>
        </w:rPr>
      </w:pPr>
    </w:p>
    <w:p>
      <w:pPr>
        <w:ind w:left="1260" w:right="899"/>
        <w:spacing w:after="0" w:line="254" w:lineRule="auto"/>
        <w:rPr>
          <w:sz w:val="20"/>
          <w:szCs w:val="20"/>
          <w:color w:val="auto"/>
        </w:rPr>
      </w:pPr>
      <w:r>
        <w:rPr>
          <w:rFonts w:ascii="Arial" w:cs="Arial" w:eastAsia="Arial" w:hAnsi="Arial"/>
          <w:sz w:val="18"/>
          <w:szCs w:val="18"/>
          <w:b w:val="1"/>
          <w:bCs w:val="1"/>
          <w:i w:val="1"/>
          <w:iCs w:val="1"/>
          <w:color w:val="auto"/>
        </w:rPr>
        <w:t>You will suffer immediate and substantial dilution in the net tangible book value of the common stock you purchase.</w:t>
      </w:r>
    </w:p>
    <w:p>
      <w:pPr>
        <w:spacing w:after="0" w:line="122" w:lineRule="exact"/>
        <w:rPr>
          <w:sz w:val="20"/>
          <w:szCs w:val="20"/>
          <w:color w:val="auto"/>
        </w:rPr>
      </w:pPr>
    </w:p>
    <w:p>
      <w:pPr>
        <w:ind w:left="1260" w:right="439"/>
        <w:spacing w:after="0" w:line="233" w:lineRule="auto"/>
        <w:rPr>
          <w:sz w:val="20"/>
          <w:szCs w:val="20"/>
          <w:color w:val="auto"/>
        </w:rPr>
      </w:pPr>
      <w:r>
        <w:rPr>
          <w:rFonts w:ascii="Arial" w:cs="Arial" w:eastAsia="Arial" w:hAnsi="Arial"/>
          <w:sz w:val="18"/>
          <w:szCs w:val="18"/>
          <w:color w:val="auto"/>
        </w:rPr>
        <w:t>Investors purchasing shares of our common stock in this offering will pay a price per share that substantially exceeds the pro forma as adjusted net tangible book value per share of our common stock. As a result, investors purchasing common stock in this offering will incur immediate dilution</w:t>
      </w:r>
    </w:p>
    <w:p>
      <w:pPr>
        <w:ind w:left="1260"/>
        <w:spacing w:after="0" w:line="236" w:lineRule="auto"/>
        <w:tabs>
          <w:tab w:leader="none" w:pos="218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8"/>
          <w:szCs w:val="18"/>
          <w:color w:val="auto"/>
        </w:rPr>
        <w:t>per share, representing the difference between our assumed initial public offering</w:t>
      </w:r>
    </w:p>
    <w:p>
      <w:pPr>
        <w:jc w:val="right"/>
        <w:ind w:right="439"/>
        <w:spacing w:after="0" w:line="234" w:lineRule="auto"/>
        <w:tabs>
          <w:tab w:leader="none" w:pos="668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8"/>
          <w:szCs w:val="18"/>
          <w:color w:val="auto"/>
        </w:rPr>
        <w:t>per share, which is the midpoint of the price range set forth on the cover page of</w:t>
      </w:r>
    </w:p>
    <w:p>
      <w:pPr>
        <w:spacing w:after="0" w:line="1"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this prospectus, and our pro forma as adjusted net tangible book value per share as of , 2021. To the extent outstanding options to purchase shares of our common stock are exercised, new investors may incur further dilution. For more information on the dilution you may experience as a result of investing in this offering, see the section of this prospectus entitled “Dilution.”</w:t>
      </w:r>
    </w:p>
    <w:p>
      <w:pPr>
        <w:spacing w:after="0" w:line="166" w:lineRule="exact"/>
        <w:rPr>
          <w:sz w:val="20"/>
          <w:szCs w:val="20"/>
          <w:color w:val="auto"/>
        </w:rPr>
      </w:pPr>
    </w:p>
    <w:p>
      <w:pPr>
        <w:ind w:left="1260" w:right="659"/>
        <w:spacing w:after="0" w:line="23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35" w:lineRule="exact"/>
        <w:rPr>
          <w:sz w:val="20"/>
          <w:szCs w:val="20"/>
          <w:color w:val="auto"/>
        </w:rPr>
      </w:pPr>
    </w:p>
    <w:p>
      <w:pPr>
        <w:ind w:left="1260" w:right="479"/>
        <w:spacing w:after="0" w:line="236"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68"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09" w:lineRule="exact"/>
        <w:rPr>
          <w:sz w:val="20"/>
          <w:szCs w:val="20"/>
          <w:color w:val="auto"/>
        </w:rPr>
      </w:pPr>
    </w:p>
    <w:p>
      <w:pPr>
        <w:ind w:left="1260" w:right="979"/>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29" w:lineRule="exact"/>
        <w:rPr>
          <w:sz w:val="20"/>
          <w:szCs w:val="20"/>
          <w:color w:val="auto"/>
        </w:rPr>
      </w:pPr>
    </w:p>
    <w:p>
      <w:pPr>
        <w:ind w:left="1260"/>
        <w:spacing w:after="0"/>
        <w:tabs>
          <w:tab w:leader="none" w:pos="6720" w:val="left"/>
        </w:tabs>
        <w:rPr>
          <w:sz w:val="20"/>
          <w:szCs w:val="20"/>
          <w:color w:val="auto"/>
        </w:rPr>
      </w:pPr>
      <w:r>
        <w:rPr>
          <w:rFonts w:ascii="Arial" w:cs="Arial" w:eastAsia="Arial" w:hAnsi="Arial"/>
          <w:sz w:val="18"/>
          <w:szCs w:val="18"/>
          <w:color w:val="auto"/>
        </w:rPr>
        <w:t>Based on shares of common stock outstanding as of</w:t>
      </w:r>
      <w:r>
        <w:rPr>
          <w:sz w:val="20"/>
          <w:szCs w:val="20"/>
          <w:color w:val="auto"/>
        </w:rPr>
        <w:tab/>
      </w:r>
      <w:r>
        <w:rPr>
          <w:rFonts w:ascii="Arial" w:cs="Arial" w:eastAsia="Arial" w:hAnsi="Arial"/>
          <w:sz w:val="18"/>
          <w:szCs w:val="18"/>
          <w:color w:val="auto"/>
        </w:rPr>
        <w:t>, 2021, upon the closing of this</w:t>
      </w:r>
    </w:p>
    <w:p>
      <w:pPr>
        <w:ind w:left="1260"/>
        <w:spacing w:after="0" w:line="233" w:lineRule="auto"/>
        <w:tabs>
          <w:tab w:leader="none" w:pos="5440" w:val="left"/>
        </w:tabs>
        <w:rPr>
          <w:sz w:val="20"/>
          <w:szCs w:val="20"/>
          <w:color w:val="auto"/>
        </w:rPr>
      </w:pPr>
      <w:r>
        <w:rPr>
          <w:rFonts w:ascii="Arial" w:cs="Arial" w:eastAsia="Arial" w:hAnsi="Arial"/>
          <w:sz w:val="18"/>
          <w:szCs w:val="18"/>
          <w:color w:val="auto"/>
        </w:rPr>
        <w:t>offering, we will have outstanding a total of</w:t>
      </w:r>
      <w:r>
        <w:rPr>
          <w:sz w:val="20"/>
          <w:szCs w:val="20"/>
          <w:color w:val="auto"/>
        </w:rPr>
        <w:tab/>
      </w:r>
      <w:r>
        <w:rPr>
          <w:rFonts w:ascii="Arial" w:cs="Arial" w:eastAsia="Arial" w:hAnsi="Arial"/>
          <w:sz w:val="18"/>
          <w:szCs w:val="18"/>
          <w:color w:val="auto"/>
        </w:rPr>
        <w:t>shares of common stock after this offering,</w:t>
      </w:r>
    </w:p>
    <w:p>
      <w:pPr>
        <w:ind w:left="1260"/>
        <w:spacing w:after="0" w:line="234" w:lineRule="auto"/>
        <w:rPr>
          <w:sz w:val="20"/>
          <w:szCs w:val="20"/>
          <w:color w:val="auto"/>
        </w:rPr>
      </w:pPr>
      <w:r>
        <w:rPr>
          <w:rFonts w:ascii="Arial" w:cs="Arial" w:eastAsia="Arial" w:hAnsi="Arial"/>
          <w:sz w:val="18"/>
          <w:szCs w:val="18"/>
          <w:color w:val="auto"/>
        </w:rPr>
        <w:t>assuming no exercise of the underwriters’ option to purchase additional shares and no exercise</w:t>
      </w:r>
    </w:p>
    <w:p>
      <w:pPr>
        <w:spacing w:after="0" w:line="1" w:lineRule="exact"/>
        <w:rPr>
          <w:sz w:val="20"/>
          <w:szCs w:val="20"/>
          <w:color w:val="auto"/>
        </w:rPr>
      </w:pPr>
    </w:p>
    <w:p>
      <w:pPr>
        <w:ind w:left="1260" w:right="539"/>
        <w:spacing w:after="0" w:line="238" w:lineRule="auto"/>
        <w:rPr>
          <w:sz w:val="20"/>
          <w:szCs w:val="20"/>
          <w:color w:val="auto"/>
        </w:rPr>
      </w:pPr>
      <w:r>
        <w:rPr>
          <w:rFonts w:ascii="Arial" w:cs="Arial" w:eastAsia="Arial" w:hAnsi="Arial"/>
          <w:sz w:val="18"/>
          <w:szCs w:val="18"/>
          <w:color w:val="auto"/>
        </w:rPr>
        <w:t>of outstanding options. Of these shares, only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34" w:lineRule="exact"/>
        <w:rPr>
          <w:sz w:val="20"/>
          <w:szCs w:val="20"/>
          <w:color w:val="auto"/>
        </w:rPr>
      </w:pPr>
    </w:p>
    <w:p>
      <w:pPr>
        <w:ind w:left="1260" w:right="519"/>
        <w:spacing w:after="0"/>
        <w:rPr>
          <w:sz w:val="20"/>
          <w:szCs w:val="20"/>
          <w:color w:val="auto"/>
        </w:rPr>
      </w:pPr>
      <w:r>
        <w:rPr>
          <w:rFonts w:ascii="Arial" w:cs="Arial" w:eastAsia="Arial" w:hAnsi="Arial"/>
          <w:sz w:val="18"/>
          <w:szCs w:val="18"/>
          <w:color w:val="auto"/>
        </w:rPr>
        <w:t>Our directors and executive officers and holders of substantially all of our outstanding securities have entered into lock -up agreements with the underwriters pursuant to which they may not, with limited exceptions, for a period of 180 days from the date of this prospectus, offer, sell or otherwise transfer or dispose of any of our securities, without the prior written consent of J.P. Morgan Securities LLC, BofA Securities, Inc., SVB Leerink LLC, and Piper Sandler &amp; Co. The underwriters may permit our officers, directors, and other stockholders and the holders of our outstanding options who are subject to the lock- up agreements to sell shares prior to the expiration of the lock-up agreements, subject to limitations. See “Underwriting.” Sales of these shares, or perceptions that</w:t>
      </w:r>
    </w:p>
    <w:p>
      <w:pPr>
        <w:sectPr>
          <w:pgSz w:w="11900" w:h="16838" w:orient="portrait"/>
          <w:cols w:equalWidth="0" w:num="1">
            <w:col w:w="9859"/>
          </w:cols>
          <w:pgMar w:left="600" w:top="132" w:right="1440" w:bottom="778" w:gutter="0" w:footer="0" w:header="0"/>
        </w:sectPr>
      </w:pPr>
    </w:p>
    <w:p>
      <w:pPr>
        <w:spacing w:after="0" w:line="200" w:lineRule="exact"/>
        <w:rPr>
          <w:sz w:val="20"/>
          <w:szCs w:val="20"/>
          <w:color w:val="auto"/>
        </w:rPr>
      </w:pPr>
    </w:p>
    <w:p>
      <w:pPr>
        <w:spacing w:after="0" w:line="39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778" w:gutter="0" w:footer="0" w:header="0"/>
          <w:type w:val="continuous"/>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they will be sold, could cause the trading price of our common stock to decline. After the lock-up</w:t>
      </w:r>
    </w:p>
    <w:p>
      <w:pPr>
        <w:ind w:left="1260"/>
        <w:spacing w:after="0" w:line="233" w:lineRule="auto"/>
        <w:tabs>
          <w:tab w:leader="none" w:pos="5080" w:val="left"/>
        </w:tabs>
        <w:rPr>
          <w:sz w:val="20"/>
          <w:szCs w:val="20"/>
          <w:color w:val="auto"/>
        </w:rPr>
      </w:pPr>
      <w:r>
        <w:rPr>
          <w:rFonts w:ascii="Arial" w:cs="Arial" w:eastAsia="Arial" w:hAnsi="Arial"/>
          <w:sz w:val="18"/>
          <w:szCs w:val="18"/>
          <w:color w:val="auto"/>
        </w:rPr>
        <w:t>agreements expire, up to an additional</w:t>
      </w:r>
      <w:r>
        <w:rPr>
          <w:sz w:val="20"/>
          <w:szCs w:val="20"/>
          <w:color w:val="auto"/>
        </w:rPr>
        <w:tab/>
      </w:r>
      <w:r>
        <w:rPr>
          <w:rFonts w:ascii="Arial" w:cs="Arial" w:eastAsia="Arial" w:hAnsi="Arial"/>
          <w:sz w:val="18"/>
          <w:szCs w:val="18"/>
          <w:color w:val="auto"/>
        </w:rPr>
        <w:t>shares of common stock will be eligible for sale in</w:t>
      </w:r>
    </w:p>
    <w:p>
      <w:pPr>
        <w:ind w:left="1260"/>
        <w:spacing w:after="0" w:line="234" w:lineRule="auto"/>
        <w:tabs>
          <w:tab w:leader="none" w:pos="4060" w:val="left"/>
        </w:tabs>
        <w:rPr>
          <w:sz w:val="20"/>
          <w:szCs w:val="20"/>
          <w:color w:val="auto"/>
        </w:rPr>
      </w:pPr>
      <w:r>
        <w:rPr>
          <w:rFonts w:ascii="Arial" w:cs="Arial" w:eastAsia="Arial" w:hAnsi="Arial"/>
          <w:sz w:val="18"/>
          <w:szCs w:val="18"/>
          <w:color w:val="auto"/>
        </w:rPr>
        <w:t>the public market of which</w:t>
      </w:r>
      <w:r>
        <w:rPr>
          <w:sz w:val="20"/>
          <w:szCs w:val="20"/>
          <w:color w:val="auto"/>
        </w:rPr>
        <w:tab/>
      </w:r>
      <w:r>
        <w:rPr>
          <w:rFonts w:ascii="Arial" w:cs="Arial" w:eastAsia="Arial" w:hAnsi="Arial"/>
          <w:sz w:val="18"/>
          <w:szCs w:val="18"/>
          <w:color w:val="auto"/>
        </w:rPr>
        <w:t>shares are held by directors, executive officers, and other</w:t>
      </w:r>
    </w:p>
    <w:p>
      <w:pPr>
        <w:spacing w:after="0" w:line="1" w:lineRule="exact"/>
        <w:rPr>
          <w:sz w:val="20"/>
          <w:szCs w:val="20"/>
          <w:color w:val="auto"/>
        </w:rPr>
      </w:pPr>
    </w:p>
    <w:p>
      <w:pPr>
        <w:ind w:left="1260" w:right="919"/>
        <w:spacing w:after="0" w:line="244" w:lineRule="auto"/>
        <w:rPr>
          <w:sz w:val="20"/>
          <w:szCs w:val="20"/>
          <w:color w:val="auto"/>
        </w:rPr>
      </w:pPr>
      <w:r>
        <w:rPr>
          <w:rFonts w:ascii="Arial" w:cs="Arial" w:eastAsia="Arial" w:hAnsi="Arial"/>
          <w:sz w:val="18"/>
          <w:szCs w:val="18"/>
          <w:color w:val="auto"/>
        </w:rPr>
        <w:t>affiliates and will be subject to volume limitations under Rule 144 under the Securities Act of 1933, as amended, or the Securities Act.</w:t>
      </w:r>
    </w:p>
    <w:p>
      <w:pPr>
        <w:spacing w:after="0" w:line="117"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In addition, as of , 2021, up to shares of common stock that are either subject to outstanding options or reserved for future issuance under our employee benefit plans will become eligible for sale in the public market to the extent permitted by the provisions of various vesting schedules, the lock-up agreements, Rule 144 under the Securities Act, or Rule 144, and Rule 701 under the Securities Act, or Rule 701. If these additional shares of common stock are sold, or if it is perceived that they will be sold, in the public market, the trading price of our common stock could decline.</w:t>
      </w:r>
    </w:p>
    <w:p>
      <w:pPr>
        <w:spacing w:after="0" w:line="313" w:lineRule="exact"/>
        <w:rPr>
          <w:sz w:val="20"/>
          <w:szCs w:val="20"/>
          <w:color w:val="auto"/>
        </w:rPr>
      </w:pPr>
    </w:p>
    <w:p>
      <w:pPr>
        <w:ind w:left="1260"/>
        <w:spacing w:after="0"/>
        <w:tabs>
          <w:tab w:leader="none" w:pos="4560" w:val="left"/>
        </w:tabs>
        <w:rPr>
          <w:sz w:val="20"/>
          <w:szCs w:val="20"/>
          <w:color w:val="auto"/>
        </w:rPr>
      </w:pPr>
      <w:r>
        <w:rPr>
          <w:rFonts w:ascii="Arial" w:cs="Arial" w:eastAsia="Arial" w:hAnsi="Arial"/>
          <w:sz w:val="18"/>
          <w:szCs w:val="18"/>
          <w:color w:val="auto"/>
        </w:rPr>
        <w:t>After this offering, the holders of</w:t>
      </w:r>
      <w:r>
        <w:rPr>
          <w:sz w:val="20"/>
          <w:szCs w:val="20"/>
          <w:color w:val="auto"/>
        </w:rPr>
        <w:tab/>
      </w:r>
      <w:r>
        <w:rPr>
          <w:rFonts w:ascii="Arial" w:cs="Arial" w:eastAsia="Arial" w:hAnsi="Arial"/>
          <w:sz w:val="18"/>
          <w:szCs w:val="18"/>
          <w:color w:val="auto"/>
        </w:rPr>
        <w:t>shares of our outstanding common stock, or</w:t>
      </w:r>
    </w:p>
    <w:p>
      <w:pPr>
        <w:ind w:left="1260"/>
        <w:spacing w:after="0" w:line="233" w:lineRule="auto"/>
        <w:tabs>
          <w:tab w:leader="none" w:pos="2980" w:val="left"/>
          <w:tab w:leader="none" w:pos="79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 of our total outstanding common stock as of</w:t>
      </w:r>
      <w:r>
        <w:rPr>
          <w:sz w:val="20"/>
          <w:szCs w:val="20"/>
          <w:color w:val="auto"/>
        </w:rPr>
        <w:tab/>
      </w:r>
      <w:r>
        <w:rPr>
          <w:rFonts w:ascii="Arial" w:cs="Arial" w:eastAsia="Arial" w:hAnsi="Arial"/>
          <w:sz w:val="18"/>
          <w:szCs w:val="18"/>
          <w:color w:val="auto"/>
        </w:rPr>
        <w:t>, 2021, will be</w:t>
      </w:r>
    </w:p>
    <w:p>
      <w:pPr>
        <w:spacing w:after="0" w:line="1" w:lineRule="exact"/>
        <w:rPr>
          <w:sz w:val="20"/>
          <w:szCs w:val="20"/>
          <w:color w:val="auto"/>
        </w:rPr>
      </w:pPr>
    </w:p>
    <w:p>
      <w:pPr>
        <w:ind w:left="1260" w:right="439"/>
        <w:spacing w:after="0" w:line="236" w:lineRule="auto"/>
        <w:rPr>
          <w:sz w:val="20"/>
          <w:szCs w:val="20"/>
          <w:color w:val="auto"/>
        </w:rPr>
      </w:pPr>
      <w:r>
        <w:rPr>
          <w:rFonts w:ascii="Arial" w:cs="Arial" w:eastAsia="Arial" w:hAnsi="Arial"/>
          <w:sz w:val="18"/>
          <w:szCs w:val="18"/>
          <w:color w:val="auto"/>
        </w:rPr>
        <w:t>entitled to rights with respect to the registration of their shares under the Securities Act, subject to vesting and the 180-day lock-up agreements described above. See “Description of capital stock—Registration rights.” Registration of these shares under the Securities Act would result in the shares becoming freely tradable without restriction under the Securities Act, except for shares held by affiliates, as defined in Rule 144. Any sales of securities by these stockholders could have a material adverse effect on the trading price of our common stock.</w:t>
      </w:r>
    </w:p>
    <w:p>
      <w:pPr>
        <w:spacing w:after="0" w:line="169" w:lineRule="exact"/>
        <w:rPr>
          <w:sz w:val="20"/>
          <w:szCs w:val="20"/>
          <w:color w:val="auto"/>
        </w:rPr>
      </w:pPr>
    </w:p>
    <w:p>
      <w:pPr>
        <w:ind w:left="1260" w:right="439"/>
        <w:spacing w:after="0"/>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316" w:lineRule="exact"/>
        <w:rPr>
          <w:sz w:val="20"/>
          <w:szCs w:val="20"/>
          <w:color w:val="auto"/>
        </w:rPr>
      </w:pPr>
    </w:p>
    <w:p>
      <w:pPr>
        <w:ind w:left="1260" w:right="619"/>
        <w:spacing w:after="0" w:line="233" w:lineRule="auto"/>
        <w:rPr>
          <w:sz w:val="20"/>
          <w:szCs w:val="20"/>
          <w:color w:val="auto"/>
        </w:rPr>
      </w:pPr>
      <w:r>
        <w:rPr>
          <w:rFonts w:ascii="Arial" w:cs="Arial" w:eastAsia="Arial" w:hAnsi="Arial"/>
          <w:sz w:val="18"/>
          <w:szCs w:val="18"/>
          <w:color w:val="auto"/>
        </w:rPr>
        <w:t>Immediately following the closing of this offering, and disregarding any shares of common stock that they purchase in this offering, the existing holdings of our executive officers, directors, principal stockholders, and their affiliates, including entities affiliated with Bayer, FCDI, and Versant Ventures, or Versant, will represent beneficial ownership, in the aggregate, of</w:t>
      </w:r>
    </w:p>
    <w:p>
      <w:pPr>
        <w:spacing w:after="0" w:line="3" w:lineRule="exact"/>
        <w:rPr>
          <w:sz w:val="20"/>
          <w:szCs w:val="20"/>
          <w:color w:val="auto"/>
        </w:rPr>
      </w:pPr>
    </w:p>
    <w:p>
      <w:pPr>
        <w:ind w:left="1260" w:right="479"/>
        <w:spacing w:after="0" w:line="235" w:lineRule="auto"/>
        <w:rPr>
          <w:sz w:val="20"/>
          <w:szCs w:val="20"/>
          <w:color w:val="auto"/>
        </w:rPr>
      </w:pPr>
      <w:r>
        <w:rPr>
          <w:rFonts w:ascii="Arial" w:cs="Arial" w:eastAsia="Arial" w:hAnsi="Arial"/>
          <w:sz w:val="18"/>
          <w:szCs w:val="18"/>
          <w:color w:val="auto"/>
        </w:rPr>
        <w:t>approximately % of our outstanding common stock, assuming no exercise of the underwriters’ option to purchase additional shares of common stock in this offering and assuming we issue the number of shares of common stock as set forth on the cover page of this prospectus.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84" w:lineRule="exact"/>
        <w:rPr>
          <w:sz w:val="20"/>
          <w:szCs w:val="20"/>
          <w:color w:val="auto"/>
        </w:rPr>
      </w:pPr>
    </w:p>
    <w:p>
      <w:pPr>
        <w:ind w:left="1400" w:hanging="145"/>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 w:lineRule="exact"/>
        <w:rPr>
          <w:rFonts w:ascii="Arial" w:cs="Arial" w:eastAsia="Arial" w:hAnsi="Arial"/>
          <w:sz w:val="18"/>
          <w:szCs w:val="18"/>
          <w:color w:val="auto"/>
        </w:rPr>
      </w:pPr>
    </w:p>
    <w:p>
      <w:pPr>
        <w:ind w:left="1400" w:hanging="145"/>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8" w:lineRule="exact"/>
        <w:rPr>
          <w:rFonts w:ascii="Arial" w:cs="Arial" w:eastAsia="Arial" w:hAnsi="Arial"/>
          <w:sz w:val="18"/>
          <w:szCs w:val="18"/>
          <w:color w:val="auto"/>
        </w:rPr>
      </w:pPr>
    </w:p>
    <w:p>
      <w:pPr>
        <w:ind w:left="1400" w:right="659" w:hanging="145"/>
        <w:spacing w:after="0" w:line="275"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18" w:lineRule="exact"/>
        <w:rPr>
          <w:sz w:val="20"/>
          <w:szCs w:val="20"/>
          <w:color w:val="auto"/>
        </w:rPr>
      </w:pPr>
    </w:p>
    <w:p>
      <w:pPr>
        <w:jc w:val="both"/>
        <w:ind w:left="1260" w:right="679"/>
        <w:spacing w:after="0" w:line="239" w:lineRule="auto"/>
        <w:rPr>
          <w:sz w:val="20"/>
          <w:szCs w:val="20"/>
          <w:color w:val="auto"/>
        </w:rPr>
      </w:pPr>
      <w:r>
        <w:rPr>
          <w:rFonts w:ascii="Arial" w:cs="Arial" w:eastAsia="Arial" w:hAnsi="Arial"/>
          <w:sz w:val="18"/>
          <w:szCs w:val="18"/>
          <w:color w:val="auto"/>
        </w:rPr>
        <w:t>See “Principal stockholders” in this prospectus for more information regarding the ownership of our outstanding common stock by our executive officers, directors, principal stockholders, and their affiliates.</w:t>
      </w:r>
    </w:p>
    <w:p>
      <w:pPr>
        <w:spacing w:after="0" w:line="167" w:lineRule="exact"/>
        <w:rPr>
          <w:sz w:val="20"/>
          <w:szCs w:val="20"/>
          <w:color w:val="auto"/>
        </w:rPr>
      </w:pPr>
    </w:p>
    <w:p>
      <w:pPr>
        <w:jc w:val="both"/>
        <w:ind w:left="1260" w:right="519"/>
        <w:spacing w:after="0" w:line="23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35" w:lineRule="exact"/>
        <w:rPr>
          <w:sz w:val="20"/>
          <w:szCs w:val="20"/>
          <w:color w:val="auto"/>
        </w:rPr>
      </w:pPr>
    </w:p>
    <w:p>
      <w:pPr>
        <w:ind w:left="1260" w:right="499"/>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$1.07 billion or we issue more than $1.0 billion of non -convertible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539" w:hanging="145"/>
        <w:spacing w:after="0" w:line="270"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1" w:lineRule="exact"/>
        <w:rPr>
          <w:rFonts w:ascii="Arial" w:cs="Arial" w:eastAsia="Arial" w:hAnsi="Arial"/>
          <w:sz w:val="18"/>
          <w:szCs w:val="18"/>
          <w:color w:val="auto"/>
        </w:rPr>
      </w:pPr>
    </w:p>
    <w:p>
      <w:pPr>
        <w:ind w:left="1400" w:right="1339" w:hanging="145"/>
        <w:spacing w:after="0" w:line="275"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129" w:lineRule="exact"/>
        <w:rPr>
          <w:rFonts w:ascii="Arial" w:cs="Arial" w:eastAsia="Arial" w:hAnsi="Arial"/>
          <w:sz w:val="18"/>
          <w:szCs w:val="18"/>
          <w:color w:val="auto"/>
        </w:rPr>
      </w:pPr>
    </w:p>
    <w:p>
      <w:pPr>
        <w:ind w:left="1400" w:right="839" w:hanging="145"/>
        <w:spacing w:after="0" w:line="275"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43" w:lineRule="exact"/>
        <w:rPr>
          <w:sz w:val="20"/>
          <w:szCs w:val="20"/>
          <w:color w:val="auto"/>
        </w:rPr>
      </w:pPr>
    </w:p>
    <w:p>
      <w:pPr>
        <w:ind w:left="1260" w:right="459"/>
        <w:spacing w:after="0" w:line="235" w:lineRule="auto"/>
        <w:rPr>
          <w:sz w:val="20"/>
          <w:szCs w:val="20"/>
          <w:color w:val="auto"/>
        </w:rPr>
      </w:pPr>
      <w:r>
        <w:rPr>
          <w:rFonts w:ascii="Arial" w:cs="Arial" w:eastAsia="Arial" w:hAnsi="Arial"/>
          <w:sz w:val="18"/>
          <w:szCs w:val="18"/>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39" w:lineRule="exact"/>
        <w:rPr>
          <w:sz w:val="20"/>
          <w:szCs w:val="20"/>
          <w:color w:val="auto"/>
        </w:rPr>
      </w:pPr>
    </w:p>
    <w:p>
      <w:pPr>
        <w:ind w:left="1260" w:right="579"/>
        <w:spacing w:after="0" w:line="233"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ind w:left="1260"/>
        <w:spacing w:after="0" w:line="238" w:lineRule="auto"/>
        <w:rPr>
          <w:sz w:val="20"/>
          <w:szCs w:val="20"/>
          <w:color w:val="auto"/>
        </w:rPr>
      </w:pPr>
      <w:r>
        <w:rPr>
          <w:rFonts w:ascii="Arial" w:cs="Arial" w:eastAsia="Arial" w:hAnsi="Arial"/>
          <w:sz w:val="18"/>
          <w:szCs w:val="18"/>
          <w:color w:val="auto"/>
        </w:rPr>
        <w:t>$250.0 million or (ii) our annual revenue is less than $100.0 million during the most recently</w:t>
      </w:r>
    </w:p>
    <w:p>
      <w:pPr>
        <w:ind w:left="1260"/>
        <w:spacing w:after="0" w:line="234" w:lineRule="auto"/>
        <w:rPr>
          <w:sz w:val="20"/>
          <w:szCs w:val="20"/>
          <w:color w:val="auto"/>
        </w:rPr>
      </w:pPr>
      <w:r>
        <w:rPr>
          <w:rFonts w:ascii="Arial" w:cs="Arial" w:eastAsia="Arial" w:hAnsi="Arial"/>
          <w:sz w:val="18"/>
          <w:szCs w:val="18"/>
          <w:color w:val="auto"/>
        </w:rPr>
        <w:t>completed fiscal year and the market value of our stock held by non-affiliates is less than</w:t>
      </w:r>
    </w:p>
    <w:p>
      <w:pPr>
        <w:ind w:left="1260"/>
        <w:spacing w:after="0" w:line="234" w:lineRule="auto"/>
        <w:rPr>
          <w:sz w:val="20"/>
          <w:szCs w:val="20"/>
          <w:color w:val="auto"/>
        </w:rPr>
      </w:pPr>
      <w:r>
        <w:rPr>
          <w:rFonts w:ascii="Arial" w:cs="Arial" w:eastAsia="Arial" w:hAnsi="Arial"/>
          <w:sz w:val="18"/>
          <w:szCs w:val="18"/>
          <w:color w:val="auto"/>
        </w:rPr>
        <w:t>$700.0 million. If we are a smaller reporting company at the time we cease to be an emerging</w:t>
      </w:r>
    </w:p>
    <w:p>
      <w:pPr>
        <w:ind w:left="1260"/>
        <w:spacing w:after="0" w:line="234" w:lineRule="auto"/>
        <w:rPr>
          <w:sz w:val="20"/>
          <w:szCs w:val="20"/>
          <w:color w:val="auto"/>
        </w:rPr>
      </w:pPr>
      <w:r>
        <w:rPr>
          <w:rFonts w:ascii="Arial" w:cs="Arial" w:eastAsia="Arial" w:hAnsi="Arial"/>
          <w:sz w:val="18"/>
          <w:szCs w:val="18"/>
          <w:color w:val="auto"/>
        </w:rPr>
        <w:t>growth company, we may continue to rely on exemptions from certain disclosure requirements</w:t>
      </w:r>
    </w:p>
    <w:p>
      <w:pPr>
        <w:ind w:left="1260"/>
        <w:spacing w:after="0" w:line="234" w:lineRule="auto"/>
        <w:rPr>
          <w:sz w:val="20"/>
          <w:szCs w:val="20"/>
          <w:color w:val="auto"/>
        </w:rPr>
      </w:pPr>
      <w:r>
        <w:rPr>
          <w:rFonts w:ascii="Arial" w:cs="Arial" w:eastAsia="Arial" w:hAnsi="Arial"/>
          <w:sz w:val="18"/>
          <w:szCs w:val="18"/>
          <w:color w:val="auto"/>
        </w:rPr>
        <w:t>that are available to smaller reporting companies. Specifically, as a smaller reporting company we</w:t>
      </w:r>
    </w:p>
    <w:p>
      <w:pPr>
        <w:ind w:left="1260"/>
        <w:spacing w:after="0" w:line="234" w:lineRule="auto"/>
        <w:rPr>
          <w:sz w:val="20"/>
          <w:szCs w:val="20"/>
          <w:color w:val="auto"/>
        </w:rPr>
      </w:pPr>
      <w:r>
        <w:rPr>
          <w:rFonts w:ascii="Arial" w:cs="Arial" w:eastAsia="Arial" w:hAnsi="Arial"/>
          <w:sz w:val="18"/>
          <w:szCs w:val="18"/>
          <w:color w:val="auto"/>
        </w:rPr>
        <w:t>may choose to present only the two most recent fiscal years of audited financial statements in our</w:t>
      </w:r>
    </w:p>
    <w:p>
      <w:pPr>
        <w:ind w:left="1260"/>
        <w:spacing w:after="0" w:line="234" w:lineRule="auto"/>
        <w:rPr>
          <w:sz w:val="20"/>
          <w:szCs w:val="20"/>
          <w:color w:val="auto"/>
        </w:rPr>
      </w:pPr>
      <w:r>
        <w:rPr>
          <w:rFonts w:ascii="Arial" w:cs="Arial" w:eastAsia="Arial" w:hAnsi="Arial"/>
          <w:sz w:val="18"/>
          <w:szCs w:val="18"/>
          <w:color w:val="auto"/>
        </w:rPr>
        <w:t>Annual Report on Form 10-K and, similar to emerging growth companies, smaller reporting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companies have reduced disclosure obligations regarding executive compensation.</w:t>
      </w:r>
    </w:p>
    <w:p>
      <w:pPr>
        <w:spacing w:after="0" w:line="175" w:lineRule="exact"/>
        <w:rPr>
          <w:sz w:val="20"/>
          <w:szCs w:val="20"/>
          <w:color w:val="auto"/>
        </w:rPr>
      </w:pPr>
    </w:p>
    <w:p>
      <w:pPr>
        <w:ind w:left="1260" w:right="919"/>
        <w:spacing w:after="0" w:line="254"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22" w:lineRule="exact"/>
        <w:rPr>
          <w:sz w:val="20"/>
          <w:szCs w:val="20"/>
          <w:color w:val="auto"/>
        </w:rPr>
      </w:pPr>
    </w:p>
    <w:p>
      <w:pPr>
        <w:ind w:left="1260" w:right="459"/>
        <w:spacing w:after="0" w:line="235" w:lineRule="auto"/>
        <w:rPr>
          <w:sz w:val="20"/>
          <w:szCs w:val="20"/>
          <w:color w:val="auto"/>
        </w:rPr>
      </w:pPr>
      <w:r>
        <w:rPr>
          <w:rFonts w:ascii="Arial" w:cs="Arial" w:eastAsia="Arial" w:hAnsi="Arial"/>
          <w:sz w:val="18"/>
          <w:szCs w:val="18"/>
          <w:color w:val="auto"/>
        </w:rPr>
        <w:t>As a public company, and particularly after we are no longer an emerging growth company or smaller reporting company, we will incur significant legal, accounting, and other expenses that we did not incur as a private company. In addition, the Sarbanes-Oxley Act and rules subsequently implemented by the Securities and Exchange Commission, or the SEC, The Nasdaq Stock Market LLC, or Nasdaq, the Dutch Civil Code, and the Dutch Corporate Governance Code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spacing w:after="0" w:line="126" w:lineRule="exact"/>
        <w:rPr>
          <w:sz w:val="20"/>
          <w:szCs w:val="20"/>
          <w:color w:val="auto"/>
        </w:rPr>
      </w:pPr>
    </w:p>
    <w:p>
      <w:pPr>
        <w:ind w:left="1260" w:right="539"/>
        <w:spacing w:after="0" w:line="235" w:lineRule="auto"/>
        <w:rPr>
          <w:sz w:val="20"/>
          <w:szCs w:val="20"/>
          <w:color w:val="auto"/>
        </w:rPr>
      </w:pPr>
      <w:r>
        <w:rPr>
          <w:rFonts w:ascii="Arial" w:cs="Arial" w:eastAsia="Arial" w:hAnsi="Arial"/>
          <w:sz w:val="18"/>
          <w:szCs w:val="18"/>
          <w:color w:val="auto"/>
        </w:rPr>
        <w:t>Pursuant to Section 404 of the Sarbanes -Oxley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171" w:lineRule="exact"/>
        <w:rPr>
          <w:sz w:val="20"/>
          <w:szCs w:val="20"/>
          <w:color w:val="auto"/>
        </w:rPr>
      </w:pPr>
    </w:p>
    <w:p>
      <w:pPr>
        <w:jc w:val="both"/>
        <w:ind w:left="1260" w:right="479"/>
        <w:spacing w:after="0" w:line="25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09"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385" w:lineRule="exact"/>
        <w:rPr>
          <w:sz w:val="20"/>
          <w:szCs w:val="20"/>
          <w:color w:val="auto"/>
        </w:rPr>
      </w:pPr>
    </w:p>
    <w:p>
      <w:pPr>
        <w:ind w:left="1260" w:right="599"/>
        <w:spacing w:after="0" w:line="23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135"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Provisions in our second amended and restated certificate of incorporation and our amended and restated bylaws to be in effect immediately prior to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319" w:lineRule="exact"/>
        <w:rPr>
          <w:sz w:val="20"/>
          <w:szCs w:val="20"/>
          <w:color w:val="auto"/>
        </w:rPr>
      </w:pPr>
    </w:p>
    <w:p>
      <w:pPr>
        <w:ind w:left="1400" w:right="499" w:hanging="145"/>
        <w:spacing w:after="0" w:line="268"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97" w:lineRule="exact"/>
        <w:rPr>
          <w:rFonts w:ascii="Arial" w:cs="Arial" w:eastAsia="Arial" w:hAnsi="Arial"/>
          <w:sz w:val="18"/>
          <w:szCs w:val="18"/>
          <w:color w:val="auto"/>
        </w:rPr>
      </w:pPr>
    </w:p>
    <w:p>
      <w:pPr>
        <w:ind w:left="1400" w:right="459" w:hanging="145"/>
        <w:spacing w:after="0" w:line="270"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95" w:lineRule="exact"/>
        <w:rPr>
          <w:rFonts w:ascii="Arial" w:cs="Arial" w:eastAsia="Arial" w:hAnsi="Arial"/>
          <w:sz w:val="18"/>
          <w:szCs w:val="18"/>
          <w:color w:val="auto"/>
        </w:rPr>
      </w:pPr>
    </w:p>
    <w:p>
      <w:pPr>
        <w:ind w:left="1400" w:right="519" w:hanging="145"/>
        <w:spacing w:after="0" w:line="275"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stockholders may not act by written consent, which forces stockholder action to be taken at an annual or special meeting of our stockholders;</w:t>
      </w:r>
    </w:p>
    <w:p>
      <w:pPr>
        <w:spacing w:after="0" w:line="90" w:lineRule="exact"/>
        <w:rPr>
          <w:rFonts w:ascii="Arial" w:cs="Arial" w:eastAsia="Arial" w:hAnsi="Arial"/>
          <w:sz w:val="18"/>
          <w:szCs w:val="18"/>
          <w:color w:val="auto"/>
        </w:rPr>
      </w:pPr>
    </w:p>
    <w:p>
      <w:pPr>
        <w:jc w:val="both"/>
        <w:ind w:left="1400" w:right="499" w:hanging="145"/>
        <w:spacing w:after="0" w:line="268"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the chair of our board of directors, our chief executive officer (or president, in the absence of a chief executive officer), or a majority of our board of directors, which may delay the ability of our stockholders to force consideration of a proposal or to take action, including the removal of directors;</w:t>
      </w:r>
    </w:p>
    <w:p>
      <w:pPr>
        <w:spacing w:after="0" w:line="97" w:lineRule="exact"/>
        <w:rPr>
          <w:rFonts w:ascii="Arial" w:cs="Arial" w:eastAsia="Arial" w:hAnsi="Arial"/>
          <w:sz w:val="18"/>
          <w:szCs w:val="18"/>
          <w:color w:val="auto"/>
        </w:rPr>
      </w:pPr>
    </w:p>
    <w:p>
      <w:pPr>
        <w:ind w:left="1400" w:right="459" w:hanging="145"/>
        <w:spacing w:after="0" w:line="275"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second amended and restated certificate of incorporation prohibits cumulative voting in the election of directors, which limits the ability of minority stockholders to elect director candidates;</w:t>
      </w:r>
    </w:p>
    <w:p>
      <w:pPr>
        <w:spacing w:after="0" w:line="90" w:lineRule="exact"/>
        <w:rPr>
          <w:rFonts w:ascii="Arial" w:cs="Arial" w:eastAsia="Arial" w:hAnsi="Arial"/>
          <w:sz w:val="18"/>
          <w:szCs w:val="18"/>
          <w:color w:val="auto"/>
        </w:rPr>
      </w:pPr>
    </w:p>
    <w:p>
      <w:pPr>
        <w:ind w:left="1400" w:right="539" w:hanging="145"/>
        <w:spacing w:after="0" w:line="275"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may alter certain provisions of our amended and restated bylaws without obtaining stockholder approval;</w:t>
      </w:r>
    </w:p>
    <w:p>
      <w:pPr>
        <w:spacing w:after="0" w:line="90" w:lineRule="exact"/>
        <w:rPr>
          <w:rFonts w:ascii="Arial" w:cs="Arial" w:eastAsia="Arial" w:hAnsi="Arial"/>
          <w:sz w:val="18"/>
          <w:szCs w:val="18"/>
          <w:color w:val="auto"/>
        </w:rPr>
      </w:pPr>
    </w:p>
    <w:p>
      <w:pPr>
        <w:ind w:left="1400" w:right="559" w:hanging="145"/>
        <w:spacing w:after="0" w:line="268"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approval of the holders of at least two-thirds of our shares entitled to vote at an election of our board of directors is required to adopt, amend, or repeal our amended and restated bylaws or repeal the provisions of our second amended and restated certificate of incorporation regarding the election and removal of directors;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459" w:hanging="145"/>
        <w:spacing w:after="0" w:line="26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99" w:lineRule="exact"/>
        <w:rPr>
          <w:rFonts w:ascii="Arial" w:cs="Arial" w:eastAsia="Arial" w:hAnsi="Arial"/>
          <w:sz w:val="18"/>
          <w:szCs w:val="18"/>
          <w:color w:val="auto"/>
        </w:rPr>
      </w:pPr>
    </w:p>
    <w:p>
      <w:pPr>
        <w:ind w:left="1400" w:right="739" w:hanging="145"/>
        <w:spacing w:after="0" w:line="270"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09"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56" w:lineRule="exact"/>
        <w:rPr>
          <w:sz w:val="20"/>
          <w:szCs w:val="20"/>
          <w:color w:val="auto"/>
        </w:rPr>
      </w:pPr>
    </w:p>
    <w:p>
      <w:pPr>
        <w:ind w:left="1260" w:right="459"/>
        <w:spacing w:after="0" w:line="232"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6"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Our second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2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65" w:lineRule="exact"/>
        <w:rPr>
          <w:sz w:val="20"/>
          <w:szCs w:val="20"/>
          <w:color w:val="auto"/>
        </w:rPr>
      </w:pPr>
    </w:p>
    <w:p>
      <w:pPr>
        <w:ind w:left="1260" w:right="579"/>
        <w:spacing w:after="0" w:line="237"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163"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This prospectus contains forward-looking statements concerning our business, operations and financial performance,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include, but are not limited to, statements about:</w:t>
      </w:r>
    </w:p>
    <w:p>
      <w:pPr>
        <w:spacing w:after="0" w:line="100" w:lineRule="exact"/>
        <w:rPr>
          <w:sz w:val="20"/>
          <w:szCs w:val="20"/>
          <w:color w:val="auto"/>
        </w:rPr>
      </w:pPr>
    </w:p>
    <w:p>
      <w:pPr>
        <w:ind w:left="1400" w:right="47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90" w:lineRule="exact"/>
        <w:rPr>
          <w:rFonts w:ascii="Arial" w:cs="Arial" w:eastAsia="Arial" w:hAnsi="Arial"/>
          <w:sz w:val="18"/>
          <w:szCs w:val="18"/>
          <w:color w:val="auto"/>
        </w:rPr>
      </w:pPr>
    </w:p>
    <w:p>
      <w:pPr>
        <w:ind w:left="1400" w:right="53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preclinical nature of our business and our ability to successfully advance our current and future product candidates through development activities, preclinical studies, and clinical trials;</w:t>
      </w:r>
    </w:p>
    <w:p>
      <w:pPr>
        <w:spacing w:after="0" w:line="90" w:lineRule="exact"/>
        <w:rPr>
          <w:rFonts w:ascii="Arial" w:cs="Arial" w:eastAsia="Arial" w:hAnsi="Arial"/>
          <w:sz w:val="18"/>
          <w:szCs w:val="18"/>
          <w:color w:val="auto"/>
        </w:rPr>
      </w:pPr>
    </w:p>
    <w:p>
      <w:pPr>
        <w:ind w:left="1400" w:right="45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90" w:lineRule="exact"/>
        <w:rPr>
          <w:rFonts w:ascii="Arial" w:cs="Arial" w:eastAsia="Arial" w:hAnsi="Arial"/>
          <w:sz w:val="18"/>
          <w:szCs w:val="18"/>
          <w:color w:val="auto"/>
        </w:rPr>
      </w:pPr>
    </w:p>
    <w:p>
      <w:pPr>
        <w:ind w:left="1400" w:right="75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expected uses of the net proceeds from this offering;</w:t>
      </w:r>
    </w:p>
    <w:p>
      <w:pPr>
        <w:spacing w:after="0" w:line="129" w:lineRule="exact"/>
        <w:rPr>
          <w:rFonts w:ascii="Arial" w:cs="Arial" w:eastAsia="Arial" w:hAnsi="Arial"/>
          <w:sz w:val="18"/>
          <w:szCs w:val="18"/>
          <w:color w:val="auto"/>
        </w:rPr>
      </w:pPr>
    </w:p>
    <w:p>
      <w:pPr>
        <w:ind w:left="1400" w:right="579" w:hanging="145"/>
        <w:spacing w:after="0" w:line="280"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the COVID-19 pandemic and measures taken to contain its spread ultimately impact our business, including development activities, preclinical studies, and future clinical trials;</w:t>
      </w:r>
    </w:p>
    <w:p>
      <w:pPr>
        <w:spacing w:after="0" w:line="310" w:lineRule="exact"/>
        <w:rPr>
          <w:rFonts w:ascii="Arial" w:cs="Arial" w:eastAsia="Arial" w:hAnsi="Arial"/>
          <w:sz w:val="18"/>
          <w:szCs w:val="18"/>
          <w:color w:val="auto"/>
        </w:rPr>
      </w:pPr>
    </w:p>
    <w:p>
      <w:pPr>
        <w:ind w:left="1400" w:right="55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dependence on the success of our product candidates, in particular CNTY-101, CNTY-103, and CNTY-102;</w:t>
      </w:r>
    </w:p>
    <w:p>
      <w:pPr>
        <w:spacing w:after="0" w:line="90" w:lineRule="exact"/>
        <w:rPr>
          <w:rFonts w:ascii="Arial" w:cs="Arial" w:eastAsia="Arial" w:hAnsi="Arial"/>
          <w:sz w:val="18"/>
          <w:szCs w:val="18"/>
          <w:color w:val="auto"/>
        </w:rPr>
      </w:pPr>
    </w:p>
    <w:p>
      <w:pPr>
        <w:ind w:left="1400" w:right="81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novelty of our approach to immuno-oncology treatment of cancer, utilizing CAR-iNK and CAR-iT cells, and the challenges we will face due to the novel nature of such technology;</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129" w:lineRule="exact"/>
        <w:rPr>
          <w:rFonts w:ascii="Arial" w:cs="Arial" w:eastAsia="Arial" w:hAnsi="Arial"/>
          <w:sz w:val="18"/>
          <w:szCs w:val="18"/>
          <w:color w:val="auto"/>
        </w:rPr>
      </w:pPr>
    </w:p>
    <w:p>
      <w:pPr>
        <w:jc w:val="both"/>
        <w:ind w:left="1400" w:right="719" w:hanging="145"/>
        <w:spacing w:after="0" w:line="270"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FCDI for access to key differentiation and reprogramming technology for the manufacturing and development of our product candidates;</w:t>
      </w:r>
    </w:p>
    <w:p>
      <w:pPr>
        <w:spacing w:after="0" w:line="95" w:lineRule="exact"/>
        <w:rPr>
          <w:rFonts w:ascii="Arial" w:cs="Arial" w:eastAsia="Arial" w:hAnsi="Arial"/>
          <w:sz w:val="18"/>
          <w:szCs w:val="18"/>
          <w:color w:val="auto"/>
        </w:rPr>
      </w:pPr>
    </w:p>
    <w:p>
      <w:pPr>
        <w:ind w:left="1400" w:right="95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90" w:lineRule="exact"/>
        <w:rPr>
          <w:rFonts w:ascii="Arial" w:cs="Arial" w:eastAsia="Arial" w:hAnsi="Arial"/>
          <w:sz w:val="18"/>
          <w:szCs w:val="18"/>
          <w:color w:val="auto"/>
        </w:rPr>
      </w:pPr>
    </w:p>
    <w:p>
      <w:pPr>
        <w:ind w:left="1400" w:right="93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of our future IND applications and the likelihood of, and our ability to obtain and maintain, regulatory clearance of such IND applications for our product candidates;</w:t>
      </w:r>
    </w:p>
    <w:p>
      <w:pPr>
        <w:spacing w:after="0" w:line="90" w:lineRule="exact"/>
        <w:rPr>
          <w:rFonts w:ascii="Arial" w:cs="Arial" w:eastAsia="Arial" w:hAnsi="Arial"/>
          <w:sz w:val="18"/>
          <w:szCs w:val="18"/>
          <w:color w:val="auto"/>
        </w:rPr>
      </w:pPr>
    </w:p>
    <w:p>
      <w:pPr>
        <w:ind w:left="1400" w:right="77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90" w:lineRule="exact"/>
        <w:rPr>
          <w:rFonts w:ascii="Arial" w:cs="Arial" w:eastAsia="Arial" w:hAnsi="Arial"/>
          <w:sz w:val="18"/>
          <w:szCs w:val="18"/>
          <w:color w:val="auto"/>
        </w:rPr>
      </w:pPr>
    </w:p>
    <w:p>
      <w:pPr>
        <w:ind w:left="1400" w:right="699" w:hanging="145"/>
        <w:spacing w:after="0" w:line="270"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95" w:lineRule="exact"/>
        <w:rPr>
          <w:rFonts w:ascii="Arial" w:cs="Arial" w:eastAsia="Arial" w:hAnsi="Arial"/>
          <w:sz w:val="18"/>
          <w:szCs w:val="18"/>
          <w:color w:val="auto"/>
        </w:rPr>
      </w:pPr>
    </w:p>
    <w:p>
      <w:pPr>
        <w:ind w:left="1400" w:right="579" w:hanging="145"/>
        <w:spacing w:after="0" w:line="270"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future clinical trials as well as third-party suppliers and manufacturers;</w:t>
      </w:r>
    </w:p>
    <w:p>
      <w:pPr>
        <w:spacing w:after="0" w:line="95" w:lineRule="exact"/>
        <w:rPr>
          <w:rFonts w:ascii="Arial" w:cs="Arial" w:eastAsia="Arial" w:hAnsi="Arial"/>
          <w:sz w:val="18"/>
          <w:szCs w:val="18"/>
          <w:color w:val="auto"/>
        </w:rPr>
      </w:pPr>
    </w:p>
    <w:p>
      <w:pPr>
        <w:ind w:left="1400" w:right="115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90" w:lineRule="exact"/>
        <w:rPr>
          <w:rFonts w:ascii="Arial" w:cs="Arial" w:eastAsia="Arial" w:hAnsi="Arial"/>
          <w:sz w:val="18"/>
          <w:szCs w:val="18"/>
          <w:color w:val="auto"/>
        </w:rPr>
      </w:pPr>
    </w:p>
    <w:p>
      <w:pPr>
        <w:ind w:left="1400" w:right="45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90" w:lineRule="exact"/>
        <w:rPr>
          <w:rFonts w:ascii="Arial" w:cs="Arial" w:eastAsia="Arial" w:hAnsi="Arial"/>
          <w:sz w:val="18"/>
          <w:szCs w:val="18"/>
          <w:color w:val="auto"/>
        </w:rPr>
      </w:pPr>
    </w:p>
    <w:p>
      <w:pPr>
        <w:ind w:left="1400" w:right="1179" w:hanging="145"/>
        <w:spacing w:after="0" w:line="27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ectPr>
          <w:pgSz w:w="11900" w:h="16838" w:orient="portrait"/>
          <w:cols w:equalWidth="0" w:num="1">
            <w:col w:w="9859"/>
          </w:cols>
          <w:pgMar w:left="600" w:top="132" w:right="1440" w:bottom="1440" w:gutter="0" w:footer="0" w:header="0"/>
        </w:sectPr>
      </w:pP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0" w:right="579" w:hanging="145"/>
        <w:spacing w:after="0" w:line="275"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90" w:lineRule="exact"/>
        <w:rPr>
          <w:rFonts w:ascii="Arial" w:cs="Arial" w:eastAsia="Arial" w:hAnsi="Arial"/>
          <w:sz w:val="18"/>
          <w:szCs w:val="18"/>
          <w:color w:val="auto"/>
        </w:rPr>
      </w:pPr>
    </w:p>
    <w:p>
      <w:pPr>
        <w:ind w:left="1400" w:right="599" w:hanging="145"/>
        <w:spacing w:after="0" w:line="275"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29" w:lineRule="exact"/>
        <w:rPr>
          <w:rFonts w:ascii="Arial" w:cs="Arial" w:eastAsia="Arial" w:hAnsi="Arial"/>
          <w:sz w:val="18"/>
          <w:szCs w:val="18"/>
          <w:color w:val="auto"/>
        </w:rPr>
      </w:pPr>
    </w:p>
    <w:p>
      <w:pPr>
        <w:ind w:left="1400" w:right="479" w:hanging="145"/>
        <w:spacing w:after="0" w:line="268"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97" w:lineRule="exact"/>
        <w:rPr>
          <w:rFonts w:ascii="Arial" w:cs="Arial" w:eastAsia="Arial" w:hAnsi="Arial"/>
          <w:sz w:val="18"/>
          <w:szCs w:val="18"/>
          <w:color w:val="auto"/>
        </w:rPr>
      </w:pPr>
    </w:p>
    <w:p>
      <w:pPr>
        <w:ind w:left="1400" w:right="779" w:hanging="145"/>
        <w:spacing w:after="0" w:line="275"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29" w:lineRule="exact"/>
        <w:rPr>
          <w:rFonts w:ascii="Arial" w:cs="Arial" w:eastAsia="Arial" w:hAnsi="Arial"/>
          <w:sz w:val="18"/>
          <w:szCs w:val="18"/>
          <w:color w:val="auto"/>
        </w:rPr>
      </w:pPr>
    </w:p>
    <w:p>
      <w:pPr>
        <w:ind w:left="1400" w:right="559" w:hanging="145"/>
        <w:spacing w:after="0" w:line="275"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prospectus.</w:t>
      </w:r>
    </w:p>
    <w:p>
      <w:pPr>
        <w:spacing w:after="0" w:line="118"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and elsewhere in this prospectus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367" w:lineRule="exact"/>
        <w:rPr>
          <w:sz w:val="20"/>
          <w:szCs w:val="20"/>
          <w:color w:val="auto"/>
        </w:rPr>
      </w:pPr>
    </w:p>
    <w:p>
      <w:pPr>
        <w:ind w:left="1260" w:right="479"/>
        <w:spacing w:after="0" w:line="26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Market and industry data</w:t>
      </w:r>
    </w:p>
    <w:p>
      <w:pPr>
        <w:spacing w:after="0" w:line="163"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This prospectus contains estimates and other statistical data made by independent parties relating to our industry and the markets in which we operate, including estimates and statistical data about our market position, market opportunity, the incidence of certain medical conditions and other industry data. These data, to the extent they contain estimates or projections, involve a number of assumptions and limitations and are inherently imprecise, and you are cautioned not to give undue weight to such estimates or projections. Although we have not independently verified the accuracy or completeness of the data contained in these industry publications and reports, based on our industry experience we believe that the publications are reliable, the conclusions contained in the publications and reports are reasonable and the third-party information included in this prospectus and in our estimates is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Use of proceeds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7020" w:type="dxa"/>
            <w:vAlign w:val="bottom"/>
            <w:gridSpan w:val="3"/>
          </w:tcPr>
          <w:p>
            <w:pPr>
              <w:spacing w:after="0"/>
              <w:rPr>
                <w:sz w:val="20"/>
                <w:szCs w:val="20"/>
                <w:color w:val="auto"/>
              </w:rPr>
            </w:pPr>
            <w:r>
              <w:rPr>
                <w:rFonts w:ascii="Arial" w:cs="Arial" w:eastAsia="Arial" w:hAnsi="Arial"/>
                <w:sz w:val="18"/>
                <w:szCs w:val="18"/>
                <w:color w:val="auto"/>
              </w:rPr>
              <w:t>We estimate that the net proceeds to us from this offering will be approximately $</w:t>
            </w:r>
          </w:p>
        </w:tc>
        <w:tc>
          <w:tcPr>
            <w:tcW w:w="1120" w:type="dxa"/>
            <w:vAlign w:val="bottom"/>
          </w:tcPr>
          <w:p>
            <w:pPr>
              <w:ind w:left="380"/>
              <w:spacing w:after="0"/>
              <w:rPr>
                <w:sz w:val="20"/>
                <w:szCs w:val="20"/>
                <w:color w:val="auto"/>
              </w:rPr>
            </w:pPr>
            <w:r>
              <w:rPr>
                <w:rFonts w:ascii="Arial" w:cs="Arial" w:eastAsia="Arial" w:hAnsi="Arial"/>
                <w:sz w:val="18"/>
                <w:szCs w:val="18"/>
                <w:color w:val="auto"/>
              </w:rPr>
              <w:t>million</w:t>
            </w:r>
          </w:p>
        </w:tc>
      </w:tr>
      <w:tr>
        <w:trPr>
          <w:trHeight w:val="229"/>
        </w:trPr>
        <w:tc>
          <w:tcPr>
            <w:tcW w:w="2120" w:type="dxa"/>
            <w:vAlign w:val="bottom"/>
            <w:gridSpan w:val="2"/>
          </w:tcPr>
          <w:p>
            <w:pPr>
              <w:spacing w:after="0"/>
              <w:rPr>
                <w:sz w:val="20"/>
                <w:szCs w:val="20"/>
                <w:color w:val="auto"/>
              </w:rPr>
            </w:pPr>
            <w:r>
              <w:rPr>
                <w:rFonts w:ascii="Arial" w:cs="Arial" w:eastAsia="Arial" w:hAnsi="Arial"/>
                <w:sz w:val="18"/>
                <w:szCs w:val="18"/>
                <w:color w:val="auto"/>
              </w:rPr>
              <w:t>(or approximately $</w:t>
            </w:r>
          </w:p>
        </w:tc>
        <w:tc>
          <w:tcPr>
            <w:tcW w:w="6020" w:type="dxa"/>
            <w:vAlign w:val="bottom"/>
            <w:gridSpan w:val="2"/>
          </w:tcPr>
          <w:p>
            <w:pPr>
              <w:ind w:left="60"/>
              <w:spacing w:after="0"/>
              <w:rPr>
                <w:sz w:val="20"/>
                <w:szCs w:val="20"/>
                <w:color w:val="auto"/>
              </w:rPr>
            </w:pPr>
            <w:r>
              <w:rPr>
                <w:rFonts w:ascii="Arial" w:cs="Arial" w:eastAsia="Arial" w:hAnsi="Arial"/>
                <w:sz w:val="18"/>
                <w:szCs w:val="18"/>
                <w:color w:val="auto"/>
              </w:rPr>
              <w:t>million if the underwriters exercise in full their option to purchase up</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to</w:t>
            </w:r>
          </w:p>
        </w:tc>
        <w:tc>
          <w:tcPr>
            <w:tcW w:w="7120" w:type="dxa"/>
            <w:vAlign w:val="bottom"/>
            <w:gridSpan w:val="3"/>
          </w:tcPr>
          <w:p>
            <w:pPr>
              <w:ind w:left="220"/>
              <w:spacing w:after="0"/>
              <w:rPr>
                <w:sz w:val="20"/>
                <w:szCs w:val="20"/>
                <w:color w:val="auto"/>
              </w:rPr>
            </w:pPr>
            <w:r>
              <w:rPr>
                <w:rFonts w:ascii="Arial" w:cs="Arial" w:eastAsia="Arial" w:hAnsi="Arial"/>
                <w:sz w:val="18"/>
                <w:szCs w:val="18"/>
                <w:color w:val="auto"/>
              </w:rPr>
              <w:t>additional shares of common stock), based on an assumed initial public offering</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price of $</w:t>
            </w:r>
          </w:p>
        </w:tc>
        <w:tc>
          <w:tcPr>
            <w:tcW w:w="7120" w:type="dxa"/>
            <w:vAlign w:val="bottom"/>
            <w:gridSpan w:val="3"/>
          </w:tcPr>
          <w:p>
            <w:pPr>
              <w:ind w:left="340"/>
              <w:spacing w:after="0"/>
              <w:rPr>
                <w:sz w:val="20"/>
                <w:szCs w:val="20"/>
                <w:color w:val="auto"/>
              </w:rPr>
            </w:pPr>
            <w:r>
              <w:rPr>
                <w:rFonts w:ascii="Arial" w:cs="Arial" w:eastAsia="Arial" w:hAnsi="Arial"/>
                <w:sz w:val="18"/>
                <w:szCs w:val="18"/>
                <w:color w:val="auto"/>
              </w:rPr>
              <w:t>per share, the midpoint of the price range set forth on the cover page of this</w:t>
            </w:r>
          </w:p>
        </w:tc>
      </w:tr>
      <w:tr>
        <w:trPr>
          <w:trHeight w:val="229"/>
        </w:trPr>
        <w:tc>
          <w:tcPr>
            <w:tcW w:w="8140" w:type="dxa"/>
            <w:vAlign w:val="bottom"/>
            <w:gridSpan w:val="4"/>
          </w:tcPr>
          <w:p>
            <w:pPr>
              <w:spacing w:after="0"/>
              <w:rPr>
                <w:sz w:val="20"/>
                <w:szCs w:val="20"/>
                <w:color w:val="auto"/>
              </w:rPr>
            </w:pPr>
            <w:r>
              <w:rPr>
                <w:rFonts w:ascii="Arial" w:cs="Arial" w:eastAsia="Arial" w:hAnsi="Arial"/>
                <w:sz w:val="18"/>
                <w:szCs w:val="18"/>
                <w:color w:val="auto"/>
              </w:rPr>
              <w:t>prospectus, after deducting underwriting discounts and commissions and estimated offering</w:t>
            </w:r>
          </w:p>
        </w:tc>
      </w:tr>
      <w:tr>
        <w:trPr>
          <w:trHeight w:val="229"/>
        </w:trPr>
        <w:tc>
          <w:tcPr>
            <w:tcW w:w="2120" w:type="dxa"/>
            <w:vAlign w:val="bottom"/>
            <w:gridSpan w:val="2"/>
          </w:tcPr>
          <w:p>
            <w:pPr>
              <w:spacing w:after="0"/>
              <w:rPr>
                <w:sz w:val="20"/>
                <w:szCs w:val="20"/>
                <w:color w:val="auto"/>
              </w:rPr>
            </w:pPr>
            <w:r>
              <w:rPr>
                <w:rFonts w:ascii="Arial" w:cs="Arial" w:eastAsia="Arial" w:hAnsi="Arial"/>
                <w:sz w:val="18"/>
                <w:szCs w:val="18"/>
                <w:color w:val="auto"/>
              </w:rPr>
              <w:t>expenses payable by us.</w:t>
            </w:r>
          </w:p>
        </w:tc>
        <w:tc>
          <w:tcPr>
            <w:tcW w:w="49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7"/>
        </w:trPr>
        <w:tc>
          <w:tcPr>
            <w:tcW w:w="7020" w:type="dxa"/>
            <w:vAlign w:val="bottom"/>
            <w:gridSpan w:val="3"/>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1120" w:type="dxa"/>
            <w:vAlign w:val="bottom"/>
          </w:tcPr>
          <w:p>
            <w:pPr>
              <w:ind w:left="260"/>
              <w:spacing w:after="0"/>
              <w:rPr>
                <w:sz w:val="20"/>
                <w:szCs w:val="20"/>
                <w:color w:val="auto"/>
              </w:rPr>
            </w:pPr>
            <w:r>
              <w:rPr>
                <w:rFonts w:ascii="Arial" w:cs="Arial" w:eastAsia="Arial" w:hAnsi="Arial"/>
                <w:sz w:val="18"/>
                <w:szCs w:val="18"/>
                <w:color w:val="auto"/>
              </w:rPr>
              <w:t>per share,</w:t>
            </w:r>
          </w:p>
        </w:tc>
      </w:tr>
    </w:tbl>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midpoint of the price range set forth on the cover page of this prospectus, would increase or</w:t>
      </w:r>
    </w:p>
    <w:p>
      <w:pPr>
        <w:spacing w:after="0" w:line="22" w:lineRule="exact"/>
        <w:rPr>
          <w:sz w:val="20"/>
          <w:szCs w:val="20"/>
          <w:color w:val="auto"/>
        </w:rPr>
      </w:pPr>
    </w:p>
    <w:p>
      <w:pPr>
        <w:ind w:left="1260" w:right="759"/>
        <w:spacing w:after="0" w:line="265" w:lineRule="auto"/>
        <w:rPr>
          <w:sz w:val="20"/>
          <w:szCs w:val="20"/>
          <w:color w:val="auto"/>
        </w:rPr>
      </w:pPr>
      <w:r>
        <w:rPr>
          <w:rFonts w:ascii="Arial" w:cs="Arial" w:eastAsia="Arial" w:hAnsi="Arial"/>
          <w:sz w:val="18"/>
          <w:szCs w:val="18"/>
          <w:color w:val="auto"/>
        </w:rPr>
        <w:t>decrease, as applicable, the net proceeds from this offering by approximately $ million, assuming that the number of shares of common stock offered by us, as set forth on the cover page of this prospectus, remains the same and after deducting the underwriting discounts and commissions and estimated offering expenses payable by us. Similarly, each increase or decrease of 1.0 million shares of common stock offered by us would increase or decrease, as</w:t>
      </w:r>
    </w:p>
    <w:p>
      <w:pPr>
        <w:spacing w:after="0" w:line="1" w:lineRule="exact"/>
        <w:rPr>
          <w:sz w:val="20"/>
          <w:szCs w:val="20"/>
          <w:color w:val="auto"/>
        </w:rPr>
      </w:pPr>
    </w:p>
    <w:p>
      <w:pPr>
        <w:ind w:left="1260"/>
        <w:spacing w:after="0"/>
        <w:tabs>
          <w:tab w:leader="none" w:pos="6380" w:val="left"/>
        </w:tabs>
        <w:rPr>
          <w:sz w:val="20"/>
          <w:szCs w:val="20"/>
          <w:color w:val="auto"/>
        </w:rPr>
      </w:pPr>
      <w:r>
        <w:rPr>
          <w:rFonts w:ascii="Arial" w:cs="Arial" w:eastAsia="Arial" w:hAnsi="Arial"/>
          <w:sz w:val="18"/>
          <w:szCs w:val="18"/>
          <w:color w:val="auto"/>
        </w:rPr>
        <w:t>applicable, the net proceeds to us by approximately $</w:t>
      </w:r>
      <w:r>
        <w:rPr>
          <w:sz w:val="20"/>
          <w:szCs w:val="20"/>
          <w:color w:val="auto"/>
        </w:rPr>
        <w:tab/>
      </w:r>
      <w:r>
        <w:rPr>
          <w:rFonts w:ascii="Arial" w:cs="Arial" w:eastAsia="Arial" w:hAnsi="Arial"/>
          <w:sz w:val="18"/>
          <w:szCs w:val="18"/>
          <w:color w:val="auto"/>
        </w:rPr>
        <w:t>million, assuming the assumed</w:t>
      </w:r>
    </w:p>
    <w:p>
      <w:pPr>
        <w:spacing w:after="0" w:line="22" w:lineRule="exact"/>
        <w:rPr>
          <w:sz w:val="20"/>
          <w:szCs w:val="20"/>
          <w:color w:val="auto"/>
        </w:rPr>
      </w:pPr>
    </w:p>
    <w:p>
      <w:pPr>
        <w:ind w:left="1260"/>
        <w:spacing w:after="0"/>
        <w:tabs>
          <w:tab w:leader="none" w:pos="442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8"/>
          <w:szCs w:val="18"/>
          <w:color w:val="auto"/>
        </w:rPr>
        <w:t>per share, the midpoint of the price range set forth on the</w:t>
      </w:r>
    </w:p>
    <w:p>
      <w:pPr>
        <w:spacing w:after="0" w:line="22" w:lineRule="exact"/>
        <w:rPr>
          <w:sz w:val="20"/>
          <w:szCs w:val="20"/>
          <w:color w:val="auto"/>
        </w:rPr>
      </w:pPr>
    </w:p>
    <w:p>
      <w:pPr>
        <w:ind w:left="1260" w:right="539"/>
        <w:spacing w:after="0" w:line="275" w:lineRule="auto"/>
        <w:rPr>
          <w:sz w:val="20"/>
          <w:szCs w:val="20"/>
          <w:color w:val="auto"/>
        </w:rPr>
      </w:pPr>
      <w:r>
        <w:rPr>
          <w:rFonts w:ascii="Arial" w:cs="Arial" w:eastAsia="Arial" w:hAnsi="Arial"/>
          <w:sz w:val="18"/>
          <w:szCs w:val="18"/>
          <w:color w:val="auto"/>
        </w:rPr>
        <w:t>cover page of this prospectus, remains the same, and after deducting the underwriting discounts and commissions and estimated offering expenses payable by us.</w:t>
      </w:r>
    </w:p>
    <w:p>
      <w:pPr>
        <w:spacing w:after="0" w:line="131"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 We currently expect to use the net proceeds from this offering, together with our existing cash and cash equivalents, as follows:</w:t>
      </w:r>
    </w:p>
    <w:p>
      <w:pPr>
        <w:spacing w:after="0" w:line="98" w:lineRule="exact"/>
        <w:rPr>
          <w:sz w:val="20"/>
          <w:szCs w:val="20"/>
          <w:color w:val="auto"/>
        </w:rPr>
      </w:pPr>
    </w:p>
    <w:p>
      <w:pPr>
        <w:ind w:left="1400" w:right="499" w:hanging="145"/>
        <w:spacing w:after="0" w:line="270"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 million to fund pre-clinical activities and clinical preparation activities for CNTY-101 through completion of our IND submission, initiation of our planned Phase 1 clinical trial, and receipt of initial safety and pharmacokinetic, or PK, data;</w:t>
      </w:r>
    </w:p>
    <w:p>
      <w:pPr>
        <w:spacing w:after="0" w:line="95" w:lineRule="exact"/>
        <w:rPr>
          <w:rFonts w:ascii="Arial" w:cs="Arial" w:eastAsia="Arial" w:hAnsi="Arial"/>
          <w:sz w:val="18"/>
          <w:szCs w:val="18"/>
          <w:color w:val="auto"/>
        </w:rPr>
      </w:pPr>
    </w:p>
    <w:p>
      <w:pPr>
        <w:ind w:left="1400" w:right="759" w:hanging="145"/>
        <w:spacing w:after="0" w:line="280"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 million to fund pre-clinical activities for CNTY-103, CNTY-102, and CNTY-104 through completion of our IND submission for each of CNTY-103, CNTY-102, and CNTY-104;</w:t>
      </w:r>
    </w:p>
    <w:p>
      <w:pPr>
        <w:spacing w:after="0" w:line="324" w:lineRule="exact"/>
        <w:rPr>
          <w:rFonts w:ascii="Arial" w:cs="Arial" w:eastAsia="Arial" w:hAnsi="Arial"/>
          <w:sz w:val="18"/>
          <w:szCs w:val="18"/>
          <w:color w:val="auto"/>
        </w:rPr>
      </w:pPr>
    </w:p>
    <w:p>
      <w:pPr>
        <w:ind w:left="1400" w:right="559" w:hanging="145"/>
        <w:spacing w:after="0" w:line="275"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 to continue developing manufacturing capabilities for our product candidates, including the construction of our manufacturing facility in Branchburg, New Jersey;</w:t>
      </w:r>
    </w:p>
    <w:p>
      <w:pPr>
        <w:spacing w:after="0" w:line="90" w:lineRule="exact"/>
        <w:rPr>
          <w:rFonts w:ascii="Arial" w:cs="Arial" w:eastAsia="Arial" w:hAnsi="Arial"/>
          <w:sz w:val="18"/>
          <w:szCs w:val="18"/>
          <w:color w:val="auto"/>
        </w:rPr>
      </w:pPr>
    </w:p>
    <w:p>
      <w:pPr>
        <w:ind w:left="1400" w:right="1039" w:hanging="145"/>
        <w:spacing w:after="0" w:line="275"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 to fund our internal research and development capabilities and to advance new product candidates; and</w:t>
      </w:r>
    </w:p>
    <w:p>
      <w:pPr>
        <w:spacing w:after="0" w:line="104" w:lineRule="exact"/>
        <w:rPr>
          <w:rFonts w:ascii="Arial" w:cs="Arial" w:eastAsia="Arial" w:hAnsi="Arial"/>
          <w:sz w:val="18"/>
          <w:szCs w:val="18"/>
          <w:color w:val="auto"/>
        </w:rPr>
      </w:pPr>
    </w:p>
    <w:p>
      <w:pPr>
        <w:ind w:left="1400" w:right="1259" w:hanging="145"/>
        <w:spacing w:after="0" w:line="275"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 including the additional costs associated with being a public company.</w:t>
      </w:r>
    </w:p>
    <w:p>
      <w:pPr>
        <w:spacing w:after="0" w:line="118" w:lineRule="exact"/>
        <w:rPr>
          <w:sz w:val="20"/>
          <w:szCs w:val="20"/>
          <w:color w:val="auto"/>
        </w:rPr>
      </w:pPr>
    </w:p>
    <w:p>
      <w:pPr>
        <w:ind w:left="1260" w:right="819"/>
        <w:spacing w:after="0" w:line="270" w:lineRule="auto"/>
        <w:rPr>
          <w:sz w:val="20"/>
          <w:szCs w:val="20"/>
          <w:color w:val="auto"/>
        </w:rPr>
      </w:pPr>
      <w:r>
        <w:rPr>
          <w:rFonts w:ascii="Arial" w:cs="Arial" w:eastAsia="Arial" w:hAnsi="Arial"/>
          <w:sz w:val="18"/>
          <w:szCs w:val="18"/>
          <w:color w:val="auto"/>
        </w:rPr>
        <w:t>We may use a portion of the net proceeds from this offering to in-license, acquire, or invest in complementary businesses, technologies, products or assets. However, we have no current commitments to do so.</w:t>
      </w:r>
    </w:p>
    <w:p>
      <w:pPr>
        <w:spacing w:after="0" w:line="135"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w:t>
      </w:r>
    </w:p>
    <w:p>
      <w:pPr>
        <w:ind w:left="1260" w:right="659"/>
        <w:spacing w:after="0" w:line="270" w:lineRule="auto"/>
        <w:rPr>
          <w:sz w:val="20"/>
          <w:szCs w:val="20"/>
          <w:color w:val="auto"/>
        </w:rPr>
      </w:pPr>
      <w:r>
        <w:rPr>
          <w:rFonts w:ascii="Arial" w:cs="Arial" w:eastAsia="Arial" w:hAnsi="Arial"/>
          <w:sz w:val="18"/>
          <w:szCs w:val="18"/>
          <w:color w:val="auto"/>
        </w:rPr>
        <w:t>expenditure requirements into the quarter of 20 . We have based this estimate on assumptions that may prove to be wrong, and we could exhaust our available capital resources sooner than we expect.</w:t>
      </w:r>
    </w:p>
    <w:p>
      <w:pPr>
        <w:spacing w:after="0" w:line="135"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closing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ectPr>
          <w:pgSz w:w="11900" w:h="16838" w:orient="portrait"/>
          <w:cols w:equalWidth="0" w:num="1">
            <w:col w:w="9859"/>
          </w:cols>
          <w:pgMar w:left="600" w:top="132" w:right="1440" w:bottom="9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913" w:gutter="0" w:footer="0" w:header="0"/>
          <w:type w:val="continuous"/>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99"/>
        <w:spacing w:after="0" w:line="270" w:lineRule="auto"/>
        <w:rPr>
          <w:sz w:val="20"/>
          <w:szCs w:val="20"/>
          <w:color w:val="auto"/>
        </w:rPr>
      </w:pPr>
      <w:r>
        <w:rPr>
          <w:rFonts w:ascii="Arial" w:cs="Arial" w:eastAsia="Arial" w:hAnsi="Arial"/>
          <w:sz w:val="18"/>
          <w:szCs w:val="18"/>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22" w:lineRule="exact"/>
        <w:rPr>
          <w:sz w:val="20"/>
          <w:szCs w:val="20"/>
          <w:color w:val="auto"/>
        </w:rPr>
      </w:pPr>
    </w:p>
    <w:p>
      <w:pPr>
        <w:ind w:left="1260" w:right="559"/>
        <w:spacing w:after="0" w:line="270" w:lineRule="auto"/>
        <w:rPr>
          <w:sz w:val="20"/>
          <w:szCs w:val="20"/>
          <w:color w:val="auto"/>
        </w:rPr>
      </w:pPr>
      <w:r>
        <w:rPr>
          <w:rFonts w:ascii="Arial" w:cs="Arial" w:eastAsia="Arial" w:hAnsi="Arial"/>
          <w:sz w:val="18"/>
          <w:szCs w:val="18"/>
          <w:color w:val="auto"/>
        </w:rPr>
        <w:t>Pending their use, we plan to invest the net proceeds from this offering in short- and medium-term, interest-bearing obligations, investment-grade instruments, certificates of deposit, or direct or guaranteed obligations of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Dividend policy</w:t>
      </w:r>
    </w:p>
    <w:p>
      <w:pPr>
        <w:spacing w:after="0" w:line="163"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We have never declared or paid cash dividends on our capital stock and our ability to pay cash dividends is currently restricted by the terms of our Loan and Security Agreement with Hercules Capital, Inc.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Capitalization</w:t>
      </w:r>
    </w:p>
    <w:p>
      <w:pPr>
        <w:spacing w:after="0" w:line="150" w:lineRule="exact"/>
        <w:rPr>
          <w:sz w:val="20"/>
          <w:szCs w:val="20"/>
          <w:color w:val="auto"/>
        </w:rPr>
      </w:pPr>
    </w:p>
    <w:p>
      <w:pPr>
        <w:ind w:left="1260" w:right="1179"/>
        <w:spacing w:after="0" w:line="260" w:lineRule="auto"/>
        <w:rPr>
          <w:sz w:val="20"/>
          <w:szCs w:val="20"/>
          <w:color w:val="auto"/>
        </w:rPr>
      </w:pPr>
      <w:r>
        <w:rPr>
          <w:rFonts w:ascii="Arial" w:cs="Arial" w:eastAsia="Arial" w:hAnsi="Arial"/>
          <w:sz w:val="18"/>
          <w:szCs w:val="18"/>
          <w:color w:val="auto"/>
        </w:rPr>
        <w:t>The following table sets forth our cash, cash equivalents, short term investments and our capitalization as of December 31, 2020:</w:t>
      </w:r>
    </w:p>
    <w:p>
      <w:pPr>
        <w:spacing w:after="0" w:line="103" w:lineRule="exact"/>
        <w:rPr>
          <w:sz w:val="20"/>
          <w:szCs w:val="20"/>
          <w:color w:val="auto"/>
        </w:rPr>
      </w:pPr>
    </w:p>
    <w:p>
      <w:pPr>
        <w:ind w:left="1400" w:hanging="145"/>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2" w:lineRule="exact"/>
        <w:rPr>
          <w:rFonts w:ascii="Arial" w:cs="Arial" w:eastAsia="Arial" w:hAnsi="Arial"/>
          <w:sz w:val="18"/>
          <w:szCs w:val="18"/>
          <w:color w:val="auto"/>
        </w:rPr>
      </w:pPr>
    </w:p>
    <w:p>
      <w:pPr>
        <w:ind w:left="1400" w:right="479" w:hanging="145"/>
        <w:spacing w:after="0" w:line="268"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 pro forma basis to give effect to the completion of (i) the 2021 Reorganization, and (ii) the selling of 24,721,999 shares of our Series C preferred stock, par value $0.0001 per share, or the Series C preferred stock, to certain institutional investors at a price of approximately $6.472 per share, for gross proceeds of approximately $160 million, or the Series C Financing; and</w:t>
      </w:r>
    </w:p>
    <w:p>
      <w:pPr>
        <w:spacing w:after="0" w:line="70" w:lineRule="exact"/>
        <w:rPr>
          <w:rFonts w:ascii="Arial" w:cs="Arial" w:eastAsia="Arial" w:hAnsi="Arial"/>
          <w:sz w:val="18"/>
          <w:szCs w:val="18"/>
          <w:color w:val="auto"/>
        </w:rPr>
      </w:pPr>
    </w:p>
    <w:p>
      <w:pPr>
        <w:ind w:left="1400" w:right="539" w:hanging="145"/>
        <w:spacing w:after="0" w:line="265"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pro forma adjustments described above and to give further effect to (i) the filing and effectiveness of our second amended and restated certificate of incorporation immediately prior to the closing of this offering, (ii) the conversion of</w:t>
      </w:r>
    </w:p>
    <w:p>
      <w:pPr>
        <w:ind w:left="1400" w:right="659"/>
        <w:spacing w:after="0" w:line="265" w:lineRule="auto"/>
        <w:rPr>
          <w:sz w:val="20"/>
          <w:szCs w:val="20"/>
          <w:color w:val="auto"/>
        </w:rPr>
      </w:pPr>
      <w:r>
        <w:rPr>
          <w:rFonts w:ascii="Arial" w:cs="Arial" w:eastAsia="Arial" w:hAnsi="Arial"/>
          <w:sz w:val="18"/>
          <w:szCs w:val="18"/>
          <w:color w:val="auto"/>
        </w:rPr>
        <w:t>all outstanding shares of our convertible preferred stock into an aggregate of shares of common stock upon the closing of this offering and (iii) the issuance and sale of</w:t>
      </w:r>
    </w:p>
    <w:p>
      <w:pPr>
        <w:ind w:left="1600"/>
        <w:spacing w:after="0"/>
        <w:rPr>
          <w:sz w:val="20"/>
          <w:szCs w:val="20"/>
          <w:color w:val="auto"/>
        </w:rPr>
      </w:pPr>
      <w:r>
        <w:rPr>
          <w:rFonts w:ascii="Arial" w:cs="Arial" w:eastAsia="Arial" w:hAnsi="Arial"/>
          <w:sz w:val="18"/>
          <w:szCs w:val="18"/>
          <w:color w:val="auto"/>
        </w:rPr>
        <w:t>shares of our common stock in this offering at an assumed initial public offering price of</w:t>
      </w:r>
    </w:p>
    <w:p>
      <w:pPr>
        <w:spacing w:after="0" w:line="22" w:lineRule="exact"/>
        <w:rPr>
          <w:sz w:val="20"/>
          <w:szCs w:val="20"/>
          <w:color w:val="auto"/>
        </w:rPr>
      </w:pPr>
    </w:p>
    <w:p>
      <w:pPr>
        <w:ind w:left="1400" w:right="1139" w:hanging="2"/>
        <w:spacing w:after="0" w:line="270"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and after deducting estimated underwriting discounts and commissions and estimated offering expenses payable by us.</w:t>
      </w:r>
    </w:p>
    <w:p>
      <w:pPr>
        <w:spacing w:after="0" w:line="109"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 You should read this table together with the sections of this prospectus captioned “Selected financial and other data,” “Use of proceeds,” “Management’s discussion and analysis of financial condition and results of operations,” “Description of capital stock” and our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123825</wp:posOffset>
            </wp:positionV>
            <wp:extent cx="54159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15915" cy="17145"/>
                    </a:xfrm>
                    <a:prstGeom prst="rect">
                      <a:avLst/>
                    </a:prstGeom>
                    <a:noFill/>
                  </pic:spPr>
                </pic:pic>
              </a:graphicData>
            </a:graphic>
          </wp:anchor>
        </w:drawing>
      </w: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As of December 31, 2020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Pro</w:t>
            </w:r>
          </w:p>
        </w:tc>
        <w:tc>
          <w:tcPr>
            <w:tcW w:w="1140" w:type="dxa"/>
            <w:vAlign w:val="bottom"/>
          </w:tcPr>
          <w:p>
            <w:pPr>
              <w:jc w:val="center"/>
              <w:ind w:right="15"/>
              <w:spacing w:after="0" w:line="171" w:lineRule="exact"/>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227"/>
        </w:trPr>
        <w:tc>
          <w:tcPr>
            <w:tcW w:w="4460" w:type="dxa"/>
            <w:vAlign w:val="bottom"/>
            <w:gridSpan w:val="4"/>
          </w:tcPr>
          <w:p>
            <w:pPr>
              <w:spacing w:after="0"/>
              <w:rPr>
                <w:sz w:val="20"/>
                <w:szCs w:val="20"/>
                <w:color w:val="auto"/>
              </w:rPr>
            </w:pPr>
            <w:r>
              <w:rPr>
                <w:rFonts w:ascii="Arial" w:cs="Arial" w:eastAsia="Arial" w:hAnsi="Arial"/>
                <w:sz w:val="16"/>
                <w:szCs w:val="16"/>
                <w:b w:val="1"/>
                <w:bCs w:val="1"/>
                <w:color w:val="auto"/>
              </w:rPr>
              <w:t>(In thousands, except share and per unit/share data)</w:t>
            </w:r>
          </w:p>
        </w:tc>
        <w:tc>
          <w:tcPr>
            <w:tcW w:w="1680" w:type="dxa"/>
            <w:vAlign w:val="bottom"/>
          </w:tcPr>
          <w:p>
            <w:pPr>
              <w:spacing w:after="0"/>
              <w:rPr>
                <w:sz w:val="19"/>
                <w:szCs w:val="19"/>
                <w:color w:val="auto"/>
              </w:rPr>
            </w:pPr>
          </w:p>
        </w:tc>
        <w:tc>
          <w:tcPr>
            <w:tcW w:w="2400" w:type="dxa"/>
            <w:vAlign w:val="bottom"/>
            <w:gridSpan w:val="3"/>
          </w:tcPr>
          <w:p>
            <w:pPr>
              <w:ind w:left="240"/>
              <w:spacing w:after="0"/>
              <w:rPr>
                <w:sz w:val="20"/>
                <w:szCs w:val="20"/>
                <w:color w:val="auto"/>
              </w:rPr>
            </w:pPr>
            <w:r>
              <w:rPr>
                <w:rFonts w:ascii="Arial" w:cs="Arial" w:eastAsia="Arial" w:hAnsi="Arial"/>
                <w:sz w:val="16"/>
                <w:szCs w:val="16"/>
                <w:b w:val="1"/>
                <w:bCs w:val="1"/>
                <w:color w:val="auto"/>
              </w:rPr>
              <w:t>Actualformaas adjusted(1)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4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$ 75,753</w:t>
            </w:r>
          </w:p>
        </w:tc>
        <w:tc>
          <w:tcPr>
            <w:tcW w:w="48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gridSpan w:val="2"/>
          </w:tcPr>
          <w:p>
            <w:pPr>
              <w:spacing w:after="0" w:line="203" w:lineRule="exact"/>
              <w:rPr>
                <w:sz w:val="20"/>
                <w:szCs w:val="20"/>
                <w:color w:val="auto"/>
              </w:rPr>
            </w:pPr>
            <w:r>
              <w:rPr>
                <w:rFonts w:ascii="Arial" w:cs="Arial" w:eastAsia="Arial" w:hAnsi="Arial"/>
                <w:sz w:val="18"/>
                <w:szCs w:val="18"/>
                <w:color w:val="auto"/>
              </w:rPr>
              <w:t>Long-term debt</w:t>
            </w: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9,636</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Members’/stockholders’ deficit:</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5"/>
          </w:tcPr>
          <w:p>
            <w:pPr>
              <w:ind w:left="160"/>
              <w:spacing w:after="0"/>
              <w:rPr>
                <w:sz w:val="20"/>
                <w:szCs w:val="20"/>
                <w:color w:val="auto"/>
              </w:rPr>
            </w:pPr>
            <w:r>
              <w:rPr>
                <w:rFonts w:ascii="Arial" w:cs="Arial" w:eastAsia="Arial" w:hAnsi="Arial"/>
                <w:sz w:val="18"/>
                <w:szCs w:val="18"/>
                <w:color w:val="auto"/>
              </w:rPr>
              <w:t>Common units, $0.0001 par value; 108,968,867 units authorized,</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5"/>
          </w:tcPr>
          <w:p>
            <w:pPr>
              <w:ind w:left="340"/>
              <w:spacing w:after="0"/>
              <w:rPr>
                <w:sz w:val="20"/>
                <w:szCs w:val="20"/>
                <w:color w:val="auto"/>
              </w:rPr>
            </w:pPr>
            <w:r>
              <w:rPr>
                <w:rFonts w:ascii="Arial" w:cs="Arial" w:eastAsia="Arial" w:hAnsi="Arial"/>
                <w:sz w:val="18"/>
                <w:szCs w:val="18"/>
                <w:color w:val="auto"/>
              </w:rPr>
              <w:t>93,370,681 units issued, and outstanding, actual; no units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5"/>
          </w:tcPr>
          <w:p>
            <w:pPr>
              <w:ind w:left="340"/>
              <w:spacing w:after="0"/>
              <w:rPr>
                <w:sz w:val="20"/>
                <w:szCs w:val="20"/>
                <w:color w:val="auto"/>
              </w:rPr>
            </w:pPr>
            <w:r>
              <w:rPr>
                <w:rFonts w:ascii="Arial" w:cs="Arial" w:eastAsia="Arial" w:hAnsi="Arial"/>
                <w:sz w:val="18"/>
                <w:szCs w:val="18"/>
                <w:color w:val="auto"/>
              </w:rPr>
              <w:t>authorized, issued, and outstanding, pro forma and pro forma as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40"/>
              <w:spacing w:after="0"/>
              <w:rPr>
                <w:sz w:val="20"/>
                <w:szCs w:val="20"/>
                <w:color w:val="auto"/>
              </w:rPr>
            </w:pPr>
            <w:r>
              <w:rPr>
                <w:rFonts w:ascii="Arial" w:cs="Arial" w:eastAsia="Arial" w:hAnsi="Arial"/>
                <w:sz w:val="18"/>
                <w:szCs w:val="18"/>
                <w:color w:val="auto"/>
              </w:rPr>
              <w:t>adjusted</w:t>
            </w: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396,539</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120" w:type="dxa"/>
            <w:vAlign w:val="bottom"/>
            <w:gridSpan w:val="4"/>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Common stock, $0.0001 par value: no shares authorized, issued, and</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outstanding, actual; 125,236,190 shares authorized, 24,476,074</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pro forma;</w:t>
            </w:r>
          </w:p>
        </w:tc>
        <w:tc>
          <w:tcPr>
            <w:tcW w:w="4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655"/>
              <w:spacing w:after="0"/>
              <w:rPr>
                <w:sz w:val="20"/>
                <w:szCs w:val="20"/>
                <w:color w:val="auto"/>
              </w:rPr>
            </w:pPr>
            <w:r>
              <w:rPr>
                <w:rFonts w:ascii="Arial" w:cs="Arial" w:eastAsia="Arial" w:hAnsi="Arial"/>
                <w:sz w:val="18"/>
                <w:szCs w:val="18"/>
                <w:color w:val="auto"/>
              </w:rPr>
              <w:t>shares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authorized,</w:t>
            </w:r>
          </w:p>
        </w:tc>
        <w:tc>
          <w:tcPr>
            <w:tcW w:w="2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w:t>
            </w:r>
          </w:p>
        </w:tc>
        <w:tc>
          <w:tcPr>
            <w:tcW w:w="2880" w:type="dxa"/>
            <w:vAlign w:val="bottom"/>
            <w:gridSpan w:val="3"/>
            <w:shd w:val="clear" w:color="auto" w:fill="CCEEFF"/>
          </w:tcPr>
          <w:p>
            <w:pPr>
              <w:jc w:val="right"/>
              <w:ind w:right="1055"/>
              <w:spacing w:after="0"/>
              <w:rPr>
                <w:sz w:val="20"/>
                <w:szCs w:val="20"/>
                <w:color w:val="auto"/>
              </w:rPr>
            </w:pPr>
            <w:r>
              <w:rPr>
                <w:rFonts w:ascii="Arial" w:cs="Arial" w:eastAsia="Arial" w:hAnsi="Arial"/>
                <w:sz w:val="18"/>
                <w:szCs w:val="18"/>
                <w:color w:val="auto"/>
              </w:rPr>
              <w:t>shares outstanding,</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 forma as adjusted</w:t>
            </w:r>
          </w:p>
        </w:tc>
        <w:tc>
          <w:tcPr>
            <w:tcW w:w="4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5"/>
          </w:tcPr>
          <w:p>
            <w:pPr>
              <w:ind w:left="160"/>
              <w:spacing w:after="0"/>
              <w:rPr>
                <w:sz w:val="20"/>
                <w:szCs w:val="20"/>
                <w:color w:val="auto"/>
              </w:rPr>
            </w:pPr>
            <w:r>
              <w:rPr>
                <w:rFonts w:ascii="Arial" w:cs="Arial" w:eastAsia="Arial" w:hAnsi="Arial"/>
                <w:sz w:val="18"/>
                <w:szCs w:val="18"/>
                <w:color w:val="auto"/>
              </w:rPr>
              <w:t>Series A preferred stock, $0.0001 par value: no shares authorized,</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5"/>
          </w:tcPr>
          <w:p>
            <w:pPr>
              <w:ind w:left="340"/>
              <w:spacing w:after="0"/>
              <w:rPr>
                <w:sz w:val="20"/>
                <w:szCs w:val="20"/>
                <w:color w:val="auto"/>
              </w:rPr>
            </w:pPr>
            <w:r>
              <w:rPr>
                <w:rFonts w:ascii="Arial" w:cs="Arial" w:eastAsia="Arial" w:hAnsi="Arial"/>
                <w:sz w:val="18"/>
                <w:szCs w:val="18"/>
                <w:color w:val="auto"/>
              </w:rPr>
              <w:t>issued, or outstanding, actual; 35,000,000 shares authorized,</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5"/>
          </w:tcPr>
          <w:p>
            <w:pPr>
              <w:ind w:left="340"/>
              <w:spacing w:after="0"/>
              <w:rPr>
                <w:sz w:val="20"/>
                <w:szCs w:val="20"/>
                <w:color w:val="auto"/>
              </w:rPr>
            </w:pPr>
            <w:r>
              <w:rPr>
                <w:rFonts w:ascii="Arial" w:cs="Arial" w:eastAsia="Arial" w:hAnsi="Arial"/>
                <w:sz w:val="18"/>
                <w:szCs w:val="18"/>
                <w:color w:val="auto"/>
              </w:rPr>
              <w:t>issued, and outstanding, pro forma; no shares authorized, issued, or</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outstanding, pro forma as adjusted</w:t>
            </w: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120" w:type="dxa"/>
            <w:vAlign w:val="bottom"/>
            <w:gridSpan w:val="4"/>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Series B preferred stock, $0.0001 par value: no shares authorized,</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issued, or outstanding, actual; 26,143,790 shares authorized,</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issued, and outstanding, pro forma; no shares authorized, issued, or</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outstanding, pro forma as adjusted</w:t>
            </w:r>
          </w:p>
        </w:tc>
        <w:tc>
          <w:tcPr>
            <w:tcW w:w="4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5"/>
          </w:tcPr>
          <w:p>
            <w:pPr>
              <w:ind w:left="160"/>
              <w:spacing w:after="0"/>
              <w:rPr>
                <w:sz w:val="20"/>
                <w:szCs w:val="20"/>
                <w:color w:val="auto"/>
              </w:rPr>
            </w:pPr>
            <w:r>
              <w:rPr>
                <w:rFonts w:ascii="Arial" w:cs="Arial" w:eastAsia="Arial" w:hAnsi="Arial"/>
                <w:sz w:val="18"/>
                <w:szCs w:val="18"/>
                <w:color w:val="auto"/>
              </w:rPr>
              <w:t>Series C preferred stock, $0.0001 par value: no shares authorized,</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5"/>
          </w:tcPr>
          <w:p>
            <w:pPr>
              <w:ind w:left="340"/>
              <w:spacing w:after="0"/>
              <w:rPr>
                <w:sz w:val="20"/>
                <w:szCs w:val="20"/>
                <w:color w:val="auto"/>
              </w:rPr>
            </w:pPr>
            <w:r>
              <w:rPr>
                <w:rFonts w:ascii="Arial" w:cs="Arial" w:eastAsia="Arial" w:hAnsi="Arial"/>
                <w:sz w:val="18"/>
                <w:szCs w:val="18"/>
                <w:color w:val="auto"/>
              </w:rPr>
              <w:t>issued, and outstanding, actual; 24,721,999 shares authorized,</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5"/>
          </w:tcPr>
          <w:p>
            <w:pPr>
              <w:ind w:left="340"/>
              <w:spacing w:after="0"/>
              <w:rPr>
                <w:sz w:val="20"/>
                <w:szCs w:val="20"/>
                <w:color w:val="auto"/>
              </w:rPr>
            </w:pPr>
            <w:r>
              <w:rPr>
                <w:rFonts w:ascii="Arial" w:cs="Arial" w:eastAsia="Arial" w:hAnsi="Arial"/>
                <w:sz w:val="18"/>
                <w:szCs w:val="18"/>
                <w:color w:val="auto"/>
              </w:rPr>
              <w:t>issued, and outstanding, pro forma; no shares authorized, issued, or</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outstanding, pro forma as adjusted</w:t>
            </w: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59"/>
          </w:cols>
          <w:pgMar w:left="600" w:top="131" w:right="1440" w:bottom="1440" w:gutter="0" w:footer="0" w:header="0"/>
        </w:sectPr>
      </w:pPr>
    </w:p>
    <w:p>
      <w:pPr>
        <w:spacing w:after="0" w:line="23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526415</wp:posOffset>
            </wp:positionV>
            <wp:extent cx="51936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 2020</w:t>
            </w:r>
          </w:p>
        </w:tc>
      </w:tr>
      <w:tr>
        <w:trPr>
          <w:trHeight w:val="170"/>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Pro</w:t>
            </w:r>
          </w:p>
        </w:tc>
        <w:tc>
          <w:tcPr>
            <w:tcW w:w="1240" w:type="dxa"/>
            <w:vAlign w:val="bottom"/>
          </w:tcPr>
          <w:p>
            <w:pPr>
              <w:jc w:val="right"/>
              <w:ind w:right="116"/>
              <w:spacing w:after="0" w:line="171" w:lineRule="exact"/>
              <w:rPr>
                <w:sz w:val="20"/>
                <w:szCs w:val="20"/>
                <w:color w:val="auto"/>
              </w:rPr>
            </w:pPr>
            <w:r>
              <w:rPr>
                <w:rFonts w:ascii="Arial" w:cs="Arial" w:eastAsia="Arial" w:hAnsi="Arial"/>
                <w:sz w:val="16"/>
                <w:szCs w:val="16"/>
                <w:b w:val="1"/>
                <w:bCs w:val="1"/>
                <w:color w:val="auto"/>
              </w:rPr>
              <w:t>Pro forma</w:t>
            </w:r>
          </w:p>
        </w:tc>
      </w:tr>
      <w:tr>
        <w:trPr>
          <w:trHeight w:val="227"/>
        </w:trPr>
        <w:tc>
          <w:tcPr>
            <w:tcW w:w="5260" w:type="dxa"/>
            <w:vAlign w:val="bottom"/>
            <w:gridSpan w:val="3"/>
          </w:tcPr>
          <w:p>
            <w:pPr>
              <w:spacing w:after="0"/>
              <w:rPr>
                <w:sz w:val="20"/>
                <w:szCs w:val="20"/>
                <w:color w:val="auto"/>
              </w:rPr>
            </w:pPr>
            <w:r>
              <w:rPr>
                <w:rFonts w:ascii="Arial" w:cs="Arial" w:eastAsia="Arial" w:hAnsi="Arial"/>
                <w:sz w:val="16"/>
                <w:szCs w:val="16"/>
                <w:b w:val="1"/>
                <w:bCs w:val="1"/>
                <w:color w:val="auto"/>
              </w:rPr>
              <w:t>(In thousands, except share and per unit/share data)</w:t>
            </w:r>
          </w:p>
        </w:tc>
        <w:tc>
          <w:tcPr>
            <w:tcW w:w="1020" w:type="dxa"/>
            <w:vAlign w:val="bottom"/>
          </w:tcPr>
          <w:p>
            <w:pPr>
              <w:jc w:val="right"/>
              <w:ind w:right="13"/>
              <w:spacing w:after="0"/>
              <w:rPr>
                <w:sz w:val="20"/>
                <w:szCs w:val="20"/>
                <w:color w:val="auto"/>
              </w:rPr>
            </w:pPr>
            <w:r>
              <w:rPr>
                <w:rFonts w:ascii="Arial" w:cs="Arial" w:eastAsia="Arial" w:hAnsi="Arial"/>
                <w:sz w:val="16"/>
                <w:szCs w:val="16"/>
                <w:b w:val="1"/>
                <w:bCs w:val="1"/>
                <w:color w:val="auto"/>
              </w:rPr>
              <w:t>Actual</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forma</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as adjusted(1)</w:t>
            </w:r>
          </w:p>
        </w:tc>
      </w:tr>
      <w:tr>
        <w:trPr>
          <w:trHeight w:val="222"/>
        </w:trPr>
        <w:tc>
          <w:tcPr>
            <w:tcW w:w="20" w:type="dxa"/>
            <w:vAlign w:val="bottom"/>
          </w:tcPr>
          <w:p>
            <w:pPr>
              <w:spacing w:after="0"/>
              <w:rPr>
                <w:sz w:val="19"/>
                <w:szCs w:val="19"/>
                <w:color w:val="auto"/>
              </w:rPr>
            </w:pPr>
          </w:p>
        </w:tc>
        <w:tc>
          <w:tcPr>
            <w:tcW w:w="52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w:t>
            </w: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9"/>
        </w:trPr>
        <w:tc>
          <w:tcPr>
            <w:tcW w:w="5260" w:type="dxa"/>
            <w:vAlign w:val="bottom"/>
            <w:gridSpan w:val="3"/>
          </w:tcPr>
          <w:p>
            <w:pPr>
              <w:spacing w:after="0"/>
              <w:rPr>
                <w:sz w:val="20"/>
                <w:szCs w:val="20"/>
                <w:color w:val="auto"/>
              </w:rPr>
            </w:pPr>
            <w:r>
              <w:rPr>
                <w:rFonts w:ascii="Arial" w:cs="Arial" w:eastAsia="Arial" w:hAnsi="Arial"/>
                <w:sz w:val="18"/>
                <w:szCs w:val="18"/>
                <w:color w:val="auto"/>
              </w:rPr>
              <w:t>Subscription receivable</w:t>
            </w:r>
          </w:p>
        </w:tc>
        <w:tc>
          <w:tcPr>
            <w:tcW w:w="1020" w:type="dxa"/>
            <w:vAlign w:val="bottom"/>
          </w:tcPr>
          <w:p>
            <w:pPr>
              <w:jc w:val="right"/>
              <w:spacing w:after="0"/>
              <w:rPr>
                <w:sz w:val="20"/>
                <w:szCs w:val="20"/>
                <w:color w:val="auto"/>
              </w:rPr>
            </w:pPr>
            <w:r>
              <w:rPr>
                <w:rFonts w:ascii="Arial" w:cs="Arial" w:eastAsia="Arial" w:hAnsi="Arial"/>
                <w:sz w:val="18"/>
                <w:szCs w:val="18"/>
                <w:color w:val="auto"/>
              </w:rPr>
              <w:t>(31,900)</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6"/>
        </w:trPr>
        <w:tc>
          <w:tcPr>
            <w:tcW w:w="5260" w:type="dxa"/>
            <w:vAlign w:val="bottom"/>
            <w:gridSpan w:val="3"/>
          </w:tcPr>
          <w:p>
            <w:pPr>
              <w:spacing w:after="0"/>
              <w:rPr>
                <w:sz w:val="20"/>
                <w:szCs w:val="20"/>
                <w:color w:val="auto"/>
              </w:rPr>
            </w:pPr>
            <w:r>
              <w:rPr>
                <w:rFonts w:ascii="Arial" w:cs="Arial" w:eastAsia="Arial" w:hAnsi="Arial"/>
                <w:sz w:val="18"/>
                <w:szCs w:val="18"/>
                <w:color w:val="auto"/>
              </w:rPr>
              <w:t>Members’ deficit</w:t>
            </w:r>
          </w:p>
        </w:tc>
        <w:tc>
          <w:tcPr>
            <w:tcW w:w="1020" w:type="dxa"/>
            <w:vAlign w:val="bottom"/>
          </w:tcPr>
          <w:p>
            <w:pPr>
              <w:jc w:val="right"/>
              <w:spacing w:after="0"/>
              <w:rPr>
                <w:sz w:val="20"/>
                <w:szCs w:val="20"/>
                <w:color w:val="auto"/>
              </w:rPr>
            </w:pPr>
            <w:r>
              <w:rPr>
                <w:rFonts w:ascii="Arial" w:cs="Arial" w:eastAsia="Arial" w:hAnsi="Arial"/>
                <w:sz w:val="18"/>
                <w:szCs w:val="18"/>
                <w:color w:val="auto"/>
              </w:rPr>
              <w:t>(292,342)</w:t>
            </w: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members’/stockholders’ deficit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73,349</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  82,985</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7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24765</wp:posOffset>
            </wp:positionV>
            <wp:extent cx="51936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9366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-299085</wp:posOffset>
            </wp:positionV>
            <wp:extent cx="51936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86" w:lineRule="exact"/>
        <w:rPr>
          <w:sz w:val="20"/>
          <w:szCs w:val="20"/>
          <w:color w:val="auto"/>
        </w:rPr>
      </w:pPr>
    </w:p>
    <w:p>
      <w:pPr>
        <w:ind w:left="1260" w:right="499"/>
        <w:spacing w:after="0" w:line="259" w:lineRule="auto"/>
        <w:rPr>
          <w:sz w:val="20"/>
          <w:szCs w:val="20"/>
          <w:color w:val="auto"/>
        </w:rPr>
      </w:pPr>
      <w:r>
        <w:rPr>
          <w:rFonts w:ascii="Arial" w:cs="Arial" w:eastAsia="Arial" w:hAnsi="Arial"/>
          <w:sz w:val="13"/>
          <w:szCs w:val="13"/>
          <w:color w:val="auto"/>
        </w:rPr>
        <w:t>(1) A $1.00 increase (decrease) in the assumed initial public offering price of $ per share, the midpoint of the price range set forth on the cover page of this prospectus, would increase (decrease) the pro forma as adjusted amount of each of cash, total</w:t>
      </w:r>
    </w:p>
    <w:p>
      <w:pPr>
        <w:ind w:left="1260" w:right="439"/>
        <w:spacing w:after="0" w:line="259" w:lineRule="auto"/>
        <w:rPr>
          <w:sz w:val="20"/>
          <w:szCs w:val="20"/>
          <w:color w:val="auto"/>
        </w:rPr>
      </w:pPr>
      <w:r>
        <w:rPr>
          <w:rFonts w:ascii="Arial" w:cs="Arial" w:eastAsia="Arial" w:hAnsi="Arial"/>
          <w:sz w:val="13"/>
          <w:szCs w:val="13"/>
          <w:color w:val="auto"/>
        </w:rPr>
        <w:t>stockholders’ equity, and total capitalization by $ million, assuming that the number of shares offered by us, as set forth on the cover page of this prospectus, remains the same and after deducting estimated underwriting discounts and commissions and estimated offering expenses payable by us. An increase (decrease) of 1.0 million shares in the number of shares offered by us, as set forth on the cover page of this prospectus, would increase (decrease) the pro forma as adjusted amount of each of cash, total</w:t>
      </w:r>
    </w:p>
    <w:p>
      <w:pPr>
        <w:ind w:left="1260" w:right="479"/>
        <w:spacing w:after="0" w:line="278" w:lineRule="auto"/>
        <w:rPr>
          <w:sz w:val="20"/>
          <w:szCs w:val="20"/>
          <w:color w:val="auto"/>
        </w:rPr>
      </w:pPr>
      <w:r>
        <w:rPr>
          <w:rFonts w:ascii="Arial" w:cs="Arial" w:eastAsia="Arial" w:hAnsi="Arial"/>
          <w:sz w:val="13"/>
          <w:szCs w:val="13"/>
          <w:color w:val="auto"/>
        </w:rPr>
        <w:t>stockholders’ deficit, and total capitalization by $ million, assuming no change in the assumed initial public offering price per share and after deducting estimated underwriting discounts and commissions and estimated offering expenses payable by us.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number of shares of our common stock to be outstanding after this offering reflected in the</w:t>
      </w:r>
    </w:p>
    <w:p>
      <w:pPr>
        <w:spacing w:after="0" w:line="22" w:lineRule="exact"/>
        <w:rPr>
          <w:sz w:val="20"/>
          <w:szCs w:val="20"/>
          <w:color w:val="auto"/>
        </w:rPr>
      </w:pPr>
    </w:p>
    <w:p>
      <w:pPr>
        <w:ind w:left="1260" w:right="739"/>
        <w:spacing w:after="0" w:line="275" w:lineRule="auto"/>
        <w:rPr>
          <w:sz w:val="20"/>
          <w:szCs w:val="20"/>
          <w:color w:val="auto"/>
        </w:rPr>
      </w:pPr>
      <w:r>
        <w:rPr>
          <w:rFonts w:ascii="Arial" w:cs="Arial" w:eastAsia="Arial" w:hAnsi="Arial"/>
          <w:sz w:val="18"/>
          <w:szCs w:val="18"/>
          <w:color w:val="auto"/>
        </w:rPr>
        <w:t>table above is based on shares of common stock outstanding as of December 31, 2020, which gives effect to the pro forma transactions described above and excludes:</w:t>
      </w:r>
    </w:p>
    <w:p>
      <w:pPr>
        <w:spacing w:after="0" w:line="91" w:lineRule="exact"/>
        <w:rPr>
          <w:sz w:val="20"/>
          <w:szCs w:val="20"/>
          <w:color w:val="auto"/>
        </w:rPr>
      </w:pPr>
    </w:p>
    <w:p>
      <w:pPr>
        <w:ind w:left="2020" w:hanging="765"/>
        <w:spacing w:after="0"/>
        <w:tabs>
          <w:tab w:leader="none" w:pos="2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stock options as of</w:t>
      </w:r>
    </w:p>
    <w:p>
      <w:pPr>
        <w:spacing w:after="0" w:line="22" w:lineRule="exact"/>
        <w:rPr>
          <w:sz w:val="20"/>
          <w:szCs w:val="20"/>
          <w:color w:val="auto"/>
        </w:rPr>
      </w:pPr>
    </w:p>
    <w:p>
      <w:pPr>
        <w:ind w:left="1400"/>
        <w:spacing w:after="0"/>
        <w:tabs>
          <w:tab w:leader="none" w:pos="7220" w:val="left"/>
        </w:tabs>
        <w:rPr>
          <w:sz w:val="20"/>
          <w:szCs w:val="20"/>
          <w:color w:val="auto"/>
        </w:rPr>
      </w:pPr>
      <w:r>
        <w:rPr>
          <w:rFonts w:ascii="Arial" w:cs="Arial" w:eastAsia="Arial" w:hAnsi="Arial"/>
          <w:sz w:val="18"/>
          <w:szCs w:val="18"/>
          <w:color w:val="auto"/>
        </w:rPr>
        <w:t>December 31, 2020, at a weighted-average exercise price of $</w:t>
      </w:r>
      <w:r>
        <w:rPr>
          <w:sz w:val="20"/>
          <w:szCs w:val="20"/>
          <w:color w:val="auto"/>
        </w:rPr>
        <w:tab/>
      </w:r>
      <w:r>
        <w:rPr>
          <w:rFonts w:ascii="Arial" w:cs="Arial" w:eastAsia="Arial" w:hAnsi="Arial"/>
          <w:sz w:val="18"/>
          <w:szCs w:val="18"/>
          <w:color w:val="auto"/>
        </w:rPr>
        <w:t>per share;</w:t>
      </w:r>
    </w:p>
    <w:p>
      <w:pPr>
        <w:spacing w:after="0" w:line="129" w:lineRule="exact"/>
        <w:rPr>
          <w:sz w:val="20"/>
          <w:szCs w:val="20"/>
          <w:color w:val="auto"/>
        </w:rPr>
      </w:pPr>
    </w:p>
    <w:p>
      <w:pPr>
        <w:ind w:left="1400" w:right="1139" w:hanging="145"/>
        <w:spacing w:after="0" w:line="275"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40,540 shares of our common stock issuable upon the exercise of warrants to purchase common stock, at a weighted-average exercise price of $5.55 per share;</w:t>
      </w:r>
    </w:p>
    <w:p>
      <w:pPr>
        <w:spacing w:after="0" w:line="90" w:lineRule="exact"/>
        <w:rPr>
          <w:rFonts w:ascii="Arial" w:cs="Arial" w:eastAsia="Arial" w:hAnsi="Arial"/>
          <w:sz w:val="18"/>
          <w:szCs w:val="18"/>
          <w:color w:val="auto"/>
        </w:rPr>
      </w:pPr>
    </w:p>
    <w:p>
      <w:pPr>
        <w:ind w:left="1400" w:right="499" w:hanging="145"/>
        <w:spacing w:after="0" w:line="270" w:lineRule="auto"/>
        <w:tabs>
          <w:tab w:leader="none" w:pos="20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our common stock reserved for issuance pursuant to future awards as of December 31, 2020 under the 2018 Plan which will become available under the 2021 Plan after the consummation of this offering;</w:t>
      </w:r>
    </w:p>
    <w:p>
      <w:pPr>
        <w:spacing w:after="0" w:line="95" w:lineRule="exact"/>
        <w:rPr>
          <w:rFonts w:ascii="Arial" w:cs="Arial" w:eastAsia="Arial" w:hAnsi="Arial"/>
          <w:sz w:val="18"/>
          <w:szCs w:val="18"/>
          <w:color w:val="auto"/>
        </w:rPr>
      </w:pPr>
    </w:p>
    <w:p>
      <w:pPr>
        <w:jc w:val="both"/>
        <w:ind w:left="1400" w:right="459" w:hanging="145"/>
        <w:spacing w:after="0" w:line="268" w:lineRule="auto"/>
        <w:tabs>
          <w:tab w:leader="none" w:pos="20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97" w:lineRule="exact"/>
        <w:rPr>
          <w:rFonts w:ascii="Arial" w:cs="Arial" w:eastAsia="Arial" w:hAnsi="Arial"/>
          <w:sz w:val="18"/>
          <w:szCs w:val="18"/>
          <w:color w:val="auto"/>
        </w:rPr>
      </w:pPr>
    </w:p>
    <w:p>
      <w:pPr>
        <w:ind w:left="1400" w:right="559" w:hanging="145"/>
        <w:spacing w:after="0" w:line="268" w:lineRule="auto"/>
        <w:tabs>
          <w:tab w:leader="none" w:pos="20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ESPP will become effective upon the effectiveness of the Registration Statement of which this prospectus forms a part, as well as any future increases in the number of shares of common stock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Dilution</w:t>
      </w:r>
    </w:p>
    <w:p>
      <w:pPr>
        <w:spacing w:after="0" w:line="96" w:lineRule="exact"/>
        <w:rPr>
          <w:sz w:val="20"/>
          <w:szCs w:val="20"/>
          <w:color w:val="auto"/>
        </w:rPr>
      </w:pPr>
    </w:p>
    <w:p>
      <w:pPr>
        <w:ind w:left="1260" w:right="659"/>
        <w:spacing w:after="0" w:line="252"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after this offering. The data in this section are derived from our balance sheet as of December 31, 2020 and are presented after giving effect to the 2021 Reorganization.</w:t>
      </w:r>
    </w:p>
    <w:p>
      <w:pPr>
        <w:spacing w:after="0" w:line="84" w:lineRule="exact"/>
        <w:rPr>
          <w:sz w:val="20"/>
          <w:szCs w:val="20"/>
          <w:color w:val="auto"/>
        </w:rPr>
      </w:pPr>
    </w:p>
    <w:p>
      <w:pPr>
        <w:ind w:left="1260"/>
        <w:spacing w:after="0"/>
        <w:tabs>
          <w:tab w:leader="none" w:pos="8380" w:val="left"/>
        </w:tabs>
        <w:rPr>
          <w:sz w:val="20"/>
          <w:szCs w:val="20"/>
          <w:color w:val="auto"/>
        </w:rPr>
      </w:pPr>
      <w:r>
        <w:rPr>
          <w:rFonts w:ascii="Arial" w:cs="Arial" w:eastAsia="Arial" w:hAnsi="Arial"/>
          <w:sz w:val="18"/>
          <w:szCs w:val="18"/>
          <w:color w:val="auto"/>
        </w:rPr>
        <w:t>Our historical net tangible book value (deficit) as of December 31, 2020 was $</w:t>
      </w:r>
      <w:r>
        <w:rPr>
          <w:sz w:val="20"/>
          <w:szCs w:val="20"/>
          <w:color w:val="auto"/>
        </w:rPr>
        <w:tab/>
      </w:r>
      <w:r>
        <w:rPr>
          <w:rFonts w:ascii="Arial" w:cs="Arial" w:eastAsia="Arial" w:hAnsi="Arial"/>
          <w:sz w:val="18"/>
          <w:szCs w:val="18"/>
          <w:color w:val="auto"/>
        </w:rPr>
        <w:t>million, or</w:t>
      </w:r>
    </w:p>
    <w:p>
      <w:pPr>
        <w:spacing w:after="0" w:line="8" w:lineRule="exact"/>
        <w:rPr>
          <w:sz w:val="20"/>
          <w:szCs w:val="20"/>
          <w:color w:val="auto"/>
        </w:rPr>
      </w:pPr>
    </w:p>
    <w:p>
      <w:pPr>
        <w:ind w:left="1260" w:right="459" w:hanging="5"/>
        <w:spacing w:after="0" w:line="253" w:lineRule="auto"/>
        <w:tabs>
          <w:tab w:leader="none" w:pos="19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 share of our common stock. Our historical net tangible book value (deficit) represents our total tangible assets less total liabilities and convertible preferred stock. Historical net tangible book value (deficit) per share is our historical net tangible book value (deficit) divided by the number of shares of our common stock outstanding as of December 31, 2020.</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pro forma net tangible book value as of December 31, 2020, before giving effect to this</w:t>
      </w:r>
    </w:p>
    <w:p>
      <w:pPr>
        <w:spacing w:after="0" w:line="8" w:lineRule="exact"/>
        <w:rPr>
          <w:sz w:val="20"/>
          <w:szCs w:val="20"/>
          <w:color w:val="auto"/>
        </w:rPr>
      </w:pPr>
    </w:p>
    <w:p>
      <w:pPr>
        <w:ind w:left="1260" w:right="459"/>
        <w:spacing w:after="0" w:line="260" w:lineRule="auto"/>
        <w:rPr>
          <w:sz w:val="20"/>
          <w:szCs w:val="20"/>
          <w:color w:val="auto"/>
        </w:rPr>
      </w:pPr>
      <w:r>
        <w:rPr>
          <w:rFonts w:ascii="Arial" w:cs="Arial" w:eastAsia="Arial" w:hAnsi="Arial"/>
          <w:sz w:val="18"/>
          <w:szCs w:val="18"/>
          <w:color w:val="auto"/>
        </w:rPr>
        <w:t>offering, was $ million, or $ per share. Pro forma net tangible book value, before the issuance and sale of shares in this offering, gives effect to:</w:t>
      </w:r>
    </w:p>
    <w:p>
      <w:pPr>
        <w:spacing w:after="0" w:line="90" w:lineRule="exact"/>
        <w:rPr>
          <w:sz w:val="20"/>
          <w:szCs w:val="20"/>
          <w:color w:val="auto"/>
        </w:rPr>
      </w:pPr>
    </w:p>
    <w:p>
      <w:pPr>
        <w:ind w:left="1400" w:hanging="145"/>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2021 Reorganization;</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Series C Financing; and</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an aggregate</w:t>
      </w:r>
    </w:p>
    <w:p>
      <w:pPr>
        <w:spacing w:after="0" w:line="22" w:lineRule="exact"/>
        <w:rPr>
          <w:sz w:val="20"/>
          <w:szCs w:val="20"/>
          <w:color w:val="auto"/>
        </w:rPr>
      </w:pPr>
    </w:p>
    <w:p>
      <w:pPr>
        <w:ind w:left="1400"/>
        <w:spacing w:after="0"/>
        <w:tabs>
          <w:tab w:leader="none" w:pos="21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common stock upon the closing of this offering.</w:t>
      </w:r>
    </w:p>
    <w:p>
      <w:pPr>
        <w:spacing w:after="0" w:line="102"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Pro forma net tangible book value per share represents pro forma net tangible book value divided by the total number of shares outstanding as of December 31, 2020 after giving effect to the pro forma adjustments described above.</w:t>
      </w:r>
    </w:p>
    <w:p>
      <w:pPr>
        <w:spacing w:after="0" w:line="83" w:lineRule="exact"/>
        <w:rPr>
          <w:sz w:val="20"/>
          <w:szCs w:val="20"/>
          <w:color w:val="auto"/>
        </w:rPr>
      </w:pPr>
    </w:p>
    <w:p>
      <w:pPr>
        <w:ind w:left="1260" w:right="479"/>
        <w:spacing w:after="0" w:line="249" w:lineRule="auto"/>
        <w:rPr>
          <w:sz w:val="20"/>
          <w:szCs w:val="20"/>
          <w:color w:val="auto"/>
        </w:rPr>
      </w:pPr>
      <w:r>
        <w:rPr>
          <w:rFonts w:ascii="Arial" w:cs="Arial" w:eastAsia="Arial" w:hAnsi="Arial"/>
          <w:sz w:val="18"/>
          <w:szCs w:val="18"/>
          <w:color w:val="auto"/>
        </w:rPr>
        <w:t>Net tangible book value dilution per share to new investors represents the difference between the amount per share paid by purchasers of common stock in this offering and the pro forma as adjusted net tangible book value per share of our common stock immediately following the closing of this offering. After giving effect to the pro forma transactions described above and the sale of shares of common stock in this offering at an assumed initial public offering price of</w:t>
      </w:r>
    </w:p>
    <w:p>
      <w:pPr>
        <w:spacing w:after="0" w:line="2" w:lineRule="exact"/>
        <w:rPr>
          <w:sz w:val="20"/>
          <w:szCs w:val="20"/>
          <w:color w:val="auto"/>
        </w:rPr>
      </w:pPr>
    </w:p>
    <w:p>
      <w:pPr>
        <w:jc w:val="both"/>
        <w:ind w:left="1260" w:right="439" w:hanging="5"/>
        <w:spacing w:after="0" w:line="249" w:lineRule="auto"/>
        <w:tabs>
          <w:tab w:leader="none" w:pos="19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and after deducting the underwriting discounts and commissions and estimated offering expenses payable by us, our pro forma as adjusted net tangible book value as of December 31, 2020 would</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1340" w:type="dxa"/>
            <w:vAlign w:val="bottom"/>
            <w:gridSpan w:val="2"/>
          </w:tcPr>
          <w:p>
            <w:pPr>
              <w:spacing w:after="0"/>
              <w:rPr>
                <w:sz w:val="20"/>
                <w:szCs w:val="20"/>
                <w:color w:val="auto"/>
              </w:rPr>
            </w:pPr>
            <w:r>
              <w:rPr>
                <w:rFonts w:ascii="Arial" w:cs="Arial" w:eastAsia="Arial" w:hAnsi="Arial"/>
                <w:sz w:val="18"/>
                <w:szCs w:val="18"/>
                <w:color w:val="auto"/>
              </w:rPr>
              <w:t>have been $</w:t>
            </w:r>
          </w:p>
        </w:tc>
        <w:tc>
          <w:tcPr>
            <w:tcW w:w="1540" w:type="dxa"/>
            <w:vAlign w:val="bottom"/>
          </w:tcPr>
          <w:p>
            <w:pPr>
              <w:ind w:left="320"/>
              <w:spacing w:after="0"/>
              <w:rPr>
                <w:sz w:val="20"/>
                <w:szCs w:val="20"/>
                <w:color w:val="auto"/>
              </w:rPr>
            </w:pPr>
            <w:r>
              <w:rPr>
                <w:rFonts w:ascii="Arial" w:cs="Arial" w:eastAsia="Arial" w:hAnsi="Arial"/>
                <w:sz w:val="18"/>
                <w:szCs w:val="18"/>
                <w:color w:val="auto"/>
              </w:rPr>
              <w:t>million, or $</w:t>
            </w:r>
          </w:p>
        </w:tc>
        <w:tc>
          <w:tcPr>
            <w:tcW w:w="5680" w:type="dxa"/>
            <w:vAlign w:val="bottom"/>
            <w:gridSpan w:val="4"/>
          </w:tcPr>
          <w:p>
            <w:pPr>
              <w:jc w:val="right"/>
              <w:ind w:right="850"/>
              <w:spacing w:after="0"/>
              <w:rPr>
                <w:sz w:val="20"/>
                <w:szCs w:val="20"/>
                <w:color w:val="auto"/>
              </w:rPr>
            </w:pPr>
            <w:r>
              <w:rPr>
                <w:rFonts w:ascii="Arial" w:cs="Arial" w:eastAsia="Arial" w:hAnsi="Arial"/>
                <w:sz w:val="18"/>
                <w:szCs w:val="18"/>
                <w:color w:val="auto"/>
              </w:rPr>
              <w:t>per share. This represents an immediate increase in</w:t>
            </w:r>
          </w:p>
        </w:tc>
      </w:tr>
      <w:tr>
        <w:trPr>
          <w:trHeight w:val="215"/>
        </w:trPr>
        <w:tc>
          <w:tcPr>
            <w:tcW w:w="4500" w:type="dxa"/>
            <w:vAlign w:val="bottom"/>
            <w:gridSpan w:val="4"/>
          </w:tcPr>
          <w:p>
            <w:pPr>
              <w:spacing w:after="0"/>
              <w:rPr>
                <w:sz w:val="20"/>
                <w:szCs w:val="20"/>
                <w:color w:val="auto"/>
              </w:rPr>
            </w:pPr>
            <w:r>
              <w:rPr>
                <w:rFonts w:ascii="Arial" w:cs="Arial" w:eastAsia="Arial" w:hAnsi="Arial"/>
                <w:sz w:val="18"/>
                <w:szCs w:val="18"/>
                <w:color w:val="auto"/>
              </w:rPr>
              <w:t>pro forma as adjusted net tangible book value of $</w:t>
            </w:r>
          </w:p>
        </w:tc>
        <w:tc>
          <w:tcPr>
            <w:tcW w:w="4060" w:type="dxa"/>
            <w:vAlign w:val="bottom"/>
            <w:gridSpan w:val="3"/>
          </w:tcPr>
          <w:p>
            <w:pPr>
              <w:jc w:val="right"/>
              <w:ind w:right="510"/>
              <w:spacing w:after="0"/>
              <w:rPr>
                <w:sz w:val="20"/>
                <w:szCs w:val="20"/>
                <w:color w:val="auto"/>
              </w:rPr>
            </w:pPr>
            <w:r>
              <w:rPr>
                <w:rFonts w:ascii="Arial" w:cs="Arial" w:eastAsia="Arial" w:hAnsi="Arial"/>
                <w:sz w:val="18"/>
                <w:szCs w:val="18"/>
                <w:color w:val="auto"/>
              </w:rPr>
              <w:t>per share to our existing stockholders</w:t>
            </w:r>
          </w:p>
        </w:tc>
      </w:tr>
      <w:tr>
        <w:trPr>
          <w:trHeight w:val="215"/>
        </w:trPr>
        <w:tc>
          <w:tcPr>
            <w:tcW w:w="2880" w:type="dxa"/>
            <w:vAlign w:val="bottom"/>
            <w:gridSpan w:val="3"/>
          </w:tcPr>
          <w:p>
            <w:pPr>
              <w:spacing w:after="0"/>
              <w:rPr>
                <w:sz w:val="20"/>
                <w:szCs w:val="20"/>
                <w:color w:val="auto"/>
              </w:rPr>
            </w:pPr>
            <w:r>
              <w:rPr>
                <w:rFonts w:ascii="Arial" w:cs="Arial" w:eastAsia="Arial" w:hAnsi="Arial"/>
                <w:sz w:val="18"/>
                <w:szCs w:val="18"/>
                <w:color w:val="auto"/>
              </w:rPr>
              <w:t>and an immediate dilution of $</w:t>
            </w:r>
          </w:p>
        </w:tc>
        <w:tc>
          <w:tcPr>
            <w:tcW w:w="5680" w:type="dxa"/>
            <w:vAlign w:val="bottom"/>
            <w:gridSpan w:val="4"/>
          </w:tcPr>
          <w:p>
            <w:pPr>
              <w:jc w:val="right"/>
              <w:ind w:right="350"/>
              <w:spacing w:after="0"/>
              <w:rPr>
                <w:sz w:val="20"/>
                <w:szCs w:val="20"/>
                <w:color w:val="auto"/>
              </w:rPr>
            </w:pPr>
            <w:r>
              <w:rPr>
                <w:rFonts w:ascii="Arial" w:cs="Arial" w:eastAsia="Arial" w:hAnsi="Arial"/>
                <w:sz w:val="18"/>
                <w:szCs w:val="18"/>
                <w:color w:val="auto"/>
              </w:rPr>
              <w:t>per share to new investors participating in this offering. The</w:t>
            </w:r>
          </w:p>
        </w:tc>
      </w:tr>
      <w:tr>
        <w:trPr>
          <w:trHeight w:val="216"/>
        </w:trPr>
        <w:tc>
          <w:tcPr>
            <w:tcW w:w="7240" w:type="dxa"/>
            <w:vAlign w:val="bottom"/>
            <w:gridSpan w:val="5"/>
          </w:tcPr>
          <w:p>
            <w:pPr>
              <w:spacing w:after="0"/>
              <w:rPr>
                <w:sz w:val="20"/>
                <w:szCs w:val="20"/>
                <w:color w:val="auto"/>
              </w:rPr>
            </w:pPr>
            <w:r>
              <w:rPr>
                <w:rFonts w:ascii="Arial" w:cs="Arial" w:eastAsia="Arial" w:hAnsi="Arial"/>
                <w:sz w:val="18"/>
                <w:szCs w:val="18"/>
                <w:color w:val="auto"/>
              </w:rPr>
              <w:t>following table illustrates this dilution on a per share basis:</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41"/>
        </w:trPr>
        <w:tc>
          <w:tcPr>
            <w:tcW w:w="4500" w:type="dxa"/>
            <w:vAlign w:val="bottom"/>
            <w:gridSpan w:val="4"/>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49"/>
        </w:trPr>
        <w:tc>
          <w:tcPr>
            <w:tcW w:w="20" w:type="dxa"/>
            <w:vAlign w:val="bottom"/>
          </w:tcPr>
          <w:p>
            <w:pPr>
              <w:spacing w:after="0"/>
              <w:rPr>
                <w:sz w:val="21"/>
                <w:szCs w:val="21"/>
                <w:color w:val="auto"/>
              </w:rPr>
            </w:pPr>
          </w:p>
        </w:tc>
        <w:tc>
          <w:tcPr>
            <w:tcW w:w="448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7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220" w:type="dxa"/>
            <w:vAlign w:val="bottom"/>
            <w:gridSpan w:val="4"/>
          </w:tcPr>
          <w:p>
            <w:pPr>
              <w:ind w:left="160"/>
              <w:spacing w:after="0"/>
              <w:rPr>
                <w:sz w:val="20"/>
                <w:szCs w:val="20"/>
                <w:color w:val="auto"/>
              </w:rPr>
            </w:pPr>
            <w:r>
              <w:rPr>
                <w:rFonts w:ascii="Arial" w:cs="Arial" w:eastAsia="Arial" w:hAnsi="Arial"/>
                <w:sz w:val="18"/>
                <w:szCs w:val="18"/>
                <w:color w:val="auto"/>
              </w:rPr>
              <w:t>Historical net tangible book value (deficit) per share as of December 31, 2020</w:t>
            </w:r>
          </w:p>
        </w:tc>
        <w:tc>
          <w:tcPr>
            <w:tcW w:w="13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220" w:type="dxa"/>
            <w:vAlign w:val="bottom"/>
            <w:gridSpan w:val="4"/>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7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Pro forma increase in net tangible book value per share as of December 31, 2020</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72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attributable to the pro forma transactions described above</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7220" w:type="dxa"/>
            <w:vAlign w:val="bottom"/>
            <w:tcBorders>
              <w:top w:val="single" w:sz="8" w:color="CCEEFF"/>
            </w:tcBorders>
            <w:gridSpan w:val="4"/>
          </w:tcPr>
          <w:p>
            <w:pPr>
              <w:ind w:left="160"/>
              <w:spacing w:after="0"/>
              <w:rPr>
                <w:sz w:val="20"/>
                <w:szCs w:val="20"/>
                <w:color w:val="auto"/>
              </w:rPr>
            </w:pPr>
            <w:r>
              <w:rPr>
                <w:rFonts w:ascii="Arial" w:cs="Arial" w:eastAsia="Arial" w:hAnsi="Arial"/>
                <w:sz w:val="18"/>
                <w:szCs w:val="18"/>
                <w:color w:val="auto"/>
              </w:rPr>
              <w:t>Pro forma net tangible book value per share as of December 31, 2020 before giving</w:t>
            </w:r>
          </w:p>
        </w:tc>
        <w:tc>
          <w:tcPr>
            <w:tcW w:w="700" w:type="dxa"/>
            <w:vAlign w:val="bottom"/>
            <w:tcBorders>
              <w:top w:val="single" w:sz="8" w:color="auto"/>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effect to this offering</w:t>
            </w:r>
          </w:p>
        </w:tc>
        <w:tc>
          <w:tcPr>
            <w:tcW w:w="16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0"/>
        </w:trPr>
        <w:tc>
          <w:tcPr>
            <w:tcW w:w="20" w:type="dxa"/>
            <w:vAlign w:val="bottom"/>
          </w:tcPr>
          <w:p>
            <w:pPr>
              <w:spacing w:after="0"/>
              <w:rPr>
                <w:sz w:val="3"/>
                <w:szCs w:val="3"/>
                <w:color w:val="auto"/>
              </w:rPr>
            </w:pPr>
          </w:p>
        </w:tc>
        <w:tc>
          <w:tcPr>
            <w:tcW w:w="7220" w:type="dxa"/>
            <w:vAlign w:val="bottom"/>
            <w:gridSpan w:val="4"/>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14"/>
        </w:trPr>
        <w:tc>
          <w:tcPr>
            <w:tcW w:w="20" w:type="dxa"/>
            <w:vAlign w:val="bottom"/>
          </w:tcPr>
          <w:p>
            <w:pPr>
              <w:spacing w:after="0"/>
              <w:rPr>
                <w:sz w:val="18"/>
                <w:szCs w:val="18"/>
                <w:color w:val="auto"/>
              </w:rPr>
            </w:pPr>
          </w:p>
        </w:tc>
        <w:tc>
          <w:tcPr>
            <w:tcW w:w="7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Increase in pro forma net tangible book value per share attributable to new</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44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investors participating in this offering</w:t>
            </w:r>
          </w:p>
        </w:tc>
        <w:tc>
          <w:tcPr>
            <w:tcW w:w="27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220" w:type="dxa"/>
            <w:vAlign w:val="bottom"/>
            <w:tcBorders>
              <w:top w:val="single" w:sz="8" w:color="CCEEFF"/>
              <w:bottom w:val="single" w:sz="8" w:color="CCEEFF"/>
            </w:tcBorders>
            <w:gridSpan w:val="4"/>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7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CCEEFF"/>
              <w:bottom w:val="single" w:sz="8" w:color="auto"/>
            </w:tcBorders>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7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7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7220" w:type="dxa"/>
            <w:vAlign w:val="bottom"/>
            <w:gridSpan w:val="4"/>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303"/>
        </w:trPr>
        <w:tc>
          <w:tcPr>
            <w:tcW w:w="7240" w:type="dxa"/>
            <w:vAlign w:val="bottom"/>
            <w:gridSpan w:val="5"/>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1320" w:type="dxa"/>
            <w:vAlign w:val="bottom"/>
            <w:gridSpan w:val="2"/>
          </w:tcPr>
          <w:p>
            <w:pPr>
              <w:jc w:val="right"/>
              <w:ind w:right="330"/>
              <w:spacing w:after="0"/>
              <w:rPr>
                <w:sz w:val="20"/>
                <w:szCs w:val="20"/>
                <w:color w:val="auto"/>
              </w:rPr>
            </w:pPr>
            <w:r>
              <w:rPr>
                <w:rFonts w:ascii="Arial" w:cs="Arial" w:eastAsia="Arial" w:hAnsi="Arial"/>
                <w:sz w:val="18"/>
                <w:szCs w:val="18"/>
                <w:color w:val="auto"/>
              </w:rPr>
              <w:t>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-375285</wp:posOffset>
            </wp:positionV>
            <wp:extent cx="50399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39995" cy="8255"/>
                    </a:xfrm>
                    <a:prstGeom prst="rect">
                      <a:avLst/>
                    </a:prstGeom>
                    <a:noFill/>
                  </pic:spPr>
                </pic:pic>
              </a:graphicData>
            </a:graphic>
          </wp:anchor>
        </w:drawing>
      </w:r>
    </w:p>
    <w:p>
      <w:pPr>
        <w:ind w:left="1260" w:right="619"/>
        <w:spacing w:after="0" w:line="265" w:lineRule="auto"/>
        <w:rPr>
          <w:sz w:val="20"/>
          <w:szCs w:val="20"/>
          <w:color w:val="auto"/>
        </w:rPr>
      </w:pPr>
      <w:r>
        <w:rPr>
          <w:rFonts w:ascii="Arial" w:cs="Arial" w:eastAsia="Arial" w:hAnsi="Arial"/>
          <w:sz w:val="18"/>
          <w:szCs w:val="18"/>
          <w:color w:val="auto"/>
        </w:rPr>
        <w:t>the midpoint of the price range set forth on the cover page of this prospectus, would increase or decrease, as applicable, our pro forma as adjusted net tangible book value per share after this</w:t>
      </w:r>
    </w:p>
    <w:p>
      <w:pPr>
        <w:ind w:left="1260"/>
        <w:spacing w:after="0"/>
        <w:tabs>
          <w:tab w:leader="none" w:pos="2900" w:val="left"/>
        </w:tabs>
        <w:rPr>
          <w:sz w:val="20"/>
          <w:szCs w:val="20"/>
          <w:color w:val="auto"/>
        </w:rPr>
      </w:pPr>
      <w:r>
        <w:rPr>
          <w:rFonts w:ascii="Arial" w:cs="Arial" w:eastAsia="Arial" w:hAnsi="Arial"/>
          <w:sz w:val="18"/>
          <w:szCs w:val="18"/>
          <w:color w:val="auto"/>
        </w:rPr>
        <w:t>offering by $</w:t>
      </w:r>
      <w:r>
        <w:rPr>
          <w:sz w:val="20"/>
          <w:szCs w:val="20"/>
          <w:color w:val="auto"/>
        </w:rPr>
        <w:tab/>
      </w:r>
      <w:r>
        <w:rPr>
          <w:rFonts w:ascii="Arial" w:cs="Arial" w:eastAsia="Arial" w:hAnsi="Arial"/>
          <w:sz w:val="18"/>
          <w:szCs w:val="18"/>
          <w:color w:val="auto"/>
        </w:rPr>
        <w:t>per share and the dilution per share to new investors participating in this</w:t>
      </w:r>
    </w:p>
    <w:p>
      <w:pPr>
        <w:spacing w:after="0" w:line="22" w:lineRule="exact"/>
        <w:rPr>
          <w:sz w:val="20"/>
          <w:szCs w:val="20"/>
          <w:color w:val="auto"/>
        </w:rPr>
      </w:pPr>
    </w:p>
    <w:p>
      <w:pPr>
        <w:ind w:left="1260" w:right="659"/>
        <w:spacing w:after="0" w:line="272" w:lineRule="auto"/>
        <w:rPr>
          <w:sz w:val="20"/>
          <w:szCs w:val="20"/>
          <w:color w:val="auto"/>
        </w:rPr>
      </w:pPr>
      <w:r>
        <w:rPr>
          <w:rFonts w:ascii="Arial" w:cs="Arial" w:eastAsia="Arial" w:hAnsi="Arial"/>
          <w:sz w:val="18"/>
          <w:szCs w:val="18"/>
          <w:color w:val="auto"/>
        </w:rPr>
        <w:t>offering by $ per share, assuming that the number of shares of common stock offered by us, as set forth on the cover page of this prospectus, remains the same and after deducting underwriting discounts and commissions and estimated offering expenses payable by us. Similarly, an</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increase of 1.0 million in the number of shares of common stock offered by us would increase the</w:t>
      </w:r>
    </w:p>
    <w:p>
      <w:pPr>
        <w:spacing w:after="0" w:line="8" w:lineRule="exact"/>
        <w:rPr>
          <w:sz w:val="20"/>
          <w:szCs w:val="20"/>
          <w:color w:val="auto"/>
        </w:rPr>
      </w:pPr>
    </w:p>
    <w:p>
      <w:pPr>
        <w:ind w:left="1260"/>
        <w:spacing w:after="0"/>
        <w:tabs>
          <w:tab w:leader="none" w:pos="7580" w:val="left"/>
        </w:tabs>
        <w:rPr>
          <w:sz w:val="20"/>
          <w:szCs w:val="20"/>
          <w:color w:val="auto"/>
        </w:rPr>
      </w:pPr>
      <w:r>
        <w:rPr>
          <w:rFonts w:ascii="Arial" w:cs="Arial" w:eastAsia="Arial" w:hAnsi="Arial"/>
          <w:sz w:val="18"/>
          <w:szCs w:val="18"/>
          <w:color w:val="auto"/>
        </w:rPr>
        <w:t>pro forma as adjusted net tangible book value after this offering by $</w:t>
      </w:r>
      <w:r>
        <w:rPr>
          <w:sz w:val="20"/>
          <w:szCs w:val="20"/>
          <w:color w:val="auto"/>
        </w:rPr>
        <w:tab/>
      </w:r>
      <w:r>
        <w:rPr>
          <w:rFonts w:ascii="Arial" w:cs="Arial" w:eastAsia="Arial" w:hAnsi="Arial"/>
          <w:sz w:val="18"/>
          <w:szCs w:val="18"/>
          <w:color w:val="auto"/>
        </w:rPr>
        <w:t>per share and</w:t>
      </w:r>
    </w:p>
    <w:p>
      <w:pPr>
        <w:spacing w:after="0" w:line="8" w:lineRule="exact"/>
        <w:rPr>
          <w:sz w:val="20"/>
          <w:szCs w:val="20"/>
          <w:color w:val="auto"/>
        </w:rPr>
      </w:pPr>
    </w:p>
    <w:p>
      <w:pPr>
        <w:ind w:left="1260"/>
        <w:spacing w:after="0"/>
        <w:tabs>
          <w:tab w:leader="none" w:pos="8620" w:val="left"/>
        </w:tabs>
        <w:rPr>
          <w:sz w:val="20"/>
          <w:szCs w:val="20"/>
          <w:color w:val="auto"/>
        </w:rPr>
      </w:pPr>
      <w:r>
        <w:rPr>
          <w:rFonts w:ascii="Arial" w:cs="Arial" w:eastAsia="Arial" w:hAnsi="Arial"/>
          <w:sz w:val="18"/>
          <w:szCs w:val="18"/>
          <w:color w:val="auto"/>
        </w:rPr>
        <w:t>decrease the dilution per share to new investors participating in this offering by $</w:t>
      </w:r>
      <w:r>
        <w:rPr>
          <w:sz w:val="20"/>
          <w:szCs w:val="20"/>
          <w:color w:val="auto"/>
        </w:rPr>
        <w:tab/>
      </w:r>
      <w:r>
        <w:rPr>
          <w:rFonts w:ascii="Arial" w:cs="Arial" w:eastAsia="Arial" w:hAnsi="Arial"/>
          <w:sz w:val="17"/>
          <w:szCs w:val="17"/>
          <w:color w:val="auto"/>
        </w:rPr>
        <w:t>per</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 and a decrease of 1.0 million shares of common stock offered by us would decrease the</w:t>
      </w:r>
    </w:p>
    <w:p>
      <w:pPr>
        <w:spacing w:after="0" w:line="8" w:lineRule="exact"/>
        <w:rPr>
          <w:sz w:val="20"/>
          <w:szCs w:val="20"/>
          <w:color w:val="auto"/>
        </w:rPr>
      </w:pPr>
    </w:p>
    <w:p>
      <w:pPr>
        <w:jc w:val="right"/>
        <w:ind w:right="459"/>
        <w:spacing w:after="0"/>
        <w:tabs>
          <w:tab w:leader="none" w:pos="3300" w:val="left"/>
        </w:tabs>
        <w:rPr>
          <w:sz w:val="20"/>
          <w:szCs w:val="20"/>
          <w:color w:val="auto"/>
        </w:rPr>
      </w:pPr>
      <w:r>
        <w:rPr>
          <w:rFonts w:ascii="Arial" w:cs="Arial" w:eastAsia="Arial" w:hAnsi="Arial"/>
          <w:sz w:val="18"/>
          <w:szCs w:val="18"/>
          <w:color w:val="auto"/>
        </w:rPr>
        <w:t>pro forma as adjusted net tangible book value by $</w:t>
      </w:r>
      <w:r>
        <w:rPr>
          <w:sz w:val="20"/>
          <w:szCs w:val="20"/>
          <w:color w:val="auto"/>
        </w:rPr>
        <w:tab/>
      </w:r>
      <w:r>
        <w:rPr>
          <w:rFonts w:ascii="Arial" w:cs="Arial" w:eastAsia="Arial" w:hAnsi="Arial"/>
          <w:sz w:val="18"/>
          <w:szCs w:val="18"/>
          <w:color w:val="auto"/>
        </w:rPr>
        <w:t>per share, and increase the dilution per</w:t>
      </w:r>
    </w:p>
    <w:p>
      <w:pPr>
        <w:spacing w:after="0" w:line="8" w:lineRule="exact"/>
        <w:rPr>
          <w:sz w:val="20"/>
          <w:szCs w:val="20"/>
          <w:color w:val="auto"/>
        </w:rPr>
      </w:pPr>
    </w:p>
    <w:p>
      <w:pPr>
        <w:ind w:left="1260"/>
        <w:spacing w:after="0"/>
        <w:tabs>
          <w:tab w:leader="none" w:pos="5400" w:val="left"/>
        </w:tabs>
        <w:rPr>
          <w:sz w:val="20"/>
          <w:szCs w:val="20"/>
          <w:color w:val="auto"/>
        </w:rPr>
      </w:pPr>
      <w:r>
        <w:rPr>
          <w:rFonts w:ascii="Arial" w:cs="Arial" w:eastAsia="Arial" w:hAnsi="Arial"/>
          <w:sz w:val="18"/>
          <w:szCs w:val="18"/>
          <w:color w:val="auto"/>
        </w:rPr>
        <w:t>share to new investors in this offering by $</w:t>
      </w:r>
      <w:r>
        <w:rPr>
          <w:sz w:val="20"/>
          <w:szCs w:val="20"/>
          <w:color w:val="auto"/>
        </w:rPr>
        <w:tab/>
      </w:r>
      <w:r>
        <w:rPr>
          <w:rFonts w:ascii="Arial" w:cs="Arial" w:eastAsia="Arial" w:hAnsi="Arial"/>
          <w:sz w:val="18"/>
          <w:szCs w:val="18"/>
          <w:color w:val="auto"/>
        </w:rPr>
        <w:t>per share, assuming that the assumed initial</w:t>
      </w:r>
    </w:p>
    <w:p>
      <w:pPr>
        <w:spacing w:after="0" w:line="8" w:lineRule="exact"/>
        <w:rPr>
          <w:sz w:val="20"/>
          <w:szCs w:val="20"/>
          <w:color w:val="auto"/>
        </w:rPr>
      </w:pPr>
    </w:p>
    <w:p>
      <w:pPr>
        <w:ind w:left="1260"/>
        <w:spacing w:after="0"/>
        <w:tabs>
          <w:tab w:leader="none" w:pos="388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8"/>
          <w:szCs w:val="18"/>
          <w:color w:val="auto"/>
        </w:rPr>
        <w:t>per share, the midpoint of the price range set forth on the cover</w:t>
      </w:r>
    </w:p>
    <w:p>
      <w:pPr>
        <w:spacing w:after="0" w:line="8" w:lineRule="exact"/>
        <w:rPr>
          <w:sz w:val="20"/>
          <w:szCs w:val="20"/>
          <w:color w:val="auto"/>
        </w:rPr>
      </w:pPr>
    </w:p>
    <w:p>
      <w:pPr>
        <w:ind w:left="1260" w:right="1059"/>
        <w:spacing w:after="0" w:line="260" w:lineRule="auto"/>
        <w:rPr>
          <w:sz w:val="20"/>
          <w:szCs w:val="20"/>
          <w:color w:val="auto"/>
        </w:rPr>
      </w:pPr>
      <w:r>
        <w:rPr>
          <w:rFonts w:ascii="Arial" w:cs="Arial" w:eastAsia="Arial" w:hAnsi="Arial"/>
          <w:sz w:val="18"/>
          <w:szCs w:val="18"/>
          <w:color w:val="auto"/>
        </w:rPr>
        <w:t>page of this prospectus, remains the same and after deducting underwriting discounts and commissions and estimated offering expenses payable by us.</w:t>
      </w:r>
    </w:p>
    <w:p>
      <w:pPr>
        <w:spacing w:after="0" w:line="63" w:lineRule="exact"/>
        <w:rPr>
          <w:sz w:val="20"/>
          <w:szCs w:val="20"/>
          <w:color w:val="auto"/>
        </w:rPr>
      </w:pPr>
    </w:p>
    <w:p>
      <w:pPr>
        <w:ind w:left="1260" w:right="799"/>
        <w:spacing w:after="0" w:line="249" w:lineRule="auto"/>
        <w:rPr>
          <w:sz w:val="20"/>
          <w:szCs w:val="20"/>
          <w:color w:val="auto"/>
        </w:rPr>
      </w:pPr>
      <w:r>
        <w:rPr>
          <w:rFonts w:ascii="Arial" w:cs="Arial" w:eastAsia="Arial" w:hAnsi="Arial"/>
          <w:sz w:val="18"/>
          <w:szCs w:val="18"/>
          <w:color w:val="auto"/>
        </w:rPr>
        <w:t>If the underwriters exercise in full their option to purchase additional shares of common stock from us, the pro forma as adjusted net tangible book value per share after giving effect to this</w:t>
      </w:r>
    </w:p>
    <w:p>
      <w:pPr>
        <w:spacing w:after="0" w:line="1" w:lineRule="exact"/>
        <w:rPr>
          <w:sz w:val="20"/>
          <w:szCs w:val="20"/>
          <w:color w:val="auto"/>
        </w:rPr>
      </w:pPr>
    </w:p>
    <w:p>
      <w:pPr>
        <w:ind w:left="1260"/>
        <w:spacing w:after="0"/>
        <w:tabs>
          <w:tab w:leader="none" w:pos="6340" w:val="left"/>
        </w:tabs>
        <w:rPr>
          <w:sz w:val="20"/>
          <w:szCs w:val="20"/>
          <w:color w:val="auto"/>
        </w:rPr>
      </w:pPr>
      <w:r>
        <w:rPr>
          <w:rFonts w:ascii="Arial" w:cs="Arial" w:eastAsia="Arial" w:hAnsi="Arial"/>
          <w:sz w:val="18"/>
          <w:szCs w:val="18"/>
          <w:color w:val="auto"/>
        </w:rPr>
        <w:t>offering at an assumed initial public offering price of $</w:t>
      </w:r>
      <w:r>
        <w:rPr>
          <w:sz w:val="20"/>
          <w:szCs w:val="20"/>
          <w:color w:val="auto"/>
        </w:rPr>
        <w:tab/>
      </w:r>
      <w:r>
        <w:rPr>
          <w:rFonts w:ascii="Arial" w:cs="Arial" w:eastAsia="Arial" w:hAnsi="Arial"/>
          <w:sz w:val="18"/>
          <w:szCs w:val="18"/>
          <w:color w:val="auto"/>
        </w:rPr>
        <w:t>per share, the midpoint of the price</w:t>
      </w:r>
    </w:p>
    <w:p>
      <w:pPr>
        <w:spacing w:after="0" w:line="8" w:lineRule="exact"/>
        <w:rPr>
          <w:sz w:val="20"/>
          <w:szCs w:val="20"/>
          <w:color w:val="auto"/>
        </w:rPr>
      </w:pPr>
    </w:p>
    <w:p>
      <w:pPr>
        <w:ind w:left="1260" w:right="1139"/>
        <w:spacing w:after="0" w:line="249" w:lineRule="auto"/>
        <w:rPr>
          <w:sz w:val="20"/>
          <w:szCs w:val="20"/>
          <w:color w:val="auto"/>
        </w:rPr>
      </w:pPr>
      <w:r>
        <w:rPr>
          <w:rFonts w:ascii="Arial" w:cs="Arial" w:eastAsia="Arial" w:hAnsi="Arial"/>
          <w:sz w:val="18"/>
          <w:szCs w:val="18"/>
          <w:color w:val="auto"/>
        </w:rPr>
        <w:t>range set forth on the cover page of this prospectus, and after deducting the underwriting discounts and commissions and estimated offering expenses payable by us, would be</w:t>
      </w:r>
    </w:p>
    <w:p>
      <w:pPr>
        <w:spacing w:after="0" w:line="1" w:lineRule="exact"/>
        <w:rPr>
          <w:sz w:val="20"/>
          <w:szCs w:val="20"/>
          <w:color w:val="auto"/>
        </w:rPr>
      </w:pPr>
    </w:p>
    <w:p>
      <w:pPr>
        <w:ind w:left="1260"/>
        <w:spacing w:after="0"/>
        <w:tabs>
          <w:tab w:leader="none" w:pos="1960" w:val="left"/>
          <w:tab w:leader="none" w:pos="8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representing an immediate increase to existing stockholders of $</w:t>
      </w:r>
      <w:r>
        <w:rPr>
          <w:sz w:val="20"/>
          <w:szCs w:val="20"/>
          <w:color w:val="auto"/>
        </w:rPr>
        <w:tab/>
      </w:r>
      <w:r>
        <w:rPr>
          <w:rFonts w:ascii="Arial" w:cs="Arial" w:eastAsia="Arial" w:hAnsi="Arial"/>
          <w:sz w:val="17"/>
          <w:szCs w:val="17"/>
          <w:color w:val="auto"/>
        </w:rPr>
        <w:t>per</w:t>
      </w:r>
    </w:p>
    <w:p>
      <w:pPr>
        <w:spacing w:after="0" w:line="8" w:lineRule="exact"/>
        <w:rPr>
          <w:sz w:val="20"/>
          <w:szCs w:val="20"/>
          <w:color w:val="auto"/>
        </w:rPr>
      </w:pPr>
    </w:p>
    <w:p>
      <w:pPr>
        <w:ind w:left="1260"/>
        <w:spacing w:after="0"/>
        <w:tabs>
          <w:tab w:leader="none" w:pos="7520" w:val="left"/>
        </w:tabs>
        <w:rPr>
          <w:sz w:val="20"/>
          <w:szCs w:val="20"/>
          <w:color w:val="auto"/>
        </w:rPr>
      </w:pPr>
      <w:r>
        <w:rPr>
          <w:rFonts w:ascii="Arial" w:cs="Arial" w:eastAsia="Arial" w:hAnsi="Arial"/>
          <w:sz w:val="18"/>
          <w:szCs w:val="18"/>
          <w:color w:val="auto"/>
        </w:rPr>
        <w:t>share, and dilution to new investors participating in this offering of $</w:t>
      </w:r>
      <w:r>
        <w:rPr>
          <w:sz w:val="20"/>
          <w:szCs w:val="20"/>
          <w:color w:val="auto"/>
        </w:rPr>
        <w:tab/>
      </w:r>
      <w:r>
        <w:rPr>
          <w:rFonts w:ascii="Arial" w:cs="Arial" w:eastAsia="Arial" w:hAnsi="Arial"/>
          <w:sz w:val="18"/>
          <w:szCs w:val="18"/>
          <w:color w:val="auto"/>
        </w:rPr>
        <w:t>per share.</w:t>
      </w:r>
    </w:p>
    <w:p>
      <w:pPr>
        <w:spacing w:after="0" w:line="102" w:lineRule="exact"/>
        <w:rPr>
          <w:sz w:val="20"/>
          <w:szCs w:val="20"/>
          <w:color w:val="auto"/>
        </w:rPr>
      </w:pPr>
    </w:p>
    <w:p>
      <w:pPr>
        <w:ind w:left="1260" w:right="479"/>
        <w:spacing w:after="0" w:line="249" w:lineRule="auto"/>
        <w:rPr>
          <w:sz w:val="20"/>
          <w:szCs w:val="20"/>
          <w:color w:val="auto"/>
        </w:rPr>
      </w:pPr>
      <w:r>
        <w:rPr>
          <w:rFonts w:ascii="Arial" w:cs="Arial" w:eastAsia="Arial" w:hAnsi="Arial"/>
          <w:sz w:val="18"/>
          <w:szCs w:val="18"/>
          <w:color w:val="auto"/>
        </w:rPr>
        <w:t>The following table summarizes the pro forma as adjusted basis described above, the differences between the number of shares purchased from us, the total consideration paid and the average price per share paid to us by existing stockholders and by investors purchasing shares in this</w:t>
      </w:r>
    </w:p>
    <w:p>
      <w:pPr>
        <w:spacing w:after="0" w:line="1" w:lineRule="exact"/>
        <w:rPr>
          <w:sz w:val="20"/>
          <w:szCs w:val="20"/>
          <w:color w:val="auto"/>
        </w:rPr>
      </w:pPr>
    </w:p>
    <w:p>
      <w:pPr>
        <w:jc w:val="both"/>
        <w:ind w:left="1260" w:right="459"/>
        <w:spacing w:after="0" w:line="254" w:lineRule="auto"/>
        <w:rPr>
          <w:sz w:val="20"/>
          <w:szCs w:val="20"/>
          <w:color w:val="auto"/>
        </w:rPr>
      </w:pPr>
      <w:r>
        <w:rPr>
          <w:rFonts w:ascii="Arial" w:cs="Arial" w:eastAsia="Arial" w:hAnsi="Arial"/>
          <w:sz w:val="18"/>
          <w:szCs w:val="18"/>
          <w:color w:val="auto"/>
        </w:rPr>
        <w:t>offering at the assumed initial public offering price of $ per share, the midpoint of the price range set forth on the cover page of this prospectus,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86995</wp:posOffset>
            </wp:positionV>
            <wp:extent cx="51936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206"/>
        </w:trPr>
        <w:tc>
          <w:tcPr>
            <w:tcW w:w="35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Shares purchased</w:t>
            </w:r>
          </w:p>
        </w:tc>
        <w:tc>
          <w:tcPr>
            <w:tcW w:w="19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Total consideration</w:t>
            </w: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Average price</w:t>
            </w:r>
          </w:p>
        </w:tc>
        <w:tc>
          <w:tcPr>
            <w:tcW w:w="0" w:type="dxa"/>
            <w:vAlign w:val="bottom"/>
          </w:tcPr>
          <w:p>
            <w:pPr>
              <w:spacing w:after="0"/>
              <w:rPr>
                <w:sz w:val="1"/>
                <w:szCs w:val="1"/>
                <w:color w:val="auto"/>
              </w:rPr>
            </w:pPr>
          </w:p>
        </w:tc>
      </w:tr>
      <w:tr>
        <w:trPr>
          <w:trHeight w:val="164"/>
        </w:trPr>
        <w:tc>
          <w:tcPr>
            <w:tcW w:w="35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5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Number</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Amount</w:t>
            </w: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Percent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83"/>
              </w:rPr>
              <w:t>%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40" w:type="dxa"/>
            <w:vAlign w:val="bottom"/>
            <w:gridSpan w:val="2"/>
          </w:tcPr>
          <w:p>
            <w:pPr>
              <w:spacing w:after="0" w:line="201" w:lineRule="exact"/>
              <w:rPr>
                <w:sz w:val="20"/>
                <w:szCs w:val="20"/>
                <w:color w:val="auto"/>
              </w:rPr>
            </w:pPr>
            <w:r>
              <w:rPr>
                <w:rFonts w:ascii="Arial" w:cs="Arial" w:eastAsia="Arial" w:hAnsi="Arial"/>
                <w:sz w:val="18"/>
                <w:szCs w:val="18"/>
                <w:color w:val="auto"/>
              </w:rPr>
              <w:t>New investors</w:t>
            </w: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gridSpan w:val="2"/>
            <w:shd w:val="clear" w:color="auto" w:fill="CCEEFF"/>
          </w:tcPr>
          <w:p>
            <w:pPr>
              <w:jc w:val="right"/>
              <w:ind w:right="636"/>
              <w:spacing w:after="0"/>
              <w:rPr>
                <w:sz w:val="20"/>
                <w:szCs w:val="20"/>
                <w:color w:val="auto"/>
              </w:rPr>
            </w:pPr>
            <w:r>
              <w:rPr>
                <w:rFonts w:ascii="Arial" w:cs="Arial" w:eastAsia="Arial" w:hAnsi="Arial"/>
                <w:sz w:val="18"/>
                <w:szCs w:val="18"/>
                <w:color w:val="auto"/>
              </w:rPr>
              <w:t>100% $</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-434975</wp:posOffset>
            </wp:positionV>
            <wp:extent cx="22294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the underwriters exercise in full their option to purchase additional shares in full, our existing</w:t>
      </w:r>
    </w:p>
    <w:p>
      <w:pPr>
        <w:spacing w:after="0" w:line="8" w:lineRule="exact"/>
        <w:rPr>
          <w:sz w:val="20"/>
          <w:szCs w:val="20"/>
          <w:color w:val="auto"/>
        </w:rPr>
      </w:pPr>
    </w:p>
    <w:p>
      <w:pPr>
        <w:ind w:left="1260" w:right="639"/>
        <w:spacing w:after="0" w:line="260" w:lineRule="auto"/>
        <w:rPr>
          <w:sz w:val="20"/>
          <w:szCs w:val="20"/>
          <w:color w:val="auto"/>
        </w:rPr>
      </w:pPr>
      <w:r>
        <w:rPr>
          <w:rFonts w:ascii="Arial" w:cs="Arial" w:eastAsia="Arial" w:hAnsi="Arial"/>
          <w:sz w:val="18"/>
          <w:szCs w:val="18"/>
          <w:color w:val="auto"/>
        </w:rPr>
        <w:t>stockholders would own % and our new investors would own % of the total number of shares of our common stock outstanding upon the closing of this offering.</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foregoing discussion and tables above (other than the historical net tangible book value</w:t>
      </w:r>
    </w:p>
    <w:p>
      <w:pPr>
        <w:spacing w:after="0" w:line="8" w:lineRule="exact"/>
        <w:rPr>
          <w:sz w:val="20"/>
          <w:szCs w:val="20"/>
          <w:color w:val="auto"/>
        </w:rPr>
      </w:pPr>
    </w:p>
    <w:p>
      <w:pPr>
        <w:jc w:val="both"/>
        <w:ind w:left="1260" w:right="1079"/>
        <w:spacing w:after="0" w:line="259" w:lineRule="auto"/>
        <w:rPr>
          <w:sz w:val="20"/>
          <w:szCs w:val="20"/>
          <w:color w:val="auto"/>
        </w:rPr>
      </w:pPr>
      <w:r>
        <w:rPr>
          <w:rFonts w:ascii="Arial" w:cs="Arial" w:eastAsia="Arial" w:hAnsi="Arial"/>
          <w:sz w:val="18"/>
          <w:szCs w:val="18"/>
          <w:color w:val="auto"/>
        </w:rPr>
        <w:t>(deficit) calculation) are based on shares of common stock outstanding as of December 31, 2020, which gives effect to the pro forma transactions described above and excludes:</w:t>
      </w:r>
    </w:p>
    <w:p>
      <w:pPr>
        <w:spacing w:after="0" w:line="320" w:lineRule="exact"/>
        <w:rPr>
          <w:sz w:val="20"/>
          <w:szCs w:val="20"/>
          <w:color w:val="auto"/>
        </w:rPr>
      </w:pPr>
    </w:p>
    <w:p>
      <w:pPr>
        <w:ind w:left="2020" w:hanging="765"/>
        <w:spacing w:after="0"/>
        <w:tabs>
          <w:tab w:leader="none" w:pos="2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stock options as of</w:t>
      </w:r>
    </w:p>
    <w:p>
      <w:pPr>
        <w:spacing w:after="0" w:line="22" w:lineRule="exact"/>
        <w:rPr>
          <w:sz w:val="20"/>
          <w:szCs w:val="20"/>
          <w:color w:val="auto"/>
        </w:rPr>
      </w:pPr>
    </w:p>
    <w:p>
      <w:pPr>
        <w:ind w:left="1400"/>
        <w:spacing w:after="0"/>
        <w:tabs>
          <w:tab w:leader="none" w:pos="7220" w:val="left"/>
        </w:tabs>
        <w:rPr>
          <w:sz w:val="20"/>
          <w:szCs w:val="20"/>
          <w:color w:val="auto"/>
        </w:rPr>
      </w:pPr>
      <w:r>
        <w:rPr>
          <w:rFonts w:ascii="Arial" w:cs="Arial" w:eastAsia="Arial" w:hAnsi="Arial"/>
          <w:sz w:val="18"/>
          <w:szCs w:val="18"/>
          <w:color w:val="auto"/>
        </w:rPr>
        <w:t>December 31, 2020, at a weighted-average exercise price of $</w:t>
      </w:r>
      <w:r>
        <w:rPr>
          <w:sz w:val="20"/>
          <w:szCs w:val="20"/>
          <w:color w:val="auto"/>
        </w:rPr>
        <w:tab/>
      </w:r>
      <w:r>
        <w:rPr>
          <w:rFonts w:ascii="Arial" w:cs="Arial" w:eastAsia="Arial" w:hAnsi="Arial"/>
          <w:sz w:val="18"/>
          <w:szCs w:val="18"/>
          <w:color w:val="auto"/>
        </w:rPr>
        <w:t>per share;</w:t>
      </w:r>
    </w:p>
    <w:p>
      <w:pPr>
        <w:spacing w:after="0" w:line="129" w:lineRule="exact"/>
        <w:rPr>
          <w:sz w:val="20"/>
          <w:szCs w:val="20"/>
          <w:color w:val="auto"/>
        </w:rPr>
      </w:pPr>
    </w:p>
    <w:p>
      <w:pPr>
        <w:ind w:left="1400" w:right="1139" w:hanging="145"/>
        <w:spacing w:after="0" w:line="275" w:lineRule="auto"/>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40,540 shares of our common stock issuable upon the exercise of warrants to purchase common stock, at a weighted-average exercise price of $5.55 per share;</w:t>
      </w:r>
    </w:p>
    <w:p>
      <w:pPr>
        <w:spacing w:after="0" w:line="90" w:lineRule="exact"/>
        <w:rPr>
          <w:rFonts w:ascii="Arial" w:cs="Arial" w:eastAsia="Arial" w:hAnsi="Arial"/>
          <w:sz w:val="18"/>
          <w:szCs w:val="18"/>
          <w:color w:val="auto"/>
        </w:rPr>
      </w:pPr>
    </w:p>
    <w:p>
      <w:pPr>
        <w:ind w:left="1400" w:right="499" w:hanging="145"/>
        <w:spacing w:after="0" w:line="270" w:lineRule="auto"/>
        <w:tabs>
          <w:tab w:leader="none" w:pos="20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our common stock reserved for issuance pursuant to future awards as of December 31, 2021 under the 2018 Plan which will become available under the 2021 Plan after the consummation of this offering;</w:t>
      </w:r>
    </w:p>
    <w:p>
      <w:pPr>
        <w:spacing w:after="0" w:line="95" w:lineRule="exact"/>
        <w:rPr>
          <w:rFonts w:ascii="Arial" w:cs="Arial" w:eastAsia="Arial" w:hAnsi="Arial"/>
          <w:sz w:val="18"/>
          <w:szCs w:val="18"/>
          <w:color w:val="auto"/>
        </w:rPr>
      </w:pPr>
    </w:p>
    <w:p>
      <w:pPr>
        <w:jc w:val="both"/>
        <w:ind w:left="1400" w:right="459" w:hanging="145"/>
        <w:spacing w:after="0" w:line="268" w:lineRule="auto"/>
        <w:tabs>
          <w:tab w:leader="none" w:pos="20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84" w:lineRule="exact"/>
        <w:rPr>
          <w:rFonts w:ascii="Arial" w:cs="Arial" w:eastAsia="Arial" w:hAnsi="Arial"/>
          <w:sz w:val="18"/>
          <w:szCs w:val="18"/>
          <w:color w:val="auto"/>
        </w:rPr>
      </w:pPr>
    </w:p>
    <w:p>
      <w:pPr>
        <w:ind w:left="1400" w:right="559" w:hanging="145"/>
        <w:spacing w:after="0" w:line="268" w:lineRule="auto"/>
        <w:tabs>
          <w:tab w:leader="none" w:pos="20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ESPP will become effective upon the effectiveness of the Registration Statement of which this prospectus forms a part, as well as any future increases in the number of shares of common stock reserved for issuance under the ESPP.</w:t>
      </w:r>
    </w:p>
    <w:p>
      <w:pPr>
        <w:spacing w:after="0" w:line="31" w:lineRule="exact"/>
        <w:rPr>
          <w:sz w:val="20"/>
          <w:szCs w:val="20"/>
          <w:color w:val="auto"/>
        </w:rPr>
      </w:pPr>
    </w:p>
    <w:p>
      <w:pPr>
        <w:jc w:val="both"/>
        <w:ind w:left="1260" w:right="539"/>
        <w:spacing w:after="0" w:line="254" w:lineRule="auto"/>
        <w:rPr>
          <w:sz w:val="20"/>
          <w:szCs w:val="20"/>
          <w:color w:val="auto"/>
        </w:rPr>
      </w:pPr>
      <w:r>
        <w:rPr>
          <w:rFonts w:ascii="Arial" w:cs="Arial" w:eastAsia="Arial" w:hAnsi="Arial"/>
          <w:sz w:val="18"/>
          <w:szCs w:val="18"/>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Selected consolidated financial data</w:t>
      </w:r>
    </w:p>
    <w:p>
      <w:pPr>
        <w:spacing w:after="0" w:line="163" w:lineRule="exact"/>
        <w:rPr>
          <w:sz w:val="20"/>
          <w:szCs w:val="20"/>
          <w:color w:val="auto"/>
        </w:rPr>
      </w:pPr>
    </w:p>
    <w:p>
      <w:pPr>
        <w:ind w:left="1260" w:right="520"/>
        <w:spacing w:after="0" w:line="266" w:lineRule="auto"/>
        <w:rPr>
          <w:sz w:val="20"/>
          <w:szCs w:val="20"/>
          <w:color w:val="auto"/>
        </w:rPr>
      </w:pPr>
      <w:r>
        <w:rPr>
          <w:rFonts w:ascii="Arial" w:cs="Arial" w:eastAsia="Arial" w:hAnsi="Arial"/>
          <w:sz w:val="18"/>
          <w:szCs w:val="18"/>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Our historical results are not necessarily indicative of the results that may be expected in the future. You should read the following consolidated financial data together with our audited consolidated financial statements and the related notes included elsewhere in this prospectus and the information in the section titled “Management’s Discussion and Analysis of Financial Condition and Results of Operations.”</w:t>
      </w:r>
    </w:p>
    <w:p>
      <w:pPr>
        <w:spacing w:after="0" w:line="389"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Successor</w:t>
            </w:r>
          </w:p>
        </w:tc>
        <w:tc>
          <w:tcPr>
            <w:tcW w:w="1400" w:type="dxa"/>
            <w:vAlign w:val="bottom"/>
            <w:tcBorders>
              <w:top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0" w:type="dxa"/>
            <w:vAlign w:val="bottom"/>
            <w:gridSpan w:val="2"/>
          </w:tcPr>
          <w:p>
            <w:pPr>
              <w:jc w:val="right"/>
              <w:ind w:right="350"/>
              <w:spacing w:after="0"/>
              <w:rPr>
                <w:sz w:val="20"/>
                <w:szCs w:val="20"/>
                <w:color w:val="auto"/>
              </w:rPr>
            </w:pPr>
            <w:r>
              <w:rPr>
                <w:rFonts w:ascii="Arial" w:cs="Arial" w:eastAsia="Arial" w:hAnsi="Arial"/>
                <w:sz w:val="16"/>
                <w:szCs w:val="16"/>
                <w:b w:val="1"/>
                <w:bCs w:val="1"/>
                <w:color w:val="auto"/>
              </w:rPr>
              <w:t>Successor</w:t>
            </w:r>
          </w:p>
        </w:tc>
        <w:tc>
          <w:tcPr>
            <w:tcW w:w="1600" w:type="dxa"/>
            <w:vAlign w:val="bottom"/>
            <w:gridSpan w:val="3"/>
          </w:tcPr>
          <w:p>
            <w:pPr>
              <w:jc w:val="right"/>
              <w:ind w:right="377"/>
              <w:spacing w:after="0"/>
              <w:rPr>
                <w:sz w:val="20"/>
                <w:szCs w:val="20"/>
                <w:color w:val="auto"/>
              </w:rPr>
            </w:pPr>
            <w:r>
              <w:rPr>
                <w:rFonts w:ascii="Arial" w:cs="Arial" w:eastAsia="Arial" w:hAnsi="Arial"/>
                <w:sz w:val="16"/>
                <w:szCs w:val="16"/>
                <w:b w:val="1"/>
                <w:bCs w:val="1"/>
                <w:color w:val="auto"/>
              </w:rPr>
              <w:t>period from</w:t>
            </w:r>
          </w:p>
        </w:tc>
        <w:tc>
          <w:tcPr>
            <w:tcW w:w="140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period from</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rPr>
              <w:t>year ended</w:t>
            </w:r>
          </w:p>
        </w:tc>
        <w:tc>
          <w:tcPr>
            <w:tcW w:w="3000" w:type="dxa"/>
            <w:vAlign w:val="bottom"/>
            <w:gridSpan w:val="7"/>
          </w:tcPr>
          <w:p>
            <w:pPr>
              <w:jc w:val="right"/>
              <w:ind w:right="60"/>
              <w:spacing w:after="0"/>
              <w:rPr>
                <w:sz w:val="20"/>
                <w:szCs w:val="20"/>
                <w:color w:val="auto"/>
              </w:rPr>
            </w:pPr>
            <w:r>
              <w:rPr>
                <w:rFonts w:ascii="Arial" w:cs="Arial" w:eastAsia="Arial" w:hAnsi="Arial"/>
                <w:sz w:val="16"/>
                <w:szCs w:val="16"/>
                <w:b w:val="1"/>
                <w:bCs w:val="1"/>
                <w:color w:val="auto"/>
              </w:rPr>
              <w:t>June 21, 2019 to  January 1, 2019 to</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6"/>
                <w:szCs w:val="16"/>
                <w:b w:val="1"/>
                <w:bCs w:val="1"/>
                <w:color w:val="auto"/>
              </w:rPr>
              <w:t>December 31, 2020December 31, 2019</w:t>
            </w: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June 20, 2019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39,681</w:t>
            </w:r>
          </w:p>
        </w:tc>
        <w:tc>
          <w:tcPr>
            <w:tcW w:w="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357"/>
              <w:spacing w:after="0"/>
              <w:rPr>
                <w:sz w:val="20"/>
                <w:szCs w:val="20"/>
                <w:color w:val="auto"/>
              </w:rPr>
            </w:pPr>
            <w:r>
              <w:rPr>
                <w:rFonts w:ascii="Arial" w:cs="Arial" w:eastAsia="Arial" w:hAnsi="Arial"/>
                <w:sz w:val="18"/>
                <w:szCs w:val="18"/>
                <w:color w:val="auto"/>
              </w:rPr>
              <w:t>10,107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9,495</w:t>
            </w:r>
          </w:p>
        </w:tc>
        <w:tc>
          <w:tcPr>
            <w:tcW w:w="400" w:type="dxa"/>
            <w:vAlign w:val="bottom"/>
          </w:tcPr>
          <w:p>
            <w:pPr>
              <w:spacing w:after="0"/>
              <w:rPr>
                <w:sz w:val="19"/>
                <w:szCs w:val="19"/>
                <w:color w:val="auto"/>
              </w:rPr>
            </w:pPr>
          </w:p>
        </w:tc>
        <w:tc>
          <w:tcPr>
            <w:tcW w:w="1200" w:type="dxa"/>
            <w:vAlign w:val="bottom"/>
            <w:gridSpan w:val="2"/>
          </w:tcPr>
          <w:p>
            <w:pPr>
              <w:jc w:val="right"/>
              <w:ind w:right="357"/>
              <w:spacing w:after="0"/>
              <w:rPr>
                <w:sz w:val="20"/>
                <w:szCs w:val="20"/>
                <w:color w:val="auto"/>
              </w:rPr>
            </w:pPr>
            <w:r>
              <w:rPr>
                <w:rFonts w:ascii="Arial" w:cs="Arial" w:eastAsia="Arial" w:hAnsi="Arial"/>
                <w:sz w:val="18"/>
                <w:szCs w:val="18"/>
                <w:color w:val="auto"/>
              </w:rPr>
              <w:t>3,622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 off of in-process research and</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development asset</w:t>
            </w: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57"/>
              <w:spacing w:after="0"/>
              <w:rPr>
                <w:sz w:val="20"/>
                <w:szCs w:val="20"/>
                <w:color w:val="auto"/>
              </w:rPr>
            </w:pPr>
            <w:r>
              <w:rPr>
                <w:rFonts w:ascii="Arial" w:cs="Arial" w:eastAsia="Arial" w:hAnsi="Arial"/>
                <w:sz w:val="18"/>
                <w:szCs w:val="18"/>
                <w:color w:val="auto"/>
              </w:rPr>
              <w:t>225,946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53,898</w:t>
            </w: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357"/>
              <w:spacing w:after="0"/>
              <w:rPr>
                <w:sz w:val="20"/>
                <w:szCs w:val="20"/>
                <w:color w:val="auto"/>
              </w:rPr>
            </w:pPr>
            <w:r>
              <w:rPr>
                <w:rFonts w:ascii="Arial" w:cs="Arial" w:eastAsia="Arial" w:hAnsi="Arial"/>
                <w:sz w:val="18"/>
                <w:szCs w:val="18"/>
                <w:color w:val="auto"/>
              </w:rPr>
              <w:t>239,675</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6"/>
        </w:trPr>
        <w:tc>
          <w:tcPr>
            <w:tcW w:w="40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(53,898)</w:t>
            </w: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97"/>
              <w:spacing w:after="0"/>
              <w:rPr>
                <w:sz w:val="20"/>
                <w:szCs w:val="20"/>
                <w:color w:val="auto"/>
              </w:rPr>
            </w:pPr>
            <w:r>
              <w:rPr>
                <w:rFonts w:ascii="Arial" w:cs="Arial" w:eastAsia="Arial" w:hAnsi="Arial"/>
                <w:sz w:val="18"/>
                <w:szCs w:val="18"/>
                <w:color w:val="auto"/>
              </w:rPr>
              <w:t>(239,675)</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29"/>
        </w:trPr>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ind w:right="357"/>
              <w:spacing w:after="0"/>
              <w:rPr>
                <w:sz w:val="20"/>
                <w:szCs w:val="20"/>
                <w:color w:val="auto"/>
              </w:rPr>
            </w:pPr>
            <w:r>
              <w:rPr>
                <w:rFonts w:ascii="Arial" w:cs="Arial" w:eastAsia="Arial" w:hAnsi="Arial"/>
                <w:sz w:val="18"/>
                <w:szCs w:val="18"/>
                <w:color w:val="auto"/>
              </w:rPr>
              <w:t>908</w:t>
            </w:r>
          </w:p>
        </w:tc>
        <w:tc>
          <w:tcPr>
            <w:tcW w:w="2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(53,575)</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97"/>
              <w:spacing w:after="0"/>
              <w:rPr>
                <w:sz w:val="20"/>
                <w:szCs w:val="20"/>
                <w:color w:val="auto"/>
              </w:rPr>
            </w:pPr>
            <w:r>
              <w:rPr>
                <w:rFonts w:ascii="Arial" w:cs="Arial" w:eastAsia="Arial" w:hAnsi="Arial"/>
                <w:sz w:val="18"/>
                <w:szCs w:val="18"/>
                <w:color w:val="auto"/>
              </w:rPr>
              <w:t>(238,767)</w:t>
            </w:r>
          </w:p>
        </w:tc>
        <w:tc>
          <w:tcPr>
            <w:tcW w:w="20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gridSpan w:val="4"/>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center"/>
              <w:ind w:left="717"/>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57"/>
              <w:spacing w:after="0"/>
              <w:rPr>
                <w:sz w:val="20"/>
                <w:szCs w:val="20"/>
                <w:color w:val="auto"/>
              </w:rPr>
            </w:pPr>
            <w:r>
              <w:rPr>
                <w:rFonts w:ascii="Arial" w:cs="Arial" w:eastAsia="Arial" w:hAnsi="Arial"/>
                <w:sz w:val="18"/>
                <w:szCs w:val="18"/>
                <w:color w:val="auto"/>
              </w:rPr>
              <w:t>$  27,211</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44,064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vMerge w:val="continue"/>
          </w:tcPr>
          <w:p>
            <w:pPr>
              <w:spacing w:after="0"/>
              <w:rPr>
                <w:sz w:val="23"/>
                <w:szCs w:val="23"/>
                <w:color w:val="auto"/>
              </w:rPr>
            </w:pPr>
          </w:p>
        </w:tc>
        <w:tc>
          <w:tcPr>
            <w:tcW w:w="4040" w:type="dxa"/>
            <w:vAlign w:val="bottom"/>
            <w:shd w:val="clear" w:color="auto" w:fill="CCEEFF"/>
          </w:tcPr>
          <w:p>
            <w:pPr>
              <w:spacing w:after="0" w:line="268" w:lineRule="exact"/>
              <w:rPr>
                <w:sz w:val="20"/>
                <w:szCs w:val="20"/>
                <w:color w:val="auto"/>
              </w:rPr>
            </w:pPr>
            <w:r>
              <w:rPr>
                <w:rFonts w:ascii="Arial" w:cs="Arial" w:eastAsia="Arial" w:hAnsi="Arial"/>
                <w:sz w:val="18"/>
                <w:szCs w:val="18"/>
                <w:color w:val="auto"/>
              </w:rPr>
              <w:t>Working capital</w:t>
            </w:r>
            <w:r>
              <w:rPr>
                <w:rFonts w:ascii="Arial" w:cs="Arial" w:eastAsia="Arial" w:hAnsi="Arial"/>
                <w:sz w:val="26"/>
                <w:szCs w:val="26"/>
                <w:color w:val="auto"/>
                <w:vertAlign w:val="superscript"/>
              </w:rPr>
              <w:t>(1)</w:t>
            </w:r>
          </w:p>
        </w:tc>
        <w:tc>
          <w:tcPr>
            <w:tcW w:w="8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66,685</w:t>
            </w:r>
          </w:p>
        </w:tc>
        <w:tc>
          <w:tcPr>
            <w:tcW w:w="2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81,128</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57"/>
              <w:spacing w:after="0"/>
              <w:rPr>
                <w:sz w:val="20"/>
                <w:szCs w:val="20"/>
                <w:color w:val="auto"/>
              </w:rPr>
            </w:pPr>
            <w:r>
              <w:rPr>
                <w:rFonts w:ascii="Arial" w:cs="Arial" w:eastAsia="Arial" w:hAnsi="Arial"/>
                <w:sz w:val="18"/>
                <w:szCs w:val="18"/>
                <w:color w:val="auto"/>
              </w:rPr>
              <w:t>106,776</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90,896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units</w:t>
            </w:r>
          </w:p>
        </w:tc>
        <w:tc>
          <w:tcPr>
            <w:tcW w:w="8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396,539</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396,539</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gridSpan w:val="2"/>
          </w:tcPr>
          <w:p>
            <w:pPr>
              <w:spacing w:after="0"/>
              <w:rPr>
                <w:sz w:val="20"/>
                <w:szCs w:val="20"/>
                <w:color w:val="auto"/>
              </w:rPr>
            </w:pPr>
            <w:r>
              <w:rPr>
                <w:rFonts w:ascii="Arial" w:cs="Arial" w:eastAsia="Arial" w:hAnsi="Arial"/>
                <w:sz w:val="18"/>
                <w:szCs w:val="18"/>
                <w:color w:val="auto"/>
              </w:rPr>
              <w:t>Subscription receivable</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(31,900)</w:t>
            </w:r>
          </w:p>
        </w:tc>
        <w:tc>
          <w:tcPr>
            <w:tcW w:w="200" w:type="dxa"/>
            <w:vAlign w:val="bottom"/>
          </w:tcPr>
          <w:p>
            <w:pPr>
              <w:spacing w:after="0"/>
              <w:rPr>
                <w:sz w:val="19"/>
                <w:szCs w:val="19"/>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7"/>
        </w:trPr>
        <w:tc>
          <w:tcPr>
            <w:tcW w:w="40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8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(292,342)</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(237,767)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gridSpan w:val="2"/>
          </w:tcPr>
          <w:p>
            <w:pPr>
              <w:spacing w:after="0"/>
              <w:rPr>
                <w:sz w:val="20"/>
                <w:szCs w:val="20"/>
                <w:color w:val="auto"/>
              </w:rPr>
            </w:pPr>
            <w:r>
              <w:rPr>
                <w:rFonts w:ascii="Arial" w:cs="Arial" w:eastAsia="Arial" w:hAnsi="Arial"/>
                <w:sz w:val="18"/>
                <w:szCs w:val="18"/>
                <w:color w:val="auto"/>
              </w:rPr>
              <w:t>Total members’ equity</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57"/>
              <w:spacing w:after="0"/>
              <w:rPr>
                <w:sz w:val="20"/>
                <w:szCs w:val="20"/>
                <w:color w:val="auto"/>
              </w:rPr>
            </w:pPr>
            <w:r>
              <w:rPr>
                <w:rFonts w:ascii="Arial" w:cs="Arial" w:eastAsia="Arial" w:hAnsi="Arial"/>
                <w:sz w:val="18"/>
                <w:szCs w:val="18"/>
                <w:color w:val="auto"/>
              </w:rPr>
              <w:t>73,349</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87,902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25400</wp:posOffset>
            </wp:positionV>
            <wp:extent cx="51936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87" w:lineRule="exact"/>
        <w:rPr>
          <w:sz w:val="20"/>
          <w:szCs w:val="20"/>
          <w:color w:val="auto"/>
        </w:rPr>
      </w:pPr>
    </w:p>
    <w:p>
      <w:pPr>
        <w:ind w:left="1260" w:right="620" w:hanging="5"/>
        <w:spacing w:after="0" w:line="278" w:lineRule="auto"/>
        <w:tabs>
          <w:tab w:leader="none" w:pos="1475" w:val="left"/>
        </w:tabs>
        <w:numPr>
          <w:ilvl w:val="0"/>
          <w:numId w:val="63"/>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920"/>
          </w:cols>
          <w:pgMar w:left="600" w:top="131" w:right="1379"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right="439"/>
        <w:spacing w:after="0" w:line="247"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75"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i w:val="1"/>
          <w:iCs w:val="1"/>
          <w:color w:val="auto"/>
        </w:rPr>
        <w:t>You should read the following discussion and analysis of our consolidated financial condition and results of operations together with the section titled “Selected consolidated financial data,” and our audited consolidated financial statements and the related notes included elsewhere in this prospectus. The year ended December 31, 2020 and the period of June 21, 2019 through December 31, 2019 are referred to herein as Successor. The period of January 1, 2019 through June 20, 2019 is referred to herein as Predecessor.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See also the section titled “Special note regarding forward-looking statements.”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Overview</w:t>
      </w:r>
    </w:p>
    <w:p>
      <w:pPr>
        <w:spacing w:after="0" w:line="155"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hematoloical malignancies with significant unmet medical need. We have created a comprehensive allogeneic cell therapy platform that includes industry-leading iPSC differentiation know-how to generate immune effector cells from iPSCs, CRISPR-mediated precision gene editing that allows us to incorporate multiple transgenes and knock- outs intended to optimize cell product performance, sophisticated protein engineering capabilities to develop proprietary next generation CARs,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highly differentiated iPSC-derived NK, or iNK, and T, or iT, therapeutics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360"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We were formed in 2018 as Prior Century. In 2019, in connection with our investment from Bayer, Prior Century contributed substantially all of its operating assets and cash to a newly formed entity,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of Prior Century.</w:t>
      </w:r>
    </w:p>
    <w:p>
      <w:pPr>
        <w:spacing w:after="0" w:line="342"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Until February 2021, our business was operated through the LLC Entity. In February 2021, in connection with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141" w:lineRule="exact"/>
        <w:rPr>
          <w:sz w:val="20"/>
          <w:szCs w:val="20"/>
          <w:color w:val="auto"/>
        </w:rPr>
      </w:pPr>
    </w:p>
    <w:p>
      <w:pPr>
        <w:ind w:left="1260" w:right="619"/>
        <w:spacing w:after="0" w:line="249"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 approved for sale. Since our inception, we have incurred net losses each year. We had a members’ deficit of</w:t>
      </w:r>
    </w:p>
    <w:p>
      <w:pPr>
        <w:spacing w:after="0" w:line="3"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$292.3 million as of December 31, 2020 (Successor). Substantially all of our losses have resulted from expenses incurred in connection with our research and development programs, the acquisition of in-process research and</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539"/>
        <w:spacing w:after="0" w:line="270" w:lineRule="auto"/>
        <w:rPr>
          <w:sz w:val="20"/>
          <w:szCs w:val="20"/>
          <w:color w:val="auto"/>
        </w:rPr>
      </w:pPr>
      <w:r>
        <w:rPr>
          <w:rFonts w:ascii="Arial" w:cs="Arial" w:eastAsia="Arial" w:hAnsi="Arial"/>
          <w:sz w:val="18"/>
          <w:szCs w:val="18"/>
          <w:color w:val="auto"/>
        </w:rPr>
        <w:t>development and from general and administrative costs associated with our operations. Included in our members’ deficit, as noted above, is a non-cash expense of $225.9 million related to the fair value of the in-process research and development of Prior Century.</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date, we have funded our operations from the issuance and sale of our common units and</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preferred stock and have not generated any revenues. Since our inception, we have raised</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approximately $340 million in net proceeds from sales of our equity securities. As of</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we had cash, and cash equivalents of $27.2 million and marketable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securities of $49.6 million. In addition, on February 25, 2021, we sold 24,721,999 shares of our</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Series C preferred stock to certain institutional investors for gross proceeds of approximately</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$160.0 million. Based on our current business plans, we believe that the net proceeds from this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offering, together with our existing cash, cash equivalents and marketable securities, will be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sufficient for us to fund our operating expenses and capital expenditures requirements for the</w:t>
      </w:r>
    </w:p>
    <w:p>
      <w:pPr>
        <w:spacing w:after="0" w:line="22" w:lineRule="exact"/>
        <w:rPr>
          <w:sz w:val="20"/>
          <w:szCs w:val="20"/>
          <w:color w:val="auto"/>
        </w:rPr>
      </w:pPr>
    </w:p>
    <w:p>
      <w:pPr>
        <w:ind w:left="1260" w:right="539"/>
        <w:spacing w:after="0" w:line="275" w:lineRule="auto"/>
        <w:rPr>
          <w:sz w:val="20"/>
          <w:szCs w:val="20"/>
          <w:color w:val="auto"/>
        </w:rPr>
      </w:pPr>
      <w:r>
        <w:rPr>
          <w:rFonts w:ascii="Arial" w:cs="Arial" w:eastAsia="Arial" w:hAnsi="Arial"/>
          <w:sz w:val="18"/>
          <w:szCs w:val="18"/>
          <w:color w:val="auto"/>
        </w:rPr>
        <w:t>next months of this filing. We have based this estimate on assumptions that may prove to be wrong, and we could exhaust our available capital resources sooner than we expect.</w:t>
      </w:r>
    </w:p>
    <w:p>
      <w:pPr>
        <w:spacing w:after="0" w:line="131" w:lineRule="exact"/>
        <w:rPr>
          <w:sz w:val="20"/>
          <w:szCs w:val="20"/>
          <w:color w:val="auto"/>
        </w:rPr>
      </w:pPr>
    </w:p>
    <w:p>
      <w:pPr>
        <w:ind w:left="1260" w:right="499"/>
        <w:spacing w:after="0" w:line="270" w:lineRule="auto"/>
        <w:rPr>
          <w:sz w:val="20"/>
          <w:szCs w:val="20"/>
          <w:color w:val="auto"/>
        </w:rPr>
      </w:pPr>
      <w:r>
        <w:rPr>
          <w:rFonts w:ascii="Arial" w:cs="Arial" w:eastAsia="Arial" w:hAnsi="Arial"/>
          <w:sz w:val="18"/>
          <w:szCs w:val="18"/>
          <w:color w:val="auto"/>
        </w:rPr>
        <w:t>We anticipate that our expenses and operating losses will increase substantially over the foreseeable future. The expected increase in expenses will be driven in large part by our ongoing activities, if and as we:</w:t>
      </w:r>
    </w:p>
    <w:p>
      <w:pPr>
        <w:spacing w:after="0" w:line="95" w:lineRule="exact"/>
        <w:rPr>
          <w:sz w:val="20"/>
          <w:szCs w:val="20"/>
          <w:color w:val="auto"/>
        </w:rPr>
      </w:pPr>
    </w:p>
    <w:p>
      <w:pPr>
        <w:ind w:left="1400" w:hanging="145"/>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advance our iPSC cell therapy platforms;</w:t>
      </w:r>
    </w:p>
    <w:p>
      <w:pPr>
        <w:spacing w:after="0" w:line="142" w:lineRule="exact"/>
        <w:rPr>
          <w:rFonts w:ascii="Arial" w:cs="Arial" w:eastAsia="Arial" w:hAnsi="Arial"/>
          <w:sz w:val="18"/>
          <w:szCs w:val="18"/>
          <w:color w:val="auto"/>
        </w:rPr>
      </w:pPr>
    </w:p>
    <w:p>
      <w:pPr>
        <w:ind w:left="1400" w:right="739" w:hanging="145"/>
        <w:spacing w:after="0" w:line="275" w:lineRule="auto"/>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continuing preclinical development of, and initiate clinical development of CNTY-101 and our other product candidates;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and validate our own clinical-scale cGMP facilities;</w:t>
      </w:r>
    </w:p>
    <w:p>
      <w:pPr>
        <w:spacing w:after="0" w:line="129" w:lineRule="exact"/>
        <w:rPr>
          <w:rFonts w:ascii="Arial" w:cs="Arial" w:eastAsia="Arial" w:hAnsi="Arial"/>
          <w:sz w:val="18"/>
          <w:szCs w:val="18"/>
          <w:color w:val="auto"/>
        </w:rPr>
      </w:pPr>
    </w:p>
    <w:p>
      <w:pPr>
        <w:ind w:left="1400" w:right="719" w:hanging="145"/>
        <w:spacing w:after="0" w:line="275" w:lineRule="auto"/>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104" w:lineRule="exact"/>
        <w:rPr>
          <w:rFonts w:ascii="Arial" w:cs="Arial" w:eastAsia="Arial" w:hAnsi="Arial"/>
          <w:sz w:val="18"/>
          <w:szCs w:val="18"/>
          <w:color w:val="auto"/>
        </w:rPr>
      </w:pPr>
    </w:p>
    <w:p>
      <w:pPr>
        <w:ind w:left="1400" w:hanging="145"/>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29" w:lineRule="exact"/>
        <w:rPr>
          <w:rFonts w:ascii="Arial" w:cs="Arial" w:eastAsia="Arial" w:hAnsi="Arial"/>
          <w:sz w:val="18"/>
          <w:szCs w:val="18"/>
          <w:color w:val="auto"/>
        </w:rPr>
      </w:pPr>
    </w:p>
    <w:p>
      <w:pPr>
        <w:ind w:left="1400" w:right="719" w:hanging="145"/>
        <w:spacing w:after="0" w:line="268" w:lineRule="auto"/>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97" w:lineRule="exact"/>
        <w:rPr>
          <w:rFonts w:ascii="Arial" w:cs="Arial" w:eastAsia="Arial" w:hAnsi="Arial"/>
          <w:sz w:val="18"/>
          <w:szCs w:val="18"/>
          <w:color w:val="auto"/>
        </w:rPr>
      </w:pPr>
    </w:p>
    <w:p>
      <w:pPr>
        <w:ind w:left="1400" w:hanging="145"/>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70" w:lineRule="exact"/>
        <w:rPr>
          <w:sz w:val="20"/>
          <w:szCs w:val="20"/>
          <w:color w:val="auto"/>
        </w:rPr>
      </w:pPr>
    </w:p>
    <w:p>
      <w:pPr>
        <w:ind w:left="1260" w:right="719"/>
        <w:spacing w:after="0" w:line="267"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candidates are in early research phases. Our investments also include scaled research solutions, scaled infrastructure, and novel technologies intended to improve efficiency, characterization, and scalability of manufacturing.</w:t>
      </w:r>
    </w:p>
    <w:p>
      <w:pPr>
        <w:spacing w:after="0" w:line="140"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this offering to, among other uses, fund research and development of our product candidates and development programs, including our pre-clinical and clinical development of CNTY-101, CNTY-103, CNTY-102, and CNTY-104. Until such time, if ever, as we can generate significant product revenue, we expect to finance our operations with our existing cash and cash equivalents, marketable securities, the net proceeds from this offering,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The global COVID- 19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the Pennsylvania, and Washington stay- at-home orders where our operations are located. However, to the extent possible, we are conducting business as usual, with necessary or advisable modifications to employee travel and most of our non-laboratory employees working remotely.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outbreak may affect our preclinical studies, clinical trials, business, financial condition, and results of operations will depend on future developments, which are highly uncertain and cannot be predicted at this time.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License and collaboration agreements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51"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On September 18, 2018, we entered into the Differentiation License with FCDI. The Differentiation License, as amended, provides us with a license under certain patents and know-how related to human iPSC consisting of cells that are or are modifications of NK cells, T cells, dendritic cells and macrophages derived from human iPSC. In consideration for the Differentiation License, Prior Century issued 7,500,000 shares of common stock to FCDI, which were exchanged for 7,500,000 shares of common stock in connection with the Reorganization. Prior Century recorded acquired research and development expense of $75 thousand in 2018 based on the fair market value of Prior Century common stock of $0.01 per share.</w:t>
      </w:r>
    </w:p>
    <w:p>
      <w:pPr>
        <w:spacing w:after="0" w:line="138"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Also on September 18, 2018, we entered into the non-exclusive Reprogramming License with FCDI. The Reprogramming License, as amended, provides us with a license under certain patents and know- 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the Master Collaboration Agreement with FCDI pursuant to which we agreed to fund research and development work at FCDI pursuant to a research plan, or, as amended, the Collaboration Agreement.</w:t>
      </w:r>
    </w:p>
    <w:p>
      <w:pPr>
        <w:spacing w:after="0" w:line="360" w:lineRule="exact"/>
        <w:rPr>
          <w:sz w:val="20"/>
          <w:szCs w:val="20"/>
          <w:color w:val="auto"/>
        </w:rPr>
      </w:pPr>
    </w:p>
    <w:p>
      <w:pPr>
        <w:ind w:left="1260" w:right="599"/>
        <w:spacing w:after="0" w:line="251" w:lineRule="auto"/>
        <w:rPr>
          <w:sz w:val="20"/>
          <w:szCs w:val="20"/>
          <w:color w:val="auto"/>
        </w:rPr>
      </w:pPr>
      <w:r>
        <w:rPr>
          <w:rFonts w:ascii="Arial" w:cs="Arial" w:eastAsia="Arial" w:hAnsi="Arial"/>
          <w:sz w:val="18"/>
          <w:szCs w:val="18"/>
          <w:color w:val="auto"/>
        </w:rPr>
        <w:t>On October 21, 2019, we entered into the Collaboration Agreement with FCDI, whereby FCDI provides certain services to us to develop and manufacture T-cell-derived iPSCs and immune cells derived therefrom. Under the terms of the Collaboration Agreement, FCDI will provide services in accordance with the approved research plan and related research budget. The initial research plan covers the period from the date of execution of the Collaboration Agreement through March 31, 2022, with the related research budget of approximately $19.7 million.</w:t>
      </w:r>
    </w:p>
    <w:p>
      <w:pPr>
        <w:spacing w:after="0" w:line="127"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During the Successor period ended December 31, 2020, under the terms of the Reprogramming License and the Collaboration Agreement, the Company made payments of $5.3 million and incurred research and development expenses of $9.0 million and legal fees of $52 thousand recorded within general and administrative expenses within its consolidated statements of operations. As of December 31, 2020, there were $1.8 million of payables recorded within accounts payable on the consolidated balance sheets related to the Collaboration Agreement.</w:t>
      </w:r>
    </w:p>
    <w:p>
      <w:pPr>
        <w:spacing w:after="0" w:line="141"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During the Successor period June 21, 2019 through December 31, 2019, under the terms of the Reprogramming License and the Collaboration Agreement, we made payments of $4.8 million, of which $2.1 million is classified</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99"/>
        <w:spacing w:after="0" w:line="269" w:lineRule="auto"/>
        <w:rPr>
          <w:sz w:val="20"/>
          <w:szCs w:val="20"/>
          <w:color w:val="auto"/>
        </w:rPr>
      </w:pPr>
      <w:r>
        <w:rPr>
          <w:rFonts w:ascii="Arial" w:cs="Arial" w:eastAsia="Arial" w:hAnsi="Arial"/>
          <w:sz w:val="18"/>
          <w:szCs w:val="18"/>
          <w:color w:val="auto"/>
        </w:rPr>
        <w:t>in prepaid expenses and other current assets as of December 31, 2019. During the Successor period June 21, 2019 through December 31, 2019, under the terms of the Reprogramming License and the Collaboration Agreement, we incurred research and development operating expenses of $3.1 million and legal fees of $0.1 million recorded within general and administrative expenses.</w:t>
      </w:r>
    </w:p>
    <w:p>
      <w:pPr>
        <w:spacing w:after="0" w:line="350" w:lineRule="exact"/>
        <w:rPr>
          <w:sz w:val="20"/>
          <w:szCs w:val="20"/>
          <w:color w:val="auto"/>
        </w:rPr>
      </w:pPr>
    </w:p>
    <w:p>
      <w:pPr>
        <w:ind w:left="1260" w:right="739"/>
        <w:spacing w:after="0" w:line="268" w:lineRule="auto"/>
        <w:rPr>
          <w:sz w:val="20"/>
          <w:szCs w:val="20"/>
          <w:color w:val="auto"/>
        </w:rPr>
      </w:pPr>
      <w:r>
        <w:rPr>
          <w:rFonts w:ascii="Arial" w:cs="Arial" w:eastAsia="Arial" w:hAnsi="Arial"/>
          <w:sz w:val="18"/>
          <w:szCs w:val="18"/>
          <w:color w:val="auto"/>
        </w:rPr>
        <w:t>During the Predecessor period January 1, 2019 through June 20, 2019, under the terms of the Reprogramming License and the Collaboration Agreement, we incurred research and development operating expenses of $1.6 million. There were no payments made during the Predecessor period January 1, 2019 through June 20, 2019.</w:t>
      </w:r>
    </w:p>
    <w:p>
      <w:pPr>
        <w:spacing w:after="0" w:line="138" w:lineRule="exact"/>
        <w:rPr>
          <w:sz w:val="20"/>
          <w:szCs w:val="20"/>
          <w:color w:val="auto"/>
        </w:rPr>
      </w:pPr>
    </w:p>
    <w:p>
      <w:pPr>
        <w:jc w:val="both"/>
        <w:ind w:left="1260" w:right="1139"/>
        <w:spacing w:after="0" w:line="275" w:lineRule="auto"/>
        <w:rPr>
          <w:sz w:val="20"/>
          <w:szCs w:val="20"/>
          <w:color w:val="auto"/>
        </w:rPr>
      </w:pPr>
      <w:r>
        <w:rPr>
          <w:rFonts w:ascii="Arial" w:cs="Arial" w:eastAsia="Arial" w:hAnsi="Arial"/>
          <w:sz w:val="18"/>
          <w:szCs w:val="18"/>
          <w:color w:val="auto"/>
        </w:rPr>
        <w:t>As of December 31, 2020, we incurred $14.3 million of the $19.7 million budget under the Collaboration Agreement.</w:t>
      </w:r>
    </w:p>
    <w:p>
      <w:pPr>
        <w:spacing w:after="0" w:line="131" w:lineRule="exact"/>
        <w:rPr>
          <w:sz w:val="20"/>
          <w:szCs w:val="20"/>
          <w:color w:val="auto"/>
        </w:rPr>
      </w:pPr>
    </w:p>
    <w:p>
      <w:pPr>
        <w:jc w:val="both"/>
        <w:ind w:left="1260" w:right="1139"/>
        <w:spacing w:after="0" w:line="270" w:lineRule="auto"/>
        <w:rPr>
          <w:sz w:val="20"/>
          <w:szCs w:val="20"/>
          <w:color w:val="auto"/>
        </w:rPr>
      </w:pPr>
      <w:r>
        <w:rPr>
          <w:rFonts w:ascii="Arial" w:cs="Arial" w:eastAsia="Arial" w:hAnsi="Arial"/>
          <w:sz w:val="18"/>
          <w:szCs w:val="18"/>
          <w:color w:val="auto"/>
        </w:rPr>
        <w:t>We also have entered into a sublicense agreement with iCell, Inc. and a master services agreement with Distributed Bio, Inc. See Note 11 to our consolidated financial statements included elsewhere in this prospectus.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Empirica acquisition</w:t>
      </w:r>
    </w:p>
    <w:p>
      <w:pPr>
        <w:spacing w:after="0" w:line="155"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38"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The transaction was accounted for as an asset acquisition of IPR&amp;D. Total consideration in the acquisition was $4.7 million, consisting of cash consideration of $4.5 million and transaction expenses of $0.2 million. In addition to the purchase price,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The Escrow Deposit is recognized as an asset and the promissory note is post-acquisition compensation expense, which will be accrued over the term of the promissory note. We recorded $0.3 million compensation in research and development expense for the year ended December 31, 2020. For further details regarding this acquisition, see Note 4 to our audited consolidated financial statements included elsewhere in this prospectus.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Components of operating results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w:t>
      </w:r>
    </w:p>
    <w:p>
      <w:pPr>
        <w:spacing w:after="0" w:line="174"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27" w:lineRule="exact"/>
        <w:rPr>
          <w:sz w:val="20"/>
          <w:szCs w:val="20"/>
          <w:color w:val="auto"/>
        </w:rPr>
      </w:pPr>
    </w:p>
    <w:p>
      <w:pPr>
        <w:ind w:left="1260" w:right="579"/>
        <w:spacing w:after="0" w:line="267" w:lineRule="auto"/>
        <w:rPr>
          <w:sz w:val="20"/>
          <w:szCs w:val="20"/>
          <w:color w:val="auto"/>
        </w:rPr>
      </w:pPr>
      <w:r>
        <w:rPr>
          <w:rFonts w:ascii="Arial" w:cs="Arial" w:eastAsia="Arial" w:hAnsi="Arial"/>
          <w:sz w:val="18"/>
          <w:szCs w:val="18"/>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40"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projects, the vast majority of our research and development costs are not recorded on a program-specific basis. These include costs for personnel, laboratory, and other indirect facility and operating costs.</w:t>
      </w:r>
    </w:p>
    <w:p>
      <w:pPr>
        <w:spacing w:after="0" w:line="123"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w:t>
      </w:r>
    </w:p>
    <w:p>
      <w:pPr>
        <w:spacing w:after="0" w:line="174"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40" w:lineRule="exact"/>
        <w:rPr>
          <w:sz w:val="20"/>
          <w:szCs w:val="20"/>
          <w:color w:val="auto"/>
        </w:rPr>
      </w:pPr>
    </w:p>
    <w:p>
      <w:pPr>
        <w:ind w:left="1260" w:right="559"/>
        <w:spacing w:after="0" w:line="268" w:lineRule="auto"/>
        <w:rPr>
          <w:sz w:val="20"/>
          <w:szCs w:val="20"/>
          <w:color w:val="auto"/>
        </w:rPr>
      </w:pPr>
      <w:r>
        <w:rPr>
          <w:rFonts w:ascii="Arial" w:cs="Arial" w:eastAsia="Arial" w:hAnsi="Arial"/>
          <w:sz w:val="18"/>
          <w:szCs w:val="18"/>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Write-off of in-process research and development</w:t>
      </w:r>
    </w:p>
    <w:p>
      <w:pPr>
        <w:spacing w:after="0" w:line="161" w:lineRule="exact"/>
        <w:rPr>
          <w:sz w:val="20"/>
          <w:szCs w:val="20"/>
          <w:color w:val="auto"/>
        </w:rPr>
      </w:pPr>
    </w:p>
    <w:p>
      <w:pPr>
        <w:jc w:val="both"/>
        <w:ind w:left="1260" w:right="499"/>
        <w:spacing w:after="0" w:line="270" w:lineRule="auto"/>
        <w:rPr>
          <w:sz w:val="20"/>
          <w:szCs w:val="20"/>
          <w:color w:val="auto"/>
        </w:rPr>
      </w:pPr>
      <w:r>
        <w:rPr>
          <w:rFonts w:ascii="Arial" w:cs="Arial" w:eastAsia="Arial" w:hAnsi="Arial"/>
          <w:sz w:val="18"/>
          <w:szCs w:val="18"/>
          <w:color w:val="auto"/>
        </w:rPr>
        <w:t>Acquired in-process research and development assets are charged to expense at the acquisition date. In-process research and development charges in 2020 and 2019 relate to the acquisition of Prior Century’s and Empirica’s assets, respectively.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8"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Interest expense relates to interest incurred on the Loan Agreement we entered into with Hercules in September 2020, as well as amortization of the related deferred financing cost (see Note 9 to our audited consolidated financial statements included elsewhere in this prospectus for additional information).</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8" w:lineRule="exact"/>
        <w:rPr>
          <w:sz w:val="20"/>
          <w:szCs w:val="20"/>
          <w:color w:val="auto"/>
        </w:rPr>
      </w:pPr>
    </w:p>
    <w:p>
      <w:pPr>
        <w:ind w:left="1260" w:right="779"/>
        <w:spacing w:after="0" w:line="275" w:lineRule="auto"/>
        <w:rPr>
          <w:sz w:val="20"/>
          <w:szCs w:val="20"/>
          <w:color w:val="auto"/>
        </w:rPr>
      </w:pPr>
      <w:r>
        <w:rPr>
          <w:rFonts w:ascii="Arial" w:cs="Arial" w:eastAsia="Arial" w:hAnsi="Arial"/>
          <w:sz w:val="18"/>
          <w:szCs w:val="18"/>
          <w:color w:val="auto"/>
        </w:rPr>
        <w:t>Interest income, net consists of interest earned on our cash, cash equivalents and investment balance.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65"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Until February 25, 2021, we were organized as a limited liability company, which is considered a passthrough entity for federal and state income tax purposes. As such, any taxable income or loss realized by the Company for the year ended December 31, 2020 was allocated to the members in accordance with their respective membership interest and reported on their individual tax returns. Therefore, no provisions or liability for income taxes is necessary in the accompanying consolidated financial statements.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Results of operations</w:t>
      </w:r>
    </w:p>
    <w:p>
      <w:pPr>
        <w:spacing w:after="0" w:line="191" w:lineRule="exact"/>
        <w:rPr>
          <w:sz w:val="20"/>
          <w:szCs w:val="20"/>
          <w:color w:val="auto"/>
        </w:rPr>
      </w:pPr>
    </w:p>
    <w:p>
      <w:pPr>
        <w:jc w:val="both"/>
        <w:ind w:left="1260" w:right="479"/>
        <w:spacing w:after="0" w:line="236" w:lineRule="auto"/>
        <w:rPr>
          <w:sz w:val="20"/>
          <w:szCs w:val="20"/>
          <w:color w:val="auto"/>
        </w:rPr>
      </w:pPr>
      <w:r>
        <w:rPr>
          <w:rFonts w:ascii="Arial" w:cs="Arial" w:eastAsia="Arial" w:hAnsi="Arial"/>
          <w:sz w:val="18"/>
          <w:szCs w:val="18"/>
          <w:i w:val="1"/>
          <w:iCs w:val="1"/>
          <w:color w:val="auto"/>
        </w:rPr>
        <w:t>Comparison of the Year Ended December 31, 2020 (Successor) to the period from June 21, 2019 through December 31, 2019 (Successor), and the Period from January 1, 2019 through June 20, 2019 (Predecessor).</w:t>
      </w:r>
    </w:p>
    <w:p>
      <w:pPr>
        <w:spacing w:after="0" w:line="147"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The following table summarizes our results of operations for the periods presented. The change in the results of operations is reflective of the (Successor) for the year ended December 31, 2020 compared to combined periods of both (Successor) June 21, 2019 to December 31, 2019 and (Predecessor) January 1, 2019 to June 20, 2019:</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2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6"/>
                <w:szCs w:val="16"/>
                <w:b w:val="1"/>
                <w:bCs w:val="1"/>
                <w:color w:val="auto"/>
              </w:rPr>
              <w:t>Successor</w:t>
            </w:r>
          </w:p>
        </w:tc>
        <w:tc>
          <w:tcPr>
            <w:tcW w:w="126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6"/>
                <w:szCs w:val="16"/>
                <w:b w:val="1"/>
                <w:bCs w:val="1"/>
                <w:color w:val="auto"/>
              </w:rPr>
              <w:t>Predecessor</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8"/>
        </w:trPr>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period from</w:t>
            </w:r>
          </w:p>
        </w:tc>
        <w:tc>
          <w:tcPr>
            <w:tcW w:w="1260" w:type="dxa"/>
            <w:vAlign w:val="bottom"/>
            <w:gridSpan w:val="2"/>
          </w:tcPr>
          <w:p>
            <w:pPr>
              <w:jc w:val="right"/>
              <w:ind w:right="91"/>
              <w:spacing w:after="0"/>
              <w:rPr>
                <w:sz w:val="20"/>
                <w:szCs w:val="20"/>
                <w:color w:val="auto"/>
              </w:rPr>
            </w:pPr>
            <w:r>
              <w:rPr>
                <w:rFonts w:ascii="Arial" w:cs="Arial" w:eastAsia="Arial" w:hAnsi="Arial"/>
                <w:sz w:val="16"/>
                <w:szCs w:val="16"/>
                <w:b w:val="1"/>
                <w:bCs w:val="1"/>
                <w:color w:val="auto"/>
              </w:rPr>
              <w:t>period from</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Successor</w:t>
            </w:r>
          </w:p>
        </w:tc>
        <w:tc>
          <w:tcPr>
            <w:tcW w:w="166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June 21, 2019</w:t>
            </w:r>
          </w:p>
        </w:tc>
        <w:tc>
          <w:tcPr>
            <w:tcW w:w="1260" w:type="dxa"/>
            <w:vAlign w:val="bottom"/>
            <w:gridSpan w:val="2"/>
          </w:tcPr>
          <w:p>
            <w:pPr>
              <w:jc w:val="right"/>
              <w:ind w:right="91"/>
              <w:spacing w:after="0"/>
              <w:rPr>
                <w:sz w:val="20"/>
                <w:szCs w:val="20"/>
                <w:color w:val="auto"/>
              </w:rPr>
            </w:pPr>
            <w:r>
              <w:rPr>
                <w:rFonts w:ascii="Arial" w:cs="Arial" w:eastAsia="Arial" w:hAnsi="Arial"/>
                <w:sz w:val="16"/>
                <w:szCs w:val="16"/>
                <w:b w:val="1"/>
                <w:bCs w:val="1"/>
                <w:color w:val="auto"/>
              </w:rPr>
              <w:t>January 1,</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166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(Inception) to</w:t>
            </w:r>
          </w:p>
        </w:tc>
        <w:tc>
          <w:tcPr>
            <w:tcW w:w="1260" w:type="dxa"/>
            <w:vAlign w:val="bottom"/>
            <w:gridSpan w:val="2"/>
          </w:tcPr>
          <w:p>
            <w:pPr>
              <w:jc w:val="right"/>
              <w:ind w:right="91"/>
              <w:spacing w:after="0"/>
              <w:rPr>
                <w:sz w:val="20"/>
                <w:szCs w:val="20"/>
                <w:color w:val="auto"/>
              </w:rPr>
            </w:pPr>
            <w:r>
              <w:rPr>
                <w:rFonts w:ascii="Arial" w:cs="Arial" w:eastAsia="Arial" w:hAnsi="Arial"/>
                <w:sz w:val="16"/>
                <w:szCs w:val="16"/>
                <w:b w:val="1"/>
                <w:bCs w:val="1"/>
                <w:color w:val="auto"/>
              </w:rPr>
              <w:t>2019 to</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 2020</w:t>
            </w:r>
          </w:p>
        </w:tc>
        <w:tc>
          <w:tcPr>
            <w:tcW w:w="166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December 31, 2019</w:t>
            </w:r>
          </w:p>
        </w:tc>
        <w:tc>
          <w:tcPr>
            <w:tcW w:w="126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rPr>
              <w:t>June 20, 2019</w:t>
            </w: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Change</w:t>
            </w:r>
          </w:p>
        </w:tc>
      </w:tr>
      <w:tr>
        <w:trPr>
          <w:trHeight w:val="214"/>
        </w:trPr>
        <w:tc>
          <w:tcPr>
            <w:tcW w:w="2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r>
      <w:tr>
        <w:trPr>
          <w:trHeight w:val="223"/>
        </w:trPr>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center"/>
              <w:ind w:left="65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39,681</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10,107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4,159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25,415</w:t>
            </w:r>
          </w:p>
        </w:tc>
        <w:tc>
          <w:tcPr>
            <w:tcW w:w="60" w:type="dxa"/>
            <w:vAlign w:val="bottom"/>
          </w:tcPr>
          <w:p>
            <w:pPr>
              <w:spacing w:after="0"/>
              <w:rPr>
                <w:sz w:val="19"/>
                <w:szCs w:val="19"/>
                <w:color w:val="auto"/>
              </w:rPr>
            </w:pPr>
          </w:p>
        </w:tc>
      </w:tr>
      <w:tr>
        <w:trPr>
          <w:trHeight w:val="27"/>
        </w:trPr>
        <w:tc>
          <w:tcPr>
            <w:tcW w:w="2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8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w:t>
            </w: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2,145</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60" w:type="dxa"/>
            <w:vAlign w:val="bottom"/>
          </w:tcPr>
          <w:p>
            <w:pPr>
              <w:spacing w:after="0"/>
              <w:rPr>
                <w:sz w:val="20"/>
                <w:szCs w:val="20"/>
                <w:color w:val="auto"/>
              </w:rPr>
            </w:pPr>
          </w:p>
        </w:tc>
      </w:tr>
      <w:tr>
        <w:trPr>
          <w:trHeight w:val="214"/>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Write off of in-process</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asset</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4,722</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225,946</w:t>
            </w:r>
          </w:p>
        </w:tc>
        <w:tc>
          <w:tcPr>
            <w:tcW w:w="60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(221,224)</w:t>
            </w:r>
          </w:p>
        </w:tc>
      </w:tr>
      <w:tr>
        <w:trPr>
          <w:trHeight w:val="27"/>
        </w:trPr>
        <w:tc>
          <w:tcPr>
            <w:tcW w:w="2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16"/>
        </w:trPr>
        <w:tc>
          <w:tcPr>
            <w:tcW w:w="2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53,898</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239,675</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6,304</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(192,081)</w:t>
            </w:r>
          </w:p>
        </w:tc>
        <w:tc>
          <w:tcPr>
            <w:tcW w:w="60" w:type="dxa"/>
            <w:vAlign w:val="bottom"/>
          </w:tcPr>
          <w:p>
            <w:pPr>
              <w:spacing w:after="0"/>
              <w:rPr>
                <w:sz w:val="18"/>
                <w:szCs w:val="18"/>
                <w:color w:val="auto"/>
              </w:rPr>
            </w:pPr>
          </w:p>
        </w:tc>
      </w:tr>
      <w:tr>
        <w:trPr>
          <w:trHeight w:val="228"/>
        </w:trPr>
        <w:tc>
          <w:tcPr>
            <w:tcW w:w="27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(53,898)</w:t>
            </w: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(239,675)</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192,081</w:t>
            </w:r>
          </w:p>
        </w:tc>
        <w:tc>
          <w:tcPr>
            <w:tcW w:w="60" w:type="dxa"/>
            <w:vAlign w:val="bottom"/>
          </w:tcPr>
          <w:p>
            <w:pPr>
              <w:spacing w:after="0"/>
              <w:rPr>
                <w:sz w:val="19"/>
                <w:szCs w:val="19"/>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6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18"/>
                <w:szCs w:val="18"/>
                <w:color w:val="auto"/>
              </w:rPr>
            </w:pPr>
          </w:p>
        </w:tc>
      </w:tr>
      <w:tr>
        <w:trPr>
          <w:trHeight w:val="236"/>
        </w:trPr>
        <w:tc>
          <w:tcPr>
            <w:tcW w:w="27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c>
          <w:tcPr>
            <w:tcW w:w="8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(381)</w:t>
            </w:r>
          </w:p>
        </w:tc>
      </w:tr>
      <w:tr>
        <w:trPr>
          <w:trHeight w:val="236"/>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top w:val="single" w:sz="8" w:color="auto"/>
              <w:bottom w:val="single" w:sz="8" w:color="CCEEFF"/>
            </w:tcBorders>
            <w:shd w:val="clear" w:color="auto" w:fill="CCEEFF"/>
          </w:tcPr>
          <w:p>
            <w:pPr>
              <w:jc w:val="center"/>
              <w:ind w:left="65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(53,575)</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(238,767)</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191,194</w:t>
            </w:r>
          </w:p>
        </w:tc>
        <w:tc>
          <w:tcPr>
            <w:tcW w:w="60" w:type="dxa"/>
            <w:vAlign w:val="bottom"/>
          </w:tcPr>
          <w:p>
            <w:pPr>
              <w:spacing w:after="0"/>
              <w:rPr>
                <w:sz w:val="20"/>
                <w:szCs w:val="20"/>
                <w:color w:val="auto"/>
              </w:rPr>
            </w:pPr>
          </w:p>
        </w:tc>
      </w:tr>
      <w:tr>
        <w:trPr>
          <w:trHeight w:val="20"/>
        </w:trPr>
        <w:tc>
          <w:tcPr>
            <w:tcW w:w="2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17341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34185" cy="8255"/>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-674370</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-828040</wp:posOffset>
            </wp:positionV>
            <wp:extent cx="1734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34185" cy="8255"/>
                    </a:xfrm>
                    <a:prstGeom prst="rect">
                      <a:avLst/>
                    </a:prstGeom>
                    <a:noFill/>
                  </pic:spPr>
                </pic:pic>
              </a:graphicData>
            </a:graphic>
          </wp:anchor>
        </w:drawing>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1" w:lineRule="exact"/>
        <w:rPr>
          <w:sz w:val="20"/>
          <w:szCs w:val="20"/>
          <w:color w:val="auto"/>
        </w:rPr>
      </w:pPr>
    </w:p>
    <w:p>
      <w:pPr>
        <w:ind w:left="1260" w:right="619"/>
        <w:spacing w:after="0" w:line="260"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27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Successor</w:t>
            </w:r>
          </w:p>
        </w:tc>
        <w:tc>
          <w:tcPr>
            <w:tcW w:w="158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rPr>
              <w:t>Predecessor</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188"/>
        </w:trPr>
        <w:tc>
          <w:tcPr>
            <w:tcW w:w="2780" w:type="dxa"/>
            <w:vAlign w:val="bottom"/>
          </w:tcPr>
          <w:p>
            <w:pPr>
              <w:spacing w:after="0"/>
              <w:rPr>
                <w:sz w:val="16"/>
                <w:szCs w:val="16"/>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Successor</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period from</w:t>
            </w:r>
          </w:p>
        </w:tc>
        <w:tc>
          <w:tcPr>
            <w:tcW w:w="158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rPr>
              <w:t>period from</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8"/>
        </w:trPr>
        <w:tc>
          <w:tcPr>
            <w:tcW w:w="2780" w:type="dxa"/>
            <w:vAlign w:val="bottom"/>
          </w:tcPr>
          <w:p>
            <w:pPr>
              <w:spacing w:after="0"/>
              <w:rPr>
                <w:sz w:val="16"/>
                <w:szCs w:val="16"/>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year ended</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21, 2019 to</w:t>
            </w:r>
          </w:p>
        </w:tc>
        <w:tc>
          <w:tcPr>
            <w:tcW w:w="158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rPr>
              <w:t>January 1, 2019 to</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7"/>
        </w:trPr>
        <w:tc>
          <w:tcPr>
            <w:tcW w:w="27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 2020 December 31, 2019</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20, 2019</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4"/>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r>
      <w:tr>
        <w:trPr>
          <w:trHeight w:val="22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 and related costs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Facility and other allocated costs</w:t>
            </w:r>
          </w:p>
        </w:tc>
        <w:tc>
          <w:tcPr>
            <w:tcW w:w="9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3,262</w:t>
            </w: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7"/>
        </w:trPr>
        <w:tc>
          <w:tcPr>
            <w:tcW w:w="2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laboratory</w:t>
            </w:r>
          </w:p>
        </w:tc>
        <w:tc>
          <w:tcPr>
            <w:tcW w:w="9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10,518</w:t>
            </w: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7,561</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Collaborations</w:t>
            </w:r>
          </w:p>
        </w:tc>
        <w:tc>
          <w:tcPr>
            <w:tcW w:w="9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9,002</w:t>
            </w: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3,139</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1,643</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4,220</w:t>
            </w:r>
          </w:p>
        </w:tc>
      </w:tr>
      <w:tr>
        <w:trPr>
          <w:trHeight w:val="27"/>
        </w:trPr>
        <w:tc>
          <w:tcPr>
            <w:tcW w:w="2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Consulting</w:t>
            </w:r>
          </w:p>
        </w:tc>
        <w:tc>
          <w:tcPr>
            <w:tcW w:w="9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36"/>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1,268</w:t>
            </w:r>
          </w:p>
        </w:tc>
        <w:tc>
          <w:tcPr>
            <w:tcW w:w="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14"/>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research and</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39,681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25,415</w:t>
            </w:r>
          </w:p>
        </w:tc>
      </w:tr>
      <w:tr>
        <w:trPr>
          <w:trHeight w:val="67"/>
        </w:trPr>
        <w:tc>
          <w:tcPr>
            <w:tcW w:w="278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-332740</wp:posOffset>
            </wp:positionV>
            <wp:extent cx="17595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59585" cy="8255"/>
                    </a:xfrm>
                    <a:prstGeom prst="rect">
                      <a:avLst/>
                    </a:prstGeom>
                    <a:noFill/>
                  </pic:spPr>
                </pic:pic>
              </a:graphicData>
            </a:graphic>
          </wp:anchor>
        </w:drawing>
      </w:r>
    </w:p>
    <w:p>
      <w:pPr>
        <w:spacing w:after="0" w:line="114"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Research and development expenses were $39.7 million for the year ended December 31, 2020 and $14.3 million for the year ended December 31, 2019. The increase of $25.4 million was primarily due to:</w:t>
      </w:r>
    </w:p>
    <w:p>
      <w:pPr>
        <w:spacing w:after="0" w:line="96" w:lineRule="exact"/>
        <w:rPr>
          <w:sz w:val="20"/>
          <w:szCs w:val="20"/>
          <w:color w:val="auto"/>
        </w:rPr>
      </w:pPr>
    </w:p>
    <w:p>
      <w:pPr>
        <w:ind w:left="1400" w:right="459" w:hanging="145"/>
        <w:spacing w:after="0" w:line="275"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personnel-related expenses of $9.9 million, which was primarily attributable to an increase in headcount to expand our research and development capabilities</w:t>
      </w:r>
    </w:p>
    <w:p>
      <w:pPr>
        <w:spacing w:after="0" w:line="90" w:lineRule="exact"/>
        <w:rPr>
          <w:rFonts w:ascii="Arial" w:cs="Arial" w:eastAsia="Arial" w:hAnsi="Arial"/>
          <w:sz w:val="18"/>
          <w:szCs w:val="18"/>
          <w:color w:val="auto"/>
        </w:rPr>
      </w:pPr>
    </w:p>
    <w:p>
      <w:pPr>
        <w:ind w:left="1400" w:right="539" w:hanging="145"/>
        <w:spacing w:after="0" w:line="275"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$3.0 million of facility and other allocated costs, including rent and allocated overhead costs as a result of an expansion of our geographic footprint for office and lab space;</w:t>
      </w:r>
    </w:p>
    <w:p>
      <w:pPr>
        <w:spacing w:after="0" w:line="77" w:lineRule="exact"/>
        <w:rPr>
          <w:rFonts w:ascii="Arial" w:cs="Arial" w:eastAsia="Arial" w:hAnsi="Arial"/>
          <w:sz w:val="18"/>
          <w:szCs w:val="18"/>
          <w:color w:val="auto"/>
        </w:rPr>
      </w:pPr>
    </w:p>
    <w:p>
      <w:pPr>
        <w:ind w:left="1400" w:right="959" w:hanging="145"/>
        <w:spacing w:after="0" w:line="275"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$7.6 million in research and laboratory costs, including laboratory supplies, preclinical studies, and other external research expenses;</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$4.2 million for collaborative arrangements with FCDI;</w:t>
      </w:r>
    </w:p>
    <w:p>
      <w:pPr>
        <w:spacing w:after="0" w:line="115" w:lineRule="exact"/>
        <w:rPr>
          <w:rFonts w:ascii="Arial" w:cs="Arial" w:eastAsia="Arial" w:hAnsi="Arial"/>
          <w:sz w:val="18"/>
          <w:szCs w:val="18"/>
          <w:color w:val="auto"/>
        </w:rPr>
      </w:pPr>
    </w:p>
    <w:p>
      <w:pPr>
        <w:ind w:left="1400" w:right="539" w:hanging="145"/>
        <w:spacing w:after="0" w:line="275"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$0.5 million of consulting costs primarily for temporary personnel to assist in the expansion of our research and development capabilities; and</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$0.1 million of other expenses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1" w:lineRule="exact"/>
        <w:rPr>
          <w:sz w:val="20"/>
          <w:szCs w:val="20"/>
          <w:color w:val="auto"/>
        </w:rPr>
      </w:pPr>
    </w:p>
    <w:p>
      <w:pPr>
        <w:ind w:left="1260" w:right="599"/>
        <w:spacing w:after="0" w:line="252" w:lineRule="auto"/>
        <w:rPr>
          <w:sz w:val="20"/>
          <w:szCs w:val="20"/>
          <w:color w:val="auto"/>
        </w:rPr>
      </w:pPr>
      <w:r>
        <w:rPr>
          <w:rFonts w:ascii="Arial" w:cs="Arial" w:eastAsia="Arial" w:hAnsi="Arial"/>
          <w:sz w:val="18"/>
          <w:szCs w:val="18"/>
          <w:color w:val="auto"/>
        </w:rPr>
        <w:t>General and administrative expenses were $9.5 million for the year ended December 31, 2020 and $5.8 million for year ended December 31, 2019. The increase of $3.7 million was primarily due to increased personnel-related expenses of $1.5 million primarily attributable to an increase in headcount to build our infrastructure, increased consulting and legal fees of $1.1 million, and increased information technology and facility costs, including rent, of $1.1 million.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Write-off of in-process research and development</w:t>
      </w:r>
    </w:p>
    <w:p>
      <w:pPr>
        <w:spacing w:after="0" w:line="165" w:lineRule="exact"/>
        <w:rPr>
          <w:sz w:val="20"/>
          <w:szCs w:val="20"/>
          <w:color w:val="auto"/>
        </w:rPr>
      </w:pPr>
    </w:p>
    <w:p>
      <w:pPr>
        <w:ind w:left="1260" w:right="799"/>
        <w:spacing w:after="0" w:line="254" w:lineRule="auto"/>
        <w:rPr>
          <w:sz w:val="20"/>
          <w:szCs w:val="20"/>
          <w:color w:val="auto"/>
        </w:rPr>
      </w:pPr>
      <w:r>
        <w:rPr>
          <w:rFonts w:ascii="Arial" w:cs="Arial" w:eastAsia="Arial" w:hAnsi="Arial"/>
          <w:sz w:val="18"/>
          <w:szCs w:val="18"/>
          <w:color w:val="auto"/>
        </w:rPr>
        <w:t>The write off of in -process research and development of $4.7 million in 2020 relates to the acquisition of the assets of Empirica. The write off of in-process research and development in 2019 of $225.9 million relates to the acquisition of the assets of Prior Century.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8" w:lineRule="exact"/>
        <w:rPr>
          <w:sz w:val="20"/>
          <w:szCs w:val="20"/>
          <w:color w:val="auto"/>
        </w:rPr>
      </w:pPr>
    </w:p>
    <w:p>
      <w:pPr>
        <w:ind w:left="1260" w:right="759"/>
        <w:spacing w:after="0" w:line="275" w:lineRule="auto"/>
        <w:rPr>
          <w:sz w:val="20"/>
          <w:szCs w:val="20"/>
          <w:color w:val="auto"/>
        </w:rPr>
      </w:pPr>
      <w:r>
        <w:rPr>
          <w:rFonts w:ascii="Arial" w:cs="Arial" w:eastAsia="Arial" w:hAnsi="Arial"/>
          <w:sz w:val="18"/>
          <w:szCs w:val="18"/>
          <w:color w:val="auto"/>
        </w:rPr>
        <w:t>Interest expense was $0.4 million for the year ended December 31, 2020, which related to our Loan Agreement with Hercules.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5" w:lineRule="exact"/>
        <w:rPr>
          <w:sz w:val="20"/>
          <w:szCs w:val="20"/>
          <w:color w:val="auto"/>
        </w:rPr>
      </w:pPr>
    </w:p>
    <w:p>
      <w:pPr>
        <w:jc w:val="both"/>
        <w:ind w:left="1260" w:right="639"/>
        <w:spacing w:after="0" w:line="270" w:lineRule="auto"/>
        <w:rPr>
          <w:sz w:val="20"/>
          <w:szCs w:val="20"/>
          <w:color w:val="auto"/>
        </w:rPr>
      </w:pPr>
      <w:r>
        <w:rPr>
          <w:rFonts w:ascii="Arial" w:cs="Arial" w:eastAsia="Arial" w:hAnsi="Arial"/>
          <w:sz w:val="18"/>
          <w:szCs w:val="18"/>
          <w:color w:val="auto"/>
        </w:rPr>
        <w:t>Interest income was $0.7 million for the year ended December 31, 2020 and $1.2 million for the year ended December 31, 2019, which included interest earned on our cash, cash equivalents, and short-term and long-term investment balances.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Liquidity, capital resources, and capital requirements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8"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color w:val="auto"/>
        </w:rPr>
        <w:t>To date, we have funded our operations from the issuance and sale of our common units and preferred stock and have not generated any revenues. Since our inception, we have raised approximately $340 million in net proceeds from the sales of our equity securities. As of December 31, 2020, we had cash, and cash equivalents of $27.2 million and marketable securities of $49.6 million. In addition, on February 25, 2021, we sold 24,721,999 shares of our Series C preferred stock to certain institutional investors for gross proceeds of approximately $160 million. Based on our research and development plans, we expect that the net proceeds from this offering, together with our existing cash, cash equivalents and marketable securities will be sufficient to fund our operating expenses and capital expenditures requirements for the</w:t>
      </w:r>
    </w:p>
    <w:p>
      <w:pPr>
        <w:spacing w:after="0" w:line="1" w:lineRule="exact"/>
        <w:rPr>
          <w:sz w:val="20"/>
          <w:szCs w:val="20"/>
          <w:color w:val="auto"/>
        </w:rPr>
      </w:pPr>
    </w:p>
    <w:p>
      <w:pPr>
        <w:ind w:left="1260"/>
        <w:spacing w:after="0"/>
        <w:tabs>
          <w:tab w:leader="none" w:pos="2680" w:val="left"/>
        </w:tabs>
        <w:rPr>
          <w:sz w:val="20"/>
          <w:szCs w:val="20"/>
          <w:color w:val="auto"/>
        </w:rPr>
      </w:pPr>
      <w:r>
        <w:rPr>
          <w:rFonts w:ascii="Arial" w:cs="Arial" w:eastAsia="Arial" w:hAnsi="Arial"/>
          <w:sz w:val="18"/>
          <w:szCs w:val="18"/>
          <w:color w:val="auto"/>
        </w:rPr>
        <w:t>next</w:t>
      </w:r>
      <w:r>
        <w:rPr>
          <w:sz w:val="20"/>
          <w:szCs w:val="20"/>
          <w:color w:val="auto"/>
        </w:rPr>
        <w:tab/>
      </w:r>
      <w:r>
        <w:rPr>
          <w:rFonts w:ascii="Arial" w:cs="Arial" w:eastAsia="Arial" w:hAnsi="Arial"/>
          <w:sz w:val="18"/>
          <w:szCs w:val="18"/>
          <w:color w:val="auto"/>
        </w:rPr>
        <w:t>months after this filing. Since our inception, we have not generated any revenue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product sales or any other sources, and we have incurred significant operating losses. We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have not yet commercialized any products and we do not expect to generate revenue from sales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any product candidates for a number of years, if ever. We had an accumulated members’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deficit of $292.3 million as of December 31, 2020. As further described in Note 3 of our audited</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financial statements, we obtained a cash capital commitment from Bayer totaling</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$215 million, from which net proceeds of $74.8 million were received in June 2019, $38.1 million</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were received in November 2020 and $31.9 million were received in January 2021. The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commitment agreement terminated in connection with the Series C Financing, and Bayer has no</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continuing obligation to invest any additional amounts thereunder. As further described in Note 9</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our audited consolidated financial statements, we entered into a Loan Agreement with</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Hercules, pursuant to which net proceeds of $9.6 million were received by us in September 2020.</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intend to use the proceeds of the Loan Agreement for working capital and general corporate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purposes.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78"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the net proceeds from this offering, together with our existing cash and</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equivalents, will be sufficient for us to fund our operating expenses and capital expenditure</w:t>
      </w:r>
    </w:p>
    <w:p>
      <w:pPr>
        <w:spacing w:after="0" w:line="22"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requirements for the next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3" w:lineRule="exact"/>
        <w:rPr>
          <w:sz w:val="20"/>
          <w:szCs w:val="20"/>
          <w:color w:val="auto"/>
        </w:rPr>
      </w:pPr>
    </w:p>
    <w:p>
      <w:pPr>
        <w:ind w:left="1400" w:right="1059" w:hanging="145"/>
        <w:spacing w:after="0" w:line="275"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90" w:lineRule="exact"/>
        <w:rPr>
          <w:rFonts w:ascii="Arial" w:cs="Arial" w:eastAsia="Arial" w:hAnsi="Arial"/>
          <w:sz w:val="18"/>
          <w:szCs w:val="18"/>
          <w:color w:val="auto"/>
        </w:rPr>
      </w:pPr>
    </w:p>
    <w:p>
      <w:pPr>
        <w:ind w:left="1400" w:right="739" w:hanging="145"/>
        <w:spacing w:after="0" w:line="275"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90" w:lineRule="exact"/>
        <w:rPr>
          <w:rFonts w:ascii="Arial" w:cs="Arial" w:eastAsia="Arial" w:hAnsi="Arial"/>
          <w:sz w:val="18"/>
          <w:szCs w:val="18"/>
          <w:color w:val="auto"/>
        </w:rPr>
      </w:pPr>
    </w:p>
    <w:p>
      <w:pPr>
        <w:ind w:left="1400" w:right="839" w:hanging="145"/>
        <w:spacing w:after="0" w:line="275"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90" w:lineRule="exact"/>
        <w:rPr>
          <w:rFonts w:ascii="Arial" w:cs="Arial" w:eastAsia="Arial" w:hAnsi="Arial"/>
          <w:sz w:val="18"/>
          <w:szCs w:val="18"/>
          <w:color w:val="auto"/>
        </w:rPr>
      </w:pPr>
    </w:p>
    <w:p>
      <w:pPr>
        <w:ind w:left="1400" w:right="799" w:hanging="145"/>
        <w:spacing w:after="0" w:line="275"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04" w:lineRule="exact"/>
        <w:rPr>
          <w:rFonts w:ascii="Arial" w:cs="Arial" w:eastAsia="Arial" w:hAnsi="Arial"/>
          <w:sz w:val="18"/>
          <w:szCs w:val="18"/>
          <w:color w:val="auto"/>
        </w:rPr>
      </w:pPr>
    </w:p>
    <w:p>
      <w:pPr>
        <w:ind w:left="1400" w:right="579" w:hanging="145"/>
        <w:spacing w:after="0" w:line="280"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310" w:lineRule="exact"/>
        <w:rPr>
          <w:rFonts w:ascii="Arial" w:cs="Arial" w:eastAsia="Arial" w:hAnsi="Arial"/>
          <w:sz w:val="18"/>
          <w:szCs w:val="18"/>
          <w:color w:val="auto"/>
        </w:rPr>
      </w:pPr>
    </w:p>
    <w:p>
      <w:pPr>
        <w:ind w:left="1400" w:right="659" w:hanging="145"/>
        <w:spacing w:after="0" w:line="268"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97" w:lineRule="exact"/>
        <w:rPr>
          <w:rFonts w:ascii="Arial" w:cs="Arial" w:eastAsia="Arial" w:hAnsi="Arial"/>
          <w:sz w:val="18"/>
          <w:szCs w:val="18"/>
          <w:color w:val="auto"/>
        </w:rPr>
      </w:pPr>
    </w:p>
    <w:p>
      <w:pPr>
        <w:ind w:left="1400" w:right="499" w:hanging="145"/>
        <w:spacing w:after="0" w:line="270"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95" w:lineRule="exact"/>
        <w:rPr>
          <w:rFonts w:ascii="Arial" w:cs="Arial" w:eastAsia="Arial" w:hAnsi="Arial"/>
          <w:sz w:val="18"/>
          <w:szCs w:val="18"/>
          <w:color w:val="auto"/>
        </w:rPr>
      </w:pPr>
    </w:p>
    <w:p>
      <w:pPr>
        <w:ind w:left="1400" w:right="859" w:hanging="145"/>
        <w:spacing w:after="0" w:line="275"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04" w:lineRule="exact"/>
        <w:rPr>
          <w:rFonts w:ascii="Arial" w:cs="Arial" w:eastAsia="Arial" w:hAnsi="Arial"/>
          <w:sz w:val="18"/>
          <w:szCs w:val="18"/>
          <w:color w:val="auto"/>
        </w:rPr>
      </w:pPr>
    </w:p>
    <w:p>
      <w:pPr>
        <w:ind w:left="1400" w:hanging="145"/>
        <w:spacing w:after="0"/>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29" w:lineRule="exact"/>
        <w:rPr>
          <w:rFonts w:ascii="Arial" w:cs="Arial" w:eastAsia="Arial" w:hAnsi="Arial"/>
          <w:sz w:val="18"/>
          <w:szCs w:val="18"/>
          <w:color w:val="auto"/>
        </w:rPr>
      </w:pPr>
    </w:p>
    <w:p>
      <w:pPr>
        <w:ind w:left="1400" w:right="539" w:hanging="145"/>
        <w:spacing w:after="0" w:line="275"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104" w:lineRule="exact"/>
        <w:rPr>
          <w:rFonts w:ascii="Arial" w:cs="Arial" w:eastAsia="Arial" w:hAnsi="Arial"/>
          <w:sz w:val="18"/>
          <w:szCs w:val="18"/>
          <w:color w:val="auto"/>
        </w:rPr>
      </w:pPr>
    </w:p>
    <w:p>
      <w:pPr>
        <w:ind w:left="1400" w:right="579" w:hanging="145"/>
        <w:spacing w:after="0" w:line="275"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addressing any potential interruptions or delays resulting from factors related to the COVID-19 pandemic;</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56"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w:t>
      </w:r>
    </w:p>
    <w:p>
      <w:pPr>
        <w:sectPr>
          <w:pgSz w:w="11900" w:h="16838" w:orient="portrait"/>
          <w:cols w:equalWidth="0" w:num="1">
            <w:col w:w="9859"/>
          </w:cols>
          <w:pgMar w:left="600" w:top="131" w:right="1440" w:bottom="8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805" w:gutter="0" w:footer="0" w:header="0"/>
          <w:type w:val="continuous"/>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59"/>
        <w:spacing w:after="0" w:line="275" w:lineRule="auto"/>
        <w:rPr>
          <w:sz w:val="20"/>
          <w:szCs w:val="20"/>
          <w:color w:val="auto"/>
        </w:rPr>
      </w:pPr>
      <w:r>
        <w:rPr>
          <w:rFonts w:ascii="Arial" w:cs="Arial" w:eastAsia="Arial" w:hAnsi="Arial"/>
          <w:sz w:val="18"/>
          <w:szCs w:val="18"/>
          <w:color w:val="auto"/>
        </w:rPr>
        <w:t>additional debt, which could impair our ability to acquire, sell or license intellectual property rights which could impede our ability to conduct our business.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91"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3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6"/>
                <w:szCs w:val="16"/>
                <w:b w:val="1"/>
                <w:bCs w:val="1"/>
                <w:color w:val="auto"/>
              </w:rPr>
              <w:t>Successor</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c>
          <w:tcPr>
            <w:tcW w:w="60" w:type="dxa"/>
            <w:vAlign w:val="bottom"/>
          </w:tcPr>
          <w:p>
            <w:pPr>
              <w:spacing w:after="0"/>
              <w:rPr>
                <w:sz w:val="18"/>
                <w:szCs w:val="18"/>
                <w:color w:val="auto"/>
              </w:rPr>
            </w:pPr>
          </w:p>
        </w:tc>
      </w:tr>
      <w:tr>
        <w:trPr>
          <w:trHeight w:val="188"/>
        </w:trPr>
        <w:tc>
          <w:tcPr>
            <w:tcW w:w="3240" w:type="dxa"/>
            <w:vAlign w:val="bottom"/>
          </w:tcPr>
          <w:p>
            <w:pPr>
              <w:spacing w:after="0"/>
              <w:rPr>
                <w:sz w:val="16"/>
                <w:szCs w:val="16"/>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Successor</w:t>
            </w:r>
          </w:p>
        </w:tc>
        <w:tc>
          <w:tcPr>
            <w:tcW w:w="166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period from</w:t>
            </w:r>
          </w:p>
        </w:tc>
        <w:tc>
          <w:tcPr>
            <w:tcW w:w="16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period from</w:t>
            </w:r>
          </w:p>
        </w:tc>
      </w:tr>
      <w:tr>
        <w:trPr>
          <w:trHeight w:val="188"/>
        </w:trPr>
        <w:tc>
          <w:tcPr>
            <w:tcW w:w="3240" w:type="dxa"/>
            <w:vAlign w:val="bottom"/>
          </w:tcPr>
          <w:p>
            <w:pPr>
              <w:spacing w:after="0"/>
              <w:rPr>
                <w:sz w:val="16"/>
                <w:szCs w:val="16"/>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year ended</w:t>
            </w:r>
          </w:p>
        </w:tc>
        <w:tc>
          <w:tcPr>
            <w:tcW w:w="166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June 21, 2019 to</w:t>
            </w:r>
          </w:p>
        </w:tc>
        <w:tc>
          <w:tcPr>
            <w:tcW w:w="16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January 1, 2019 to</w:t>
            </w:r>
          </w:p>
        </w:tc>
      </w:tr>
      <w:tr>
        <w:trPr>
          <w:trHeight w:val="227"/>
        </w:trPr>
        <w:tc>
          <w:tcPr>
            <w:tcW w:w="324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 2020</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 2019</w:t>
            </w:r>
          </w:p>
        </w:tc>
        <w:tc>
          <w:tcPr>
            <w:tcW w:w="16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June 20, 2019</w:t>
            </w:r>
          </w:p>
        </w:tc>
      </w:tr>
      <w:tr>
        <w:trPr>
          <w:trHeight w:val="214"/>
        </w:trPr>
        <w:tc>
          <w:tcPr>
            <w:tcW w:w="3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9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Operating activities</w:t>
            </w:r>
          </w:p>
        </w:tc>
        <w:tc>
          <w:tcPr>
            <w:tcW w:w="940" w:type="dxa"/>
            <w:vAlign w:val="bottom"/>
          </w:tcPr>
          <w:p>
            <w:pPr>
              <w:jc w:val="center"/>
              <w:ind w:left="6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(41,269)</w:t>
            </w:r>
          </w:p>
        </w:tc>
        <w:tc>
          <w:tcPr>
            <w:tcW w:w="920" w:type="dxa"/>
            <w:vAlign w:val="bottom"/>
          </w:tcPr>
          <w:p>
            <w:pPr>
              <w:jc w:val="center"/>
              <w:ind w:left="6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(11,768)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(4,400)</w:t>
            </w:r>
          </w:p>
        </w:tc>
      </w:tr>
      <w:tr>
        <w:trPr>
          <w:trHeight w:val="27"/>
        </w:trPr>
        <w:tc>
          <w:tcPr>
            <w:tcW w:w="3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3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(22,757)</w:t>
            </w:r>
          </w:p>
        </w:tc>
        <w:tc>
          <w:tcPr>
            <w:tcW w:w="9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(19,007)</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20"/>
                <w:szCs w:val="20"/>
                <w:color w:val="auto"/>
              </w:rPr>
            </w:pPr>
          </w:p>
        </w:tc>
      </w:tr>
      <w:tr>
        <w:trPr>
          <w:trHeight w:val="236"/>
        </w:trPr>
        <w:tc>
          <w:tcPr>
            <w:tcW w:w="3240" w:type="dxa"/>
            <w:vAlign w:val="bottom"/>
          </w:tcPr>
          <w:p>
            <w:pPr>
              <w:spacing w:after="0"/>
              <w:rPr>
                <w:sz w:val="20"/>
                <w:szCs w:val="20"/>
                <w:color w:val="auto"/>
              </w:rPr>
            </w:pPr>
            <w:r>
              <w:rPr>
                <w:rFonts w:ascii="Arial" w:cs="Arial" w:eastAsia="Arial" w:hAnsi="Arial"/>
                <w:sz w:val="18"/>
                <w:szCs w:val="18"/>
                <w:color w:val="auto"/>
              </w:rPr>
              <w:t>Financing activities</w:t>
            </w:r>
          </w:p>
        </w:tc>
        <w:tc>
          <w:tcPr>
            <w:tcW w:w="9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47,690</w:t>
            </w:r>
          </w:p>
        </w:tc>
        <w:tc>
          <w:tcPr>
            <w:tcW w:w="9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74,839</w:t>
            </w:r>
          </w:p>
        </w:tc>
        <w:tc>
          <w:tcPr>
            <w:tcW w:w="10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4"/>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9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equivalents, and restricted</w:t>
            </w: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CEEFF"/>
          </w:tcPr>
          <w:p>
            <w:pPr>
              <w:jc w:val="center"/>
              <w:ind w:left="6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92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44,064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(5,227)</w:t>
            </w:r>
          </w:p>
        </w:tc>
        <w:tc>
          <w:tcPr>
            <w:tcW w:w="60" w:type="dxa"/>
            <w:vAlign w:val="bottom"/>
          </w:tcPr>
          <w:p>
            <w:pPr>
              <w:spacing w:after="0"/>
              <w:rPr>
                <w:sz w:val="18"/>
                <w:szCs w:val="18"/>
                <w:color w:val="auto"/>
              </w:rPr>
            </w:pPr>
          </w:p>
        </w:tc>
      </w:tr>
      <w:tr>
        <w:trPr>
          <w:trHeight w:val="67"/>
        </w:trPr>
        <w:tc>
          <w:tcPr>
            <w:tcW w:w="324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-469265</wp:posOffset>
            </wp:positionV>
            <wp:extent cx="20586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8670" cy="8255"/>
                    </a:xfrm>
                    <a:prstGeom prst="rect">
                      <a:avLst/>
                    </a:prstGeom>
                    <a:noFill/>
                  </pic:spPr>
                </pic:pic>
              </a:graphicData>
            </a:graphic>
          </wp:anchor>
        </w:drawing>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Operating activities</w:t>
      </w:r>
    </w:p>
    <w:p>
      <w:pPr>
        <w:spacing w:after="0" w:line="174"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Net cash used in operating activities was $41.3 million, $11.8 million and $4.4 million for the year ended December 31, 2020 (Successor), the period from June 21, 2019 through December 31, 2019 (Successor) and the period from January 1, 2019 through June 20, 2019 (Predecessor), respectively. Net cash used in operating activities during the year ended December 31, 2020 (Successor) consisted primarily of our net loss of $53.6 million partially offset by increase in operating lease liability of $2.2 million, net cash inflows from increases in our accounts payable and accrued expenses and other liabilities of $4.4 million and non-cash charges of $7.4 million. The non-cash charges of $7.4 million consisted primarily of $1.4 million for depreciation expense, non-cash stock-based compensation expense of $0.9 million, non-cash operating lease expense of $0.4 million and write off of in-process research and development asset of $4.7 million from an asset acquisition.</w:t>
      </w:r>
    </w:p>
    <w:p>
      <w:pPr>
        <w:spacing w:after="0" w:line="370"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Net cash used in operating activities during the period from June 21, 2019 through December 31, 2019 (Successor), consisted primarily of our net loss of $238.8 million, partially offset by non-cash charges of $226.3 million. The non-cash charges of $226.3 million consisted primarily of $225.9 million for write off of in-process research and development assets, and other non-cash charges of $0.3 million.</w:t>
      </w:r>
    </w:p>
    <w:p>
      <w:pPr>
        <w:spacing w:after="0" w:line="127" w:lineRule="exact"/>
        <w:rPr>
          <w:sz w:val="20"/>
          <w:szCs w:val="20"/>
          <w:color w:val="auto"/>
        </w:rPr>
      </w:pPr>
    </w:p>
    <w:p>
      <w:pPr>
        <w:ind w:left="1260" w:right="559"/>
        <w:spacing w:after="0" w:line="270" w:lineRule="auto"/>
        <w:rPr>
          <w:sz w:val="20"/>
          <w:szCs w:val="20"/>
          <w:color w:val="auto"/>
        </w:rPr>
      </w:pPr>
      <w:r>
        <w:rPr>
          <w:rFonts w:ascii="Arial" w:cs="Arial" w:eastAsia="Arial" w:hAnsi="Arial"/>
          <w:sz w:val="18"/>
          <w:szCs w:val="18"/>
          <w:color w:val="auto"/>
        </w:rPr>
        <w:t>Net cash used in operating activities during the period from January 1, 2019 through June 20, 2019 (Predecessor) consisted primarily of our net loss of $6.0 million, partially offset by net cash inflows from changes in operating assets and liabilities of $1.5 million.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Investing activities</w:t>
      </w:r>
    </w:p>
    <w:p>
      <w:pPr>
        <w:spacing w:after="0" w:line="174"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Cash used in investing activities was $22.8 million, $19.0 million and $0.8 million for the year ended December 31, 2020 (Successor), the period from June 21, 2019 through December 31, 2019 (Successor) and the period from January 1, 2019 through June 20, 2019 (Predecessor), respectively. Cash used in investing activities for the year ended December 31, 2020 (Successor) consisted primarily of net purchases of fixed maturity securities of $8.2 million, purchases of property and equipment of $9.8 million, and net cash used for an asset acquisition of $4.7 million.</w:t>
      </w:r>
    </w:p>
    <w:p>
      <w:pPr>
        <w:spacing w:after="0" w:line="139"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Cash used in investing activities for the period from June 21, 2019 through December 31, 2019 (Successor) consisted primarily of purchases of fixed maturity securities of $41.5 million, and purchases of property and equipment of $1.6 million, partially offset by net cash resulting from an asset acquisition of $24.2 million. Cash used in investing activities for the period from January 1, 2019 through June 20, 2019 (Predecessor) consisted primarily of purchases of property and equipment of $0.8 million.</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Financing activities</w:t>
      </w:r>
    </w:p>
    <w:p>
      <w:pPr>
        <w:spacing w:after="0" w:line="120"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Cash provided by financing activities was $47.7 million and $74.8 million for the year ended December 31, 2020 (Successor) and the period from June 21, 2019 through December 31, 2019 (Successor), respectively. There was no cash used in or provided by financing activities for the period from January 1, 2019 through June 20, 2019 (predecessor). Cash provided by financing activities for the year ended December 31, 2020 (Successor) consisted primarily of net proceeds from the sale of our common units of $38.1 million. Additionally, on September 14, 2020, the Company entered into a $10 million Loan Agreement with Hercules, pursuant to which net proceeds of $9.6 million were received by us.</w:t>
      </w:r>
    </w:p>
    <w:p>
      <w:pPr>
        <w:spacing w:after="0" w:line="125" w:lineRule="exact"/>
        <w:rPr>
          <w:sz w:val="20"/>
          <w:szCs w:val="20"/>
          <w:color w:val="auto"/>
        </w:rPr>
      </w:pPr>
    </w:p>
    <w:p>
      <w:pPr>
        <w:ind w:left="1260" w:right="459"/>
        <w:spacing w:after="0" w:line="260" w:lineRule="auto"/>
        <w:rPr>
          <w:sz w:val="20"/>
          <w:szCs w:val="20"/>
          <w:color w:val="auto"/>
        </w:rPr>
      </w:pPr>
      <w:r>
        <w:rPr>
          <w:rFonts w:ascii="Arial" w:cs="Arial" w:eastAsia="Arial" w:hAnsi="Arial"/>
          <w:sz w:val="18"/>
          <w:szCs w:val="18"/>
          <w:color w:val="auto"/>
        </w:rPr>
        <w:t>Cash provided by financing activities during the period from June 21, 2019 through December 31, 2019 (Successor) consisted of net proceeds of $74.8 million from the sale of our common units.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summarizes our significant contractual obligations and commitments as of</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125095</wp:posOffset>
            </wp:positionV>
            <wp:extent cx="51936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 year</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1 to 3 years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 to 5 years</w:t>
            </w: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More than 5 years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$ 1,220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$ 3,347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$ 3,629</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$ 13,207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$21,403</w:t>
            </w:r>
          </w:p>
        </w:tc>
        <w:tc>
          <w:tcPr>
            <w:tcW w:w="0" w:type="dxa"/>
            <w:vAlign w:val="bottom"/>
          </w:tcPr>
          <w:p>
            <w:pPr>
              <w:spacing w:after="0"/>
              <w:rPr>
                <w:sz w:val="1"/>
                <w:szCs w:val="1"/>
                <w:color w:val="auto"/>
              </w:rPr>
            </w:pPr>
          </w:p>
        </w:tc>
      </w:tr>
      <w:tr>
        <w:trPr>
          <w:trHeight w:val="229"/>
        </w:trPr>
        <w:tc>
          <w:tcPr>
            <w:tcW w:w="28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7,642</w:t>
            </w:r>
          </w:p>
        </w:tc>
        <w:tc>
          <w:tcPr>
            <w:tcW w:w="1100" w:type="dxa"/>
            <w:vAlign w:val="bottom"/>
          </w:tcPr>
          <w:p>
            <w:pPr>
              <w:jc w:val="right"/>
              <w:spacing w:after="0"/>
              <w:rPr>
                <w:sz w:val="20"/>
                <w:szCs w:val="20"/>
                <w:color w:val="auto"/>
              </w:rPr>
            </w:pPr>
            <w:r>
              <w:rPr>
                <w:rFonts w:ascii="Arial" w:cs="Arial" w:eastAsia="Arial" w:hAnsi="Arial"/>
                <w:sz w:val="18"/>
                <w:szCs w:val="18"/>
                <w:color w:val="auto"/>
              </w:rPr>
              <w:t>2,753</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vMerge w:val="continue"/>
          </w:tcPr>
          <w:p>
            <w:pPr>
              <w:spacing w:after="0"/>
              <w:rPr>
                <w:sz w:val="24"/>
                <w:szCs w:val="24"/>
                <w:color w:val="auto"/>
              </w:rPr>
            </w:pPr>
          </w:p>
        </w:tc>
        <w:tc>
          <w:tcPr>
            <w:tcW w:w="2860" w:type="dxa"/>
            <w:vAlign w:val="bottom"/>
            <w:tcBorders>
              <w:bottom w:val="single" w:sz="8" w:color="auto"/>
            </w:tcBorders>
            <w:shd w:val="clear" w:color="auto" w:fill="CCEEFF"/>
          </w:tcPr>
          <w:p>
            <w:pPr>
              <w:spacing w:after="0" w:line="282"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6"/>
                <w:szCs w:val="26"/>
                <w:color w:val="auto"/>
                <w:vertAlign w:val="superscript"/>
              </w:rPr>
              <w:t>(1)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580" w:right="579" w:hanging="325"/>
        <w:spacing w:after="0" w:line="259" w:lineRule="auto"/>
        <w:tabs>
          <w:tab w:leader="none" w:pos="15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Reflects minimum interest payable under the Loan Agreement. Payment herein are subject to variable rate debt have been estimated.</w:t>
      </w:r>
    </w:p>
    <w:p>
      <w:pPr>
        <w:spacing w:after="0" w:line="282"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December 31, 2020 are contingent upon future events such as our achievement of pre -specified development, regulatory, and commercial milestones, or royalties on net product sales. See the section titled “Business—Licensing, Partnerships and Collaborations” for more information about these payment obligations. As of December 31, 2020, the timing and likelihood of achieving the milestones and success payments and generating future product sales are uncertain and therefore, any related payments are not included in the table above. The Company has commitments under operating leases for certain facilities used in its operations. The Company’s leases have initial lease terms ranging from five to 16 years. The Company entered into three leases that had not commenced at December 31, 2020. As a result, future lease payments of approximately $0.5 million in 1 year, $4.8 million in 1 to 3 years, $5.0 million in 3 to 5 years and $16.3 million in more than 5 years are not included within the table above.</w:t>
      </w:r>
    </w:p>
    <w:p>
      <w:pPr>
        <w:spacing w:after="0" w:line="345" w:lineRule="exact"/>
        <w:rPr>
          <w:sz w:val="20"/>
          <w:szCs w:val="20"/>
          <w:color w:val="auto"/>
        </w:rPr>
      </w:pPr>
    </w:p>
    <w:p>
      <w:pPr>
        <w:ind w:left="1260" w:right="1059"/>
        <w:spacing w:after="0" w:line="252"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audited consolidated financial statements included elsewhere in this prospectus for additional information.</w:t>
      </w:r>
    </w:p>
    <w:p>
      <w:pPr>
        <w:spacing w:after="0" w:line="138"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We have entered into a $10.0 million Term Loan Agreement with Hercules. Amounts borrowed under the Loan Agreement have an interest-only period of up to 24 months and a maturity date of April 1, 2024. See Note 9 to our audited consolidated financial statements included elsewhere in this prospectus for additional information.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Off-balance sheet arrangements</w:t>
      </w:r>
    </w:p>
    <w:p>
      <w:pPr>
        <w:spacing w:after="0" w:line="115" w:lineRule="exact"/>
        <w:rPr>
          <w:sz w:val="20"/>
          <w:szCs w:val="20"/>
          <w:color w:val="auto"/>
        </w:rPr>
      </w:pPr>
    </w:p>
    <w:p>
      <w:pPr>
        <w:ind w:left="1260" w:right="879"/>
        <w:spacing w:after="0" w:line="260" w:lineRule="auto"/>
        <w:rPr>
          <w:sz w:val="20"/>
          <w:szCs w:val="20"/>
          <w:color w:val="auto"/>
        </w:rPr>
      </w:pPr>
      <w:r>
        <w:rPr>
          <w:rFonts w:ascii="Arial" w:cs="Arial" w:eastAsia="Arial" w:hAnsi="Arial"/>
          <w:sz w:val="18"/>
          <w:szCs w:val="18"/>
          <w:color w:val="auto"/>
        </w:rPr>
        <w:t>Since our inception, we have not engaged in any off-balance sheet arrangements as defined under the rules and regulations of the SEC.</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15"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1"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We had cash, cash equivalents, and restricted cash of $27.7 million as of December 31, 2020, which consisted of bank deposits and money market funds. We also had marketable securities of $49.6 million as of December 31, 2020. The primary objective of our investment activities is to preserve capital to fund our operations while earning a low risk return. Because our marketable securities are primarily short-term in duration, we believe that our exposure to interest rate risk is not significant, and a hypothetical 1.0% change in market interest rates during any of the periods presented would not have had a significant impact on the total value of our portfolio. Additionally, we had the $10.0 million borrowing related to the Loan Agreement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JOBS act accounting election</w:t>
      </w:r>
    </w:p>
    <w:p>
      <w:pPr>
        <w:spacing w:after="0" w:line="155"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14" w:lineRule="exact"/>
        <w:rPr>
          <w:sz w:val="20"/>
          <w:szCs w:val="20"/>
          <w:color w:val="auto"/>
        </w:rPr>
      </w:pPr>
    </w:p>
    <w:p>
      <w:pPr>
        <w:ind w:left="1400" w:right="539" w:hanging="145"/>
        <w:spacing w:after="0" w:line="270" w:lineRule="auto"/>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95" w:lineRule="exact"/>
        <w:rPr>
          <w:rFonts w:ascii="Arial" w:cs="Arial" w:eastAsia="Arial" w:hAnsi="Arial"/>
          <w:sz w:val="18"/>
          <w:szCs w:val="18"/>
          <w:color w:val="auto"/>
        </w:rPr>
      </w:pPr>
    </w:p>
    <w:p>
      <w:pPr>
        <w:ind w:left="1400" w:right="1339" w:hanging="145"/>
        <w:spacing w:after="0" w:line="275" w:lineRule="auto"/>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115" w:lineRule="exact"/>
        <w:rPr>
          <w:rFonts w:ascii="Arial" w:cs="Arial" w:eastAsia="Arial" w:hAnsi="Arial"/>
          <w:sz w:val="18"/>
          <w:szCs w:val="18"/>
          <w:color w:val="auto"/>
        </w:rPr>
      </w:pPr>
    </w:p>
    <w:p>
      <w:pPr>
        <w:ind w:left="1400" w:right="739" w:hanging="145"/>
        <w:spacing w:after="0" w:line="270" w:lineRule="auto"/>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95" w:lineRule="exact"/>
        <w:rPr>
          <w:rFonts w:ascii="Arial" w:cs="Arial" w:eastAsia="Arial" w:hAnsi="Arial"/>
          <w:sz w:val="18"/>
          <w:szCs w:val="18"/>
          <w:color w:val="auto"/>
        </w:rPr>
      </w:pPr>
    </w:p>
    <w:p>
      <w:pPr>
        <w:ind w:left="1400" w:right="839" w:hanging="145"/>
        <w:spacing w:after="0" w:line="275" w:lineRule="auto"/>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56" w:lineRule="exact"/>
        <w:rPr>
          <w:sz w:val="20"/>
          <w:szCs w:val="20"/>
          <w:color w:val="auto"/>
        </w:rPr>
      </w:pPr>
    </w:p>
    <w:p>
      <w:pPr>
        <w:ind w:left="1260" w:right="659"/>
        <w:spacing w:after="0" w:line="253" w:lineRule="auto"/>
        <w:rPr>
          <w:sz w:val="20"/>
          <w:szCs w:val="20"/>
          <w:color w:val="auto"/>
        </w:rPr>
      </w:pPr>
      <w:r>
        <w:rPr>
          <w:rFonts w:ascii="Arial" w:cs="Arial" w:eastAsia="Arial" w:hAnsi="Arial"/>
          <w:sz w:val="18"/>
          <w:szCs w:val="18"/>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23"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353"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closing of this offering, (ii) the last day of the fiscal year in which we have total annual gross revenue of at least $1.07 billion, (iii) the last day of the fiscal year in which we are deemed to be a “large accelerated filer” as defined in Rule 12b-2 under the Securities Exchange Act of 1934, as amended, or the</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99"/>
        <w:spacing w:after="0" w:line="249" w:lineRule="auto"/>
        <w:rPr>
          <w:sz w:val="20"/>
          <w:szCs w:val="20"/>
          <w:color w:val="auto"/>
        </w:rPr>
      </w:pPr>
      <w:r>
        <w:rPr>
          <w:rFonts w:ascii="Arial" w:cs="Arial" w:eastAsia="Arial" w:hAnsi="Arial"/>
          <w:sz w:val="18"/>
          <w:szCs w:val="18"/>
          <w:color w:val="auto"/>
        </w:rPr>
        <w:t>Exchange Act, which would occur if the market value of our common stock held by non-affiliates exceeded $700.0 million as of the last business day of the second fiscal quarter of such year or</w:t>
      </w:r>
    </w:p>
    <w:p>
      <w:pPr>
        <w:spacing w:after="0" w:line="1" w:lineRule="exact"/>
        <w:rPr>
          <w:sz w:val="20"/>
          <w:szCs w:val="20"/>
          <w:color w:val="auto"/>
        </w:rPr>
      </w:pPr>
    </w:p>
    <w:p>
      <w:pPr>
        <w:ind w:left="1260" w:right="759" w:hanging="5"/>
        <w:spacing w:after="0" w:line="260" w:lineRule="auto"/>
        <w:tabs>
          <w:tab w:leader="none" w:pos="158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w:t>
      </w:r>
    </w:p>
    <w:p>
      <w:pPr>
        <w:spacing w:after="0" w:line="117" w:lineRule="exact"/>
        <w:rPr>
          <w:sz w:val="20"/>
          <w:szCs w:val="20"/>
          <w:color w:val="auto"/>
        </w:rPr>
      </w:pPr>
    </w:p>
    <w:p>
      <w:pPr>
        <w:ind w:left="1260" w:right="579"/>
        <w:spacing w:after="0" w:line="249"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$250.0 million or (ii) our annual revenue is less than $100.0 million during the most recently</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completed fiscal year and the market value of our stock held by non-affiliates is less than</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$700.0 million. If we are a smaller reporting company at the time we cease to be an emerging</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growth company, we may continue to rely on exemptions from certain disclosure requirements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that are available to smaller reporting companies. Specifically, as a smaller reporting company we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choose to present only the two most recent fiscal years of audited financial statements in our</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Annual Report on Form 10-K and, similar to emerging growth companies, smaller reporting</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companies have reduced disclosure obligations regarding executive compensation.</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Critical accounting policies and significant judgments and estimates</w:t>
      </w:r>
    </w:p>
    <w:p>
      <w:pPr>
        <w:spacing w:after="0" w:line="155" w:lineRule="exact"/>
        <w:rPr>
          <w:sz w:val="20"/>
          <w:szCs w:val="20"/>
          <w:color w:val="auto"/>
        </w:rPr>
      </w:pPr>
    </w:p>
    <w:p>
      <w:pPr>
        <w:ind w:left="1260" w:right="579"/>
        <w:spacing w:after="0" w:line="250" w:lineRule="auto"/>
        <w:rPr>
          <w:sz w:val="20"/>
          <w:szCs w:val="20"/>
          <w:color w:val="auto"/>
        </w:rPr>
      </w:pPr>
      <w:r>
        <w:rPr>
          <w:rFonts w:ascii="Arial" w:cs="Arial" w:eastAsia="Arial" w:hAnsi="Arial"/>
          <w:sz w:val="18"/>
          <w:szCs w:val="18"/>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3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5"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125"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Acquisitions</w:t>
      </w:r>
    </w:p>
    <w:p>
      <w:pPr>
        <w:spacing w:after="0" w:line="165" w:lineRule="exact"/>
        <w:rPr>
          <w:sz w:val="20"/>
          <w:szCs w:val="20"/>
          <w:color w:val="auto"/>
        </w:rPr>
      </w:pPr>
    </w:p>
    <w:p>
      <w:pPr>
        <w:ind w:left="1260" w:right="659"/>
        <w:spacing w:after="0" w:line="252" w:lineRule="auto"/>
        <w:rPr>
          <w:sz w:val="20"/>
          <w:szCs w:val="20"/>
          <w:color w:val="auto"/>
        </w:rPr>
      </w:pPr>
      <w:r>
        <w:rPr>
          <w:rFonts w:ascii="Arial" w:cs="Arial" w:eastAsia="Arial" w:hAnsi="Arial"/>
          <w:sz w:val="18"/>
          <w:szCs w:val="18"/>
          <w:color w:val="auto"/>
        </w:rPr>
        <w:t>We account for business combinations using the acquisition method of accounting, which requires the assets acquired, including IPR&amp;D, and liabilities assumed, be recorded at their fair values as of the acquisition date. Any excess of the purchase price over the fair value of net assets acquired is recorded as goodwill. The determination of the estimated fair value of these items requires us to make significant estimates and assumptions.</w:t>
      </w:r>
    </w:p>
    <w:p>
      <w:pPr>
        <w:spacing w:after="0" w:line="138" w:lineRule="exact"/>
        <w:rPr>
          <w:sz w:val="20"/>
          <w:szCs w:val="20"/>
          <w:color w:val="auto"/>
        </w:rPr>
      </w:pPr>
    </w:p>
    <w:p>
      <w:pPr>
        <w:jc w:val="both"/>
        <w:ind w:left="1260" w:right="519"/>
        <w:spacing w:after="0" w:line="254" w:lineRule="auto"/>
        <w:rPr>
          <w:sz w:val="20"/>
          <w:szCs w:val="20"/>
          <w:color w:val="auto"/>
        </w:rPr>
      </w:pPr>
      <w:r>
        <w:rPr>
          <w:rFonts w:ascii="Arial" w:cs="Arial" w:eastAsia="Arial" w:hAnsi="Arial"/>
          <w:sz w:val="18"/>
          <w:szCs w:val="18"/>
          <w:color w:val="auto"/>
        </w:rPr>
        <w:t>If we determine the acquisition does not meet the definition of a business combination under the acquisition method of accounting, the transaction is accounted for as an asset acquisition and no goodwill or contingent</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59"/>
        <w:spacing w:after="0" w:line="254" w:lineRule="auto"/>
        <w:rPr>
          <w:sz w:val="20"/>
          <w:szCs w:val="20"/>
          <w:color w:val="auto"/>
        </w:rPr>
      </w:pPr>
      <w:r>
        <w:rPr>
          <w:rFonts w:ascii="Arial" w:cs="Arial" w:eastAsia="Arial" w:hAnsi="Arial"/>
          <w:sz w:val="18"/>
          <w:szCs w:val="18"/>
          <w:color w:val="auto"/>
        </w:rPr>
        <w:t>consideration are recognized at the acquisition date. In an asset acquisition, up-front payments allocated to IPR&amp;D and subsequent milestone payments are recorded in research and development expense.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1"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We recognize compensation costs related to restricted stock awards, restricted stock units, and stock options granted to employees and nonemployees based on the estimated fair value of the awards on the date of grant, and we recognize forfeitures as they occur. For restricted stock awards the fair value of our common stock is used to determine the resulting stock-based compensation expense. For stock options we estimate the grant date fair value, and the resulting stock- based compensation expense, using the Black-Scholes option pricing model. The fair value of the stock-based awards is recognized as an expense on a straight-line basis over the requisite service period, which is generally the vesting period.</w:t>
      </w:r>
    </w:p>
    <w:p>
      <w:pPr>
        <w:spacing w:after="0" w:line="138" w:lineRule="exact"/>
        <w:rPr>
          <w:sz w:val="20"/>
          <w:szCs w:val="20"/>
          <w:color w:val="auto"/>
        </w:rPr>
      </w:pPr>
    </w:p>
    <w:p>
      <w:pPr>
        <w:ind w:left="1260" w:right="899"/>
        <w:spacing w:after="0" w:line="260" w:lineRule="auto"/>
        <w:rPr>
          <w:sz w:val="20"/>
          <w:szCs w:val="20"/>
          <w:color w:val="auto"/>
        </w:rPr>
      </w:pPr>
      <w:r>
        <w:rPr>
          <w:rFonts w:ascii="Arial" w:cs="Arial" w:eastAsia="Arial" w:hAnsi="Arial"/>
          <w:sz w:val="18"/>
          <w:szCs w:val="18"/>
          <w:color w:val="auto"/>
        </w:rPr>
        <w:t>The Black-Scholes option pricing model requires the use of highly subjective assumptions to determine the fair value of stock-based awards. These assumptions include:</w:t>
      </w:r>
    </w:p>
    <w:p>
      <w:pPr>
        <w:spacing w:after="0" w:line="85" w:lineRule="exact"/>
        <w:rPr>
          <w:sz w:val="20"/>
          <w:szCs w:val="20"/>
          <w:color w:val="auto"/>
        </w:rPr>
      </w:pPr>
    </w:p>
    <w:p>
      <w:pPr>
        <w:ind w:left="1400" w:hanging="145"/>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the subsection titled “—Common Stock Valuations.”</w:t>
      </w:r>
    </w:p>
    <w:p>
      <w:pPr>
        <w:spacing w:after="0" w:line="115" w:lineRule="exact"/>
        <w:rPr>
          <w:rFonts w:ascii="Arial" w:cs="Arial" w:eastAsia="Arial" w:hAnsi="Arial"/>
          <w:sz w:val="18"/>
          <w:szCs w:val="18"/>
          <w:color w:val="auto"/>
        </w:rPr>
      </w:pPr>
    </w:p>
    <w:p>
      <w:pPr>
        <w:jc w:val="both"/>
        <w:ind w:left="1400" w:right="859" w:hanging="145"/>
        <w:spacing w:after="0" w:line="280" w:lineRule="auto"/>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outstanding. We use the simplified method to determine the expected term, which is based on the average of the time-to-vesting and the contractual life of the options.</w:t>
      </w:r>
    </w:p>
    <w:p>
      <w:pPr>
        <w:spacing w:after="0" w:line="69" w:lineRule="exact"/>
        <w:rPr>
          <w:rFonts w:ascii="Arial" w:cs="Arial" w:eastAsia="Arial" w:hAnsi="Arial"/>
          <w:sz w:val="18"/>
          <w:szCs w:val="18"/>
          <w:color w:val="auto"/>
        </w:rPr>
      </w:pPr>
    </w:p>
    <w:p>
      <w:pPr>
        <w:ind w:left="1400" w:right="499" w:hanging="145"/>
        <w:spacing w:after="0" w:line="271" w:lineRule="auto"/>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not yet a public company and do not have any trading history</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 specialty. We will continue to apply this process until sufficient historical information regarding the volatility of our own stock price becomes available.</w:t>
      </w:r>
    </w:p>
    <w:p>
      <w:pPr>
        <w:spacing w:after="0" w:line="306" w:lineRule="exact"/>
        <w:rPr>
          <w:rFonts w:ascii="Arial" w:cs="Arial" w:eastAsia="Arial" w:hAnsi="Arial"/>
          <w:sz w:val="18"/>
          <w:szCs w:val="18"/>
          <w:color w:val="auto"/>
        </w:rPr>
      </w:pPr>
    </w:p>
    <w:p>
      <w:pPr>
        <w:ind w:left="1400" w:right="479" w:hanging="145"/>
        <w:spacing w:after="0" w:line="280" w:lineRule="auto"/>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 for zero-coupon U.S. Treasury notes with maturities approximately equal to the expected term of the awards.</w:t>
      </w:r>
    </w:p>
    <w:p>
      <w:pPr>
        <w:spacing w:after="0" w:line="69" w:lineRule="exact"/>
        <w:rPr>
          <w:rFonts w:ascii="Arial" w:cs="Arial" w:eastAsia="Arial" w:hAnsi="Arial"/>
          <w:sz w:val="18"/>
          <w:szCs w:val="18"/>
          <w:color w:val="auto"/>
        </w:rPr>
      </w:pPr>
    </w:p>
    <w:p>
      <w:pPr>
        <w:ind w:left="1400" w:right="519" w:hanging="145"/>
        <w:spacing w:after="0" w:line="296" w:lineRule="auto"/>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dividends on our common stock. Therefore, we used an expected dividend yield of zero.</w:t>
      </w:r>
    </w:p>
    <w:p>
      <w:pPr>
        <w:spacing w:after="0" w:line="86"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See Note 14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Year Ended December 31, 2020 (Successor), the period from June 21, 2019 through December 31, 2019 (Successor), and the period from January 1, 2019 through June 20, 2019 (Predecessor).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8"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In June 2018, Prior Century adopted the 2018 Plan. The 2018 Plan provided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w:t>
      </w:r>
    </w:p>
    <w:p>
      <w:pPr>
        <w:spacing w:after="0" w:line="138" w:lineRule="exact"/>
        <w:rPr>
          <w:sz w:val="20"/>
          <w:szCs w:val="20"/>
          <w:color w:val="auto"/>
        </w:rPr>
      </w:pPr>
    </w:p>
    <w:p>
      <w:pPr>
        <w:ind w:left="1260" w:right="659"/>
        <w:spacing w:after="0" w:line="252" w:lineRule="auto"/>
        <w:rPr>
          <w:sz w:val="20"/>
          <w:szCs w:val="20"/>
          <w:color w:val="auto"/>
        </w:rPr>
      </w:pPr>
      <w:r>
        <w:rPr>
          <w:rFonts w:ascii="Arial" w:cs="Arial" w:eastAsia="Arial" w:hAnsi="Arial"/>
          <w:sz w:val="18"/>
          <w:szCs w:val="18"/>
          <w:color w:val="auto"/>
        </w:rPr>
        <w:t>During the year ended December 31, 2020 and the periods from June 21, 2019 through December 31, 2019, equity compensation awards were granted from Prior Century to our employees. We recognized the costs of the stock based payments incurred by Prior Century on its behalf as our employees vest in the awards (i.e., we recognize expense measured on the same basis as Prior Century). We also record a corresponding capital contribution from Prior Century.</w:t>
      </w:r>
    </w:p>
    <w:p>
      <w:pPr>
        <w:spacing w:after="0" w:line="3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intrinsic value of all outstanding options as of December 31, 2020 was approximately</w:t>
      </w:r>
    </w:p>
    <w:p>
      <w:pPr>
        <w:spacing w:after="0" w:line="8" w:lineRule="exact"/>
        <w:rPr>
          <w:sz w:val="20"/>
          <w:szCs w:val="20"/>
          <w:color w:val="auto"/>
        </w:rPr>
      </w:pPr>
    </w:p>
    <w:p>
      <w:pPr>
        <w:ind w:left="1260" w:right="919"/>
        <w:spacing w:after="0" w:line="260" w:lineRule="auto"/>
        <w:rPr>
          <w:sz w:val="20"/>
          <w:szCs w:val="20"/>
          <w:color w:val="auto"/>
        </w:rPr>
      </w:pPr>
      <w:r>
        <w:rPr>
          <w:rFonts w:ascii="Arial" w:cs="Arial" w:eastAsia="Arial" w:hAnsi="Arial"/>
          <w:sz w:val="18"/>
          <w:szCs w:val="18"/>
          <w:color w:val="auto"/>
        </w:rPr>
        <w:t>$ million, based on the assumed initial public offering price of $ per share, which is the midpoint of the estimated</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initial public offering price range set forth on the cover page of this prospectus, of which</w:t>
      </w:r>
    </w:p>
    <w:p>
      <w:pPr>
        <w:spacing w:after="0" w:line="8" w:lineRule="exact"/>
        <w:rPr>
          <w:sz w:val="20"/>
          <w:szCs w:val="20"/>
          <w:color w:val="auto"/>
        </w:rPr>
      </w:pPr>
    </w:p>
    <w:p>
      <w:pPr>
        <w:ind w:left="1260" w:right="1579"/>
        <w:spacing w:after="0" w:line="260" w:lineRule="auto"/>
        <w:rPr>
          <w:sz w:val="20"/>
          <w:szCs w:val="20"/>
          <w:color w:val="auto"/>
        </w:rPr>
      </w:pPr>
      <w:r>
        <w:rPr>
          <w:rFonts w:ascii="Arial" w:cs="Arial" w:eastAsia="Arial" w:hAnsi="Arial"/>
          <w:sz w:val="18"/>
          <w:szCs w:val="18"/>
          <w:color w:val="auto"/>
        </w:rPr>
        <w:t>approximately $ million is related to vested options and approximately $ million is related to unvested options.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51"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 xml:space="preserve">Prior to this offering, we were a privately-held company with no active public market for our common stock. Therefore, our board of directors, with the assistance and upon the recommendation of management, has for financial reporting purposes periodically determined the estimated per share fair value of our common stock on the date of grant in part using contemporaneous independent third-party valuations consistent with the American Institute of Certified Public Accountants Practice Aid, </w:t>
      </w:r>
      <w:r>
        <w:rPr>
          <w:rFonts w:ascii="Arial" w:cs="Arial" w:eastAsia="Arial" w:hAnsi="Arial"/>
          <w:sz w:val="18"/>
          <w:szCs w:val="18"/>
          <w:i w:val="1"/>
          <w:iCs w:val="1"/>
          <w:color w:val="auto"/>
        </w:rPr>
        <w:t>Valuation of Privately-Held 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Issued as Compensation </w:t>
      </w:r>
      <w:r>
        <w:rPr>
          <w:rFonts w:ascii="Arial" w:cs="Arial" w:eastAsia="Arial" w:hAnsi="Arial"/>
          <w:sz w:val="18"/>
          <w:szCs w:val="18"/>
          <w:color w:val="auto"/>
        </w:rPr>
        <w:t>(Practice Aid). Within the contemporaneous valuations performed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 range of factors, assumptions, and methodologies were used. The significant objective and subjective factors included, but are not limited to:</w:t>
      </w:r>
    </w:p>
    <w:p>
      <w:pPr>
        <w:spacing w:after="0" w:line="118" w:lineRule="exact"/>
        <w:rPr>
          <w:sz w:val="20"/>
          <w:szCs w:val="20"/>
          <w:color w:val="auto"/>
        </w:rPr>
      </w:pPr>
    </w:p>
    <w:p>
      <w:pPr>
        <w:ind w:left="1400" w:right="499" w:hanging="145"/>
        <w:spacing w:after="0" w:line="275" w:lineRule="auto"/>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most recently available valuations of our common stock performed by an independent third-party valuation firm;</w:t>
      </w:r>
    </w:p>
    <w:p>
      <w:pPr>
        <w:spacing w:after="0" w:line="90" w:lineRule="exact"/>
        <w:rPr>
          <w:rFonts w:ascii="Arial" w:cs="Arial" w:eastAsia="Arial" w:hAnsi="Arial"/>
          <w:sz w:val="18"/>
          <w:szCs w:val="18"/>
          <w:color w:val="auto"/>
        </w:rPr>
      </w:pPr>
    </w:p>
    <w:p>
      <w:pPr>
        <w:ind w:left="1400" w:right="1039" w:hanging="145"/>
        <w:spacing w:after="0" w:line="270" w:lineRule="auto"/>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prices of shares of our convertible preferred stock sold to investors in arm’s length transactions, and the rights, preferences and privileges of our convertible preferred stock relative to our common stock;</w:t>
      </w:r>
    </w:p>
    <w:p>
      <w:pPr>
        <w:spacing w:after="0" w:line="95" w:lineRule="exact"/>
        <w:rPr>
          <w:rFonts w:ascii="Arial" w:cs="Arial" w:eastAsia="Arial" w:hAnsi="Arial"/>
          <w:sz w:val="18"/>
          <w:szCs w:val="18"/>
          <w:color w:val="auto"/>
        </w:rPr>
      </w:pPr>
    </w:p>
    <w:p>
      <w:pPr>
        <w:ind w:left="1400" w:hanging="145"/>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committed future rounds of funding;</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29" w:lineRule="exact"/>
        <w:rPr>
          <w:rFonts w:ascii="Arial" w:cs="Arial" w:eastAsia="Arial" w:hAnsi="Arial"/>
          <w:sz w:val="18"/>
          <w:szCs w:val="18"/>
          <w:color w:val="auto"/>
        </w:rPr>
      </w:pPr>
    </w:p>
    <w:p>
      <w:pPr>
        <w:ind w:left="1400" w:right="1259" w:hanging="145"/>
        <w:spacing w:after="0" w:line="275" w:lineRule="auto"/>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29" w:lineRule="exact"/>
        <w:rPr>
          <w:rFonts w:ascii="Arial" w:cs="Arial" w:eastAsia="Arial" w:hAnsi="Arial"/>
          <w:sz w:val="18"/>
          <w:szCs w:val="18"/>
          <w:color w:val="auto"/>
        </w:rPr>
      </w:pPr>
    </w:p>
    <w:p>
      <w:pPr>
        <w:ind w:left="1400" w:right="919" w:hanging="145"/>
        <w:spacing w:after="0" w:line="275" w:lineRule="auto"/>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90" w:lineRule="exact"/>
        <w:rPr>
          <w:rFonts w:ascii="Arial" w:cs="Arial" w:eastAsia="Arial" w:hAnsi="Arial"/>
          <w:sz w:val="18"/>
          <w:szCs w:val="18"/>
          <w:color w:val="auto"/>
        </w:rPr>
      </w:pPr>
    </w:p>
    <w:p>
      <w:pPr>
        <w:ind w:left="1400" w:right="779" w:hanging="145"/>
        <w:spacing w:after="0" w:line="275" w:lineRule="auto"/>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90" w:lineRule="exact"/>
        <w:rPr>
          <w:rFonts w:ascii="Arial" w:cs="Arial" w:eastAsia="Arial" w:hAnsi="Arial"/>
          <w:sz w:val="18"/>
          <w:szCs w:val="18"/>
          <w:color w:val="auto"/>
        </w:rPr>
      </w:pPr>
    </w:p>
    <w:p>
      <w:pPr>
        <w:ind w:left="1400" w:right="1139" w:hanging="145"/>
        <w:spacing w:after="0" w:line="275" w:lineRule="auto"/>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status of strategic transactions, including the acquisition and licensing of intellectual property and technology;</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43"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Our board of directors exercises significant judgment in estimating the fair value of our common stock. Such estimates involve inherent uncertainties and the application of significant judgment. As a result, if factors or expected outcomes change and we use significantly different assumptions or estimates, our equity-based compensation could be materially different. Changes in judgments could have a material impact on our results of operations.</w:t>
      </w:r>
    </w:p>
    <w:p>
      <w:pPr>
        <w:spacing w:after="0" w:line="13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For our valuations performed prior to December 31, 2020, in accordance with the Practice Aid, we determined the option pricing model (OPM) method, utilizing recent rounds of preferred financing when available and if a recent round of financing wasn’t available utilizing an equity value determined by the amount invested in the company plus a market return, was the most appropriate method for determining the fair value of our common stock based on our stage of development and other relevant factors. The OPM framework, utilizing a recent round of financing (the backsolve method) infers the equity value implied by a recent financing transaction by making assumptions for the expected time to liquidity, volatility, discount for lack of marketability, and risk-free rate and then solving for the value of equity such that value for the most recent financing equals the amount paid. This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method was selected as management concluded that the contemporaneous financing transactions were arms’-length transactions. The OPM framework utilizing the amount invested in the company plus a return provides the basis for the equity value in the OPM and then utilizes certain assumptions for the expected time to liquidity, volatility, discount for lack of marketability, and risk-free rate to estimate the fair value of the common stock.</w:t>
      </w:r>
    </w:p>
    <w:p>
      <w:pPr>
        <w:spacing w:after="0" w:line="127" w:lineRule="exact"/>
        <w:rPr>
          <w:sz w:val="20"/>
          <w:szCs w:val="20"/>
          <w:color w:val="auto"/>
        </w:rPr>
      </w:pPr>
    </w:p>
    <w:p>
      <w:pPr>
        <w:ind w:left="1260" w:right="619"/>
        <w:spacing w:after="0" w:line="270" w:lineRule="auto"/>
        <w:rPr>
          <w:sz w:val="20"/>
          <w:szCs w:val="20"/>
          <w:color w:val="auto"/>
        </w:rPr>
      </w:pPr>
      <w:r>
        <w:rPr>
          <w:rFonts w:ascii="Arial" w:cs="Arial" w:eastAsia="Arial" w:hAnsi="Arial"/>
          <w:sz w:val="18"/>
          <w:szCs w:val="18"/>
          <w:color w:val="auto"/>
        </w:rPr>
        <w:t>Following the closing of this offering, the fair market value of our common stock will be the closing price of our common stock on the date of grant on the primary stock exchange on which our common stock is traded.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Recently adopted and recent accounting pronouncements</w:t>
      </w:r>
    </w:p>
    <w:p>
      <w:pPr>
        <w:spacing w:after="0" w:line="169"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See Note 2 to our audited consolidated financial statements included elsewhere in this prospectus for information about recent accounting pronouncements, the timing of their adoption, and our assessment, to the extent we have made one yet, of their potential impact on our financial condition or results of operations.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Business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Overview</w:t>
      </w:r>
    </w:p>
    <w:p>
      <w:pPr>
        <w:spacing w:after="0" w:line="142"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 leading induced pluripotent stem cells, or iPSCs, differentiation know-how to generate immune effector cells from iPSCs, CRISPR-mediated precision gene editing that allows us to incorporate multiple transgenes and knock- outs intended to optimize cell product performance, sophisticated protein engineering capabilities to develop proprietary next generation chimeric antigen receptors, or CARs, our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highly differentiated iPSC-derived NK, or iNK, and T, or iT, therapeutics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365"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CRISPR-mediated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is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37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key elements of our approach include: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efficient precision gene editing technology:</w:t>
      </w:r>
    </w:p>
    <w:p>
      <w:pPr>
        <w:spacing w:after="0" w:line="151"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We have developed highly efficient gene engineering processes to generate our product candidates. We are currently using the CRISPR-MAD7 nuclease to enable precise editing of the iPSC genome, and have developed proprietary applications of the CRISPR -MAD7 technology to genetically modify iPSCs by simultaneously knocking-out target genes and knocking-in transgenes of interest at precise genetic loci. Our approach preserves genome integrity and achieves more predictable and consistent transgene expression as compared to viral or transposon driven approaches that result in varied gene copy number and random integration events that risk insertional mutagenesis. Our first product candidate will have six CRISPR-mediated homologous recombination and repair edits, and we plan to incorporate additional edits in our future product candidates.</w:t>
      </w:r>
    </w:p>
    <w:p>
      <w:pPr>
        <w:spacing w:after="0" w:line="3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proprietary Allo-Evasion</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xml:space="preserve"> technology:</w:t>
      </w:r>
    </w:p>
    <w:p>
      <w:pPr>
        <w:spacing w:after="0" w:line="67"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We are leveraging our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to design cells capable of evading identification and destruction by the host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CAR and protein engineering:</w:t>
      </w:r>
    </w:p>
    <w:p>
      <w:pPr>
        <w:spacing w:after="0" w:line="151"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CAR design is a critical component of innovative cell therapy product candidates. We assembled a team of scientists with deep protein engineering expertise and invested in the single domain antibody fragment, or VHH, antibody platform to develop world- 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3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Common engineered iPSC progenitor accelerates new product candidate generation:</w:t>
      </w:r>
    </w:p>
    <w:p>
      <w:pPr>
        <w:spacing w:after="0" w:line="165"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With 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39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Significant acceleration of new product candidate generation.</w:t>
      </w:r>
    </w:p>
    <w:p>
      <w:pPr>
        <w:spacing w:after="0" w:line="161"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Multiple product candidates 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Robust manufacturing processes for multiple product candidates.</w:t>
      </w:r>
    </w:p>
    <w:p>
      <w:pPr>
        <w:spacing w:after="0" w:line="147" w:lineRule="exact"/>
        <w:rPr>
          <w:sz w:val="20"/>
          <w:szCs w:val="20"/>
          <w:color w:val="auto"/>
        </w:rPr>
      </w:pPr>
    </w:p>
    <w:p>
      <w:pPr>
        <w:ind w:left="1260" w:right="1019"/>
        <w:spacing w:after="0" w:line="260" w:lineRule="auto"/>
        <w:rPr>
          <w:sz w:val="20"/>
          <w:szCs w:val="20"/>
          <w:color w:val="auto"/>
        </w:rPr>
      </w:pPr>
      <w:r>
        <w:rPr>
          <w:rFonts w:ascii="Arial" w:cs="Arial" w:eastAsia="Arial" w:hAnsi="Arial"/>
          <w:sz w:val="18"/>
          <w:szCs w:val="18"/>
          <w:color w:val="auto"/>
        </w:rPr>
        <w:t>Since the starting iPSC line is the same for multiple product candidates, our manufacturing processes are predictable and robust.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Predictability of product candidate functionality, safety, and persistence.</w:t>
      </w:r>
    </w:p>
    <w:p>
      <w:pPr>
        <w:spacing w:after="0" w:line="161" w:lineRule="exact"/>
        <w:rPr>
          <w:sz w:val="20"/>
          <w:szCs w:val="20"/>
          <w:color w:val="auto"/>
        </w:rPr>
      </w:pPr>
    </w:p>
    <w:p>
      <w:pPr>
        <w:ind w:left="1260" w:right="819"/>
        <w:spacing w:after="0" w:line="253" w:lineRule="auto"/>
        <w:rPr>
          <w:sz w:val="20"/>
          <w:szCs w:val="20"/>
          <w:color w:val="auto"/>
        </w:rPr>
      </w:pPr>
      <w:r>
        <w:rPr>
          <w:rFonts w:ascii="Arial" w:cs="Arial" w:eastAsia="Arial" w:hAnsi="Arial"/>
          <w:sz w:val="18"/>
          <w:szCs w:val="18"/>
          <w:color w:val="auto"/>
        </w:rPr>
        <w:t>Because multiple 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136" w:lineRule="exact"/>
        <w:rPr>
          <w:sz w:val="20"/>
          <w:szCs w:val="20"/>
          <w:color w:val="auto"/>
        </w:rPr>
      </w:pPr>
    </w:p>
    <w:p>
      <w:pPr>
        <w:ind w:left="1260" w:right="759"/>
        <w:spacing w:after="0" w:line="249" w:lineRule="auto"/>
        <w:rPr>
          <w:sz w:val="20"/>
          <w:szCs w:val="20"/>
          <w:color w:val="auto"/>
        </w:rPr>
      </w:pPr>
      <w:r>
        <w:rPr>
          <w:rFonts w:ascii="Arial" w:cs="Arial" w:eastAsia="Arial" w:hAnsi="Arial"/>
          <w:sz w:val="18"/>
          <w:szCs w:val="18"/>
          <w:color w:val="auto"/>
        </w:rPr>
        <w:t>We expect to file an investigational new drug application, or IND, with the U.S. Food and Drug Administration, or the FDA, for our lead product candidate CNTY-101, a CAR-iNK product</w:t>
      </w:r>
    </w:p>
    <w:p>
      <w:pPr>
        <w:spacing w:after="0" w:line="1" w:lineRule="exact"/>
        <w:rPr>
          <w:sz w:val="20"/>
          <w:szCs w:val="20"/>
          <w:color w:val="auto"/>
        </w:rPr>
      </w:pPr>
    </w:p>
    <w:p>
      <w:pPr>
        <w:ind w:left="1260"/>
        <w:spacing w:after="0"/>
        <w:tabs>
          <w:tab w:leader="none" w:pos="5980" w:val="left"/>
        </w:tabs>
        <w:rPr>
          <w:sz w:val="20"/>
          <w:szCs w:val="20"/>
          <w:color w:val="auto"/>
        </w:rPr>
      </w:pPr>
      <w:r>
        <w:rPr>
          <w:rFonts w:ascii="Arial" w:cs="Arial" w:eastAsia="Arial" w:hAnsi="Arial"/>
          <w:sz w:val="18"/>
          <w:szCs w:val="18"/>
          <w:color w:val="auto"/>
        </w:rPr>
        <w:t>candidate targeting CD19 for lymphoma, in</w:t>
      </w:r>
      <w:r>
        <w:rPr>
          <w:sz w:val="20"/>
          <w:szCs w:val="20"/>
          <w:color w:val="auto"/>
        </w:rPr>
        <w:tab/>
      </w:r>
      <w:r>
        <w:rPr>
          <w:rFonts w:ascii="Arial" w:cs="Arial" w:eastAsia="Arial" w:hAnsi="Arial"/>
          <w:sz w:val="18"/>
          <w:szCs w:val="18"/>
          <w:color w:val="auto"/>
        </w:rPr>
        <w:t>. We expect to file an IND for CNTY-103,</w:t>
      </w:r>
    </w:p>
    <w:p>
      <w:pPr>
        <w:spacing w:after="0" w:line="8" w:lineRule="exact"/>
        <w:rPr>
          <w:sz w:val="20"/>
          <w:szCs w:val="20"/>
          <w:color w:val="auto"/>
        </w:rPr>
      </w:pPr>
    </w:p>
    <w:p>
      <w:pPr>
        <w:ind w:left="1260"/>
        <w:spacing w:after="0"/>
        <w:tabs>
          <w:tab w:leader="none" w:pos="8780" w:val="left"/>
        </w:tabs>
        <w:rPr>
          <w:sz w:val="20"/>
          <w:szCs w:val="20"/>
          <w:color w:val="auto"/>
        </w:rPr>
      </w:pPr>
      <w:r>
        <w:rPr>
          <w:rFonts w:ascii="Arial" w:cs="Arial" w:eastAsia="Arial" w:hAnsi="Arial"/>
          <w:sz w:val="18"/>
          <w:szCs w:val="18"/>
          <w:color w:val="auto"/>
        </w:rPr>
        <w:t>our CD133 + EGFR iNK product candidate designed to treat glioblastoma, in</w:t>
      </w:r>
      <w:r>
        <w:rPr>
          <w:sz w:val="20"/>
          <w:szCs w:val="20"/>
          <w:color w:val="auto"/>
        </w:rPr>
        <w:tab/>
      </w:r>
      <w:r>
        <w:rPr>
          <w:rFonts w:ascii="Arial" w:cs="Arial" w:eastAsia="Arial" w:hAnsi="Arial"/>
          <w:sz w:val="18"/>
          <w:szCs w:val="18"/>
          <w:color w:val="auto"/>
        </w:rPr>
        <w:t>. Our</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third candidate, CNTY-102, is a bi-specific CD19 + CD79b iNK or iT product candidate targeting</w:t>
      </w:r>
    </w:p>
    <w:p>
      <w:pPr>
        <w:spacing w:after="0" w:line="8" w:lineRule="exact"/>
        <w:rPr>
          <w:sz w:val="20"/>
          <w:szCs w:val="20"/>
          <w:color w:val="auto"/>
        </w:rPr>
      </w:pPr>
    </w:p>
    <w:p>
      <w:pPr>
        <w:ind w:left="1260"/>
        <w:spacing w:after="0"/>
        <w:tabs>
          <w:tab w:leader="none" w:pos="5540" w:val="left"/>
        </w:tabs>
        <w:rPr>
          <w:sz w:val="20"/>
          <w:szCs w:val="20"/>
          <w:color w:val="auto"/>
        </w:rPr>
      </w:pPr>
      <w:r>
        <w:rPr>
          <w:rFonts w:ascii="Arial" w:cs="Arial" w:eastAsia="Arial" w:hAnsi="Arial"/>
          <w:sz w:val="18"/>
          <w:szCs w:val="18"/>
          <w:color w:val="auto"/>
        </w:rPr>
        <w:t>lymphoma, with IND filing expected in</w:t>
      </w:r>
      <w:r>
        <w:rPr>
          <w:sz w:val="20"/>
          <w:szCs w:val="20"/>
          <w:color w:val="auto"/>
        </w:rPr>
        <w:tab/>
      </w:r>
      <w:r>
        <w:rPr>
          <w:rFonts w:ascii="Arial" w:cs="Arial" w:eastAsia="Arial" w:hAnsi="Arial"/>
          <w:sz w:val="18"/>
          <w:szCs w:val="18"/>
          <w:color w:val="auto"/>
        </w:rPr>
        <w:t>, and, our fourth candidate, CNTY-104, is a</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multi-specific product candidate targeting acute myeloid leukemia, or AML, with IND filing</w:t>
      </w:r>
    </w:p>
    <w:p>
      <w:pPr>
        <w:spacing w:after="0" w:line="8" w:lineRule="exact"/>
        <w:rPr>
          <w:sz w:val="20"/>
          <w:szCs w:val="20"/>
          <w:color w:val="auto"/>
        </w:rPr>
      </w:pPr>
    </w:p>
    <w:p>
      <w:pPr>
        <w:ind w:left="1260"/>
        <w:spacing w:after="0"/>
        <w:tabs>
          <w:tab w:leader="none" w:pos="3360" w:val="left"/>
        </w:tabs>
        <w:rPr>
          <w:sz w:val="20"/>
          <w:szCs w:val="20"/>
          <w:color w:val="auto"/>
        </w:rPr>
      </w:pPr>
      <w:r>
        <w:rPr>
          <w:rFonts w:ascii="Arial" w:cs="Arial" w:eastAsia="Arial" w:hAnsi="Arial"/>
          <w:sz w:val="18"/>
          <w:szCs w:val="18"/>
          <w:color w:val="auto"/>
        </w:rPr>
        <w:t>expected in</w:t>
      </w:r>
      <w:r>
        <w:rPr>
          <w:sz w:val="20"/>
          <w:szCs w:val="20"/>
          <w:color w:val="auto"/>
        </w:rPr>
        <w:tab/>
      </w:r>
      <w:r>
        <w:rPr>
          <w:rFonts w:ascii="Arial" w:cs="Arial" w:eastAsia="Arial" w:hAnsi="Arial"/>
          <w:sz w:val="18"/>
          <w:szCs w:val="18"/>
          <w:color w:val="auto"/>
        </w:rPr>
        <w:t>. As there are disease settings which will favor iNK or iT products, we</w:t>
      </w:r>
    </w:p>
    <w:p>
      <w:pPr>
        <w:spacing w:after="0" w:line="8"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are actively investigating both iNK and iT cell platforms for CNTY- 102 and CNTY-104, as either may have preferential clinical features. We are also advancing an earlier discovery stage pipeline with novel CARs and binders against multiple solid tumor targets using our iNK and iT cell therapy platforms. We believe that the therapeutics we discover and develop, if approved, will have a significant impact on the quality of life of patients suffering from devastating hematological and solid tumor malignancies. Our approach to developing therapies for life-threatening cancers of highly unmet medical need potentially presents an opportunity to efficiently advance our product candidates through clinical development, regulatory approval and ultimately to commercialization.</w:t>
      </w:r>
    </w:p>
    <w:p>
      <w:pPr>
        <w:spacing w:after="0" w:line="340" w:lineRule="exact"/>
        <w:rPr>
          <w:sz w:val="20"/>
          <w:szCs w:val="20"/>
          <w:color w:val="auto"/>
        </w:rPr>
      </w:pPr>
    </w:p>
    <w:p>
      <w:pPr>
        <w:ind w:left="1260" w:right="779"/>
        <w:spacing w:after="0" w:line="254" w:lineRule="auto"/>
        <w:rPr>
          <w:sz w:val="20"/>
          <w:szCs w:val="20"/>
          <w:color w:val="auto"/>
        </w:rPr>
      </w:pPr>
      <w:r>
        <w:rPr>
          <w:rFonts w:ascii="Arial" w:cs="Arial" w:eastAsia="Arial" w:hAnsi="Arial"/>
          <w:sz w:val="18"/>
          <w:szCs w:val="18"/>
          <w:color w:val="auto"/>
        </w:rPr>
        <w:t>Our collaboration with FUJIFILM Cellular Dynamics Inc., or FCDI, provides us with licenses to certain premier iPSC technologies, patents and know-how, giving us our initial start which enabled us to accelerate generation of our</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619"/>
        <w:spacing w:after="0" w:line="282" w:lineRule="auto"/>
        <w:rPr>
          <w:sz w:val="20"/>
          <w:szCs w:val="20"/>
          <w:color w:val="auto"/>
        </w:rPr>
      </w:pPr>
      <w:r>
        <w:rPr>
          <w:rFonts w:ascii="Arial" w:cs="Arial" w:eastAsia="Arial" w:hAnsi="Arial"/>
          <w:sz w:val="18"/>
          <w:szCs w:val="18"/>
          <w:color w:val="auto"/>
        </w:rPr>
        <w:t>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128" w:lineRule="exact"/>
        <w:rPr>
          <w:sz w:val="20"/>
          <w:szCs w:val="20"/>
          <w:color w:val="auto"/>
        </w:rPr>
      </w:pPr>
    </w:p>
    <w:p>
      <w:pPr>
        <w:ind w:left="1260" w:right="459"/>
        <w:spacing w:after="0" w:line="281" w:lineRule="auto"/>
        <w:rPr>
          <w:sz w:val="20"/>
          <w:szCs w:val="20"/>
          <w:color w:val="auto"/>
        </w:rPr>
      </w:pPr>
      <w:r>
        <w:rPr>
          <w:rFonts w:ascii="Arial" w:cs="Arial" w:eastAsia="Arial" w:hAnsi="Arial"/>
          <w:sz w:val="18"/>
          <w:szCs w:val="18"/>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Development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145" w:lineRule="exact"/>
        <w:rPr>
          <w:sz w:val="20"/>
          <w:szCs w:val="20"/>
          <w:color w:val="auto"/>
        </w:rPr>
      </w:pPr>
    </w:p>
    <w:p>
      <w:pPr>
        <w:ind w:left="1260" w:right="439"/>
        <w:spacing w:after="0" w:line="282" w:lineRule="auto"/>
        <w:rPr>
          <w:sz w:val="20"/>
          <w:szCs w:val="20"/>
          <w:color w:val="auto"/>
        </w:rPr>
      </w:pPr>
      <w:r>
        <w:rPr>
          <w:rFonts w:ascii="Arial" w:cs="Arial" w:eastAsia="Arial" w:hAnsi="Arial"/>
          <w:sz w:val="18"/>
          <w:szCs w:val="18"/>
          <w:color w:val="auto"/>
        </w:rPr>
        <w:t>Our board of directors includes members with extensive experience leading companies in the fields of biotechnology and biopharmaceuticals, including Joseph Jimenez, former Chief Executive Officer of Novartis, and Toshikazu Ban, Corporate Vice President and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141" w:lineRule="exact"/>
        <w:rPr>
          <w:sz w:val="20"/>
          <w:szCs w:val="20"/>
          <w:color w:val="auto"/>
        </w:rPr>
      </w:pPr>
    </w:p>
    <w:p>
      <w:pPr>
        <w:ind w:left="1260" w:right="679"/>
        <w:spacing w:after="0" w:line="283" w:lineRule="auto"/>
        <w:rPr>
          <w:sz w:val="20"/>
          <w:szCs w:val="20"/>
          <w:color w:val="auto"/>
        </w:rPr>
      </w:pPr>
      <w:r>
        <w:rPr>
          <w:rFonts w:ascii="Arial" w:cs="Arial" w:eastAsia="Arial" w:hAnsi="Arial"/>
          <w:sz w:val="18"/>
          <w:szCs w:val="18"/>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Our pipeline</w:t>
      </w:r>
    </w:p>
    <w:p>
      <w:pPr>
        <w:spacing w:after="0" w:line="155" w:lineRule="exact"/>
        <w:rPr>
          <w:sz w:val="20"/>
          <w:szCs w:val="20"/>
          <w:color w:val="auto"/>
        </w:rPr>
      </w:pPr>
    </w:p>
    <w:p>
      <w:pPr>
        <w:ind w:left="1260" w:right="579"/>
        <w:spacing w:after="0" w:line="265" w:lineRule="auto"/>
        <w:rPr>
          <w:sz w:val="20"/>
          <w:szCs w:val="20"/>
          <w:color w:val="auto"/>
        </w:rPr>
      </w:pPr>
      <w:r>
        <w:rPr>
          <w:rFonts w:ascii="Arial" w:cs="Arial" w:eastAsia="Arial" w:hAnsi="Arial"/>
          <w:sz w:val="18"/>
          <w:szCs w:val="18"/>
          <w:color w:val="auto"/>
        </w:rPr>
        <w:t>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w:t>
      </w:r>
    </w:p>
    <w:p>
      <w:pPr>
        <w:spacing w:after="0" w:line="7"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color w:val="auto"/>
        </w:rPr>
        <w:t>lymphoma, in</w:t>
      </w:r>
      <w:r>
        <w:rPr>
          <w:sz w:val="20"/>
          <w:szCs w:val="20"/>
          <w:color w:val="auto"/>
        </w:rPr>
        <w:tab/>
      </w:r>
      <w:r>
        <w:rPr>
          <w:rFonts w:ascii="Arial" w:cs="Arial" w:eastAsia="Arial" w:hAnsi="Arial"/>
          <w:sz w:val="18"/>
          <w:szCs w:val="18"/>
          <w:color w:val="auto"/>
        </w:rPr>
        <w:t>. Our second product candidate, CNTY-103, is designed to treat</w:t>
      </w:r>
    </w:p>
    <w:p>
      <w:pPr>
        <w:spacing w:after="0" w:line="35" w:lineRule="exact"/>
        <w:rPr>
          <w:sz w:val="20"/>
          <w:szCs w:val="20"/>
          <w:color w:val="auto"/>
        </w:rPr>
      </w:pPr>
    </w:p>
    <w:p>
      <w:pPr>
        <w:ind w:left="1260"/>
        <w:spacing w:after="0"/>
        <w:tabs>
          <w:tab w:leader="none" w:pos="6840" w:val="left"/>
        </w:tabs>
        <w:rPr>
          <w:sz w:val="20"/>
          <w:szCs w:val="20"/>
          <w:color w:val="auto"/>
        </w:rPr>
      </w:pPr>
      <w:r>
        <w:rPr>
          <w:rFonts w:ascii="Arial" w:cs="Arial" w:eastAsia="Arial" w:hAnsi="Arial"/>
          <w:sz w:val="18"/>
          <w:szCs w:val="18"/>
          <w:color w:val="auto"/>
        </w:rPr>
        <w:t>glioblastoma, and we currently anticipate filing an IND in</w:t>
      </w:r>
      <w:r>
        <w:rPr>
          <w:sz w:val="20"/>
          <w:szCs w:val="20"/>
          <w:color w:val="auto"/>
        </w:rPr>
        <w:tab/>
      </w:r>
      <w:r>
        <w:rPr>
          <w:rFonts w:ascii="Arial" w:cs="Arial" w:eastAsia="Arial" w:hAnsi="Arial"/>
          <w:sz w:val="18"/>
          <w:szCs w:val="18"/>
          <w:color w:val="auto"/>
        </w:rPr>
        <w:t>. Our third product candidate,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CNTY-102, is designed to further improve B-cell malignancy treatment, and we are planning on</w:t>
      </w:r>
    </w:p>
    <w:p>
      <w:pPr>
        <w:spacing w:after="0" w:line="35" w:lineRule="exact"/>
        <w:rPr>
          <w:sz w:val="20"/>
          <w:szCs w:val="20"/>
          <w:color w:val="auto"/>
        </w:rPr>
      </w:pPr>
    </w:p>
    <w:p>
      <w:pPr>
        <w:ind w:left="1260"/>
        <w:spacing w:after="0"/>
        <w:tabs>
          <w:tab w:leader="none" w:pos="3680" w:val="left"/>
        </w:tabs>
        <w:rPr>
          <w:sz w:val="20"/>
          <w:szCs w:val="20"/>
          <w:color w:val="auto"/>
        </w:rPr>
      </w:pPr>
      <w:r>
        <w:rPr>
          <w:rFonts w:ascii="Arial" w:cs="Arial" w:eastAsia="Arial" w:hAnsi="Arial"/>
          <w:sz w:val="18"/>
          <w:szCs w:val="18"/>
          <w:color w:val="auto"/>
        </w:rPr>
        <w:t>filing an IND for it in</w:t>
      </w:r>
      <w:r>
        <w:rPr>
          <w:sz w:val="20"/>
          <w:szCs w:val="20"/>
          <w:color w:val="auto"/>
        </w:rPr>
        <w:tab/>
      </w:r>
      <w:r>
        <w:rPr>
          <w:rFonts w:ascii="Arial" w:cs="Arial" w:eastAsia="Arial" w:hAnsi="Arial"/>
          <w:sz w:val="18"/>
          <w:szCs w:val="18"/>
          <w:color w:val="auto"/>
        </w:rPr>
        <w:t>. Our fourth product candidate, CNTY-104, is being developed to</w:t>
      </w:r>
    </w:p>
    <w:p>
      <w:pPr>
        <w:spacing w:after="0" w:line="35" w:lineRule="exact"/>
        <w:rPr>
          <w:sz w:val="20"/>
          <w:szCs w:val="20"/>
          <w:color w:val="auto"/>
        </w:rPr>
      </w:pPr>
    </w:p>
    <w:p>
      <w:pPr>
        <w:ind w:left="1260"/>
        <w:spacing w:after="0"/>
        <w:tabs>
          <w:tab w:leader="none" w:pos="5440" w:val="left"/>
        </w:tabs>
        <w:rPr>
          <w:sz w:val="20"/>
          <w:szCs w:val="20"/>
          <w:color w:val="auto"/>
        </w:rPr>
      </w:pPr>
      <w:r>
        <w:rPr>
          <w:rFonts w:ascii="Arial" w:cs="Arial" w:eastAsia="Arial" w:hAnsi="Arial"/>
          <w:sz w:val="18"/>
          <w:szCs w:val="18"/>
          <w:color w:val="auto"/>
        </w:rPr>
        <w:t>treat AML with the IND filing expected in</w:t>
      </w:r>
      <w:r>
        <w:rPr>
          <w:sz w:val="20"/>
          <w:szCs w:val="20"/>
          <w:color w:val="auto"/>
        </w:rPr>
        <w:tab/>
      </w:r>
      <w:r>
        <w:rPr>
          <w:rFonts w:ascii="Arial" w:cs="Arial" w:eastAsia="Arial" w:hAnsi="Arial"/>
          <w:sz w:val="18"/>
          <w:szCs w:val="18"/>
          <w:color w:val="auto"/>
        </w:rPr>
        <w:t>. Our development programs consist of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product candidates illustrated in the pipeline chart below:</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543560</wp:posOffset>
            </wp:positionV>
            <wp:extent cx="4800600" cy="1657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00600" cy="165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60" w:right="1419"/>
        <w:spacing w:after="0" w:line="254" w:lineRule="auto"/>
        <w:rPr>
          <w:sz w:val="20"/>
          <w:szCs w:val="20"/>
          <w:color w:val="auto"/>
        </w:rPr>
      </w:pPr>
      <w:r>
        <w:rPr>
          <w:rFonts w:ascii="Arial" w:cs="Arial" w:eastAsia="Arial" w:hAnsi="Arial"/>
          <w:sz w:val="18"/>
          <w:szCs w:val="18"/>
          <w:b w:val="1"/>
          <w:bCs w:val="1"/>
          <w:i w:val="1"/>
          <w:iCs w:val="1"/>
          <w:color w:val="auto"/>
        </w:rPr>
        <w:t>CNTY-101: Our CAR-iNK candidate targeting CD19 for relapsed, refractory B-cell lymphoma.</w:t>
      </w:r>
    </w:p>
    <w:p>
      <w:pPr>
        <w:spacing w:after="0" w:line="82" w:lineRule="exact"/>
        <w:rPr>
          <w:sz w:val="20"/>
          <w:szCs w:val="20"/>
          <w:color w:val="auto"/>
        </w:rPr>
      </w:pPr>
    </w:p>
    <w:p>
      <w:pPr>
        <w:ind w:left="1260" w:right="519"/>
        <w:spacing w:after="0" w:line="232" w:lineRule="auto"/>
        <w:rPr>
          <w:sz w:val="20"/>
          <w:szCs w:val="20"/>
          <w:color w:val="auto"/>
        </w:rPr>
      </w:pPr>
      <w:r>
        <w:rPr>
          <w:rFonts w:ascii="Arial" w:cs="Arial" w:eastAsia="Arial" w:hAnsi="Arial"/>
          <w:sz w:val="18"/>
          <w:szCs w:val="18"/>
          <w:color w:val="auto"/>
        </w:rPr>
        <w:t>Our lead product candidate, CNTY-101, is an allogeneic, iPSC -derived CAR -iNK cell therapy that has been engineered to express CD19 CAR, soluble IL-15, an EGFR safety switch, and also contains gene edits needed to incorporate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We expect clinical candidate clone selection in the first half of 2021, and plan to move into IND enabling preclinical and technical studies and manufacturing at that time. We anticipate filing an IND to advance</w:t>
      </w:r>
    </w:p>
    <w:p>
      <w:pPr>
        <w:ind w:left="1260"/>
        <w:spacing w:after="0"/>
        <w:tabs>
          <w:tab w:leader="none" w:pos="5720" w:val="left"/>
        </w:tabs>
        <w:rPr>
          <w:sz w:val="20"/>
          <w:szCs w:val="20"/>
          <w:color w:val="auto"/>
        </w:rPr>
      </w:pPr>
      <w:r>
        <w:rPr>
          <w:rFonts w:ascii="Arial" w:cs="Arial" w:eastAsia="Arial" w:hAnsi="Arial"/>
          <w:sz w:val="18"/>
          <w:szCs w:val="18"/>
          <w:color w:val="auto"/>
        </w:rPr>
        <w:t>CNTY-101 into a Phase 1 clinical trial in</w:t>
      </w:r>
      <w:r>
        <w:rPr>
          <w:sz w:val="20"/>
          <w:szCs w:val="20"/>
          <w:color w:val="auto"/>
        </w:rPr>
        <w:tab/>
      </w:r>
      <w:r>
        <w:rPr>
          <w:rFonts w:ascii="Arial" w:cs="Arial" w:eastAsia="Arial" w:hAnsi="Arial"/>
          <w:sz w:val="13"/>
          <w:szCs w:val="13"/>
          <w:color w:val="auto"/>
        </w:rPr>
        <w: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CNTY-103: Our CAR-iNK candidate targeting CD133 + EGFR for recurrent glioblastoma.</w:t>
      </w:r>
    </w:p>
    <w:p>
      <w:pPr>
        <w:spacing w:after="0" w:line="124" w:lineRule="exact"/>
        <w:rPr>
          <w:sz w:val="20"/>
          <w:szCs w:val="20"/>
          <w:color w:val="auto"/>
        </w:rPr>
      </w:pPr>
    </w:p>
    <w:p>
      <w:pPr>
        <w:ind w:left="1260" w:right="479"/>
        <w:spacing w:after="0" w:line="249" w:lineRule="auto"/>
        <w:rPr>
          <w:sz w:val="20"/>
          <w:szCs w:val="20"/>
          <w:color w:val="auto"/>
        </w:rPr>
      </w:pPr>
      <w:r>
        <w:rPr>
          <w:rFonts w:ascii="Arial" w:cs="Arial" w:eastAsia="Arial" w:hAnsi="Arial"/>
          <w:sz w:val="18"/>
          <w:szCs w:val="18"/>
          <w:color w:val="auto"/>
        </w:rPr>
        <w:t>We 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w:t>
      </w:r>
    </w:p>
    <w:p>
      <w:pPr>
        <w:spacing w:after="0" w:line="2" w:lineRule="exact"/>
        <w:rPr>
          <w:sz w:val="20"/>
          <w:szCs w:val="20"/>
          <w:color w:val="auto"/>
        </w:rPr>
      </w:pPr>
    </w:p>
    <w:p>
      <w:pPr>
        <w:ind w:left="1260"/>
        <w:spacing w:after="0"/>
        <w:tabs>
          <w:tab w:leader="none" w:pos="8020" w:val="left"/>
        </w:tabs>
        <w:rPr>
          <w:sz w:val="20"/>
          <w:szCs w:val="20"/>
          <w:color w:val="auto"/>
        </w:rPr>
      </w:pPr>
      <w:r>
        <w:rPr>
          <w:rFonts w:ascii="Arial" w:cs="Arial" w:eastAsia="Arial" w:hAnsi="Arial"/>
          <w:sz w:val="18"/>
          <w:szCs w:val="18"/>
          <w:color w:val="auto"/>
        </w:rPr>
        <w:t>an IND and/or clinical trial application, or CTA, for recurrent GBM in</w:t>
      </w:r>
      <w:r>
        <w:rPr>
          <w:sz w:val="20"/>
          <w:szCs w:val="20"/>
          <w:color w:val="auto"/>
        </w:rPr>
        <w:tab/>
      </w:r>
      <w:r>
        <w:rPr>
          <w:rFonts w:ascii="Arial" w:cs="Arial" w:eastAsia="Arial" w:hAnsi="Arial"/>
          <w:sz w:val="18"/>
          <w:szCs w:val="18"/>
          <w:color w:val="auto"/>
        </w:rPr>
        <w:t>.</w:t>
      </w:r>
    </w:p>
    <w:p>
      <w:pPr>
        <w:spacing w:after="0" w:line="188" w:lineRule="exact"/>
        <w:rPr>
          <w:sz w:val="20"/>
          <w:szCs w:val="20"/>
          <w:color w:val="auto"/>
        </w:rPr>
      </w:pPr>
    </w:p>
    <w:p>
      <w:pPr>
        <w:ind w:left="1260" w:right="1199"/>
        <w:spacing w:after="0" w:line="254" w:lineRule="auto"/>
        <w:rPr>
          <w:sz w:val="20"/>
          <w:szCs w:val="20"/>
          <w:color w:val="auto"/>
        </w:rPr>
      </w:pPr>
      <w:r>
        <w:rPr>
          <w:rFonts w:ascii="Arial" w:cs="Arial" w:eastAsia="Arial" w:hAnsi="Arial"/>
          <w:sz w:val="18"/>
          <w:szCs w:val="18"/>
          <w:b w:val="1"/>
          <w:bCs w:val="1"/>
          <w:i w:val="1"/>
          <w:iCs w:val="1"/>
          <w:color w:val="auto"/>
        </w:rPr>
        <w:t>CNTY-102: Our CAR-iT or CAR-iNK candidate targeting CD19 + CD79b for relapsed, refractory B-cell lymphoma and other B-cell malignancies.</w:t>
      </w:r>
    </w:p>
    <w:p>
      <w:pPr>
        <w:spacing w:after="0" w:line="82" w:lineRule="exact"/>
        <w:rPr>
          <w:sz w:val="20"/>
          <w:szCs w:val="20"/>
          <w:color w:val="auto"/>
        </w:rPr>
      </w:pPr>
    </w:p>
    <w:p>
      <w:pPr>
        <w:ind w:left="1260" w:right="519"/>
        <w:spacing w:after="0" w:line="249" w:lineRule="auto"/>
        <w:rPr>
          <w:sz w:val="20"/>
          <w:szCs w:val="20"/>
          <w:color w:val="auto"/>
        </w:rPr>
      </w:pPr>
      <w:r>
        <w:rPr>
          <w:rFonts w:ascii="Arial" w:cs="Arial" w:eastAsia="Arial" w:hAnsi="Arial"/>
          <w:sz w:val="18"/>
          <w:szCs w:val="18"/>
          <w:color w:val="auto"/>
        </w:rPr>
        <w:t>CNTY-102 will simultaneously target CD19 and CD79b, intended to increase depth and durability of response by eliminating the effect of CD19 antigen loss that has been observed as a factor limiting treatment durability, as well as targeting CD79b, an independently regulated, ubiquitous</w:t>
      </w:r>
    </w:p>
    <w:p>
      <w:pPr>
        <w:spacing w:after="0" w:line="1" w:lineRule="exact"/>
        <w:rPr>
          <w:sz w:val="20"/>
          <w:szCs w:val="20"/>
          <w:color w:val="auto"/>
        </w:rPr>
      </w:pPr>
    </w:p>
    <w:p>
      <w:pPr>
        <w:ind w:left="1260"/>
        <w:spacing w:after="0"/>
        <w:tabs>
          <w:tab w:leader="none" w:pos="9040" w:val="left"/>
        </w:tabs>
        <w:rPr>
          <w:sz w:val="20"/>
          <w:szCs w:val="20"/>
          <w:color w:val="auto"/>
        </w:rPr>
      </w:pPr>
      <w:r>
        <w:rPr>
          <w:rFonts w:ascii="Arial" w:cs="Arial" w:eastAsia="Arial" w:hAnsi="Arial"/>
          <w:sz w:val="18"/>
          <w:szCs w:val="18"/>
          <w:color w:val="auto"/>
        </w:rPr>
        <w:t>and validated B-cell target. We currently envision filing the IND for CNTY-102 in</w:t>
      </w:r>
      <w:r>
        <w:rPr>
          <w:sz w:val="20"/>
          <w:szCs w:val="20"/>
          <w:color w:val="auto"/>
        </w:rPr>
        <w:tab/>
      </w:r>
      <w:r>
        <w:rPr>
          <w:rFonts w:ascii="Arial" w:cs="Arial" w:eastAsia="Arial" w:hAnsi="Arial"/>
          <w:sz w:val="13"/>
          <w:szCs w:val="13"/>
          <w:color w:val="auto"/>
        </w:rPr>
        <w: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CNTY-104: Our CAR-iNK or CAR-iT multi-specific candidate for acute myeloid leukemia.</w:t>
      </w:r>
    </w:p>
    <w:p>
      <w:pPr>
        <w:spacing w:after="0" w:line="138" w:lineRule="exact"/>
        <w:rPr>
          <w:sz w:val="20"/>
          <w:szCs w:val="20"/>
          <w:color w:val="auto"/>
        </w:rPr>
      </w:pPr>
    </w:p>
    <w:p>
      <w:pPr>
        <w:ind w:left="1260" w:right="459"/>
        <w:spacing w:after="0" w:line="249" w:lineRule="auto"/>
        <w:rPr>
          <w:sz w:val="20"/>
          <w:szCs w:val="20"/>
          <w:color w:val="auto"/>
        </w:rPr>
      </w:pPr>
      <w:r>
        <w:rPr>
          <w:rFonts w:ascii="Arial" w:cs="Arial" w:eastAsia="Arial" w:hAnsi="Arial"/>
          <w:sz w:val="18"/>
          <w:szCs w:val="18"/>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w:t>
      </w:r>
    </w:p>
    <w:p>
      <w:pPr>
        <w:spacing w:after="0" w:line="2" w:lineRule="exact"/>
        <w:rPr>
          <w:sz w:val="20"/>
          <w:szCs w:val="20"/>
          <w:color w:val="auto"/>
        </w:rPr>
      </w:pPr>
    </w:p>
    <w:p>
      <w:pPr>
        <w:ind w:left="1260"/>
        <w:spacing w:after="0"/>
        <w:tabs>
          <w:tab w:leader="none" w:pos="6400" w:val="left"/>
        </w:tabs>
        <w:rPr>
          <w:sz w:val="20"/>
          <w:szCs w:val="20"/>
          <w:color w:val="auto"/>
        </w:rPr>
      </w:pPr>
      <w:r>
        <w:rPr>
          <w:rFonts w:ascii="Arial" w:cs="Arial" w:eastAsia="Arial" w:hAnsi="Arial"/>
          <w:sz w:val="18"/>
          <w:szCs w:val="18"/>
          <w:color w:val="auto"/>
        </w:rPr>
        <w:t>currently envision filing the IND for CNTY-104 in</w:t>
      </w:r>
      <w:r>
        <w:rPr>
          <w:sz w:val="20"/>
          <w:szCs w:val="20"/>
          <w:color w:val="auto"/>
        </w:rPr>
        <w:tab/>
      </w:r>
      <w:r>
        <w:rPr>
          <w:rFonts w:ascii="Arial" w:cs="Arial" w:eastAsia="Arial" w:hAnsi="Arial"/>
          <w:sz w:val="18"/>
          <w:szCs w:val="18"/>
          <w:color w:val="auto"/>
        </w:rPr>
        <w: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124"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172"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b w:val="1"/>
          <w:bCs w:val="1"/>
          <w:i w:val="1"/>
          <w:iCs w:val="1"/>
          <w:color w:val="auto"/>
        </w:rPr>
        <w:t>Our use of iPSCs provides us with a differentiated advantage in product development and manufacturing</w:t>
      </w:r>
    </w:p>
    <w:p>
      <w:pPr>
        <w:spacing w:after="0" w:line="82" w:lineRule="exact"/>
        <w:rPr>
          <w:sz w:val="20"/>
          <w:szCs w:val="20"/>
          <w:color w:val="auto"/>
        </w:rPr>
      </w:pPr>
    </w:p>
    <w:p>
      <w:pPr>
        <w:jc w:val="both"/>
        <w:ind w:left="1260" w:right="599"/>
        <w:spacing w:after="0" w:line="253" w:lineRule="auto"/>
        <w:rPr>
          <w:sz w:val="20"/>
          <w:szCs w:val="20"/>
          <w:color w:val="auto"/>
        </w:rPr>
      </w:pPr>
      <w:r>
        <w:rPr>
          <w:rFonts w:ascii="Arial" w:cs="Arial" w:eastAsia="Arial" w:hAnsi="Arial"/>
          <w:sz w:val="18"/>
          <w:szCs w:val="18"/>
          <w:color w:val="auto"/>
        </w:rPr>
        <w:t>The majority of allogeneic approaches currently in development use differentiated T cells or NK cells derived from the peripheral blood of healthy donors. Although the use of allogeneic cells in the manufacture of CAR-based T cell or NK cell therapies offers significant advantages, the use of donor cells in the production of allogeneic</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cell therapies has significant limitations. For example,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T cells or NK cells is severely limited, as each engineering step requires cells to replicate. Excessive expansion cycles often result in cell exhaustion, with the engineered lymphocytes (white blood cells) expressing checkpoint molecules, often accompanied by a loss of functionality. As a consequence, the engineering process for these donor-derived cell therapies requires a careful balancing between the number of replication cycles achievable and the generation of fully functional cells resulting in significant limitations.</w:t>
      </w:r>
    </w:p>
    <w:p>
      <w:pPr>
        <w:spacing w:after="0" w:line="355" w:lineRule="exact"/>
        <w:rPr>
          <w:sz w:val="20"/>
          <w:szCs w:val="20"/>
          <w:color w:val="auto"/>
        </w:rPr>
      </w:pPr>
    </w:p>
    <w:p>
      <w:pPr>
        <w:ind w:left="1260" w:right="639"/>
        <w:spacing w:after="0" w:line="268" w:lineRule="auto"/>
        <w:rPr>
          <w:sz w:val="20"/>
          <w:szCs w:val="20"/>
          <w:color w:val="auto"/>
        </w:rPr>
      </w:pPr>
      <w:r>
        <w:rPr>
          <w:rFonts w:ascii="Arial" w:cs="Arial" w:eastAsia="Arial" w:hAnsi="Arial"/>
          <w:sz w:val="18"/>
          <w:szCs w:val="18"/>
          <w:color w:val="auto"/>
        </w:rPr>
        <w:t>We believe our engineered, iPSC-derived allogeneic cell therapy platforms can overcome many of the challenges inherent to cell therapy, provide a significant advantage over existing cell therapy technologies. We are focused on developing novel therapeutics designed to address many of the significant unmet medical needs in cancer treatment.</w:t>
      </w:r>
    </w:p>
    <w:p>
      <w:pPr>
        <w:spacing w:after="0" w:line="11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Core characteristics of our iPSC-derived allogeneic cell therapy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147955</wp:posOffset>
            </wp:positionV>
            <wp:extent cx="4937125" cy="1298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37125" cy="129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iPSC-derived allogeneic cells differentiate our therapeutic development approach</w:t>
      </w:r>
    </w:p>
    <w:p>
      <w:pPr>
        <w:spacing w:after="0" w:line="165"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color w:val="auto"/>
        </w:rPr>
        <w:t>The source cells used in the manufacture of our allogeneic cell therapy candidates are induced pluripotent stem cells, or iPSCs. An iPSC is a type of stem cell that can be generated directly from a somatic cell. A somatic cell is a cell that has become functionally differentiated, or specialized, such as a blood cell, skin cell or bone cell. IPSC-derived cell products offer significant technical and manufacturing advantages. These cells have unlimited replication capacity and can act as a progenitor cell for other cell types, including the different types of immune cells. IPSCs share similar biological properties with embryonic stem cells, such as morphology, patterns of gene and protein expression, and growth properties including mitotic activity and doubling time. Our in-licensed iPSC technology allows us to reprogram differentiated cells into iPSCs and to somatic the iPSCs to generate different immune cell types including iNK cells and iT cells.</w:t>
      </w:r>
    </w:p>
    <w:p>
      <w:pPr>
        <w:spacing w:after="0" w:line="370"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color w:val="auto"/>
        </w:rPr>
        <w:t>We believe the use of iPSCs will enable us to manufacture cell therapies of increased consistency, in a shorter period of time, at scale and at reduced cost compared to donor-derived NK or T cell therapies. Unlike these donor-derived cell therapies where all the engineering steps are performed using differentiated cells, all of our engineering procedures are performed on iPSCs. We believe that using iPSCs as a starting point for our cell therapies will allow us to produce our allogeneic cell therapies in an efficient and consistent manner. iPSCs are more amenable to multiple genetic manipulations than differentiated lymphocytes and are capable of maintaining their viability through numerous expansion rounds. We select specific single cell clones from bulk engineered cell product, which we characterize to include specified edits and ensure the absence of off-target genomic alterations. A single cell clone is used to construct a master cell bank capable of providing a sufficient number of doses for the life of a product due to the unlimited replicative capacity of iPSCs.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Our use of iPSCs provide us with differentiated advantages in product development and</w:t>
      </w:r>
    </w:p>
    <w:p>
      <w:pPr>
        <w:spacing w:after="0" w:line="3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133350</wp:posOffset>
            </wp:positionV>
            <wp:extent cx="4937125" cy="18961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37125" cy="189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Our strategy</w:t>
      </w:r>
    </w:p>
    <w:p>
      <w:pPr>
        <w:spacing w:after="0" w:line="142" w:lineRule="exact"/>
        <w:rPr>
          <w:sz w:val="20"/>
          <w:szCs w:val="20"/>
          <w:color w:val="auto"/>
        </w:rPr>
      </w:pPr>
    </w:p>
    <w:p>
      <w:pPr>
        <w:ind w:left="1260" w:right="619"/>
        <w:spacing w:after="0" w:line="251" w:lineRule="auto"/>
        <w:rPr>
          <w:sz w:val="20"/>
          <w:szCs w:val="20"/>
          <w:color w:val="auto"/>
        </w:rPr>
      </w:pPr>
      <w:r>
        <w:rPr>
          <w:rFonts w:ascii="Arial" w:cs="Arial" w:eastAsia="Arial" w:hAnsi="Arial"/>
          <w:sz w:val="18"/>
          <w:szCs w:val="18"/>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clinical development and commercialization of tumor -targeted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90" w:lineRule="exact"/>
        <w:rPr>
          <w:sz w:val="20"/>
          <w:szCs w:val="20"/>
          <w:color w:val="auto"/>
        </w:rPr>
      </w:pPr>
    </w:p>
    <w:p>
      <w:pPr>
        <w:ind w:left="1720" w:right="539" w:hanging="142"/>
        <w:spacing w:after="0" w:line="257" w:lineRule="auto"/>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a leading cell therapy company leveraging our comprehensive iPSC-derived allogeneic cell therapy platforms designed to overcome the limitations of existing cancer therapies. </w:t>
      </w:r>
      <w:r>
        <w:rPr>
          <w:rFonts w:ascii="Arial" w:cs="Arial" w:eastAsia="Arial" w:hAnsi="Arial"/>
          <w:sz w:val="18"/>
          <w:szCs w:val="18"/>
          <w:color w:val="auto"/>
        </w:rPr>
        <w:t>We have created comprehensive allogeneic cell therapy platforms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industry-leading iPSC differentiation know-how, CRISPR-mediated precision gene editing, sophisticated protein engineering capabilities,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and cutting edge manufacturing capabilities. We believe the incorporation of these elements into our platforms affords us numerous advantages over autologous and donor-derived differentiated T, NK and other cell therapies, and may eliminate many of the challenges inherent in these other cell therapy modalities.</w:t>
      </w:r>
    </w:p>
    <w:p>
      <w:pPr>
        <w:spacing w:after="0" w:line="85" w:lineRule="exact"/>
        <w:rPr>
          <w:rFonts w:ascii="Arial" w:cs="Arial" w:eastAsia="Arial" w:hAnsi="Arial"/>
          <w:sz w:val="18"/>
          <w:szCs w:val="18"/>
          <w:color w:val="auto"/>
        </w:rPr>
      </w:pPr>
    </w:p>
    <w:p>
      <w:pPr>
        <w:ind w:left="1720" w:right="619" w:hanging="142"/>
        <w:spacing w:after="0" w:line="269" w:lineRule="auto"/>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potential to treat a broad range of cancers by exploiting the distinct biologies of both NK and T cells. </w:t>
      </w:r>
      <w:r>
        <w:rPr>
          <w:rFonts w:ascii="Arial" w:cs="Arial" w:eastAsia="Arial" w:hAnsi="Arial"/>
          <w:sz w:val="18"/>
          <w:szCs w:val="18"/>
          <w:color w:val="auto"/>
        </w:rPr>
        <w:t>We are initially developing our CAR-iNK and CAR-iT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 therapy platforms for multiple indications including lymphoma, glioblastoma, acute myeloid leukemia and other solid tumor and hematological malignancies.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w:t>
      </w:r>
    </w:p>
    <w:p>
      <w:pPr>
        <w:spacing w:after="0" w:line="43" w:lineRule="exact"/>
        <w:rPr>
          <w:rFonts w:ascii="Arial" w:cs="Arial" w:eastAsia="Arial" w:hAnsi="Arial"/>
          <w:sz w:val="18"/>
          <w:szCs w:val="18"/>
          <w:color w:val="auto"/>
        </w:rPr>
      </w:pPr>
    </w:p>
    <w:p>
      <w:pPr>
        <w:ind w:left="1720" w:right="519" w:hanging="142"/>
        <w:spacing w:after="0" w:line="253" w:lineRule="auto"/>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Allo-Evasion</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xml:space="preserve"> technology across our product platform to avoid host rejection and enable repeat dosing. </w:t>
      </w:r>
      <w:r>
        <w:rPr>
          <w:rFonts w:ascii="Arial" w:cs="Arial" w:eastAsia="Arial" w:hAnsi="Arial"/>
          <w:sz w:val="18"/>
          <w:szCs w:val="18"/>
          <w:color w:val="auto"/>
        </w:rPr>
        <w:t>Central to the potential clinical performance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iPSC-derived cell therapies is our novel and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which we intend to implement across our entire product platform. This proprietary technology allows us to engineer cells designed to avoid recognition and rejection by the host immune system. Furthermore, it enables repeat dosing, which we believe will enable us to immediately reinforce the immunological line of defense as cells dosed previously succumb to immune exhaustion and provide our cell therapies the benefit of enhanced durability and persistence. We believe this may reduce or possibly eliminate the need for immune preconditioning regimens, and enhance the recruitment of host immune cells to participate in the anti-tumor response. We believe these advantages could enable the implementation of more flexible and effective dosing protocols for our off-the-shelf product candidates, which we anticipate will increase physician and patient access.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720" w:right="679" w:hanging="142"/>
        <w:spacing w:after="0" w:line="268" w:lineRule="auto"/>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Exploit serial gene editing of iPSCs to create product candidates with enhanced functionalities and fit for purpose product characteristics. </w:t>
      </w:r>
      <w:r>
        <w:rPr>
          <w:rFonts w:ascii="Arial" w:cs="Arial" w:eastAsia="Arial" w:hAnsi="Arial"/>
          <w:sz w:val="18"/>
          <w:szCs w:val="18"/>
          <w:color w:val="auto"/>
        </w:rPr>
        <w:t>We utilize CRISPR-mediated precision gene editing that allows us to incorporate multiple transgenes and knock-outs to achieve precise genetic modifications at defined locations in the iPSC genome. Our first clinical product candidate, CNTY-101, will incorporate six gene edits, which we believe are essential attributes necessary for meaningful clinical performance, including a CAR to mediate tumor recognition and killing, features to evade immune rejection and a safety switch to enable product elimination if ever necessary. We believe this initial set of gene edits will form the foundation for follow-on product candidate development. Additionally, we believe our investment in our gene editing technology will allow us to expand upon our current capabilities and integrate further fit for purpose gene edits intended to enhance clinical performance of our future product candidates.</w:t>
      </w:r>
    </w:p>
    <w:p>
      <w:pPr>
        <w:spacing w:after="0" w:line="78" w:lineRule="exact"/>
        <w:rPr>
          <w:rFonts w:ascii="Arial" w:cs="Arial" w:eastAsia="Arial" w:hAnsi="Arial"/>
          <w:sz w:val="18"/>
          <w:szCs w:val="18"/>
          <w:color w:val="auto"/>
        </w:rPr>
      </w:pPr>
    </w:p>
    <w:p>
      <w:pPr>
        <w:ind w:left="1720" w:right="439" w:hanging="142"/>
        <w:spacing w:after="0" w:line="269" w:lineRule="auto"/>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own manufacturing infrastructure, product and process understanding, and scale-up technologies to minimize manufacturing risk. </w:t>
      </w:r>
      <w:r>
        <w:rPr>
          <w:rFonts w:ascii="Arial" w:cs="Arial" w:eastAsia="Arial" w:hAnsi="Arial"/>
          <w:sz w:val="18"/>
          <w:szCs w:val="18"/>
          <w:color w:val="auto"/>
        </w:rPr>
        <w:t>We are strategically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in manufacturing across all aspects of the value chain to become leaders in the industry. We are building internal manufacturing facilities that we believe will enable us to learn and iterate more rapidly and increase control of development timelines for expedited clinical development of high quality products. We will continue to invest in process and analytical development capabilities and closely study our cell process parameters that affect product quality. Furthermore, we intend to establish expertise in scale-up technologies designed to enable optimal manufacturing scale, which will reduce cost of goods and improve patient access.</w:t>
      </w: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Background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role of NK cells and T cells in the human immune system</w:t>
      </w:r>
    </w:p>
    <w:p>
      <w:pPr>
        <w:spacing w:after="0" w:line="178"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The human immune system is comprised of two integrated systems, the innate immune system and the adaptive immune system. The innate immune system involves an immediate, non-specific response to recognize and protect against foreign pathogens based on broadly conserved pathogen associated molecular patterns and generally lacks pathogen or disease-specific immune memory.</w:t>
      </w:r>
    </w:p>
    <w:p>
      <w:pPr>
        <w:spacing w:after="0" w:line="38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Innate immune system—NK Cells</w:t>
      </w:r>
    </w:p>
    <w:p>
      <w:pPr>
        <w:spacing w:after="0" w:line="161"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Cytotoxic NK cells are part of the front-line innate immune response and, in this capacity, monitor the body for signs of pathogens or signals of disease. NK cells have the unique ability to selectively identify and destroy abnormal cells through multiple direct and indirect mechanisms while leaving normal healthy cells unharmed. These mechanisms include (i) direct innate killing by binding to stress ligands expressed by diseased or dysfunctional cells and releasing toxic granules and perforins, (ii) indirect killing by producing and releasing proinflammatory cytokines that play a pivotal role in orchestrating the adaptive immune response, and (iii) antibody-mediated targeted killing by binding to cells targeted for elimination through a process known as antibody-dependent cellular cytotoxicity.</w:t>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Adaptive immune system—T Cells</w:t>
      </w:r>
    </w:p>
    <w:p>
      <w:pPr>
        <w:spacing w:after="0" w:line="174"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The adaptive immune system is characterized by antigen-specific immune responses mediated by T and B cells. T cells are distinguished from other immune system cells by the presence of a T cell receptor, or TCR, on their surface. TCRs are activated through engagement with antigens on the major histocompatibility complex, or MHC, of cells. In humans, these antigens are known as human leukocyte antigens, or HLAs. Upon antigen recognition, CD8 T cells, also referred to as cytotoxic lymphocytes, or CTLs, bind to the MHC-antigen complex, become activated and destroy the targeted cell. The adaptive immune responses require several days to develop because T and B cells need to undergo clonal expansion before they can mount an immune response. The innate and adaptive immune systems also differ on the longevity of the immune response. After elimination of the pathogen, T and B cells can persist for decades as memory cells and quickly respond to new challenges by the same pathogen. We seek to take advantage of the unique properties of T cells and their proven anti-cancer activity to engineer iPSC-derived T cell products.</w:t>
      </w:r>
    </w:p>
    <w:p>
      <w:pPr>
        <w:sectPr>
          <w:pgSz w:w="11900" w:h="16838" w:orient="portrait"/>
          <w:cols w:equalWidth="0" w:num="1">
            <w:col w:w="9859"/>
          </w:cols>
          <w:pgMar w:left="600" w:top="132" w:right="1440" w:bottom="11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128"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Cellular immunotherapy and its use in the treatment of cancer</w:t>
      </w:r>
    </w:p>
    <w:p>
      <w:pPr>
        <w:spacing w:after="0" w:line="155" w:lineRule="exact"/>
        <w:rPr>
          <w:sz w:val="20"/>
          <w:szCs w:val="20"/>
          <w:color w:val="auto"/>
        </w:rPr>
      </w:pPr>
    </w:p>
    <w:p>
      <w:pPr>
        <w:ind w:left="1260" w:right="519"/>
        <w:spacing w:after="0" w:line="282" w:lineRule="auto"/>
        <w:rPr>
          <w:sz w:val="20"/>
          <w:szCs w:val="20"/>
          <w:color w:val="auto"/>
        </w:rPr>
      </w:pPr>
      <w:r>
        <w:rPr>
          <w:rFonts w:ascii="Arial" w:cs="Arial" w:eastAsia="Arial" w:hAnsi="Arial"/>
          <w:sz w:val="18"/>
          <w:szCs w:val="18"/>
          <w:color w:val="auto"/>
        </w:rPr>
        <w:t>Cellular immunotherapy is a type of immunotherapy that focuses on modulating or enhancing the activity of different lymphocytes, in particular CTLs and NK cells, to treat cancer. The cells are typically engineered with receptors that redirect them to recognize and destroy tumor cells. A frequently used approach for cellular immunotherapy involves chimeric antigen receptors, or CARs, on the surface of a lymphocyte that enable the CTL or NK cell to recognize specific antigens that are present on the surface of tumor cells.</w:t>
      </w:r>
    </w:p>
    <w:p>
      <w:pPr>
        <w:spacing w:after="0" w:line="142" w:lineRule="exact"/>
        <w:rPr>
          <w:sz w:val="20"/>
          <w:szCs w:val="20"/>
          <w:color w:val="auto"/>
        </w:rPr>
      </w:pPr>
    </w:p>
    <w:p>
      <w:pPr>
        <w:ind w:left="1260" w:right="799"/>
        <w:spacing w:after="0" w:line="284" w:lineRule="auto"/>
        <w:rPr>
          <w:sz w:val="20"/>
          <w:szCs w:val="20"/>
          <w:color w:val="auto"/>
        </w:rPr>
      </w:pPr>
      <w:r>
        <w:rPr>
          <w:rFonts w:ascii="Arial" w:cs="Arial" w:eastAsia="Arial" w:hAnsi="Arial"/>
          <w:sz w:val="18"/>
          <w:szCs w:val="18"/>
          <w:color w:val="auto"/>
        </w:rPr>
        <w:t>At one end of the CAR is a single or multiple binding domains that engage one or more target antigens. These binding domains are exposed to the outside of the engineered lymphocyte, where they can recognize the target antigen or antigens. To enable the engineering of multi-specific CARs, we use camelid VHH antibodies.</w:t>
      </w:r>
    </w:p>
    <w:p>
      <w:pPr>
        <w:spacing w:after="0" w:line="11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Our use of camelid VHH antibodies enables our design of multi-specific 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156210</wp:posOffset>
            </wp:positionV>
            <wp:extent cx="4937125" cy="1811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37125" cy="181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right="499"/>
        <w:spacing w:after="0" w:line="283" w:lineRule="auto"/>
        <w:rPr>
          <w:sz w:val="20"/>
          <w:szCs w:val="20"/>
          <w:color w:val="auto"/>
        </w:rPr>
      </w:pPr>
      <w:r>
        <w:rPr>
          <w:rFonts w:ascii="Arial" w:cs="Arial" w:eastAsia="Arial" w:hAnsi="Arial"/>
          <w:sz w:val="18"/>
          <w:szCs w:val="18"/>
          <w:color w:val="auto"/>
        </w:rPr>
        <w:t>As illustrated above, our CAR constructs incorporate VHHs. VHH domains are derived from a camelid antibody, a type of antibody found in camels, llamas and sharks, that consists of a heavy chain only with one variable region. This structure gives us greater design flexibility, including the use of concatemers that target multiple epitopes on the same antigen (biparatopic CARs) or multiple tumor antigens (bi- or tri-specific CARs).</w:t>
      </w:r>
    </w:p>
    <w:p>
      <w:pPr>
        <w:spacing w:after="0" w:line="125" w:lineRule="exact"/>
        <w:rPr>
          <w:sz w:val="20"/>
          <w:szCs w:val="20"/>
          <w:color w:val="auto"/>
        </w:rPr>
      </w:pPr>
    </w:p>
    <w:p>
      <w:pPr>
        <w:ind w:left="1260" w:right="539"/>
        <w:spacing w:after="0" w:line="281" w:lineRule="auto"/>
        <w:rPr>
          <w:sz w:val="20"/>
          <w:szCs w:val="20"/>
          <w:color w:val="auto"/>
        </w:rPr>
      </w:pPr>
      <w:r>
        <w:rPr>
          <w:rFonts w:ascii="Arial" w:cs="Arial" w:eastAsia="Arial" w:hAnsi="Arial"/>
          <w:sz w:val="18"/>
          <w:szCs w:val="18"/>
          <w:color w:val="auto"/>
        </w:rPr>
        <w:t>In 2017, the U.S. Food and Drug Administration, or FDA, approved the first two CAR-based cell therapies for the treatment of certain types of hematological cancers. They are axicabtagene ciloleucel, sold by Gilead Sciences under the brand name Yescarta®, and tisagenlecleucel, sold by Novartis under the brand name Kymriah®. Subsequently, Gilead Sciences’ Brexucabtagene autoleuel, branded Tecartus®, was approved in July 2020 and Bristol Myers Squibbs’ lisocabtagene matraleucel, branded Breyanzi®, received FDA approval in February 2021. Yescarta®, Kymriah® and Brezyanzi® are approved for the treatment for relapsed or refractory large B-cell lymphoma, and Yescarta® is also approved for relapsed or refractory lymphoma and Tecartus® is approved for the treatment of relapsed or refractory mantel cell lymphoma. These therapies are autologous and made from T cells first collected from the patient, which are then genetically modified and administered back to the same patient. While these therapies represent a significant development milestone for the cellular therapy field overall, a significant percentage of patients who receive these therapies ultimately relapse. To date, no CAR-based cell therapies using NK cells have received FDA approval.</w:t>
      </w:r>
    </w:p>
    <w:p>
      <w:pPr>
        <w:spacing w:after="0" w:line="164" w:lineRule="exact"/>
        <w:rPr>
          <w:sz w:val="20"/>
          <w:szCs w:val="20"/>
          <w:color w:val="auto"/>
        </w:rPr>
      </w:pPr>
    </w:p>
    <w:p>
      <w:pPr>
        <w:ind w:left="1260" w:right="1119"/>
        <w:spacing w:after="0" w:line="254" w:lineRule="auto"/>
        <w:rPr>
          <w:sz w:val="20"/>
          <w:szCs w:val="20"/>
          <w:color w:val="auto"/>
        </w:rPr>
      </w:pPr>
      <w:r>
        <w:rPr>
          <w:rFonts w:ascii="Arial" w:cs="Arial" w:eastAsia="Arial" w:hAnsi="Arial"/>
          <w:sz w:val="18"/>
          <w:szCs w:val="18"/>
          <w:b w:val="1"/>
          <w:bCs w:val="1"/>
          <w:i w:val="1"/>
          <w:iCs w:val="1"/>
          <w:color w:val="auto"/>
        </w:rPr>
        <w:t>Advancements in cell therapy approaches have enhanced treatment alternatives for patients</w:t>
      </w:r>
    </w:p>
    <w:p>
      <w:pPr>
        <w:spacing w:after="0" w:line="135" w:lineRule="exact"/>
        <w:rPr>
          <w:sz w:val="20"/>
          <w:szCs w:val="20"/>
          <w:color w:val="auto"/>
        </w:rPr>
      </w:pPr>
    </w:p>
    <w:p>
      <w:pPr>
        <w:ind w:left="1260" w:right="559"/>
        <w:spacing w:after="0" w:line="283" w:lineRule="auto"/>
        <w:rPr>
          <w:sz w:val="20"/>
          <w:szCs w:val="20"/>
          <w:color w:val="auto"/>
        </w:rPr>
      </w:pPr>
      <w:r>
        <w:rPr>
          <w:rFonts w:ascii="Arial" w:cs="Arial" w:eastAsia="Arial" w:hAnsi="Arial"/>
          <w:sz w:val="18"/>
          <w:szCs w:val="18"/>
          <w:color w:val="auto"/>
        </w:rPr>
        <w:t>Cell therapy has built on the success of already approved autologous CAR-T cell therapies. Allogeneic therapy, which uses lymphocytes donated by a healthy donor as the starting material, is designed to overcome several limitations inherent in the autologous approach. We believe the use of iPSC-derived cells further expands the therapeutic potential of cell therapy beyond those that utilize healthy donor-derived NK or T cells.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Evolution of targeted cell therapies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139065</wp:posOffset>
            </wp:positionV>
            <wp:extent cx="4946015" cy="20758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46015" cy="207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of autologous CAR-T therapies</w:t>
      </w:r>
    </w:p>
    <w:p>
      <w:pPr>
        <w:spacing w:after="0" w:line="138" w:lineRule="exact"/>
        <w:rPr>
          <w:sz w:val="20"/>
          <w:szCs w:val="20"/>
          <w:color w:val="auto"/>
        </w:rPr>
      </w:pPr>
    </w:p>
    <w:p>
      <w:pPr>
        <w:ind w:left="1260" w:right="639"/>
        <w:spacing w:after="0" w:line="251" w:lineRule="auto"/>
        <w:rPr>
          <w:sz w:val="20"/>
          <w:szCs w:val="20"/>
          <w:color w:val="auto"/>
        </w:rPr>
      </w:pPr>
      <w:r>
        <w:rPr>
          <w:rFonts w:ascii="Arial" w:cs="Arial" w:eastAsia="Arial" w:hAnsi="Arial"/>
          <w:sz w:val="18"/>
          <w:szCs w:val="18"/>
          <w:color w:val="auto"/>
        </w:rPr>
        <w:t>Autologous CAR -T therapies have many characteristics that we believe limit their therapeutic potential. These therapies necessitate an individualized and lengthy manufacturing process, resulting in increased wait times for patients, limited product availability and increased supply chain complexity and cost. Additionally, patients may have undergone multiple therapeutic regimens such as chemotherapy or radiation treatment that may negatively impact the health of the donor cells. Damaged or weakened donor cells may not be able to properly proliferate, resulting in manufacturing failure or insufficient potency.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of healthy donor-derived allogeneic CAR-NK and CAR-T therapies</w:t>
      </w:r>
    </w:p>
    <w:p>
      <w:pPr>
        <w:spacing w:after="0" w:line="151"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Allogeneic CAR-T and CAR-NK therapy uses lymphocytes donated by a person other than the patient as the starting biological material. Since the manufacturing process for allogeneic therapies is not individualized, allogeneic approaches enable immediate treatment availability and the opportunity to distribute cost across a larger number of doses, lowering the manufacturing cost per dose. Manufacturing healthy donor cells in larger batches provides the opportunity for more rigorous quality control and the production of engineered cells of a more consistent character while reducing the risk of manufacturing failure. While these benefits address some of the key limitations of autologous CAR-T therapies, allogeneic approaches still face challenges, including:</w:t>
      </w:r>
    </w:p>
    <w:p>
      <w:pPr>
        <w:spacing w:after="0" w:line="3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GvHD.</w:t>
      </w:r>
    </w:p>
    <w:p>
      <w:pPr>
        <w:spacing w:after="0" w:line="161"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Graft versus host disease, or GvHD, is a serious and life-threatening conditions triggered when donor T cells recognize the recipient as non-self and initiate a powerful immune response against the recipient. This recognition is mediated by TCR engagement with the HLA expressed on organs of the recipient. Conversely, allogeneic CAR-T cells may be recognized as foreign to the recipient’s body and eliminated by the recipient’s immune system. CAR-NK cells do not express a TCR, and therefore the use of iNK cells does not trigger GvHD.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Host versus graft rejection.</w:t>
      </w:r>
    </w:p>
    <w:p>
      <w:pPr>
        <w:spacing w:after="0" w:line="161"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In a similar fashion, allogeneic CAR-T cells may be recognized as foreign by the recipient's immune system, leading to their rejection. The patient's immune system being sensitized to the allogenic CAR-T also precludes the ability for the cells to be effectively re-dosed. Both outcomes diminish the ability of the infused cells to attack the cancer.</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Limited gene editing potential.</w:t>
      </w:r>
    </w:p>
    <w:p>
      <w:pPr>
        <w:spacing w:after="0" w:line="147" w:lineRule="exact"/>
        <w:rPr>
          <w:sz w:val="20"/>
          <w:szCs w:val="20"/>
          <w:color w:val="auto"/>
        </w:rPr>
      </w:pPr>
    </w:p>
    <w:p>
      <w:pPr>
        <w:jc w:val="both"/>
        <w:ind w:left="1260" w:right="799"/>
        <w:spacing w:after="0" w:line="254" w:lineRule="auto"/>
        <w:rPr>
          <w:sz w:val="20"/>
          <w:szCs w:val="20"/>
          <w:color w:val="auto"/>
        </w:rPr>
      </w:pPr>
      <w:r>
        <w:rPr>
          <w:rFonts w:ascii="Arial" w:cs="Arial" w:eastAsia="Arial" w:hAnsi="Arial"/>
          <w:sz w:val="18"/>
          <w:szCs w:val="18"/>
          <w:color w:val="auto"/>
        </w:rPr>
        <w:t>Allogeneic approaches that utilize differentiated lymphocytes are limited to just a few genetic edits. One edit utilized consistently across all allogeneic approaches is the addition of a CAR. Furthermore, elimination of the HLA-I</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is another typical edit. The number of edits that can be introduced into the genome of differentiated NK cells or T cells is limited, as each engineering step requires cells to replicate and too many expansion cycles often result in cell exhaustion.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Finite replication capacity.</w:t>
      </w:r>
    </w:p>
    <w:p>
      <w:pPr>
        <w:spacing w:after="0" w:line="147"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Once donor cells have been sourced and modified, they must be expanded into a quantity sufficient for therapeutic efficacy.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NK cells or T cells is severely limited, as each engineering step requires cells to replicate. Too many expansion cycles often result in cell exhaustion, with the engineered lymphocytes (white blood cells) expressing checkpoint molecules, often accompanied by a loss of functionality.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Advantages of iPSC vs. donor-derived approaches</w:t>
      </w:r>
    </w:p>
    <w:p>
      <w:pPr>
        <w:spacing w:after="0" w:line="165"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An iPSC is a type of stem cell that can be generated directly from a functionally differentiated somatic cell such as a blood cell, skin cell or bone cell. IPSC-derived cell products offer what we believe are significant technical and manufacturing advantages compared to both autologous and other allogeneic approaches. IPSC cells can propagate indefinitely and can act as a progenitor cell for other cell types, including the different types of immune cells. Our in- licensed iPSC technology allows us to reprogram differentiated cells to become iPSCs and to then differentiate the iPSCs to generate different immune cell types including NK cells and T cells. We believe some of the advantages offered by iPSCs are: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Receptive to complex genetic editing.</w:t>
      </w:r>
    </w:p>
    <w:p>
      <w:pPr>
        <w:spacing w:after="0" w:line="161"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We believe that iPSCs are far more amenable to multiple genetic manipulations than donor-derived NK cells and T cells because iPSC cells can undergo multiple rounds of replication without loss of functionality. In contrast, differentiated cells used in donor derived allogeneic approaches are limited to just a few genetic edits, which can impact their overall functionality. The number of edits that can be introduced into the genome of differentiated NK cells or T cells is limited because each engineering step requires cells to replicate and too many expansion cycles often result in cell exhaustion and loss of functionality.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Significant replication capacity.</w:t>
      </w:r>
    </w:p>
    <w:p>
      <w:pPr>
        <w:spacing w:after="0" w:line="147"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iPSCs are derived from single cell clones, which are used to construct a master cell bank capable of providing a sufficient number of doses for the life of a product due to the unlimited replicative capacity of iPSCs.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Streamlined manufacturing and consistent product.</w:t>
      </w:r>
    </w:p>
    <w:p>
      <w:pPr>
        <w:spacing w:after="0" w:line="161" w:lineRule="exact"/>
        <w:rPr>
          <w:sz w:val="20"/>
          <w:szCs w:val="20"/>
          <w:color w:val="auto"/>
        </w:rPr>
      </w:pPr>
    </w:p>
    <w:p>
      <w:pPr>
        <w:jc w:val="both"/>
        <w:ind w:left="1260" w:right="699"/>
        <w:spacing w:after="0" w:line="254" w:lineRule="auto"/>
        <w:rPr>
          <w:sz w:val="20"/>
          <w:szCs w:val="20"/>
          <w:color w:val="auto"/>
        </w:rPr>
      </w:pPr>
      <w:r>
        <w:rPr>
          <w:rFonts w:ascii="Arial" w:cs="Arial" w:eastAsia="Arial" w:hAnsi="Arial"/>
          <w:sz w:val="18"/>
          <w:szCs w:val="18"/>
          <w:color w:val="auto"/>
        </w:rPr>
        <w:t>The use of a single master cell bank allows iPSC- derived products to be produced with greater consistency, at the greatest possible scale and at reduced cost compared to donor-derived NK cells or T cells.</w:t>
      </w:r>
    </w:p>
    <w:p>
      <w:pPr>
        <w:spacing w:after="0" w:line="137" w:lineRule="exact"/>
        <w:rPr>
          <w:sz w:val="20"/>
          <w:szCs w:val="20"/>
          <w:color w:val="auto"/>
        </w:rPr>
      </w:pPr>
    </w:p>
    <w:p>
      <w:pPr>
        <w:ind w:left="1260" w:right="479"/>
        <w:spacing w:after="0" w:line="260" w:lineRule="auto"/>
        <w:rPr>
          <w:sz w:val="20"/>
          <w:szCs w:val="20"/>
          <w:color w:val="auto"/>
        </w:rPr>
      </w:pPr>
      <w:r>
        <w:rPr>
          <w:rFonts w:ascii="Arial" w:cs="Arial" w:eastAsia="Arial" w:hAnsi="Arial"/>
          <w:sz w:val="18"/>
          <w:szCs w:val="18"/>
          <w:color w:val="auto"/>
        </w:rPr>
        <w:t>We believe that iPSC-derived cell therapies provide meaningful advantages over other modalities and have the potential to disrupt the oncology treatment paradigm.</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rationale for developing both iNK and iT allogeneic cell therapy platforms</w:t>
      </w:r>
    </w:p>
    <w:p>
      <w:pPr>
        <w:spacing w:after="0" w:line="151"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We are focusing on two immune effector cell platforms, CAR-iNK and CAR-iT.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 We believe that gene engineering and control over differentiation during manufacturing may mitigate some of the liabilities of a given cell type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while preserving the most desirable features. Examples of this include the potential reduction of the risk of GvHD in iT cells through the use of TCRs that are not expected to cause GvHD, which we refer to herein as Trusted TCRs, or the potential extension of cell persistence of NK cells through the addition of cytokine signaling to promote survival. Finally, there are also clinical settings in which a putative shortcoming inherent to one cell type (e.g., short persistence of NK cells) might confer an advantage (e.g., when targeting AML antigens that are also expressed on some normal hematopoietic progenitors, enabling a chance for normal cell recovery between doses). Ultimately, the development of both platforms enables a unique opportunity to merge the intrinsic biology of these lymphocyte subsets with desirable engineering attributes to tailor therapies best suited for the clinical path being pursued.</w:t>
      </w:r>
    </w:p>
    <w:p>
      <w:pPr>
        <w:spacing w:after="0" w:line="105" w:lineRule="exact"/>
        <w:rPr>
          <w:sz w:val="20"/>
          <w:szCs w:val="20"/>
          <w:color w:val="auto"/>
        </w:rPr>
      </w:pPr>
    </w:p>
    <w:p>
      <w:pPr>
        <w:jc w:val="center"/>
        <w:ind w:left="1880"/>
        <w:spacing w:after="0" w:line="301" w:lineRule="auto"/>
        <w:rPr>
          <w:sz w:val="20"/>
          <w:szCs w:val="20"/>
          <w:color w:val="auto"/>
        </w:rPr>
      </w:pPr>
      <w:r>
        <w:rPr>
          <w:rFonts w:ascii="Arial" w:cs="Arial" w:eastAsia="Arial" w:hAnsi="Arial"/>
          <w:sz w:val="18"/>
          <w:szCs w:val="18"/>
          <w:b w:val="1"/>
          <w:bCs w:val="1"/>
          <w:color w:val="auto"/>
        </w:rPr>
        <w:t>Development of CAR-NK and CAR-T platforms: distinct biology influences disease-specific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94615</wp:posOffset>
            </wp:positionV>
            <wp:extent cx="3818255" cy="2323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18255"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Our proprietary technology and differentiated approach</w:t>
      </w:r>
    </w:p>
    <w:p>
      <w:pPr>
        <w:spacing w:after="0" w:line="187"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b w:val="1"/>
          <w:bCs w:val="1"/>
          <w:i w:val="1"/>
          <w:iCs w:val="1"/>
          <w:color w:val="auto"/>
        </w:rPr>
        <w:t>Advanced cell engineering expertise further differentiates our iPSC-derived allogeneic cell therapies</w:t>
      </w:r>
    </w:p>
    <w:p>
      <w:pPr>
        <w:spacing w:after="0" w:line="135"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Our research and development team includes personnel with deep expertise in cell engineering. Cell engineering encompasses two critical components: genome engineering and protein engineering. We believe robust expertise in both these areas is of critical importance to realizing the potential of our iPSC-derived allogeneic cell therapy platforms. Genome engineering involves the manipulation of the cellular genome, through the use of genetic manipulation strategies including genetic knock-outs, knock-ins and homology directed repair, to enable the creation of optimized cell products specifically tailored to address a particular disease. Protein engineering refers to the engineering and incorporation of CARs and other transgenes such as stimulatory cytokines, allo-evasive molecules, safety switches, and reporter proteins to generate highly functional cell therapies. We leverage these integrated capabilities to potentially enable our cell therapies to persist longer, to overcome detection by the host immune system and to elicit an enhanced therapeutic effect.</w:t>
      </w: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Common engineered iPSC progenitor</w:t>
      </w:r>
    </w:p>
    <w:p>
      <w:pPr>
        <w:spacing w:after="0" w:line="174"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All of our product candidates include a set of core features to increase their functionality, safety, and persistence. These features include (i) our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to enable the cells to avoid detection by the host immune system; (ii) a safety switch to allow for the rapid elimination of the cells from the patient if necessary; (iii) the inclusion of a homeostatic cytokine, IL-15, which promotes increased functionality and persistence </w:t>
      </w:r>
      <w:r>
        <w:rPr>
          <w:rFonts w:ascii="Arial" w:cs="Arial" w:eastAsia="Arial" w:hAnsi="Arial"/>
          <w:sz w:val="18"/>
          <w:szCs w:val="18"/>
          <w:i w:val="1"/>
          <w:iCs w:val="1"/>
          <w:color w:val="auto"/>
        </w:rPr>
        <w:t>in vivo</w:t>
      </w:r>
      <w:r>
        <w:rPr>
          <w:rFonts w:ascii="Arial" w:cs="Arial" w:eastAsia="Arial" w:hAnsi="Arial"/>
          <w:sz w:val="18"/>
          <w:szCs w:val="18"/>
          <w:color w:val="auto"/>
        </w:rPr>
        <w:t>, and is specific to NK cell therapy candidates; and (iv) a positron emission tomography, or PET, reporter molecule to allow for tracing of the distribution of cells upon administration, a capability we intend to include in our future product candidates. Our lead product candidate, CNTY-101, already incorporates the first three of these</w:t>
      </w:r>
    </w:p>
    <w:p>
      <w:pPr>
        <w:sectPr>
          <w:pgSz w:w="11900" w:h="16838" w:orient="portrait"/>
          <w:cols w:equalWidth="0" w:num="1">
            <w:col w:w="9859"/>
          </w:cols>
          <w:pgMar w:left="600" w:top="132" w:right="1440" w:bottom="11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128"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features. We plan to build all of these core features into a “common engineered iPSC progenitor” which will be utilized in the creation of a mater cell bank. Further engineering to advance a development candidate for a specific target is then limited only to the addition of a CAR construct, allowing the generation of multiple product candidates targeting different indications from a single iPSC progenitor.</w:t>
      </w:r>
    </w:p>
    <w:p>
      <w:pPr>
        <w:spacing w:after="0" w:line="10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A single engineered iPSC progenitor can be used for multiple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147955</wp:posOffset>
            </wp:positionV>
            <wp:extent cx="5022850" cy="1922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22850" cy="192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Highly efficient engineering processes</w:t>
      </w:r>
    </w:p>
    <w:p>
      <w:pPr>
        <w:spacing w:after="0" w:line="174"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We have designed highly efficient engineering processes to generate our product candidates. During the engineering process, we frequently combine the knock-out of specific genes with the knock-in of transgenes we seek to express. In the case of CNTY-101, our lead product candidates, we incorporate six gene edits into three engineering steps to combine the knock-out of two genes (beta-2-microglobulin, or β2m, and Class II Major Histocompatibility Complex Transactivator, or CIITA) with the knock-in of four transgenes (HLA-E, EGFR safety switch, IL-15, and CD19 CAR). The specific steps include (i) knock-out of β2m to eliminate HLA-I expression with the knock-in of HLA-E, (ii) knock-out of CIITA to eliminate HLA-II expression with the simultaneous knock-in of the EGFR safety switch and IL-15 and (iii) knock-in of the CAR construct into the adeno-associated virus insertion sequence 1, or AAVS1, locus.</w:t>
      </w:r>
    </w:p>
    <w:p>
      <w:pPr>
        <w:spacing w:after="0" w:line="119"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Engineering steps used to generate our CNTY-101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139700</wp:posOffset>
            </wp:positionV>
            <wp:extent cx="5005705" cy="18707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05705"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These modifications are enabled by our innovative use of advanced biological engineering tools and technologies coupled with the application of internal expertise. We use CRISPR-based nuclease to enable precise editing of the iPSC genome. For CNTY-101 we used the nuclease Cpf-1 but have shifted to CRISPR-MAD7 for all subsequent programs for commercial reasons. In addition to our license from Inscripta, Inc. to use CRISPR-MAD7, we also</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639"/>
        <w:spacing w:after="0" w:line="284" w:lineRule="auto"/>
        <w:rPr>
          <w:sz w:val="20"/>
          <w:szCs w:val="20"/>
          <w:color w:val="auto"/>
        </w:rPr>
      </w:pPr>
      <w:r>
        <w:rPr>
          <w:rFonts w:ascii="Arial" w:cs="Arial" w:eastAsia="Arial" w:hAnsi="Arial"/>
          <w:sz w:val="18"/>
          <w:szCs w:val="18"/>
          <w:color w:val="auto"/>
        </w:rPr>
        <w:t>have a license from Inscripta, Inc. to access the sequence of the enzyme which allows us to develop proprietary protocols to produce and purify the enzyme in-house as well as optimize its use to edit the genome. We have optimized our use of CRISPR-MAD7 to enable CRISPR-mediated homologous recombination and repair of multiple edits per iPSC.</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Advantages of our proprietary Allo-Evasion</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xml:space="preserve"> technology</w:t>
      </w:r>
    </w:p>
    <w:p>
      <w:pPr>
        <w:spacing w:after="0" w:line="94" w:lineRule="exact"/>
        <w:rPr>
          <w:sz w:val="20"/>
          <w:szCs w:val="20"/>
          <w:color w:val="auto"/>
        </w:rPr>
      </w:pPr>
    </w:p>
    <w:p>
      <w:pPr>
        <w:ind w:left="1260" w:right="539"/>
        <w:spacing w:after="0" w:line="271" w:lineRule="auto"/>
        <w:rPr>
          <w:sz w:val="20"/>
          <w:szCs w:val="20"/>
          <w:color w:val="auto"/>
        </w:rPr>
      </w:pPr>
      <w:r>
        <w:rPr>
          <w:rFonts w:ascii="Arial" w:cs="Arial" w:eastAsia="Arial" w:hAnsi="Arial"/>
          <w:sz w:val="18"/>
          <w:szCs w:val="18"/>
          <w:color w:val="auto"/>
        </w:rPr>
        <w:t>We believe that our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engineering technology will allow our cell product candidates to escape recognition and destruction by the host immune system. We believe the reduction in allogeneic reactivity enabled by our use of this technology will allow us to repeat dosing of our CAR-modified cell therapies to improve therapeutic efficacy. In combination with the extended killing capability of optimized immune cells derived from single genetically engineered cell cloning, we envision utilizing repeat dosing to maximize durability of response and efficacy. Additionally, we believe this technology may permit dosing in patients with limited or no immune preconditioning regimens.</w:t>
      </w:r>
    </w:p>
    <w:p>
      <w:pPr>
        <w:spacing w:after="0" w:line="9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llustrative potential of PK of Allo-Evasion</w:t>
      </w:r>
      <w:r>
        <w:rPr>
          <w:rFonts w:ascii="Arial" w:cs="Arial" w:eastAsia="Arial" w:hAnsi="Arial"/>
          <w:sz w:val="26"/>
          <w:szCs w:val="26"/>
          <w:b w:val="1"/>
          <w:bCs w:val="1"/>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128270</wp:posOffset>
            </wp:positionV>
            <wp:extent cx="4997450" cy="20758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97450" cy="207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Future generations of our cell therapies will embrace an extended range of capabilities</w:t>
      </w:r>
    </w:p>
    <w:p>
      <w:pPr>
        <w:spacing w:after="0" w:line="174" w:lineRule="exact"/>
        <w:rPr>
          <w:sz w:val="20"/>
          <w:szCs w:val="20"/>
          <w:color w:val="auto"/>
        </w:rPr>
      </w:pPr>
    </w:p>
    <w:p>
      <w:pPr>
        <w:ind w:left="1260" w:right="459"/>
        <w:spacing w:after="0" w:line="282" w:lineRule="auto"/>
        <w:rPr>
          <w:sz w:val="20"/>
          <w:szCs w:val="20"/>
          <w:color w:val="auto"/>
        </w:rPr>
      </w:pPr>
      <w:r>
        <w:rPr>
          <w:rFonts w:ascii="Arial" w:cs="Arial" w:eastAsia="Arial" w:hAnsi="Arial"/>
          <w:sz w:val="18"/>
          <w:szCs w:val="18"/>
          <w:color w:val="auto"/>
        </w:rPr>
        <w:t>We envision future generations of our iPSC-derived allogeneic cell therapy platforms to incorporate additional capabilities. For instance, we are working on new approaches to lessen the effects of immunosuppressive cytokines, increase the secretion of pro-inflammatory cytokines, improve tumor homing through engineered receptors, convert immune checkpoints into co-stimulatory signals and recruit and activate endogenous immunity. We believe therapeutic enhancements such as these may be particularly relevant to cell therapies intended to treat solid tumors. In addition, we intend to engineer into our iPSCs a PET reporter molecule to enable the imaging of the patient to trace the distribution of the administered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Future product candidates will be designed to embrace a potentially extended range of</w:t>
      </w:r>
    </w:p>
    <w:p>
      <w:pPr>
        <w:spacing w:after="0" w:line="3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133350</wp:posOffset>
            </wp:positionV>
            <wp:extent cx="3707130" cy="2434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0713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To achieve our objective of discovering, developing and ultimately commercializing innovative cell therapies to treat cancer, we believe our core competencies and capabilities must extend well beyond a knowledge of iPSCs. In addition to deep capabilities in cell engineering, we believe the expertise needed in-house must also include iPSC biology, oncology, immunology, and manufacturing which are essential to engineer and develop cell therapies that have a high likelihood of clinical success.</w:t>
      </w:r>
    </w:p>
    <w:p>
      <w:pPr>
        <w:spacing w:after="0" w:line="3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Manufacturing, product quality and COGS advantages</w:t>
      </w:r>
    </w:p>
    <w:p>
      <w:pPr>
        <w:spacing w:after="0" w:line="151"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We believe our use of iPSCs, which have unlimited replicative capacity, will allow us to develop a streamlined manufacturing process with scalability advantages while producing consistent, high quality, off- the-shelf products at reduced manufacturing costs. Given the unlimited replicative capacity of iPSCs, we believe that a single master cell bank can be used for the lifetime of the product.</w:t>
      </w:r>
    </w:p>
    <w:p>
      <w:pPr>
        <w:spacing w:after="0" w:line="151"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We intend to develop expertise in scale-up technologies to enable optimal manufacturing scale. To achieve this goal, we are building a team of process development engineers and scientists as well as manufacturing and quality staff with experience in scaling cell expansion, cell harvest and final product filling processes. In addition, we are leveraging knowledge from other modalities, such as allogeneic mesenchymal stromal cell therapies, live virus vaccines, and therapeutic proteins such as monoclonal antibodies, to identify and develop scalable technologies intended to enhance our manufacturing and production processes. We believe that these efforts will ultimately result in efficiencies of scale and reduced manufacturing costs for our products. We intend to increase our investment in scale-up technology as our product pipeline advances through clinical trials towards commercialization.</w:t>
      </w:r>
    </w:p>
    <w:p>
      <w:pPr>
        <w:spacing w:after="0" w:line="370"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are investing in internal manufacturing facilities and capabilities that we believe will enable us to analyze, learn and adapt more rapidly, reduce manufacturing costs and increase control of development and manufacturing timelines for efficient clinical development and, if approved, commercial production of our product candidates. A key aspect of our investment in internal manufacturing facilities and capabilities includes the construction of our Current Good Manufacturing Practices, or cGMP, manufacturing facility in Branchburg, New Jersey. We anticipate that this facility will become operational by the end of 2021. This multi-product, multi-phase facility will have the capabilities and capacity to manufacture both NK and T cells, as well as other immune cell types, for complete optionality.</w:t>
      </w:r>
    </w:p>
    <w:p>
      <w:pPr>
        <w:spacing w:after="0" w:line="128" w:lineRule="exact"/>
        <w:rPr>
          <w:sz w:val="20"/>
          <w:szCs w:val="20"/>
          <w:color w:val="auto"/>
        </w:rPr>
      </w:pPr>
    </w:p>
    <w:p>
      <w:pPr>
        <w:ind w:left="1260" w:right="599"/>
        <w:spacing w:after="0" w:line="270" w:lineRule="auto"/>
        <w:rPr>
          <w:sz w:val="20"/>
          <w:szCs w:val="20"/>
          <w:color w:val="auto"/>
        </w:rPr>
      </w:pPr>
      <w:r>
        <w:rPr>
          <w:rFonts w:ascii="Arial" w:cs="Arial" w:eastAsia="Arial" w:hAnsi="Arial"/>
          <w:sz w:val="18"/>
          <w:szCs w:val="18"/>
          <w:color w:val="auto"/>
        </w:rPr>
        <w:t>We believe that having access to our internal manufacturing facility, along with that of FCDI, will increase clinical supply availability and provide us with manufacturing and developmental flexibility. Furthermore, the expertise</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and learnings at each site can be leveraged for a greater probability of success on any project at either site. We believe this manufacturing network, along with our commitment to develop expertise in process scale- up and process understanding, will enable more efficient manufacturing and clinical development with lower cost of goods and consistent product quality.</w:t>
      </w:r>
    </w:p>
    <w:p>
      <w:pPr>
        <w:spacing w:after="0" w:line="168" w:lineRule="exact"/>
        <w:rPr>
          <w:sz w:val="20"/>
          <w:szCs w:val="20"/>
          <w:color w:val="auto"/>
        </w:rPr>
      </w:pPr>
    </w:p>
    <w:p>
      <w:pPr>
        <w:ind w:left="1260" w:right="1079"/>
        <w:spacing w:after="0" w:line="254" w:lineRule="auto"/>
        <w:rPr>
          <w:sz w:val="20"/>
          <w:szCs w:val="20"/>
          <w:color w:val="auto"/>
        </w:rPr>
      </w:pPr>
      <w:r>
        <w:rPr>
          <w:rFonts w:ascii="Arial" w:cs="Arial" w:eastAsia="Arial" w:hAnsi="Arial"/>
          <w:sz w:val="18"/>
          <w:szCs w:val="18"/>
          <w:b w:val="1"/>
          <w:bCs w:val="1"/>
          <w:i w:val="1"/>
          <w:iCs w:val="1"/>
          <w:color w:val="auto"/>
        </w:rPr>
        <w:t>Off-the-shelf commercialization opportunity for iPSC-derived allogeneic cell therapy platform derived product candidates</w:t>
      </w:r>
    </w:p>
    <w:p>
      <w:pPr>
        <w:spacing w:after="0" w:line="95"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Allogeneic cells that can be cryopreserved offer the inherent advantage of off-the-shelf availability. Unlike autologous products, which cannot be produced until patient material is collected, the timing for manufacturing of allogeneic products is not dependent upon the patient. Primary donor cells can be collected and genetically modified well in advance of manufacturing, and manufacturing can be planned such that product is always readily available off-the-shelf for patients.</w:t>
      </w:r>
    </w:p>
    <w:p>
      <w:pPr>
        <w:spacing w:after="0" w:line="353"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While cell therapies can be cryopreserved, cell quality may be negatively impacted by the freezing and thawing cycle. To combat this, we are making a significant investment in the development of robust and reliable freezing and thawing methods through rigorous examination of pre -freezing conditions that might affect the freeze/thaw, freezing parameters such as excipient types and concentrations, freezing temperature profiles, container configurations, and thawing conditions. The optimization of the many parameters that go into these steps will be enabled by the development of reliable quality testing procedures that measure the critical quality attributes of the product. We believe investing in these procedures and methods will help ensure that our cryopreserved cells maintain their quality through the freezing and thawing process.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Preclinical profiles or characteristics of development candidates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product platforms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iPSC-derived iNK cell platform</w:t>
      </w:r>
    </w:p>
    <w:p>
      <w:pPr>
        <w:spacing w:after="0" w:line="161"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Multiple processes have evolved to allow for the differentiation of an iPSC into an immune cell. Many of these approaches involve platforms that use various signaling molecules, referred to as feeder cells, to facilitate iPSC differentiation. We have engineered our iNK cell platform so that that it is feeder cell-free, which simplifies the manufacturing process and further reduces manufacturing costs.</w:t>
      </w:r>
    </w:p>
    <w:p>
      <w:pPr>
        <w:spacing w:after="0" w:line="13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Differentiation of iPSCs to functional immune cells involves a series of process stages conducted under strictly controlled conditions, with different cytokine mixtures introduced at different process stages. IPSCs are initially differentiated into hematopoietic progenitor cells, or HPCs, during which they assemble into three-dimensional aggregates. Cells from these aggregates bud off and are replated onto different tissue culture vessels coated with a specific extracellular matrix and exposed to a cytokine cocktail that promotes differentiation of the HPCs to NK cells, a process that takes fourteen days. After differentiation, cells are incubated for seven days to activate the NK cells. We are currently capable of achieving fully functional iNK cells from iPSCs in 30 days.</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The phenotype of iPSC-derived NK cells is similar to primary human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139065</wp:posOffset>
            </wp:positionV>
            <wp:extent cx="4937125" cy="17595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37125" cy="175958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539"/>
        <w:spacing w:after="0" w:line="282" w:lineRule="auto"/>
        <w:rPr>
          <w:sz w:val="20"/>
          <w:szCs w:val="20"/>
          <w:color w:val="auto"/>
        </w:rPr>
      </w:pPr>
      <w:r>
        <w:rPr>
          <w:rFonts w:ascii="Arial" w:cs="Arial" w:eastAsia="Arial" w:hAnsi="Arial"/>
          <w:sz w:val="18"/>
          <w:szCs w:val="18"/>
          <w:color w:val="auto"/>
        </w:rPr>
        <w:t>We have intentionally focused on the parameters that define immune cell functionality to direct internal development initiatives. This focus is intended to improve upon the intellectual property licensed from FCDI. Accordingly, the parameters which have been the primary drivers of our activities have been cell persistence, killing potential and lack of induced toxicities, among other considerations. At the same time, we also characterize the cells phenotypically. As evidenced in the comparison presented above, NK cells derived from our iPSC-derived allogeneic cell therapy platforms are similar to primary human NK cells recovered from peripheral blood, with the phenotypic markers we evaluated displaying close alignment and the slight differences observed reflecting expected person-to-person variation.</w:t>
      </w:r>
    </w:p>
    <w:p>
      <w:pPr>
        <w:spacing w:after="0" w:line="125" w:lineRule="exact"/>
        <w:rPr>
          <w:sz w:val="20"/>
          <w:szCs w:val="20"/>
          <w:color w:val="auto"/>
        </w:rPr>
      </w:pPr>
    </w:p>
    <w:p>
      <w:pPr>
        <w:ind w:left="1260" w:right="439"/>
        <w:spacing w:after="0" w:line="282" w:lineRule="auto"/>
        <w:rPr>
          <w:sz w:val="20"/>
          <w:szCs w:val="20"/>
          <w:color w:val="auto"/>
        </w:rPr>
      </w:pPr>
      <w:r>
        <w:rPr>
          <w:rFonts w:ascii="Arial" w:cs="Arial" w:eastAsia="Arial" w:hAnsi="Arial"/>
          <w:sz w:val="18"/>
          <w:szCs w:val="18"/>
          <w:color w:val="auto"/>
        </w:rPr>
        <w:t xml:space="preserve">Assessment of these cells’ functionality demonstrates their potential for tumor cell cytotoxicity. Through a series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we evaluated the various mechanisms through which iNK cells eliminate tumor cells. As is presented below, one of the mechanisms used by NK cells to kill tumor cells involves the recognition of tumor cells lacking HLA-I by innate immune receptors. Using a leukemic cell line, K562, that lacks HLA molecules, we noted that the cell killing capacity of our iNK cells closely mirrored that of NK cells isolated from peripheral blood.</w:t>
      </w:r>
    </w:p>
    <w:p>
      <w:pPr>
        <w:spacing w:after="0" w:line="120"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Our iNK cells kill K562 tumor cells similarly to PBMC peripheral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156210</wp:posOffset>
            </wp:positionV>
            <wp:extent cx="3681730" cy="25971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8173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right="599"/>
        <w:spacing w:after="0" w:line="288" w:lineRule="auto"/>
        <w:rPr>
          <w:sz w:val="20"/>
          <w:szCs w:val="20"/>
          <w:color w:val="auto"/>
        </w:rPr>
      </w:pPr>
      <w:r>
        <w:rPr>
          <w:rFonts w:ascii="Arial" w:cs="Arial" w:eastAsia="Arial" w:hAnsi="Arial"/>
          <w:sz w:val="18"/>
          <w:szCs w:val="18"/>
          <w:i w:val="1"/>
          <w:iCs w:val="1"/>
          <w:color w:val="auto"/>
        </w:rPr>
        <w:t>Century’s iNK cells and PBMC NK cells where incubated with K562 tumor cells labelled with NuclightRed, or NLR, for 72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35" w:lineRule="exact"/>
        <w:rPr>
          <w:sz w:val="20"/>
          <w:szCs w:val="20"/>
          <w:color w:val="auto"/>
        </w:rPr>
      </w:pPr>
    </w:p>
    <w:p>
      <w:pPr>
        <w:ind w:left="1260" w:right="539"/>
        <w:spacing w:after="0" w:line="284" w:lineRule="auto"/>
        <w:rPr>
          <w:sz w:val="20"/>
          <w:szCs w:val="20"/>
          <w:color w:val="auto"/>
        </w:rPr>
      </w:pPr>
      <w:r>
        <w:rPr>
          <w:rFonts w:ascii="Arial" w:cs="Arial" w:eastAsia="Arial" w:hAnsi="Arial"/>
          <w:sz w:val="18"/>
          <w:szCs w:val="18"/>
          <w:color w:val="auto"/>
        </w:rPr>
        <w:t>The addition of a CAR construct to the NK cell introduces a second mechanism by which tumor cells are eliminated. Our iPSC-derived NK cells demonstrated CAR-mediated tumor-cell killing of CD19 lymphoma cells, or Raji cells, comparable to peripheral blood CAR-Ts engineered with the same CAR construct.</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Our CAR-iNK cells kill lymphoma cells similarly to peripheral blood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147955</wp:posOffset>
            </wp:positionV>
            <wp:extent cx="3707130" cy="27247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707130" cy="272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right="599"/>
        <w:spacing w:after="0" w:line="273" w:lineRule="auto"/>
        <w:rPr>
          <w:sz w:val="20"/>
          <w:szCs w:val="20"/>
          <w:color w:val="auto"/>
        </w:rPr>
      </w:pPr>
      <w:r>
        <w:rPr>
          <w:rFonts w:ascii="Arial" w:cs="Arial" w:eastAsia="Arial" w:hAnsi="Arial"/>
          <w:sz w:val="18"/>
          <w:szCs w:val="18"/>
          <w:i w:val="1"/>
          <w:iCs w:val="1"/>
          <w:color w:val="auto"/>
        </w:rPr>
        <w:t>Our CAR-iNK cells and peripheral blood CAR-T cells where incubated with Raji tumor cells labelled with NLR for 60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19"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Our iNK cells also demonstrate the ability to engage and kill cancerous cells through multiple challenge rounds. In an evaluation of sustained killing capability, the results of which are presented below, we observed that iNK cells were successful in eliminating lymphoma cells through seven killing cycles before evidence of cell exhaustion and a decrease in cytolytic activity was observed. These results suggest that not only are the cells capable of retaining functionality and the ability to proliferate, but that the cytolytic machinery and signaling mechanism connecting target recognition to effector immune cells maintains sustained durability as well.</w:t>
      </w:r>
    </w:p>
    <w:p>
      <w:pPr>
        <w:spacing w:after="0" w:line="1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Our CAR-iNK cells have robust serial killing activity against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147955</wp:posOffset>
            </wp:positionV>
            <wp:extent cx="3733165" cy="2468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33165" cy="246888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i w:val="1"/>
          <w:iCs w:val="1"/>
          <w:color w:val="auto"/>
        </w:rPr>
        <w:t>Our CAR-iNK cells where incubated with Reh tumor cells labelled with NLR for multiple rounds of killing. Every 72 hours, the iNK cells were transferred to new tissue culture wells containing fresh tumor cells and allowed to kill for 72 hours. Cocultures were imaged every 3 hours on the Incucyte live cell imager. Upon cytolysis the target cells lose their NLR signal. Tumor cell index measures the density of tumor cells in the wells and is calculated as (tumor and iNK well at time x</w:t>
      </w:r>
    </w:p>
    <w:p>
      <w:pPr>
        <w:spacing w:after="0" w:line="2" w:lineRule="exact"/>
        <w:rPr>
          <w:sz w:val="20"/>
          <w:szCs w:val="20"/>
          <w:color w:val="auto"/>
        </w:rPr>
      </w:pPr>
    </w:p>
    <w:p>
      <w:pPr>
        <w:ind w:left="1260" w:right="699" w:hanging="5"/>
        <w:spacing w:after="0" w:line="290" w:lineRule="auto"/>
        <w:tabs>
          <w:tab w:leader="none" w:pos="1369"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tumor only well at time x) / (tumor and iNK well at first time point) * 100. Loss in killing activity was observed between rounds seven and eight.</w:t>
      </w:r>
    </w:p>
    <w:p>
      <w:pPr>
        <w:spacing w:after="0" w:line="86"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color w:val="auto"/>
        </w:rPr>
        <w:t xml:space="preserve">The tumor-killing potential of our iNK cells was confirmed through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evaluations. Raji lymphoma cells were administered intravenously to mice that were then dosed three consecutive days with both non-engineered and CAR-modified iNK cells, which had also been engineered to express the IL-15 cytokine. Tumor growth was then monitored over the following 20 days. As is illustrated in the graph below, the CAR-IL15 iNK cells showed meaningful anti-tumor activity, with tumor growth inhibition shown to be as high as 84.7%. Notably this study was conducted using bulk engineered material, prior to single cell cloning, which we believe has the potential to enhance anti-tumor activity.</w:t>
      </w:r>
    </w:p>
    <w:p>
      <w:pPr>
        <w:spacing w:after="0" w:line="3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 xml:space="preserve">Our CAR-iNK cells have robust anti-tumor activity </w:t>
      </w:r>
      <w:r>
        <w:rPr>
          <w:rFonts w:ascii="Arial" w:cs="Arial" w:eastAsia="Arial" w:hAnsi="Arial"/>
          <w:sz w:val="18"/>
          <w:szCs w:val="18"/>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147955</wp:posOffset>
            </wp:positionV>
            <wp:extent cx="3783965" cy="34169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783965" cy="341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459"/>
        <w:spacing w:after="0" w:line="233" w:lineRule="auto"/>
        <w:rPr>
          <w:sz w:val="20"/>
          <w:szCs w:val="20"/>
          <w:color w:val="auto"/>
        </w:rPr>
      </w:pPr>
      <w:r>
        <w:rPr>
          <w:rFonts w:ascii="Arial" w:cs="Arial" w:eastAsia="Arial" w:hAnsi="Arial"/>
          <w:sz w:val="18"/>
          <w:szCs w:val="18"/>
          <w:color w:val="auto"/>
        </w:rPr>
        <w:t>The above chart displays Daudi tumor growth inhibition, or TGI, of mice treated with CD19-CAR-iNK cells administered under three different dose schedules. Average radiance, bioluminescence, or BLI of mice bearing intraperitoneal Daudi lymphoma xenografts, treated with CD19-CAR-iNK cells. Mice were implanted intraperitoneal with 1x10</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cells Daudi-Fluc cells on Day 0 and CD19-CAR-iNK cells were administered intravenously at 1x10</w:t>
      </w:r>
      <w:r>
        <w:rPr>
          <w:rFonts w:ascii="Arial" w:cs="Arial" w:eastAsia="Arial" w:hAnsi="Arial"/>
          <w:sz w:val="26"/>
          <w:szCs w:val="26"/>
          <w:color w:val="auto"/>
          <w:vertAlign w:val="superscript"/>
        </w:rPr>
        <w:t>7</w:t>
      </w:r>
      <w:r>
        <w:rPr>
          <w:rFonts w:ascii="Arial" w:cs="Arial" w:eastAsia="Arial" w:hAnsi="Arial"/>
          <w:sz w:val="18"/>
          <w:szCs w:val="18"/>
          <w:color w:val="auto"/>
        </w:rPr>
        <w:t xml:space="preserve"> cells per mouse on Days 1, 4, 8, 15, 18, and 22 as indicated by the arrows above.</w:t>
      </w:r>
    </w:p>
    <w:p>
      <w:pPr>
        <w:spacing w:after="0" w:line="163" w:lineRule="exact"/>
        <w:rPr>
          <w:sz w:val="20"/>
          <w:szCs w:val="20"/>
          <w:color w:val="auto"/>
        </w:rPr>
      </w:pPr>
    </w:p>
    <w:p>
      <w:pPr>
        <w:ind w:left="1260" w:right="579"/>
        <w:spacing w:after="0" w:line="269" w:lineRule="auto"/>
        <w:rPr>
          <w:sz w:val="20"/>
          <w:szCs w:val="20"/>
          <w:color w:val="auto"/>
        </w:rPr>
      </w:pPr>
      <w:r>
        <w:rPr>
          <w:rFonts w:ascii="Arial" w:cs="Arial" w:eastAsia="Arial" w:hAnsi="Arial"/>
          <w:sz w:val="18"/>
          <w:szCs w:val="18"/>
          <w:color w:val="auto"/>
        </w:rPr>
        <w:t>In addition, to enhanced functionality, the engineered IL-15 has shown an identifiable benefit to persistence. As is presented in the illustration below, we observed viable iNK cells in the lungs and peripheral blood of mice 20 days after a single administration of CAR-iNK cells with IL-15, a result which was not noted in mice administered CAR-iNK cells without the addition of the cytokine.</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The addition of a homeostatic cytokine significantly enhances iNK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139065</wp:posOffset>
            </wp:positionV>
            <wp:extent cx="2964180" cy="2707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6418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IPSC-derived iT cell platform</w:t>
      </w:r>
    </w:p>
    <w:p>
      <w:pPr>
        <w:spacing w:after="0" w:line="165" w:lineRule="exact"/>
        <w:rPr>
          <w:sz w:val="20"/>
          <w:szCs w:val="20"/>
          <w:color w:val="auto"/>
        </w:rPr>
      </w:pPr>
    </w:p>
    <w:p>
      <w:pPr>
        <w:ind w:left="1260" w:right="539"/>
        <w:spacing w:after="0" w:line="250" w:lineRule="auto"/>
        <w:rPr>
          <w:sz w:val="20"/>
          <w:szCs w:val="20"/>
          <w:color w:val="auto"/>
        </w:rPr>
      </w:pPr>
      <w:r>
        <w:rPr>
          <w:rFonts w:ascii="Arial" w:cs="Arial" w:eastAsia="Arial" w:hAnsi="Arial"/>
          <w:sz w:val="18"/>
          <w:szCs w:val="18"/>
          <w:color w:val="auto"/>
        </w:rPr>
        <w:t xml:space="preserve">In addition to NK cells derived from our iPSC-derived allogeneic cell therapy platforms, we are also advancing the development of iPSC-derived T cells. The therapeutic properties offered by T cells, such as large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capacity, extended immune memory and the potential inclusion of engineered TCRs for additional tumor killing capacity, provide compelling reasons supporting their inclusion in our anti-cancer cell therapy arsenal. However, the development of allogeneic T cell-based therapies requires addressing unique challenges, such as GvHD. GvHD occurs when allogeneic donor T cells recognize an HLA class I and class II molecules on host cells and induce a severe and potentially life-threatening immune response against the host tissues. This is a challenge we plan to overcome by selecting Trusted TCRs that do not mediate GvHD.</w:t>
      </w:r>
    </w:p>
    <w:p>
      <w:pPr>
        <w:spacing w:after="0" w:line="3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Proprietary Trusted TCR constructs enable our generation of TrueT</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xml:space="preserve"> cells</w:t>
      </w:r>
    </w:p>
    <w:p>
      <w:pPr>
        <w:spacing w:after="0" w:line="107" w:lineRule="exact"/>
        <w:rPr>
          <w:sz w:val="20"/>
          <w:szCs w:val="20"/>
          <w:color w:val="auto"/>
        </w:rPr>
      </w:pPr>
    </w:p>
    <w:p>
      <w:pPr>
        <w:ind w:left="1260" w:right="619"/>
        <w:spacing w:after="0" w:line="251" w:lineRule="auto"/>
        <w:rPr>
          <w:sz w:val="20"/>
          <w:szCs w:val="20"/>
          <w:color w:val="auto"/>
        </w:rPr>
      </w:pPr>
      <w:r>
        <w:rPr>
          <w:rFonts w:ascii="Arial" w:cs="Arial" w:eastAsia="Arial" w:hAnsi="Arial"/>
          <w:sz w:val="18"/>
          <w:szCs w:val="18"/>
          <w:color w:val="auto"/>
        </w:rPr>
        <w:t>Many companies that are pursing the development of allogeneic T cell therapies engineer T cell with an intentionally deleted TCR to eliminate the risk of GvHD. We have taken a fundamentally different approach; we believe that retention of the TCR is of significant importance, particularly to iPSC-derived T cells, as it helps with the differentiation and functionality of iPSC -derived T cells. We have devised strategies to utilize αβ or γδ TCRs on iPSC-derived T cells while minimizing risk of GvHD. In general, our approach capitalizes on selection of Trusted TCRs.</w:t>
      </w:r>
    </w:p>
    <w:p>
      <w:pPr>
        <w:spacing w:after="0" w:line="154"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γδ T cells do not recognize hypervariable HLA class I or II receptors. Instead, γδ TCRs recognize ligands that are mostly invariant between individuals and these TCRs are unlikely to mediate GvHD. We leverage this characteristic of γδ chains to engineer iPSC lines with Trusted TCRs to create T-iPSC line that will be used to differentiate iT cell products. There are also special scenarios where an αβ TCR can have properties that lessen or eliminate the risk for GvHD, such in the case of some TCRs specific for viral antigens or the invariant αβ TCR expressed by, natural killer T cells, or NKT cells. We are pursuing γδ and αβ Trusted TCR approaches because γδ and αβ T cells have meaningfully different biological properties that can be explored for different tumor indications. Because of the importance of the TCR in normal T lymphocyte development, we call iPSC-derived T cells that express a Trusted TCR TrueT</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cells as a contrast to T cell engineered without a TCR.</w:t>
      </w:r>
    </w:p>
    <w:p>
      <w:pPr>
        <w:spacing w:after="0" w:line="340"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For any TrueT</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cell approach there are two main strategies that can be deployed to make iPSC-derived T cells. The first is to begin with a T cell from a healthy donor where the TCR identity is known (either a γδ T cell, NKT cell</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or conventional αβ T cell). Such T cells can be isolated, expanded, and purified. Then the desired T cell, which carries the desired rearranged TCR genes, is reprogrammed to generate iPSCs that carry the same TCR genes. We call these T cell-derived iPSCs T-iPSCs and they can be used to produce T cells with the desired TCR. We have developed proof of concept for this approach using T-iPSC lines that were reprogrammed using peripheral blood γδ T cells. A second approach is to use iPSC that were derived from a non-T cell and thus lack a rearranged TCR. In this scenario, the desired TCR is selected and synthesized as a transgenic construct. Then the desired TCR is engineered into iPSCs such that T cells that are produced from the iPSCs will carry the engineered TCR. We have developed proof of concept for approached using an iPSC line that was derived from non-T cells, in this case CD34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peripheral blood hematopoietic cells, where we introduced a viral-specific TCR.</w:t>
      </w:r>
    </w:p>
    <w:p>
      <w:pPr>
        <w:spacing w:after="0" w:line="364" w:lineRule="exact"/>
        <w:rPr>
          <w:sz w:val="20"/>
          <w:szCs w:val="20"/>
          <w:color w:val="auto"/>
        </w:rPr>
      </w:pPr>
    </w:p>
    <w:p>
      <w:pPr>
        <w:ind w:left="1260" w:right="1019"/>
        <w:spacing w:after="0" w:line="224" w:lineRule="auto"/>
        <w:rPr>
          <w:sz w:val="20"/>
          <w:szCs w:val="20"/>
          <w:color w:val="auto"/>
        </w:rPr>
      </w:pPr>
      <w:r>
        <w:rPr>
          <w:rFonts w:ascii="Arial" w:cs="Arial" w:eastAsia="Arial" w:hAnsi="Arial"/>
          <w:sz w:val="18"/>
          <w:szCs w:val="18"/>
          <w:b w:val="1"/>
          <w:bCs w:val="1"/>
          <w:i w:val="1"/>
          <w:iCs w:val="1"/>
          <w:color w:val="auto"/>
        </w:rPr>
        <w:t>Differentiation of TrueT</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xml:space="preserve"> cells results in cells that co-express TCR and CD3 and can utilize an engineered CAR for target cell killing</w:t>
      </w:r>
    </w:p>
    <w:p>
      <w:pPr>
        <w:spacing w:after="0" w:line="117" w:lineRule="exact"/>
        <w:rPr>
          <w:sz w:val="20"/>
          <w:szCs w:val="20"/>
          <w:color w:val="auto"/>
        </w:rPr>
      </w:pPr>
    </w:p>
    <w:p>
      <w:pPr>
        <w:ind w:left="1260" w:right="559"/>
        <w:spacing w:after="0" w:line="275" w:lineRule="auto"/>
        <w:rPr>
          <w:sz w:val="20"/>
          <w:szCs w:val="20"/>
          <w:color w:val="auto"/>
        </w:rPr>
      </w:pPr>
      <w:r>
        <w:rPr>
          <w:rFonts w:ascii="Arial" w:cs="Arial" w:eastAsia="Arial" w:hAnsi="Arial"/>
          <w:sz w:val="18"/>
          <w:szCs w:val="18"/>
          <w:color w:val="auto"/>
        </w:rPr>
        <w:t xml:space="preserve">The process for differentiating T cells from iPSC is a multistage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system that includes several growth factors and key ligands that mimic the developmental signals found in the human thymus where T cells normally develop. We have refined protocols to differentiate T cells from both T-iPSC and TCR-engineered iPSCs.</w:t>
      </w:r>
    </w:p>
    <w:p>
      <w:pPr>
        <w:spacing w:after="0" w:line="132" w:lineRule="exact"/>
        <w:rPr>
          <w:sz w:val="20"/>
          <w:szCs w:val="20"/>
          <w:color w:val="auto"/>
        </w:rPr>
      </w:pPr>
    </w:p>
    <w:p>
      <w:pPr>
        <w:ind w:left="1260" w:right="639"/>
        <w:spacing w:after="0" w:line="268" w:lineRule="auto"/>
        <w:rPr>
          <w:sz w:val="20"/>
          <w:szCs w:val="20"/>
          <w:color w:val="auto"/>
        </w:rPr>
      </w:pPr>
      <w:r>
        <w:rPr>
          <w:rFonts w:ascii="Arial" w:cs="Arial" w:eastAsia="Arial" w:hAnsi="Arial"/>
          <w:sz w:val="18"/>
          <w:szCs w:val="18"/>
          <w:color w:val="auto"/>
        </w:rPr>
        <w:t>For γδ T cells, the current process yields T cells that uniformly express the γδ TCR and CD3. These iPSCs have been engineered to express a CD19 CAR for initial proof of concept studies. When the iPSC-derived γδ T cells are exposed to CD19-expressing lymphoma cells, the lymphoma cells are killed in an antigen-specific manner.</w:t>
      </w:r>
    </w:p>
    <w:p>
      <w:pPr>
        <w:spacing w:after="0" w:line="11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Differentiation of γδ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1287780</wp:posOffset>
            </wp:positionH>
            <wp:positionV relativeFrom="paragraph">
              <wp:posOffset>139065</wp:posOffset>
            </wp:positionV>
            <wp:extent cx="4219575" cy="1939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1957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A T-iPSC line that was derived from a γδ T cell was used to differentiate γδ T cells using a process that takes approximately 5-6 weeks. At the end of the process, cells were collected and stained for flow cytometry. The left panel demonstrates co-expression of CD3 and the γδ TCR on the cell surface of resulting iT cells. Because the T-iPSC line was also engineered with a CAR transgene, the CAR protein was also detected on the surface of these iT cells.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γδ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2099310</wp:posOffset>
            </wp:positionH>
            <wp:positionV relativeFrom="paragraph">
              <wp:posOffset>139065</wp:posOffset>
            </wp:positionV>
            <wp:extent cx="2588260" cy="2306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8826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CAR-iT cells were used in a tumor cell killing assay on an IncuCyte instrument. For this study, Reh cells, a CD19-expressing lymphoma line was used. PBMC CAR-T are PBMC-derived T cells that have been engineered to express the same CAR molecule, which have been added as a control for this study. When CD19-positive Reh cells were exposed to CAR-T cells, both iPSC-derived and PBMC-derived CAR-T cells mediated tumor killing.</w:t>
      </w:r>
    </w:p>
    <w:p>
      <w:pPr>
        <w:spacing w:after="0" w:line="140"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For conventional αβ T cells, the current process yields iT cells that uniformly express the αβ TCR and CD3. These iPSCs were also engineered to express a CD19 CAR to evaluate their tumor cell killing activity. When the iPSC-derived αβ T cells were exposed to CD19-expressing lymphoma cells, the lymphoma cells were killed in an antigen-specific manner.</w:t>
      </w:r>
    </w:p>
    <w:p>
      <w:pPr>
        <w:spacing w:after="0" w:line="10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Differentiation of αβ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147955</wp:posOffset>
            </wp:positionV>
            <wp:extent cx="3801110" cy="1691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01110" cy="1691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A T-iPSC line that was derived from a αβ T cell was used to differentiate αβ T cells using a process that takes approximately five to six weeks. At the end of the process, cells were collected and stained for flow cytometry. The left panel demonstrates co-expression of CD3 and the αβ TCR on the cell surface of resulting iT cells. Because the T-iPSC line was also engineered with a CAR transgene, the CAR protein was also detected on the surface of these iT cells (right panel).</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αβ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156210</wp:posOffset>
            </wp:positionV>
            <wp:extent cx="2929890" cy="2212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2989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519"/>
        <w:spacing w:after="0" w:line="283" w:lineRule="auto"/>
        <w:rPr>
          <w:sz w:val="20"/>
          <w:szCs w:val="20"/>
          <w:color w:val="auto"/>
        </w:rPr>
      </w:pPr>
      <w:r>
        <w:rPr>
          <w:rFonts w:ascii="Arial" w:cs="Arial" w:eastAsia="Arial" w:hAnsi="Arial"/>
          <w:sz w:val="18"/>
          <w:szCs w:val="18"/>
          <w:color w:val="auto"/>
        </w:rPr>
        <w:t>CAR-iT cells were used in a tumor cell killing assay on an IncuCyte instrument. For this study, Reh cells, a CD19-expressing lymphoma line was used. PBMC CAR-T are PBMC-derived T cells that have been engineered to express the same CAR, which have been added as a control for this study. When CD19-positive Reh cells were exposed to CAR-T cells, both iPSC-derived and PBMC-derived CAR-iT cells mediated tumor killing.</w:t>
      </w:r>
    </w:p>
    <w:p>
      <w:pPr>
        <w:spacing w:after="0" w:line="125"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Collectively, we have made significant progress in deriving iPSC lines that carry Trusted TCRs as well as refining the differentiation process to generate TrueT</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cells that express a TCR and a CAR. The cells mediate robust killing of lymphoma cells when their CAR is engaged. We believe that we have put in place the fundamental building blocks to continuing the advancement of our iT cell platform to generate safe and efficacious iPSC-derived αβ and/or γδ T cell therapies for different tumor indications.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Our development candidates</w:t>
      </w:r>
    </w:p>
    <w:p>
      <w:pPr>
        <w:spacing w:after="0" w:line="169"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color w:val="auto"/>
        </w:rPr>
        <w:t>We are assembling a portfolio of allogeneic iNK and iT cell therapy product candidates across solid tumors and hematological malignancies. This pipeline is comprised of cell therapies that will address diseases where we believe current therapies are inadequate. Our product candidates incorporate our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which is designed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w:t>
      </w:r>
    </w:p>
    <w:p>
      <w:pPr>
        <w:spacing w:after="0" w:line="7" w:lineRule="exact"/>
        <w:rPr>
          <w:sz w:val="20"/>
          <w:szCs w:val="20"/>
          <w:color w:val="auto"/>
        </w:rPr>
      </w:pPr>
    </w:p>
    <w:p>
      <w:pPr>
        <w:ind w:left="1260"/>
        <w:spacing w:after="0"/>
        <w:tabs>
          <w:tab w:leader="none" w:pos="4180" w:val="left"/>
        </w:tabs>
        <w:rPr>
          <w:sz w:val="20"/>
          <w:szCs w:val="20"/>
          <w:color w:val="auto"/>
        </w:rPr>
      </w:pPr>
      <w:r>
        <w:rPr>
          <w:rFonts w:ascii="Arial" w:cs="Arial" w:eastAsia="Arial" w:hAnsi="Arial"/>
          <w:sz w:val="18"/>
          <w:szCs w:val="18"/>
          <w:color w:val="auto"/>
        </w:rPr>
        <w:t>targeting B cell lymphoma, in</w:t>
      </w:r>
      <w:r>
        <w:rPr>
          <w:sz w:val="20"/>
          <w:szCs w:val="20"/>
          <w:color w:val="auto"/>
        </w:rPr>
        <w:tab/>
      </w:r>
      <w:r>
        <w:rPr>
          <w:rFonts w:ascii="Arial" w:cs="Arial" w:eastAsia="Arial" w:hAnsi="Arial"/>
          <w:sz w:val="18"/>
          <w:szCs w:val="18"/>
          <w:color w:val="auto"/>
        </w:rPr>
        <w:t>. Our second product candidate, CNTY-103, is designed to</w:t>
      </w:r>
    </w:p>
    <w:p>
      <w:pPr>
        <w:spacing w:after="0" w:line="35" w:lineRule="exact"/>
        <w:rPr>
          <w:sz w:val="20"/>
          <w:szCs w:val="20"/>
          <w:color w:val="auto"/>
        </w:rPr>
      </w:pPr>
    </w:p>
    <w:p>
      <w:pPr>
        <w:jc w:val="right"/>
        <w:ind w:right="479"/>
        <w:spacing w:after="0"/>
        <w:tabs>
          <w:tab w:leader="none" w:pos="2480" w:val="left"/>
        </w:tabs>
        <w:rPr>
          <w:sz w:val="20"/>
          <w:szCs w:val="20"/>
          <w:color w:val="auto"/>
        </w:rPr>
      </w:pPr>
      <w:r>
        <w:rPr>
          <w:rFonts w:ascii="Arial" w:cs="Arial" w:eastAsia="Arial" w:hAnsi="Arial"/>
          <w:sz w:val="18"/>
          <w:szCs w:val="18"/>
          <w:color w:val="auto"/>
        </w:rPr>
        <w:t>treat glioblastoma, and we currently anticipate filing an IND in</w:t>
      </w:r>
      <w:r>
        <w:rPr>
          <w:sz w:val="20"/>
          <w:szCs w:val="20"/>
          <w:color w:val="auto"/>
        </w:rPr>
        <w:tab/>
      </w:r>
      <w:r>
        <w:rPr>
          <w:rFonts w:ascii="Arial" w:cs="Arial" w:eastAsia="Arial" w:hAnsi="Arial"/>
          <w:sz w:val="18"/>
          <w:szCs w:val="18"/>
          <w:color w:val="auto"/>
        </w:rPr>
        <w:t>. Our third product candidate,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CNTY-102, is designed to further improve B-cell malignancy treatment, and we are planning an</w:t>
      </w:r>
    </w:p>
    <w:p>
      <w:pPr>
        <w:spacing w:after="0" w:line="35" w:lineRule="exact"/>
        <w:rPr>
          <w:sz w:val="20"/>
          <w:szCs w:val="20"/>
          <w:color w:val="auto"/>
        </w:rPr>
      </w:pPr>
    </w:p>
    <w:p>
      <w:pPr>
        <w:ind w:left="1260"/>
        <w:spacing w:after="0"/>
        <w:tabs>
          <w:tab w:leader="none" w:pos="2280" w:val="left"/>
        </w:tabs>
        <w:rPr>
          <w:sz w:val="20"/>
          <w:szCs w:val="20"/>
          <w:color w:val="auto"/>
        </w:rPr>
      </w:pPr>
      <w:r>
        <w:rPr>
          <w:rFonts w:ascii="Arial" w:cs="Arial" w:eastAsia="Arial" w:hAnsi="Arial"/>
          <w:sz w:val="18"/>
          <w:szCs w:val="18"/>
          <w:color w:val="auto"/>
        </w:rPr>
        <w:t>IND in</w:t>
      </w:r>
      <w:r>
        <w:rPr>
          <w:sz w:val="20"/>
          <w:szCs w:val="20"/>
          <w:color w:val="auto"/>
        </w:rPr>
        <w:tab/>
      </w:r>
      <w:r>
        <w:rPr>
          <w:rFonts w:ascii="Arial" w:cs="Arial" w:eastAsia="Arial" w:hAnsi="Arial"/>
          <w:sz w:val="18"/>
          <w:szCs w:val="18"/>
          <w:color w:val="auto"/>
        </w:rPr>
        <w:t>. Our fourth product candidate, CNTY-104, is being developed to treat AML with the</w:t>
      </w:r>
    </w:p>
    <w:p>
      <w:pPr>
        <w:spacing w:after="0" w:line="35" w:lineRule="exact"/>
        <w:rPr>
          <w:sz w:val="20"/>
          <w:szCs w:val="20"/>
          <w:color w:val="auto"/>
        </w:rPr>
      </w:pPr>
    </w:p>
    <w:p>
      <w:pPr>
        <w:jc w:val="right"/>
        <w:ind w:right="439"/>
        <w:spacing w:after="0"/>
        <w:tabs>
          <w:tab w:leader="none" w:pos="6280" w:val="left"/>
        </w:tabs>
        <w:rPr>
          <w:sz w:val="20"/>
          <w:szCs w:val="20"/>
          <w:color w:val="auto"/>
        </w:rPr>
      </w:pPr>
      <w:r>
        <w:rPr>
          <w:rFonts w:ascii="Arial" w:cs="Arial" w:eastAsia="Arial" w:hAnsi="Arial"/>
          <w:sz w:val="18"/>
          <w:szCs w:val="18"/>
          <w:color w:val="auto"/>
        </w:rPr>
        <w:t>IND expected in</w:t>
      </w:r>
      <w:r>
        <w:rPr>
          <w:sz w:val="20"/>
          <w:szCs w:val="20"/>
          <w:color w:val="auto"/>
        </w:rPr>
        <w:tab/>
      </w:r>
      <w:r>
        <w:rPr>
          <w:rFonts w:ascii="Arial" w:cs="Arial" w:eastAsia="Arial" w:hAnsi="Arial"/>
          <w:sz w:val="18"/>
          <w:szCs w:val="18"/>
          <w:color w:val="auto"/>
        </w:rPr>
        <w:t>. Our development programs consist of the product candidates illustrated in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pipeline chart below:</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543560</wp:posOffset>
            </wp:positionV>
            <wp:extent cx="5065395" cy="17513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65395" cy="175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60" w:right="459"/>
        <w:spacing w:after="0" w:line="457" w:lineRule="auto"/>
        <w:rPr>
          <w:sz w:val="20"/>
          <w:szCs w:val="20"/>
          <w:color w:val="auto"/>
        </w:rPr>
      </w:pPr>
      <w:r>
        <w:rPr>
          <w:rFonts w:ascii="Arial" w:cs="Arial" w:eastAsia="Arial" w:hAnsi="Arial"/>
          <w:sz w:val="18"/>
          <w:szCs w:val="18"/>
          <w:b w:val="1"/>
          <w:bCs w:val="1"/>
          <w:i w:val="1"/>
          <w:iCs w:val="1"/>
          <w:color w:val="auto"/>
        </w:rPr>
        <w:t xml:space="preserve">CNTY-101: Our CAR-iNK candidate targeting CD19 for relapsed, refractory B cell lymphoma </w:t>
      </w:r>
      <w:r>
        <w:rPr>
          <w:rFonts w:ascii="Arial" w:cs="Arial" w:eastAsia="Arial" w:hAnsi="Arial"/>
          <w:sz w:val="18"/>
          <w:szCs w:val="18"/>
          <w:i w:val="1"/>
          <w:iCs w:val="1"/>
          <w:color w:val="auto"/>
        </w:rPr>
        <w:t>Disease background</w:t>
      </w:r>
    </w:p>
    <w:p>
      <w:pPr>
        <w:spacing w:after="0" w:line="1"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B cell lymphoma is a cancer that affects B lymphocytes that make up part of the immune system. It generally originates in the lymph nodes. B 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 – 40% of these patients will relapse or have disease refractory to current treatments.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Current treatment and shortcomings</w:t>
      </w:r>
    </w:p>
    <w:p>
      <w:pPr>
        <w:spacing w:after="0" w:line="174"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Treatment of non-Hodgkin’s lymphoma is dependent on disease designation. Indolent disease may be treated with localized radiation or simply monitored for disease progression, at which time the disease is often treated with rituximab, with or without chemotherapy. Aggressive disease is treated with chemotherapy if diagnosed in the earlier stages of disease progression or with combination of rituximab and chemotherapy if diagnosed in the more advanced stages. While aggressive NHL is curable, indolent disease currently is not.</w:t>
      </w:r>
    </w:p>
    <w:p>
      <w:pPr>
        <w:spacing w:after="0" w:line="125"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In aggressive large B-cell lymphomas, existing FDA-approved CD19 CAR-T cell therapies show overall response rates of 50-80%, complete response rates of 30-40%, and where longer term follow up data is available, a three year survival rate of 47%. They are also shown to be effective in aggressive and indolent lymphoma subpopulations and are in active testing in second line lymphoma. While these treatments have transformed care, significant medical need still exists in the relapsing and progressing patients that remain, with additional limitations of the autologous therapies described herein. As such, there is active investigation of several allogeneic B-cell targeting CAR-T therapies and B-cell targeting CAR-NK cell therapies in lymphoma.</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therapeutic approach and development program</w:t>
      </w:r>
    </w:p>
    <w:p>
      <w:pPr>
        <w:spacing w:after="0" w:line="174" w:lineRule="exact"/>
        <w:rPr>
          <w:sz w:val="20"/>
          <w:szCs w:val="20"/>
          <w:color w:val="auto"/>
        </w:rPr>
      </w:pPr>
    </w:p>
    <w:p>
      <w:pPr>
        <w:jc w:val="both"/>
        <w:ind w:left="1260" w:right="599"/>
        <w:spacing w:after="0" w:line="275" w:lineRule="auto"/>
        <w:rPr>
          <w:sz w:val="20"/>
          <w:szCs w:val="20"/>
          <w:color w:val="auto"/>
        </w:rPr>
      </w:pPr>
      <w:r>
        <w:rPr>
          <w:rFonts w:ascii="Arial" w:cs="Arial" w:eastAsia="Arial" w:hAnsi="Arial"/>
          <w:sz w:val="18"/>
          <w:szCs w:val="18"/>
          <w:color w:val="auto"/>
        </w:rPr>
        <w:t>Our lead product candidate, CNTY-101, is an allogeneic, iPSC-derived CAR-iNK cell product for the treatment of B cell lymphomas. CNTY-101 has been engineered with the following features:</w:t>
      </w:r>
    </w:p>
    <w:p>
      <w:pPr>
        <w:spacing w:after="0" w:line="104" w:lineRule="exact"/>
        <w:rPr>
          <w:sz w:val="20"/>
          <w:szCs w:val="20"/>
          <w:color w:val="auto"/>
        </w:rPr>
      </w:pPr>
    </w:p>
    <w:p>
      <w:pPr>
        <w:ind w:left="1720" w:right="679" w:hanging="142"/>
        <w:spacing w:after="0" w:line="275" w:lineRule="auto"/>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expression of CD19 CAR to target malignant B cells. Our CAR construct uses the FMC63 scFv and the signaling domains of CD28 and CD3ζ;</w:t>
      </w:r>
    </w:p>
    <w:p>
      <w:pPr>
        <w:spacing w:after="0" w:line="104" w:lineRule="exact"/>
        <w:rPr>
          <w:rFonts w:ascii="Arial" w:cs="Arial" w:eastAsia="Arial" w:hAnsi="Arial"/>
          <w:sz w:val="18"/>
          <w:szCs w:val="18"/>
          <w:color w:val="auto"/>
        </w:rPr>
      </w:pPr>
    </w:p>
    <w:p>
      <w:pPr>
        <w:ind w:left="1720" w:hanging="142"/>
        <w:spacing w:after="0"/>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knock-out of HLA-I and HLA-II to escape elimination by the patient’s CD8 and CD4 T cells;</w:t>
      </w:r>
    </w:p>
    <w:p>
      <w:pPr>
        <w:spacing w:after="0" w:line="142" w:lineRule="exact"/>
        <w:rPr>
          <w:rFonts w:ascii="Arial" w:cs="Arial" w:eastAsia="Arial" w:hAnsi="Arial"/>
          <w:sz w:val="18"/>
          <w:szCs w:val="18"/>
          <w:color w:val="auto"/>
        </w:rPr>
      </w:pPr>
    </w:p>
    <w:p>
      <w:pPr>
        <w:ind w:left="1720" w:hanging="142"/>
        <w:spacing w:after="0"/>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knock-in of HLA-E to avoid killing by the patient’s NK cells;</w:t>
      </w:r>
    </w:p>
    <w:p>
      <w:pPr>
        <w:spacing w:after="0" w:line="142" w:lineRule="exact"/>
        <w:rPr>
          <w:rFonts w:ascii="Arial" w:cs="Arial" w:eastAsia="Arial" w:hAnsi="Arial"/>
          <w:sz w:val="18"/>
          <w:szCs w:val="18"/>
          <w:color w:val="auto"/>
        </w:rPr>
      </w:pPr>
    </w:p>
    <w:p>
      <w:pPr>
        <w:ind w:left="1720" w:right="819" w:hanging="142"/>
        <w:spacing w:after="0" w:line="275" w:lineRule="auto"/>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expression of IL-15 to provide homeostatic cytokine support to improve persistence and functionality; and</w:t>
      </w:r>
    </w:p>
    <w:p>
      <w:pPr>
        <w:spacing w:after="0" w:line="117" w:lineRule="exact"/>
        <w:rPr>
          <w:rFonts w:ascii="Arial" w:cs="Arial" w:eastAsia="Arial" w:hAnsi="Arial"/>
          <w:sz w:val="18"/>
          <w:szCs w:val="18"/>
          <w:color w:val="auto"/>
        </w:rPr>
      </w:pPr>
    </w:p>
    <w:p>
      <w:pPr>
        <w:ind w:left="1720" w:hanging="142"/>
        <w:spacing w:after="0"/>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incorporation of an EGFR safety switch to allow for elimination of the product if necessary.</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The safety switch consists of a shorter version of the extracellular domain of EGFR, which binds to clinically approved antibodies, such as Cetuximab, which can trigger product elimination through antibody -dependent cellular cytotoxicity, or ADCC, or antibody-dependent cellular phagocytosis, or ADCP.</w:t>
      </w:r>
    </w:p>
    <w:p>
      <w:pPr>
        <w:spacing w:after="0" w:line="123"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We believe the modifications described above may lead to treatments with greater potency, persistency and durability. As the CD19 target and the FMC63-CD28z CAR have has been validated by existing FDA-approved CAR -T therapies, we believe target-related risks have been significantly diminished, as the approved CAR- T cell products have been shown to improve remission rates and improve overall survival in patients with various B cell malignancies. The inclusion of a validated CAR construct in our first product candidate eliminates a key variable, i.e. the performance of a novel CAR construct, better enabling our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engineered iNK platform to be validated in the initial studies. The validity of this therapeutic approach is further supported by a M.D. Anderson clinical trial of CAR-NK cells targeting CD19 used in the treatment of relapsed or refractory NHL and chronic lymphocytic leukemia, or CLL, patients. In that trial, eight of the 11 patients responded to treatment with seven patients achieving complete remission.</w:t>
      </w:r>
    </w:p>
    <w:p>
      <w:pPr>
        <w:spacing w:after="0" w:line="14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CNTY-101 and CD19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147955</wp:posOffset>
            </wp:positionV>
            <wp:extent cx="4373880" cy="1939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73880"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60" w:right="619"/>
        <w:spacing w:after="0" w:line="250" w:lineRule="auto"/>
        <w:rPr>
          <w:sz w:val="20"/>
          <w:szCs w:val="20"/>
          <w:color w:val="auto"/>
        </w:rPr>
      </w:pPr>
      <w:r>
        <w:rPr>
          <w:rFonts w:ascii="Arial" w:cs="Arial" w:eastAsia="Arial" w:hAnsi="Arial"/>
          <w:sz w:val="18"/>
          <w:szCs w:val="18"/>
          <w:i w:val="1"/>
          <w:iCs w:val="1"/>
          <w:color w:val="auto"/>
        </w:rPr>
        <w:t>Left panel: engineered features of CNTY-101. Right panel: structure of the CD19 CAR construct used in CNTY-101</w:t>
      </w:r>
    </w:p>
    <w:p>
      <w:pPr>
        <w:spacing w:after="0" w:line="125" w:lineRule="exact"/>
        <w:rPr>
          <w:sz w:val="20"/>
          <w:szCs w:val="20"/>
          <w:color w:val="auto"/>
        </w:rPr>
      </w:pPr>
    </w:p>
    <w:p>
      <w:pPr>
        <w:ind w:left="1260" w:right="499"/>
        <w:spacing w:after="0" w:line="249" w:lineRule="auto"/>
        <w:rPr>
          <w:sz w:val="20"/>
          <w:szCs w:val="20"/>
          <w:color w:val="auto"/>
        </w:rPr>
      </w:pPr>
      <w:r>
        <w:rPr>
          <w:rFonts w:ascii="Arial" w:cs="Arial" w:eastAsia="Arial" w:hAnsi="Arial"/>
          <w:sz w:val="18"/>
          <w:szCs w:val="18"/>
          <w:color w:val="auto"/>
        </w:rPr>
        <w:t xml:space="preserve">We have completed engineering of iPSC lines from five different donors and single cell cloning of numerous iPSC lines. The single cell clones are undergoing genotype and phenotype identity, purity, safety, manufacturability,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testing. CD19 iNK single cell clones demonstrate significant cytotoxicity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comparable to CAR-T controls, and numerous cycles of serial killing after repeated challenge with lymphoma cells. CNTY-101 single cell clones also demonstrate IL-15 expression and persistence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 well as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tumor growth inhibition. We expect clinical candidate clone selection in the first half of 2021, and plan to move into IND-enabling preclinical and technical studies and manufacturing at that time. We currently</w:t>
      </w:r>
    </w:p>
    <w:p>
      <w:pPr>
        <w:spacing w:after="0" w:line="4" w:lineRule="exact"/>
        <w:rPr>
          <w:sz w:val="20"/>
          <w:szCs w:val="20"/>
          <w:color w:val="auto"/>
        </w:rPr>
      </w:pPr>
    </w:p>
    <w:p>
      <w:pPr>
        <w:ind w:left="1260"/>
        <w:spacing w:after="0"/>
        <w:tabs>
          <w:tab w:leader="none" w:pos="4100" w:val="left"/>
        </w:tabs>
        <w:rPr>
          <w:sz w:val="20"/>
          <w:szCs w:val="20"/>
          <w:color w:val="auto"/>
        </w:rPr>
      </w:pPr>
      <w:r>
        <w:rPr>
          <w:rFonts w:ascii="Arial" w:cs="Arial" w:eastAsia="Arial" w:hAnsi="Arial"/>
          <w:sz w:val="18"/>
          <w:szCs w:val="18"/>
          <w:color w:val="auto"/>
        </w:rPr>
        <w:t>anticipate filing an IND in</w:t>
      </w:r>
      <w:r>
        <w:rPr>
          <w:sz w:val="20"/>
          <w:szCs w:val="20"/>
          <w:color w:val="auto"/>
        </w:rPr>
        <w:tab/>
      </w:r>
      <w:r>
        <w:rPr>
          <w:rFonts w:ascii="Arial" w:cs="Arial" w:eastAsia="Arial" w:hAnsi="Arial"/>
          <w:sz w:val="18"/>
          <w:szCs w:val="18"/>
          <w:color w:val="auto"/>
        </w:rPr>
        <w:t>to advance CNTY-101 into a Phase 1 clinical trial.</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Preclinical studies and selection of the final product candidate for CNTY-101</w:t>
      </w:r>
    </w:p>
    <w:p>
      <w:pPr>
        <w:spacing w:after="0" w:line="161"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To identify the CNTY-101 clinical candidate, we engineered iPSC lines from five different donors. The initial characterization studies were done with bulk cells prior to single cell cloning (bulk-engineered cells), and we have now generated additional data with single-cell clones. To identify the candidate, we have narrowed down to six clonal cell lines derived from two donors. The initial valuation of the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features and safety switch was done on bulk-engineered iPSC lines.</w:t>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Allo-Evasion</w:t>
      </w:r>
      <w:r>
        <w:rPr>
          <w:rFonts w:ascii="Arial" w:cs="Arial" w:eastAsia="Arial" w:hAnsi="Arial"/>
          <w:sz w:val="26"/>
          <w:szCs w:val="26"/>
          <w:i w:val="1"/>
          <w:iCs w:val="1"/>
          <w:color w:val="auto"/>
          <w:vertAlign w:val="superscript"/>
        </w:rPr>
        <w:t>TM</w:t>
      </w:r>
      <w:r>
        <w:rPr>
          <w:rFonts w:ascii="Arial" w:cs="Arial" w:eastAsia="Arial" w:hAnsi="Arial"/>
          <w:sz w:val="18"/>
          <w:szCs w:val="18"/>
          <w:i w:val="1"/>
          <w:iCs w:val="1"/>
          <w:color w:val="auto"/>
        </w:rPr>
        <w:t xml:space="preserve"> studies with bulk-engineered CAR-iNK cells</w:t>
      </w:r>
    </w:p>
    <w:p>
      <w:pPr>
        <w:spacing w:after="0" w:line="105" w:lineRule="exact"/>
        <w:rPr>
          <w:sz w:val="20"/>
          <w:szCs w:val="20"/>
          <w:color w:val="auto"/>
        </w:rPr>
      </w:pPr>
    </w:p>
    <w:p>
      <w:pPr>
        <w:jc w:val="both"/>
        <w:ind w:left="1260" w:right="719"/>
        <w:spacing w:after="0" w:line="254" w:lineRule="auto"/>
        <w:rPr>
          <w:sz w:val="20"/>
          <w:szCs w:val="20"/>
          <w:color w:val="auto"/>
        </w:rPr>
      </w:pPr>
      <w:r>
        <w:rPr>
          <w:rFonts w:ascii="Arial" w:cs="Arial" w:eastAsia="Arial" w:hAnsi="Arial"/>
          <w:sz w:val="18"/>
          <w:szCs w:val="18"/>
          <w:color w:val="auto"/>
        </w:rPr>
        <w:t>To prevent recognition of our CAR-iNK cells by CD8 T cells from the patient, we eliminated the expression of the HLA-I by deleting β2m, a protein that is required for the expression of HLA-I molecules on the cell surface. Our</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current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data has been generated with bulk-engineered iNK cells prior to single cell clonal selection. However, even with bulk-engineered cells where a small percentage of cells (1.6%) in the population still retains HLA-I, it is clear that the deletion of β-2m significantly diminishes the allo-reactivity of allogeneic CD8 T cells against our iNK cells. In the final clinical candidate clones for therapeutic products, HLA-I will be uniformly absent from all iNK cells.</w:t>
      </w:r>
    </w:p>
    <w:p>
      <w:pPr>
        <w:spacing w:after="0" w:line="112"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Elimination of HLA-I prevents allogeneic immune recognition of iNK cells by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147955</wp:posOffset>
            </wp:positionV>
            <wp:extent cx="2827655" cy="33743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27655" cy="337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459"/>
        <w:spacing w:after="0" w:line="229" w:lineRule="auto"/>
        <w:rPr>
          <w:sz w:val="20"/>
          <w:szCs w:val="20"/>
          <w:color w:val="auto"/>
        </w:rPr>
      </w:pPr>
      <w:r>
        <w:rPr>
          <w:rFonts w:ascii="Arial" w:cs="Arial" w:eastAsia="Arial" w:hAnsi="Arial"/>
          <w:sz w:val="18"/>
          <w:szCs w:val="18"/>
          <w:i w:val="1"/>
          <w:iCs w:val="1"/>
          <w:color w:val="auto"/>
        </w:rPr>
        <w:t>Elimination of HLA-I prevents allogeneic immune recognition of iNK cells by CD8 T cells. To determine if removal of HLA-I via β2m knock-out prevents recognition of iNK cells by allogeneic T cells, a mixed lymphocyte reaction, or MLR, was performed with CD8 T cells from six allogeneic donors. Allogeneic T cells show virtual no proliferation when incubated with iNK cells that do not express HLA-I (B2Mko iNK), in contrast with iNK cells expressing HLA-I (iNK).</w:t>
      </w:r>
    </w:p>
    <w:p>
      <w:pPr>
        <w:spacing w:after="0" w:line="147"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Deletion of HLA-I prevents the recognition of our iNK cells by allogeneic T cells, but on the other hand, it exposes the iNK cells to killing by the patient’s NK cells. NK cells can sense the lack of HLA-I as a danger signal (missing self-hypothesis) and eliminate HLA-I negative cells. As part of our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we engineered the expression of HLA-E, a monomorphic MHC Class I related molecule to prevent the killing of the HLA-I null iNK cells. HLA-E engages an inhibitory receptor, NKG2A on NK cells and prevents their cytolytic activity. Our data with bulk-engineered iNK cells indicates that HLA-E is effective in mitigating the killing of the null iNK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80" w:right="2059" w:firstLine="248"/>
        <w:spacing w:after="0" w:line="317" w:lineRule="auto"/>
        <w:rPr>
          <w:sz w:val="20"/>
          <w:szCs w:val="20"/>
          <w:color w:val="auto"/>
        </w:rPr>
      </w:pPr>
      <w:r>
        <w:rPr>
          <w:rFonts w:ascii="Arial" w:cs="Arial" w:eastAsia="Arial" w:hAnsi="Arial"/>
          <w:sz w:val="18"/>
          <w:szCs w:val="18"/>
          <w:b w:val="1"/>
          <w:bCs w:val="1"/>
          <w:color w:val="auto"/>
        </w:rPr>
        <w:t>Expression of HLA-E prevents killing of iNK cells that have been engineered to prevent HLA-I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102870</wp:posOffset>
            </wp:positionV>
            <wp:extent cx="4065905" cy="20415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5905" cy="204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60" w:right="599"/>
        <w:spacing w:after="0" w:line="265" w:lineRule="auto"/>
        <w:rPr>
          <w:sz w:val="20"/>
          <w:szCs w:val="20"/>
          <w:color w:val="auto"/>
        </w:rPr>
      </w:pPr>
      <w:r>
        <w:rPr>
          <w:rFonts w:ascii="Arial" w:cs="Arial" w:eastAsia="Arial" w:hAnsi="Arial"/>
          <w:sz w:val="18"/>
          <w:szCs w:val="18"/>
          <w:i w:val="1"/>
          <w:iCs w:val="1"/>
          <w:color w:val="auto"/>
        </w:rPr>
        <w:t>In contrast with HLA-I null iNK cells, which are killed by allogeneic NK cells, HLA-I null iNK cells engineered with HLA-E are mostly protected from killing by allogeneic NK cells.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Evaluation of the EGFR safety switch with bulk engineered CAR-iNK cells</w:t>
      </w:r>
    </w:p>
    <w:p>
      <w:pPr>
        <w:spacing w:after="0" w:line="174" w:lineRule="exact"/>
        <w:rPr>
          <w:sz w:val="20"/>
          <w:szCs w:val="20"/>
          <w:color w:val="auto"/>
        </w:rPr>
      </w:pPr>
    </w:p>
    <w:p>
      <w:pPr>
        <w:ind w:left="1260" w:right="499"/>
        <w:spacing w:after="0" w:line="283" w:lineRule="auto"/>
        <w:rPr>
          <w:sz w:val="20"/>
          <w:szCs w:val="20"/>
          <w:color w:val="auto"/>
        </w:rPr>
      </w:pPr>
      <w:r>
        <w:rPr>
          <w:rFonts w:ascii="Arial" w:cs="Arial" w:eastAsia="Arial" w:hAnsi="Arial"/>
          <w:sz w:val="18"/>
          <w:szCs w:val="18"/>
          <w:color w:val="auto"/>
        </w:rPr>
        <w:t xml:space="preserve">CNTY-101 is engineered with a safety switch that can be triggered to eliminate the cells if ever necessary. Our switch includes a shorter version of the EGFR extracellular domain, anchored to the plasma membrane. This form of EGFR binds to cetuximab, a clinically approved antibody we plan to use as a trigger for the safety switch. Cetuximab engages FcγR on innate immune cells, such as NK cells and macrophages, to eliminate EFGR-expressing cells through ADCC or ADCP. Our preliminary data from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indicates that the cetuximab effectively triggers the elimination of iNK cells engineered with our EGFR safety switch from different tissues including blood, liver, and lungs.</w:t>
      </w:r>
    </w:p>
    <w:p>
      <w:pPr>
        <w:spacing w:after="0" w:line="34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Elimination of iNK cells using EGFR safety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165100</wp:posOffset>
            </wp:positionV>
            <wp:extent cx="4937125" cy="24860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3712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right="639"/>
        <w:spacing w:after="0" w:line="236" w:lineRule="auto"/>
        <w:rPr>
          <w:sz w:val="20"/>
          <w:szCs w:val="20"/>
          <w:color w:val="auto"/>
        </w:rPr>
      </w:pPr>
      <w:r>
        <w:rPr>
          <w:rFonts w:ascii="Arial" w:cs="Arial" w:eastAsia="Arial" w:hAnsi="Arial"/>
          <w:sz w:val="18"/>
          <w:szCs w:val="18"/>
          <w:i w:val="1"/>
          <w:iCs w:val="1"/>
          <w:color w:val="auto"/>
        </w:rPr>
        <w:t>NSG mice were intravenously infused with 1x107 CD19iNK and one day later treated with 40 mg/kg cetuximab or rituximab (as a control). On Day 8, mice were humanely euthanized and whole blood, liver, and lung samples were collected and analyzed for the presence of iNK cells.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Single-cell cloning of engineered iPSC from different donors to identify the final clinical candidate</w:t>
      </w:r>
    </w:p>
    <w:p>
      <w:pPr>
        <w:spacing w:after="0" w:line="161"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 xml:space="preserve">We have now completed the single cell cloning of engineered iPSC lines from three different donors. The single cell clones have been characterized for the expression of NK cell markers and the inserted transgenes. Selected clones were then characterized genetically by karyotype analysis, copy number variations, transgene copy number and insertion fidelity, and, finally, whole genome sequencing. The phenotype and genotype positive clones were progressed to an iNK differentiation,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functional and manufacturability screens. We have narrowed down the number of candidates to six clonal lines from two different donors. These lines are being evaluated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final clinical candidate selection, which is set to occur in the first half of</w:t>
      </w:r>
    </w:p>
    <w:p>
      <w:pPr>
        <w:spacing w:after="0" w:line="1" w:lineRule="exact"/>
        <w:rPr>
          <w:sz w:val="20"/>
          <w:szCs w:val="20"/>
          <w:color w:val="auto"/>
        </w:rPr>
      </w:pPr>
    </w:p>
    <w:p>
      <w:pPr>
        <w:ind w:left="1260" w:right="539"/>
        <w:spacing w:after="0" w:line="265" w:lineRule="auto"/>
        <w:rPr>
          <w:sz w:val="20"/>
          <w:szCs w:val="20"/>
          <w:color w:val="auto"/>
        </w:rPr>
      </w:pPr>
      <w:r>
        <w:rPr>
          <w:rFonts w:ascii="Arial" w:cs="Arial" w:eastAsia="Arial" w:hAnsi="Arial"/>
          <w:sz w:val="18"/>
          <w:szCs w:val="18"/>
          <w:color w:val="auto"/>
        </w:rPr>
        <w:t>2021. After final candidate selection, we plan to move into IND-enabling preclinical and technical studies and initiate product candidate manufacturing. We anticipate filing an IND to advance</w:t>
      </w:r>
    </w:p>
    <w:p>
      <w:pPr>
        <w:ind w:left="1260"/>
        <w:spacing w:after="0"/>
        <w:tabs>
          <w:tab w:leader="none" w:pos="5220" w:val="left"/>
        </w:tabs>
        <w:rPr>
          <w:sz w:val="20"/>
          <w:szCs w:val="20"/>
          <w:color w:val="auto"/>
        </w:rPr>
      </w:pPr>
      <w:r>
        <w:rPr>
          <w:rFonts w:ascii="Arial" w:cs="Arial" w:eastAsia="Arial" w:hAnsi="Arial"/>
          <w:sz w:val="18"/>
          <w:szCs w:val="18"/>
          <w:color w:val="auto"/>
        </w:rPr>
        <w:t>CNTY-101 into a Phase 1 clinical trial in</w:t>
      </w:r>
      <w:r>
        <w:rPr>
          <w:sz w:val="20"/>
          <w:szCs w:val="20"/>
          <w:color w:val="auto"/>
        </w:rPr>
        <w:tab/>
      </w:r>
      <w:r>
        <w:rPr>
          <w:rFonts w:ascii="Arial" w:cs="Arial" w:eastAsia="Arial" w:hAnsi="Arial"/>
          <w:sz w:val="13"/>
          <w:szCs w:val="13"/>
          <w:color w:val="auto"/>
        </w:rPr>
        <w:t>.</w:t>
      </w:r>
    </w:p>
    <w:p>
      <w:pPr>
        <w:spacing w:after="0" w:line="14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CNTY-101 lead discovery funnel to identify final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147955</wp:posOffset>
            </wp:positionV>
            <wp:extent cx="4937125" cy="18961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37125" cy="189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Selected single-cell clones express engineered transgenes in virtually all cells after expansion</w:t>
      </w:r>
    </w:p>
    <w:p>
      <w:pPr>
        <w:spacing w:after="0" w:line="161" w:lineRule="exact"/>
        <w:rPr>
          <w:sz w:val="20"/>
          <w:szCs w:val="20"/>
          <w:color w:val="auto"/>
        </w:rPr>
      </w:pPr>
    </w:p>
    <w:p>
      <w:pPr>
        <w:ind w:left="1260" w:right="559"/>
        <w:spacing w:after="0" w:line="267" w:lineRule="auto"/>
        <w:rPr>
          <w:sz w:val="20"/>
          <w:szCs w:val="20"/>
          <w:color w:val="auto"/>
        </w:rPr>
      </w:pPr>
      <w:r>
        <w:rPr>
          <w:rFonts w:ascii="Arial" w:cs="Arial" w:eastAsia="Arial" w:hAnsi="Arial"/>
          <w:sz w:val="18"/>
          <w:szCs w:val="18"/>
          <w:color w:val="auto"/>
        </w:rPr>
        <w:t>We have run a series of phenotypic assays and transgene expression characterization to narrow down the list of top candidates to six iPSC lines. After expansion in culture, the cell populations derived from single cell clones are highly uniform. Virtually all cells from all clones are CD45+, CD56+, CD3- indicating that these cells are NK cells. In addition, the cells uniformly express the CAR, HLA-E, and EGFR (safety switch) transgenes indicating that our product candidate clones are highly uniform when assessed for phenotypic markers.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Transgene expression and purity of iNK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139065</wp:posOffset>
            </wp:positionV>
            <wp:extent cx="4288155" cy="3570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88155" cy="357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right="459"/>
        <w:spacing w:after="0" w:line="275" w:lineRule="auto"/>
        <w:rPr>
          <w:sz w:val="20"/>
          <w:szCs w:val="20"/>
          <w:color w:val="auto"/>
        </w:rPr>
      </w:pPr>
      <w:r>
        <w:rPr>
          <w:rFonts w:ascii="Arial" w:cs="Arial" w:eastAsia="Arial" w:hAnsi="Arial"/>
          <w:sz w:val="18"/>
          <w:szCs w:val="18"/>
          <w:i w:val="1"/>
          <w:iCs w:val="1"/>
          <w:color w:val="auto"/>
        </w:rPr>
        <w:t>Transgene expression and purity of day 21 iNK clones as measured by flow cytometry. All clones were &gt;97% iNK cells defined as live/CD45+/CD56+/CD3- (top left panel). Transgene expression (CAR, EGFR, and HLA-E) was measured on total live population after expansion of the single cell clones.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Single-cell clones mediate serial killing of lymphoma cells</w:t>
      </w:r>
    </w:p>
    <w:p>
      <w:pPr>
        <w:spacing w:after="0" w:line="174"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 xml:space="preserve">For cell therapies to be effective in eliminating cancer cells, single CAR-T or CAR-NK cells need to be able to engage and kill multiple tumor cells in succession a process commonly described as serial killing. To evaluate the fitness of our CAR-iNK cells, we established a serial killing assay in which iNK cells are put through multiple rounds of killing with fresh tumor cell targets added every 24 hours. This is one of our most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to characterize and distinguish CAR-iNK cell clones. Our most potent clones (iPSC611, iPSC387, iPSC384) sustain serial killing activity for over ten rounds of killing. These clones have now progressed to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for characterization of their anti-tumor activity against human lymphoma xenografts. These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will determine the final choice of the iPSC clone that will be selected to generate the CNTY-101 clinical candidate.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Serial killing assay with single-cell iNK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156210</wp:posOffset>
            </wp:positionV>
            <wp:extent cx="4672330" cy="22040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7233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459"/>
        <w:spacing w:after="0" w:line="286" w:lineRule="auto"/>
        <w:rPr>
          <w:sz w:val="20"/>
          <w:szCs w:val="20"/>
          <w:color w:val="auto"/>
        </w:rPr>
      </w:pPr>
      <w:r>
        <w:rPr>
          <w:rFonts w:ascii="Arial" w:cs="Arial" w:eastAsia="Arial" w:hAnsi="Arial"/>
          <w:sz w:val="18"/>
          <w:szCs w:val="18"/>
          <w:i w:val="1"/>
          <w:iCs w:val="1"/>
          <w:color w:val="auto"/>
        </w:rPr>
        <w:t>To demonstrate the ability of our clonal CAR-iNK cells to kill lymphoma cells over multiple rounds of tumor challenge, NuclightRed labeled Nalm-6 CD19+ lymphoma cells were cocultured with iNK clones at an E:T ratio of 5:1. The plates were imaged every three hours to record the frequency of tumor cells by recording red fluorescence (Red Calibrated Unit, or RCU). Every 24 hours, new tumor cell targets were added to the wells. Differences in repeated killing are apparent with some clones having tumor serial killing for over ten rounds whereas others show loss of tumor control after five rounds of tumor killing.</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Single-cell clones eliminate CD19+ B cells</w:t>
      </w:r>
    </w:p>
    <w:p>
      <w:pPr>
        <w:spacing w:after="0" w:line="161" w:lineRule="exact"/>
        <w:rPr>
          <w:sz w:val="20"/>
          <w:szCs w:val="20"/>
          <w:color w:val="auto"/>
        </w:rPr>
      </w:pPr>
    </w:p>
    <w:p>
      <w:pPr>
        <w:ind w:left="1260" w:right="479"/>
        <w:spacing w:after="0" w:line="281" w:lineRule="auto"/>
        <w:rPr>
          <w:sz w:val="20"/>
          <w:szCs w:val="20"/>
          <w:color w:val="auto"/>
        </w:rPr>
      </w:pPr>
      <w:r>
        <w:rPr>
          <w:rFonts w:ascii="Arial" w:cs="Arial" w:eastAsia="Arial" w:hAnsi="Arial"/>
          <w:sz w:val="18"/>
          <w:szCs w:val="18"/>
          <w:color w:val="auto"/>
        </w:rPr>
        <w:t>One of the key hallmarks of approved CD19 CAR-T cell therapy is the observation that patients who respond to treatment have B cell aplasia (loss of B cells). Because normal B cells express CD19, B cell aplasia is expected during CD19 CAR-T cell treatment and has been used as a pharmacodynamic indicator of CAR-T cell activity. To determine whether our CD19 CAR-iNK cells eliminate normal B cells, we used B cells from four different allogeneic donors and incubated them with our top candidate iNK single cell clones. After 48 hours in culture, all iNK clones showed robust killing of B cells with complete elimination in most assays. This data indicates that B cell aplasia should be expected during treatment of lymphoma patients. B-cell aplasia is expected to benefit our Allo-Evasion™ strategy by further reducing the chance of patients mounting a humoral anti-iNK cell antibody response.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Elimination of normal B cells by our top candidate iNK cell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139065</wp:posOffset>
            </wp:positionV>
            <wp:extent cx="4672330" cy="3075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72330" cy="307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60" w:right="459"/>
        <w:spacing w:after="0" w:line="260" w:lineRule="auto"/>
        <w:rPr>
          <w:sz w:val="20"/>
          <w:szCs w:val="20"/>
          <w:color w:val="auto"/>
        </w:rPr>
      </w:pPr>
      <w:r>
        <w:rPr>
          <w:rFonts w:ascii="Arial" w:cs="Arial" w:eastAsia="Arial" w:hAnsi="Arial"/>
          <w:sz w:val="18"/>
          <w:szCs w:val="18"/>
          <w:i w:val="1"/>
          <w:iCs w:val="1"/>
          <w:color w:val="auto"/>
        </w:rPr>
        <w:t>Elimination of normal B cells by our top candidate iNK cell clones. To evaluate B cell killing activity in -vitro, whole PBMCs from four donors (4 panels above) and cocultured for 48 hours with CAR-iNK clones at an E:T of 1:1. B-cells were defined as CD45+, CD19+ and the reduction in B-cell numbers graphed as percentage of total B-cells for each donor.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CNTY-101 clinical development program</w:t>
      </w:r>
    </w:p>
    <w:p>
      <w:pPr>
        <w:spacing w:after="0" w:line="147" w:lineRule="exact"/>
        <w:rPr>
          <w:sz w:val="20"/>
          <w:szCs w:val="20"/>
          <w:color w:val="auto"/>
        </w:rPr>
      </w:pPr>
    </w:p>
    <w:p>
      <w:pPr>
        <w:jc w:val="both"/>
        <w:ind w:left="1260" w:right="619"/>
        <w:spacing w:after="0" w:line="221" w:lineRule="auto"/>
        <w:rPr>
          <w:sz w:val="20"/>
          <w:szCs w:val="20"/>
          <w:color w:val="auto"/>
        </w:rPr>
      </w:pPr>
      <w:r>
        <w:rPr>
          <w:rFonts w:ascii="Arial" w:cs="Arial" w:eastAsia="Arial" w:hAnsi="Arial"/>
          <w:sz w:val="18"/>
          <w:szCs w:val="18"/>
          <w:color w:val="auto"/>
        </w:rPr>
        <w:t>We believe the successful development of CNTY-101 will enable us to establish clinical proof of concept for our CAR-iNT cell therapy and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CNTY-101 is projected to enter preclinical and technical IND-enabling studies and manufacturing this year, supporting an</w:t>
      </w:r>
    </w:p>
    <w:p>
      <w:pPr>
        <w:spacing w:after="0" w:line="3" w:lineRule="exact"/>
        <w:rPr>
          <w:sz w:val="20"/>
          <w:szCs w:val="20"/>
          <w:color w:val="auto"/>
        </w:rPr>
      </w:pPr>
    </w:p>
    <w:p>
      <w:pPr>
        <w:ind w:left="1260"/>
        <w:spacing w:after="0"/>
        <w:tabs>
          <w:tab w:leader="none" w:pos="2860" w:val="left"/>
        </w:tabs>
        <w:rPr>
          <w:sz w:val="20"/>
          <w:szCs w:val="20"/>
          <w:color w:val="auto"/>
        </w:rPr>
      </w:pPr>
      <w:r>
        <w:rPr>
          <w:rFonts w:ascii="Arial" w:cs="Arial" w:eastAsia="Arial" w:hAnsi="Arial"/>
          <w:sz w:val="18"/>
          <w:szCs w:val="18"/>
          <w:color w:val="auto"/>
        </w:rPr>
        <w:t>IND filing in</w:t>
      </w:r>
      <w:r>
        <w:rPr>
          <w:sz w:val="20"/>
          <w:szCs w:val="20"/>
          <w:color w:val="auto"/>
        </w:rPr>
        <w:tab/>
      </w:r>
      <w:r>
        <w:rPr>
          <w:rFonts w:ascii="Arial" w:cs="Arial" w:eastAsia="Arial" w:hAnsi="Arial"/>
          <w:sz w:val="18"/>
          <w:szCs w:val="18"/>
          <w:color w:val="auto"/>
        </w:rPr>
        <w:t>.</w:t>
      </w:r>
    </w:p>
    <w:p>
      <w:pPr>
        <w:spacing w:after="0" w:line="156" w:lineRule="exact"/>
        <w:rPr>
          <w:sz w:val="20"/>
          <w:szCs w:val="20"/>
          <w:color w:val="auto"/>
        </w:rPr>
      </w:pPr>
    </w:p>
    <w:p>
      <w:pPr>
        <w:ind w:left="1260"/>
        <w:spacing w:after="0"/>
        <w:tabs>
          <w:tab w:leader="none" w:pos="8680" w:val="left"/>
        </w:tabs>
        <w:rPr>
          <w:sz w:val="20"/>
          <w:szCs w:val="20"/>
          <w:color w:val="auto"/>
        </w:rPr>
      </w:pPr>
      <w:r>
        <w:rPr>
          <w:rFonts w:ascii="Arial" w:cs="Arial" w:eastAsia="Arial" w:hAnsi="Arial"/>
          <w:sz w:val="18"/>
          <w:szCs w:val="18"/>
          <w:color w:val="auto"/>
        </w:rPr>
        <w:t>We intend to initiate a first-in-human Phase 1 clinical study in the United States in</w:t>
      </w:r>
      <w:r>
        <w:rPr>
          <w:sz w:val="20"/>
          <w:szCs w:val="20"/>
          <w:color w:val="auto"/>
        </w:rPr>
        <w:tab/>
      </w:r>
      <w:r>
        <w:rPr>
          <w:rFonts w:ascii="Arial" w:cs="Arial" w:eastAsia="Arial" w:hAnsi="Arial"/>
          <w:sz w:val="18"/>
          <w:szCs w:val="18"/>
          <w:color w:val="auto"/>
        </w:rPr>
        <w:t>, in</w:t>
      </w:r>
    </w:p>
    <w:p>
      <w:pPr>
        <w:spacing w:after="0" w:line="8"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relapsed and refractory large B-cell lymphoma, or RR NHL, patients including dose escalation and expansion portions, designed to evaluate the safety, tolerability, pharmacokinetics, persistence, efficacy, and recommended Phase 2 dose and schedule of CNTY-101. We plan to assess both CD19-naïve and CD19-CAR-T treated patients who have relapsed. We will evaluate dose and dosing schedule, and characterize repeat dosing and its impact on safety, persistence, and efficacy. Depending on FDA feedback on our study design, we’re expecting to be able to evaluate preliminary safety in several patients approximately six months after study start and preliminary efficacy approximately nine to twelve months after study start. CNTY-101 will allow for benchmarking, where safety and efficacy can be compared to the available results for mono-specific CD19 autologous and allogeneic therapies that also utilize the FMC63 binder and CAR.</w:t>
      </w:r>
    </w:p>
    <w:p>
      <w:pPr>
        <w:spacing w:after="0" w:line="144"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primary objective of the Phase 1 clinical study will be to evaluate incidence and nature of dose-limiting toxicities within each dose level cohort. The secondary objectives of the study will include cell pharmacokinetics and persistence, incidence, nature, and severity of adverse events, overall response rate, complete and partial response rates, and duration of response, among other measures. Exploratory measures will include evaluation of immunogenicity, correlation of antigen expression with response, and cytokine profile as a reporter of safety.</w:t>
      </w:r>
    </w:p>
    <w:p>
      <w:pPr>
        <w:spacing w:after="0" w:line="127" w:lineRule="exact"/>
        <w:rPr>
          <w:sz w:val="20"/>
          <w:szCs w:val="20"/>
          <w:color w:val="auto"/>
        </w:rPr>
      </w:pPr>
    </w:p>
    <w:p>
      <w:pPr>
        <w:jc w:val="both"/>
        <w:ind w:left="1260" w:right="719"/>
        <w:spacing w:after="0" w:line="254" w:lineRule="auto"/>
        <w:rPr>
          <w:sz w:val="20"/>
          <w:szCs w:val="20"/>
          <w:color w:val="auto"/>
        </w:rPr>
      </w:pPr>
      <w:r>
        <w:rPr>
          <w:rFonts w:ascii="Arial" w:cs="Arial" w:eastAsia="Arial" w:hAnsi="Arial"/>
          <w:sz w:val="18"/>
          <w:szCs w:val="18"/>
          <w:color w:val="auto"/>
        </w:rPr>
        <w:t>We believe CNTY-101 may provide significant treatment advantages including (i) as a result of our ability to repeat dose, the potential to enhance objective response rates, or ORRs, and the duration of response, or DoR; (ii) the</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249555</wp:posOffset>
            </wp:positionV>
            <wp:extent cx="679958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potential to treat patients immediately upon diagnosis since product is available off-the-shelf and,</w:t>
      </w:r>
    </w:p>
    <w:p>
      <w:pPr>
        <w:spacing w:after="0" w:line="22" w:lineRule="exact"/>
        <w:rPr>
          <w:sz w:val="20"/>
          <w:szCs w:val="20"/>
          <w:color w:val="auto"/>
        </w:rPr>
      </w:pPr>
    </w:p>
    <w:p>
      <w:pPr>
        <w:ind w:left="1260" w:right="459" w:hanging="5"/>
        <w:spacing w:after="0" w:line="266" w:lineRule="auto"/>
        <w:tabs>
          <w:tab w:leader="none" w:pos="15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potential to use milder lymphodepletion regimens by reducing or eliminating the immunogenicity and alloreactivity of the administered cells, potentially providing an improved safety profile. Off the shelf availability of CNTY-101 at any clinical site, and, a potentially improved safety profile enabling outpatient use, could improve patient access. For these reasons, we believe CNTY-101 addresses substantial unmet needs for an off-the-shelf, safe and effective cell therapy offering an improved therapeutic profile, which we believe may enable treatment to be administered in an out-patient setting, thereby increasing patient access.</w:t>
      </w:r>
    </w:p>
    <w:p>
      <w:pPr>
        <w:spacing w:after="0" w:line="161" w:lineRule="exact"/>
        <w:rPr>
          <w:sz w:val="20"/>
          <w:szCs w:val="20"/>
          <w:color w:val="auto"/>
        </w:rPr>
      </w:pPr>
    </w:p>
    <w:p>
      <w:pPr>
        <w:ind w:left="1260" w:right="899"/>
        <w:spacing w:after="0" w:line="449" w:lineRule="auto"/>
        <w:rPr>
          <w:sz w:val="20"/>
          <w:szCs w:val="20"/>
          <w:color w:val="auto"/>
        </w:rPr>
      </w:pPr>
      <w:r>
        <w:rPr>
          <w:rFonts w:ascii="Arial" w:cs="Arial" w:eastAsia="Arial" w:hAnsi="Arial"/>
          <w:sz w:val="18"/>
          <w:szCs w:val="18"/>
          <w:b w:val="1"/>
          <w:bCs w:val="1"/>
          <w:i w:val="1"/>
          <w:iCs w:val="1"/>
          <w:color w:val="auto"/>
        </w:rPr>
        <w:t xml:space="preserve">CNTY-103: Our CAR iNK candidate targeting CD133 + EGFR for recurrent glioblastoma </w:t>
      </w:r>
      <w:r>
        <w:rPr>
          <w:rFonts w:ascii="Arial" w:cs="Arial" w:eastAsia="Arial" w:hAnsi="Arial"/>
          <w:sz w:val="18"/>
          <w:szCs w:val="18"/>
          <w:i w:val="1"/>
          <w:iCs w:val="1"/>
          <w:color w:val="auto"/>
        </w:rPr>
        <w:t>Disease background</w:t>
      </w:r>
    </w:p>
    <w:p>
      <w:pPr>
        <w:spacing w:after="0" w:line="1"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GBM is the most aggressive cancer that originates in the brain and accounts for 15% of all brain cancers. There is no known cure for this form of cancer and as such, GBM represents a significant unmet medical need. Treatment for GBM involves surgery followed by chemotherapy and radiation and is considered only palliative as patient relapse is virtually inevitable. Surgical removal of the tumor mass is often complicated by tumor growth into critical regions or the brain, which cannot be excised surgically. While Avastin® and Gliadel® have been approved for use in the treatment of recurrent GBM, their therapeutic benefit is modest. Duration of survival after diagnosis is generally 12 to 15 months with treatment, 3 months without treatment. Recurrence is virtually inevitable, with short survival times and no effective therapies.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therapeutic approach</w:t>
      </w:r>
    </w:p>
    <w:p>
      <w:pPr>
        <w:spacing w:after="0" w:line="174"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We are pursuing a novel and differentiated approach to the treatment of recurrent GBM using allogeneic iNK cells. Our initial GBM product candidate, CNTY-103, is a dual-targeted CD133 + EGFR iNK,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enabled product, engineered to express IL-15 and a safety switch to allow for cell removal. A dual-target should advantage our treatment strategy, as GBM tumor cells have high target heterogeneity. We believe an iNK cell product will minimize clinical safety risks such as cytokine release syndrome, and our ability to locally administer may minimize systemic toxicity and could eliminate the need for lymphodepletion, allowing older and less fit patients to have access to treatment. CNTY-103 represents our first clinical candidate targeting a solid tumor.</w:t>
      </w:r>
    </w:p>
    <w:p>
      <w:pPr>
        <w:spacing w:after="0" w:line="384"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Through our June 2020 acquisition of the assets of Empirica Therapeutics Inc., or Empirica, we gained access to a broad set of assets to enable the development of novel cell therapies for GBM. This acquisition brought us significant GBM expertise, direct access to tumor tissue from GBM patients, new potential targets for GBM CARs, and novel, proprietary preclinical models of GBM. These models involve the administration of the human tumor xenografts into mouse brains and delivery of the cell therapy candidates directly to sites in the brain where the tumor cells were implanted. These xenograft GBM models have been used to demonstrate the potential utility of CD133 CAR-T therapy to treat GBM. As seen in the data presented below, the CD133 CAR originally developed by Empirica demonstrates compelling anti-tumor activity against three different GBM tumors that express CD133.</w:t>
      </w:r>
    </w:p>
    <w:p>
      <w:pPr>
        <w:spacing w:after="0" w:line="33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 xml:space="preserve">CD133 CAR-T cells display strong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anti-tumor activity against GBM xenografts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147955</wp:posOffset>
            </wp:positionV>
            <wp:extent cx="3963670" cy="15119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63670" cy="151193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 xml:space="preserve">As is depicted in the cross-sectional images presented below, results achieved in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model provide further evidence of the utility of CD133 as a therapeutic target. Tumor cells were implanted into the brains of mice and the mice administered either a CAR-control or a CAR targeting CD133. The image on the left, which reflects tumor growth, is representative of mice dosed with the control CAR. Mice treated with the CAR- targeting CD133 through intracranial delivery, shown on the right, displayed significant tumor shrinkage.</w:t>
      </w:r>
    </w:p>
    <w:p>
      <w:pPr>
        <w:spacing w:after="0" w:line="116"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 xml:space="preserve">CD133 targeted CARs significantly reduced tumor burden in preclinical </w:t>
      </w:r>
      <w:r>
        <w:rPr>
          <w:rFonts w:ascii="Arial" w:cs="Arial" w:eastAsia="Arial" w:hAnsi="Arial"/>
          <w:sz w:val="18"/>
          <w:szCs w:val="18"/>
          <w:b w:val="1"/>
          <w:bCs w:val="1"/>
          <w:i w:val="1"/>
          <w:iCs w:val="1"/>
          <w:color w:val="auto"/>
        </w:rPr>
        <w:t>in-vivo</w:t>
      </w:r>
      <w:r>
        <w:rPr>
          <w:rFonts w:ascii="Arial" w:cs="Arial" w:eastAsia="Arial" w:hAnsi="Arial"/>
          <w:sz w:val="18"/>
          <w:szCs w:val="18"/>
          <w:b w:val="1"/>
          <w:bCs w:val="1"/>
          <w:color w:val="auto"/>
        </w:rPr>
        <w:t xml:space="preserv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139065</wp:posOffset>
            </wp:positionV>
            <wp:extent cx="4911725" cy="18110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11725" cy="181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Tumor shrinkage leads to increased survival, as outlined in the graph below.</w:t>
      </w:r>
    </w:p>
    <w:p>
      <w:pPr>
        <w:spacing w:after="0" w:line="13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Tumor shrinkage led to improved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139065</wp:posOffset>
            </wp:positionV>
            <wp:extent cx="4527550" cy="254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2755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81" w:lineRule="auto"/>
        <w:rPr>
          <w:sz w:val="20"/>
          <w:szCs w:val="20"/>
          <w:color w:val="auto"/>
        </w:rPr>
      </w:pPr>
      <w:r>
        <w:rPr>
          <w:rFonts w:ascii="Arial" w:cs="Arial" w:eastAsia="Arial" w:hAnsi="Arial"/>
          <w:sz w:val="18"/>
          <w:szCs w:val="18"/>
          <w:i w:val="1"/>
          <w:iCs w:val="1"/>
          <w:color w:val="auto"/>
        </w:rPr>
        <w:t>Mice intracranially treated with CART133 cells have improved survival compared to mice treated with control CART cells (p = 0.0027).</w:t>
      </w:r>
    </w:p>
    <w:p>
      <w:pPr>
        <w:spacing w:after="0" w:line="98"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Epidermal growth factor receptor (EGFR) is a well-known oncogene expressed in multiple tumors. Tumors frequently overexpress wild-type and mutant EGFR, including the EGFRvIII variant which is expressed in a fraction of GBM tumors. EGFR gene amplification and overexpression is present in about 40% of GBM and amongst the tumors with amplified EGFR, about 50% express EGFRvIII. We plan to engineer the EGFR-CAR for CNTY-103 to bind both the wild-type and EGFRvIII variant.</w:t>
      </w:r>
    </w:p>
    <w:p>
      <w:pPr>
        <w:spacing w:after="0" w:line="353" w:lineRule="exact"/>
        <w:rPr>
          <w:sz w:val="20"/>
          <w:szCs w:val="20"/>
          <w:color w:val="auto"/>
        </w:rPr>
      </w:pPr>
    </w:p>
    <w:p>
      <w:pPr>
        <w:jc w:val="both"/>
        <w:ind w:left="1260" w:right="859"/>
        <w:spacing w:after="0" w:line="254" w:lineRule="auto"/>
        <w:rPr>
          <w:sz w:val="20"/>
          <w:szCs w:val="20"/>
          <w:color w:val="auto"/>
        </w:rPr>
      </w:pPr>
      <w:r>
        <w:rPr>
          <w:rFonts w:ascii="Arial" w:cs="Arial" w:eastAsia="Arial" w:hAnsi="Arial"/>
          <w:sz w:val="18"/>
          <w:szCs w:val="18"/>
          <w:color w:val="auto"/>
        </w:rPr>
        <w:t>CNTY-103 may also allow for additional therapeutic benefit, taking advantage of the ability to administer the cells directly into the brain and repeat dosing to enhance response durability. Current treatment of GBM commonly</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utilizes the insertion of a catheter through the cranium directly into the tumor space or brain ventricles. We envision mitigating the challenge of therapeutic delivery across the blood-brain barrier through the use of this intracranial port. We believe that accessing the tumor site using an indwelling catheter may not only facilitate localized trafficking of the therapeutic cells to the tumor but also significantly diminish issues related to potential systemic toxicity. In addition, we believe the administration of the CAR-NK cells into the brain eliminates the need to use lymphodepletion, which is not tolerated by older patients or patients with low performance status.</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anticipate filing an IND and/or CTA to begin a Phase 1 clinical trial of CNTY-103 for the</w:t>
      </w:r>
    </w:p>
    <w:p>
      <w:pPr>
        <w:spacing w:after="0" w:line="22"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treatment of recurrent GBM in . As CNTY-103 is our first solid tumor product candidate, Phase 1 development will include clinical proof of concept. The primary objectives of the Phase 1 study will be safety and tolerability, and we will also assess cell pharmacokinetics and persistence, and GBM efficacy and translational measures, including response rate, tumor volume, minimum residual disease, median progression free survival, and overall survival. Upon positive Phase 1 clinical trial results, we would move to develop through registration for use in recurrent GBM, as well as consider evaluating CNTY-103 further in earlier GBM populations.</w:t>
      </w:r>
    </w:p>
    <w:p>
      <w:pPr>
        <w:spacing w:after="0" w:line="161" w:lineRule="exact"/>
        <w:rPr>
          <w:sz w:val="20"/>
          <w:szCs w:val="20"/>
          <w:color w:val="auto"/>
        </w:rPr>
      </w:pPr>
    </w:p>
    <w:p>
      <w:pPr>
        <w:ind w:left="1260" w:right="1199"/>
        <w:spacing w:after="0" w:line="254" w:lineRule="auto"/>
        <w:rPr>
          <w:sz w:val="20"/>
          <w:szCs w:val="20"/>
          <w:color w:val="auto"/>
        </w:rPr>
      </w:pPr>
      <w:r>
        <w:rPr>
          <w:rFonts w:ascii="Arial" w:cs="Arial" w:eastAsia="Arial" w:hAnsi="Arial"/>
          <w:sz w:val="18"/>
          <w:szCs w:val="18"/>
          <w:b w:val="1"/>
          <w:bCs w:val="1"/>
          <w:i w:val="1"/>
          <w:iCs w:val="1"/>
          <w:color w:val="auto"/>
        </w:rPr>
        <w:t>CNTY-102: Our CAR-iNK or CAR -iT candidate targeting CD19 + CD79b for relapsed, refractory B cell lymphoma and other B cell malignancies</w:t>
      </w:r>
    </w:p>
    <w:p>
      <w:pPr>
        <w:spacing w:after="0" w:line="135"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Our next-generation product candidate directed to treat B-cell malignancies is CNTY-102, an iPSC-derived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enabled, CAR-iNK or CAR-iT cell therapy designed to simultaneously target two tumor antigens, CD19 and CD79b. CNTY-102 will also be engineered with homeostatic cytokine support and a safety switch to be utilized for cell elimination if required clinically. Our use of a multi-targeted CAR is intended to increase depth and durability of response by eliminating the effect of CD19 antigen loss that has been observed as a factor limiting durability of CAR-T cell therapies, as well as taking advantage of targeting CD79b, an independently regulated, ubiquitous and validated B-cell target.</w:t>
      </w:r>
    </w:p>
    <w:p>
      <w:pPr>
        <w:spacing w:after="0" w:line="156" w:lineRule="exact"/>
        <w:rPr>
          <w:sz w:val="20"/>
          <w:szCs w:val="20"/>
          <w:color w:val="auto"/>
        </w:rPr>
      </w:pPr>
    </w:p>
    <w:p>
      <w:pPr>
        <w:ind w:left="1260" w:right="459"/>
        <w:spacing w:after="0" w:line="265" w:lineRule="auto"/>
        <w:rPr>
          <w:sz w:val="20"/>
          <w:szCs w:val="20"/>
          <w:color w:val="auto"/>
        </w:rPr>
      </w:pPr>
      <w:r>
        <w:rPr>
          <w:rFonts w:ascii="Arial" w:cs="Arial" w:eastAsia="Arial" w:hAnsi="Arial"/>
          <w:sz w:val="18"/>
          <w:szCs w:val="18"/>
          <w:color w:val="auto"/>
        </w:rPr>
        <w:t>We are actively investigating both iNK and iT cell platforms for this product, as either may have preferential clinical features: iT cells are expected to have high proliferative capacity, persistence, and trafficking, leading to sustained anti-tumor activity, while iNK cell products are intrinsically active against tumor cells, traffic in the hematopoietic compartment where lymphoma is localized, and so far have demonstrated reduced clinical safety risks (e.g., limited observation of cytokine</w:t>
      </w:r>
    </w:p>
    <w:p>
      <w:pPr>
        <w:spacing w:after="0" w:line="1" w:lineRule="exact"/>
        <w:rPr>
          <w:sz w:val="20"/>
          <w:szCs w:val="20"/>
          <w:color w:val="auto"/>
        </w:rPr>
      </w:pPr>
    </w:p>
    <w:p>
      <w:pPr>
        <w:ind w:left="1260"/>
        <w:spacing w:after="0"/>
        <w:tabs>
          <w:tab w:leader="none" w:pos="8340" w:val="left"/>
        </w:tabs>
        <w:rPr>
          <w:sz w:val="20"/>
          <w:szCs w:val="20"/>
          <w:color w:val="auto"/>
        </w:rPr>
      </w:pPr>
      <w:r>
        <w:rPr>
          <w:rFonts w:ascii="Arial" w:cs="Arial" w:eastAsia="Arial" w:hAnsi="Arial"/>
          <w:sz w:val="18"/>
          <w:szCs w:val="18"/>
          <w:color w:val="auto"/>
        </w:rPr>
        <w:t>release syndrome). We currently envision filing an IND for CNTY-102 in</w:t>
      </w:r>
      <w:r>
        <w:rPr>
          <w:sz w:val="20"/>
          <w:szCs w:val="20"/>
          <w:color w:val="auto"/>
        </w:rPr>
        <w:tab/>
      </w:r>
      <w:r>
        <w:rPr>
          <w:rFonts w:ascii="Arial" w:cs="Arial" w:eastAsia="Arial" w:hAnsi="Arial"/>
          <w:sz w:val="18"/>
          <w:szCs w:val="18"/>
          <w:color w:val="auto"/>
        </w:rPr>
        <w:t>.</w:t>
      </w:r>
    </w:p>
    <w:p>
      <w:pPr>
        <w:spacing w:after="0" w:line="156"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Preliminary clinical safety, translational (exploratory biomarker) and efficacy data will be emerging from the CNTY-101 Phase 1 trial at the time we plan to file the CNTY-102 IND, which will allow us to refine the CNTY-102 clinical design and allow for an in depth comparison. We intend to evaluate CNTY-102 in a Phase 1 clinical trial in relapsed, refractory aggressive B-cell NHL, chronic lymphocytic leukemia, or CLL, and/or B cell acute lymphoblastic leukemia, or B-ALL. We will assess safety, tolerability, pharmacokinetics, persistence, and efficacy, with primary objectives of the Phase 1 to evaluate and compare depth and durability of response, as we believe dual tumor antigen targeting will significantly improve the efficacy profile. Additional Phase 1 objectives include determining the recommended Phase 2 clinical trial dose, schedule, and lymphodepletion conditions.</w:t>
      </w:r>
    </w:p>
    <w:p>
      <w:pPr>
        <w:spacing w:after="0" w:line="389" w:lineRule="exact"/>
        <w:rPr>
          <w:sz w:val="20"/>
          <w:szCs w:val="20"/>
          <w:color w:val="auto"/>
        </w:rPr>
      </w:pPr>
    </w:p>
    <w:p>
      <w:pPr>
        <w:ind w:left="1260" w:right="979"/>
        <w:spacing w:after="0" w:line="254" w:lineRule="auto"/>
        <w:rPr>
          <w:sz w:val="20"/>
          <w:szCs w:val="20"/>
          <w:color w:val="auto"/>
        </w:rPr>
      </w:pPr>
      <w:r>
        <w:rPr>
          <w:rFonts w:ascii="Arial" w:cs="Arial" w:eastAsia="Arial" w:hAnsi="Arial"/>
          <w:sz w:val="18"/>
          <w:szCs w:val="18"/>
          <w:b w:val="1"/>
          <w:bCs w:val="1"/>
          <w:i w:val="1"/>
          <w:iCs w:val="1"/>
          <w:color w:val="auto"/>
        </w:rPr>
        <w:t>CNTY-104: Our CAR-iNK or CAR-iT multi-specific candidate for the treatment of acute myeloid leukemia</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Disease background</w:t>
      </w:r>
    </w:p>
    <w:p>
      <w:pPr>
        <w:spacing w:after="0" w:line="174"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AML is the most common form of acute leukemia, with 20,000 patients per year diagnosed in US. AML is an aggressive, heterogeneous hematopoietic malignancy characterized by genetic abnormalities in myeloid stem cells. 5-year overall survival, or OS, among patients with AML aged &lt;60 years is ~ 35%, with 5-year OS among patients &lt;60 years ~ 11%, reflecting a high unmet need to improve survival and quality of life for the majority of patients with AML. First line therapy includes a combination of cytarabine- and anthracycline-based regimens with allogeneic stem cell transplantation for eligible candidates, and recently approved, targeted therapies for specific mutations. Approximately 50% of patients relapse after achieving a complete remission in AML, leading to a poor prognosis. Allogeneic hematopoietic cell transplantation, or Allo-HCT, after achieving a second</w:t>
      </w:r>
    </w:p>
    <w:p>
      <w:pPr>
        <w:sectPr>
          <w:pgSz w:w="11900" w:h="16838" w:orient="portrait"/>
          <w:cols w:equalWidth="0" w:num="1">
            <w:col w:w="9859"/>
          </w:cols>
          <w:pgMar w:left="600" w:top="131" w:right="1440" w:bottom="9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996"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919"/>
        <w:spacing w:after="0" w:line="275" w:lineRule="auto"/>
        <w:rPr>
          <w:sz w:val="20"/>
          <w:szCs w:val="20"/>
          <w:color w:val="auto"/>
        </w:rPr>
      </w:pPr>
      <w:r>
        <w:rPr>
          <w:rFonts w:ascii="Arial" w:cs="Arial" w:eastAsia="Arial" w:hAnsi="Arial"/>
          <w:sz w:val="18"/>
          <w:szCs w:val="18"/>
          <w:color w:val="auto"/>
        </w:rPr>
        <w:t>remission, likely offers the only possible current chance for cure. Despite numerous clinical studies, outcomes are consistently disappointing with 5-year overall survival rates of ~ 10%.</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therapeutic approach</w:t>
      </w:r>
    </w:p>
    <w:p>
      <w:pPr>
        <w:spacing w:after="0" w:line="161" w:lineRule="exact"/>
        <w:rPr>
          <w:sz w:val="20"/>
          <w:szCs w:val="20"/>
          <w:color w:val="auto"/>
        </w:rPr>
      </w:pPr>
    </w:p>
    <w:p>
      <w:pPr>
        <w:ind w:left="1260" w:right="619"/>
        <w:spacing w:after="0" w:line="267" w:lineRule="auto"/>
        <w:rPr>
          <w:sz w:val="20"/>
          <w:szCs w:val="20"/>
          <w:color w:val="auto"/>
        </w:rPr>
      </w:pPr>
      <w:r>
        <w:rPr>
          <w:rFonts w:ascii="Arial" w:cs="Arial" w:eastAsia="Arial" w:hAnsi="Arial"/>
          <w:sz w:val="18"/>
          <w:szCs w:val="18"/>
          <w:color w:val="auto"/>
        </w:rPr>
        <w:t>We are developing a multi-specific CAR-iNK or CAR-iT cell product candidate to treat relapsed, refractory, and secondary AML. CNTY-104 is a CAR-iNK or CAR-iT product candidate designed to target at least two tumor-associated antigens of relevance in AML. We are currently investigating four tumor targets to select the final candidates for the CNTY-104 product candidate. CNTY-104 will include a safety switch and possibly a PET reporter for imaging of the cells after administration to the patients.</w:t>
      </w:r>
    </w:p>
    <w:p>
      <w:pPr>
        <w:spacing w:after="0" w:line="139"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 xml:space="preserve">Use of CAR-T cell therapies have been limited to date in myeloid malignancies due to the heterogeneity of AML cells, and, the absence of antigens that are not also expressed on normal hematopoietic stem progenitor cells. Cell therapy approaches targeting these specific antigens have often led to prolonged myeloablation, causing risk of infection and transfusion dependence in patients. As such, we are planning to create a multi-specific CAR-iNK or iT product that allows for controlled dosing and controlled persistence (e.g. enabling resting periods) to enable elimination of AML blasts while mitigating toxicities to the bone marrow. This approach may provide an improvement in treatment efficacy, tolerability, and safety. There may be an advantage to evaluate an iNK cell product, pending characterization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pharmacokinetics and persistence, but we will evaluate both cell platforms to engineer CNTY-104.</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178" w:lineRule="exact"/>
        <w:rPr>
          <w:sz w:val="20"/>
          <w:szCs w:val="20"/>
          <w:color w:val="auto"/>
        </w:rPr>
      </w:pPr>
    </w:p>
    <w:p>
      <w:pPr>
        <w:ind w:left="1260" w:right="819"/>
        <w:spacing w:after="0" w:line="267" w:lineRule="auto"/>
        <w:rPr>
          <w:sz w:val="20"/>
          <w:szCs w:val="20"/>
          <w:color w:val="auto"/>
        </w:rPr>
      </w:pPr>
      <w:r>
        <w:rPr>
          <w:rFonts w:ascii="Arial" w:cs="Arial" w:eastAsia="Arial" w:hAnsi="Arial"/>
          <w:sz w:val="18"/>
          <w:szCs w:val="18"/>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indications we plan to use multi-specific CARs and explore the use of both iNK and iT cells to identify the best cell platform to build the product candidate.</w:t>
      </w:r>
    </w:p>
    <w:p>
      <w:pPr>
        <w:spacing w:after="0" w:line="125" w:lineRule="exact"/>
        <w:rPr>
          <w:sz w:val="20"/>
          <w:szCs w:val="20"/>
          <w:color w:val="auto"/>
        </w:rPr>
      </w:pPr>
    </w:p>
    <w:p>
      <w:pPr>
        <w:ind w:left="1260" w:right="459"/>
        <w:spacing w:after="0" w:line="265" w:lineRule="auto"/>
        <w:rPr>
          <w:sz w:val="20"/>
          <w:szCs w:val="20"/>
          <w:color w:val="auto"/>
        </w:rPr>
      </w:pPr>
      <w:r>
        <w:rPr>
          <w:rFonts w:ascii="Arial" w:cs="Arial" w:eastAsia="Arial" w:hAnsi="Arial"/>
          <w:sz w:val="18"/>
          <w:szCs w:val="18"/>
          <w:color w:val="auto"/>
        </w:rPr>
        <w:t>We have initiated multiple VHH antibody campaigns to identify binders to build the CAR constructs for the prioritized tumor indications. These campaigns are at different stages of development and include targets for bladder cancer and targets for renal cell carcinoma. Our goal is to do side by side comparisons of the different CARs to select the final CAR constructs for the product candidates. We plan to have these CARs ready in 2022 and add them to the common</w:t>
      </w:r>
    </w:p>
    <w:p>
      <w:pPr>
        <w:spacing w:after="0" w:line="1" w:lineRule="exact"/>
        <w:rPr>
          <w:sz w:val="20"/>
          <w:szCs w:val="20"/>
          <w:color w:val="auto"/>
        </w:rPr>
      </w:pPr>
    </w:p>
    <w:p>
      <w:pPr>
        <w:ind w:left="1260"/>
        <w:spacing w:after="0"/>
        <w:tabs>
          <w:tab w:leader="none" w:pos="6540" w:val="left"/>
          <w:tab w:leader="none" w:pos="7360" w:val="left"/>
        </w:tabs>
        <w:rPr>
          <w:sz w:val="20"/>
          <w:szCs w:val="20"/>
          <w:color w:val="auto"/>
        </w:rPr>
      </w:pPr>
      <w:r>
        <w:rPr>
          <w:rFonts w:ascii="Arial" w:cs="Arial" w:eastAsia="Arial" w:hAnsi="Arial"/>
          <w:sz w:val="18"/>
          <w:szCs w:val="18"/>
          <w:color w:val="auto"/>
        </w:rPr>
        <w:t>engineered iPSC progenitor, with predicted IND filings in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p>
    <w:p>
      <w:pPr>
        <w:spacing w:after="0" w:line="170" w:lineRule="exact"/>
        <w:rPr>
          <w:sz w:val="20"/>
          <w:szCs w:val="20"/>
          <w:color w:val="auto"/>
        </w:rPr>
      </w:pPr>
    </w:p>
    <w:p>
      <w:pPr>
        <w:ind w:left="1260" w:right="739"/>
        <w:spacing w:after="0" w:line="267" w:lineRule="auto"/>
        <w:rPr>
          <w:sz w:val="20"/>
          <w:szCs w:val="20"/>
          <w:color w:val="auto"/>
        </w:rPr>
      </w:pPr>
      <w:r>
        <w:rPr>
          <w:rFonts w:ascii="Arial" w:cs="Arial" w:eastAsia="Arial" w:hAnsi="Arial"/>
          <w:sz w:val="18"/>
          <w:szCs w:val="18"/>
          <w:color w:val="auto"/>
        </w:rPr>
        <w:t>We intend to evaluate the use of engineered macrophages and dendritic cells in the future as potential anti-cancer cell therapies. We believe the function of these immune cells may enable both standalone use as well as their inclusion in potent effector cell cocktails where the complementary engagement of the different immune cells reinforces and enhance overall therapeutic efficacy against different type of tumor malignancies.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Manufacturing</w:t>
      </w:r>
    </w:p>
    <w:p>
      <w:pPr>
        <w:spacing w:after="0" w:line="169"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We believe that our iPSC-derived NK cells and T cells afford us a significant opportunity to advance multiplex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intend to develop a significant depth of expertise related to scale manufacturing, which we believe is essential to enable cell expansion, harvest and final container filling, along with cryopreservation, at a significantly reduced per dose cost. We have constructed our manufacturing strategy with the intent of achieving these objectives.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We believe that our relationship with FCDI and its role in the manufacture of our initial product candidates has provided valuable know-how that accelerated development of our proprietary methods to generate functional iPSC-derived iNK cells. We believe that our optimized iPSC differentiation methods are scalable and compatible with efficient manufacturing processes. Our process development group is responsible for overall management of process optimization efforts and we have contracted with FCDI to provide us with process development services on an ongoing basis.</w:t>
      </w:r>
    </w:p>
    <w:p>
      <w:pPr>
        <w:spacing w:after="0" w:line="354"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Current activities with FCDI are focused on enhancements to NK cell production. As the protocols for cryopreservation of NK cells are not as well established as the protocols for T cell freezing and storage, we believe that addressing the key determinants of cryopreservation is of particular relevance to the success of our more advanced therapeutic programs. The ability of NK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NK cells, especially its impact on yield, activity, stability and consistency. We have invested significant resources to optimize our manufacturing process and continue to iteratively invest in this area. We are also committing additional resources to ensure that adequate infrastructure and expertise is available at clinical sites regarding handling and treatment preparation.</w:t>
      </w:r>
    </w:p>
    <w:p>
      <w:pPr>
        <w:spacing w:after="0" w:line="34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147955</wp:posOffset>
            </wp:positionV>
            <wp:extent cx="4937125" cy="128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37125" cy="128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We intend to source clinical supply of CNTY-101 from FCDI. FCDI currently maintains a cGMP compliant manufacturing facility in Madison, Wisconsin and our audit of the facility confirmed its Phase 1 readiness. We also intend to source clinical trial supply for our other iNK product candidates, and we will have the option to source NK cell therapies to be sold commercially, if approved, from FCDI. At the same time, we are investing in the construction of our own 53,000 square foot cell therapy manufacturing facility in Branchburg, New Jersey. We anticipate that this facility will become operational by the end of 2021. While we intend to use this facility as the primary manufacturing site for CAR-iT cell therapies, we have designed the facility to be a flexible, multi-product facility, capable of producing any immune cell type, and thereby serving as an alternative manufacturing site for our CAR-iNK cell therapies as well.</w:t>
      </w:r>
    </w:p>
    <w:p>
      <w:pPr>
        <w:spacing w:after="0" w:line="141"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will gain a deeper understanding of our critical product attributes and better understand the factors that affect product quality. We also intend to develop expertise in scale-up technologies to enable optimal manufacturing scale for our product candidates, which will reduce cost of goods and improve patient access.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Licensing, partnerships and collaborations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Fujifilm Cellular Dynamics, Inc.</w:t>
      </w:r>
    </w:p>
    <w:p>
      <w:pPr>
        <w:spacing w:after="0" w:line="151"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are party to an exclusive license with FCDI, dated September 18, 2018, pursuant to which we have licensed from FCDI certain patents and know-how related to differentiation of iPSC cells into immune-effector cells in the field of cancer immunotherapeutics, or, as amended, the Differentiation License. We are also party to a non-exclusive license with FCDI, also dated September 18, 2018, pursuant to which we have licensed from FCDI certain patents and know-how related to the reprogramming of human somatic cells to iPSCs in the field of cancer immunotherapeutics, or, as amended, the Reprogramming License. On October 21, 2019, we entered into a Master Collaboration Agreement with FCDI pursuant to which we agreed to fund research and development work at FCDI pursuant to a research plan, or, as amended, the Collaboration Agreement. On March 23, 2021, we entered into a Manufacturing and Supply Agreement with FCDI, or the Manufacturing Agreement, pursuant to which FCDI will provide certain agreed upon technology transfer, process development, analytical testing and GMP manufacturing services to us.</w:t>
      </w:r>
    </w:p>
    <w:p>
      <w:pPr>
        <w:spacing w:after="0" w:line="3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Differentiation License Agreement</w:t>
      </w:r>
    </w:p>
    <w:p>
      <w:pPr>
        <w:spacing w:after="0" w:line="161"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We also granted to FCDI a non-exclusive, sublicensable, worldwide license under certain manufacturing know- how developed by us under the Differentiation License or Collaboration Agreement for manufacturing and process development activities outside of the field of cancer immunotherapy for cells other than NK cells, T cells, dendritic cells and macrophages derived from human iPSC.</w:t>
      </w:r>
    </w:p>
    <w:p>
      <w:pPr>
        <w:spacing w:after="0" w:line="359" w:lineRule="exact"/>
        <w:rPr>
          <w:sz w:val="20"/>
          <w:szCs w:val="20"/>
          <w:color w:val="auto"/>
        </w:rPr>
      </w:pPr>
    </w:p>
    <w:p>
      <w:pPr>
        <w:ind w:left="1260" w:right="639"/>
        <w:spacing w:after="0" w:line="251" w:lineRule="auto"/>
        <w:rPr>
          <w:sz w:val="20"/>
          <w:szCs w:val="20"/>
          <w:color w:val="auto"/>
        </w:rPr>
      </w:pPr>
      <w:r>
        <w:rPr>
          <w:rFonts w:ascii="Arial" w:cs="Arial" w:eastAsia="Arial" w:hAnsi="Arial"/>
          <w:sz w:val="18"/>
          <w:szCs w:val="18"/>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Prior Century issued 7,500,000 shares of common stock to FCDI, which were exchanged for 7,500,000 shares of common stock in connection with the Reorganization.</w:t>
      </w:r>
    </w:p>
    <w:p>
      <w:pPr>
        <w:spacing w:after="0" w:line="341"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The Differentiation License expires upon the expiration of the last- to-expire patent licensed thereunder. Either party may terminate the Differentiation License upon the other party’s 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FCDI may also terminate the Differentiation License upon written notice in the event of termination of Reprogramming License.</w:t>
      </w:r>
    </w:p>
    <w:p>
      <w:pPr>
        <w:spacing w:after="0" w:line="145" w:lineRule="exact"/>
        <w:rPr>
          <w:sz w:val="20"/>
          <w:szCs w:val="20"/>
          <w:color w:val="auto"/>
        </w:rPr>
      </w:pPr>
    </w:p>
    <w:p>
      <w:pPr>
        <w:ind w:left="1260" w:right="1579"/>
        <w:spacing w:after="0" w:line="260" w:lineRule="auto"/>
        <w:rPr>
          <w:sz w:val="20"/>
          <w:szCs w:val="20"/>
          <w:color w:val="auto"/>
        </w:rPr>
      </w:pPr>
      <w:r>
        <w:rPr>
          <w:rFonts w:ascii="Arial" w:cs="Arial" w:eastAsia="Arial" w:hAnsi="Arial"/>
          <w:sz w:val="18"/>
          <w:szCs w:val="18"/>
          <w:color w:val="auto"/>
        </w:rPr>
        <w:t>The Differentiation License also contains customary representations and warranties, confidentiality, insurance and indemnification provisions.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Reprogramming License Agreement</w:t>
      </w:r>
    </w:p>
    <w:p>
      <w:pPr>
        <w:spacing w:after="0" w:line="161"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131"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Under the Reprogramming License, we agreed to pay FCDI low single -digit percentage royalty payments on net sales of FCDI Licensed Products, as required by the WARF License. We also agreed to pay certain milestone payments to FCDI as required by the WARF License upon the achievement of certain development and commercial milestones up to an aggregate of $6 million per FCDI Licensed Product.</w:t>
      </w:r>
    </w:p>
    <w:p>
      <w:pPr>
        <w:spacing w:after="0" w:line="138"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The Reprogramming License expires upon the expiration of the last- to-expire patent licensed thereunder.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 - product or country-by-country basis. FCDI may terminate the Reprogramming License if we fail to achieve certain development milestones. FCDI may also terminate the Reprogramming License upon written notice in the event of termination of the Differentiation License.</w:t>
      </w:r>
    </w:p>
    <w:p>
      <w:pPr>
        <w:spacing w:after="0" w:line="138" w:lineRule="exact"/>
        <w:rPr>
          <w:sz w:val="20"/>
          <w:szCs w:val="20"/>
          <w:color w:val="auto"/>
        </w:rPr>
      </w:pPr>
    </w:p>
    <w:p>
      <w:pPr>
        <w:ind w:left="1260" w:right="1399"/>
        <w:spacing w:after="0" w:line="260" w:lineRule="auto"/>
        <w:rPr>
          <w:sz w:val="20"/>
          <w:szCs w:val="20"/>
          <w:color w:val="auto"/>
        </w:rPr>
      </w:pPr>
      <w:r>
        <w:rPr>
          <w:rFonts w:ascii="Arial" w:cs="Arial" w:eastAsia="Arial" w:hAnsi="Arial"/>
          <w:sz w:val="18"/>
          <w:szCs w:val="18"/>
          <w:color w:val="auto"/>
        </w:rPr>
        <w:t>The Reprogramming License also contains customary representations and warranties, confidentiality, insurance and indemnification provisions.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Master Collaboration Agreement</w:t>
      </w:r>
    </w:p>
    <w:p>
      <w:pPr>
        <w:spacing w:after="0" w:line="147" w:lineRule="exact"/>
        <w:rPr>
          <w:sz w:val="20"/>
          <w:szCs w:val="20"/>
          <w:color w:val="auto"/>
        </w:rPr>
      </w:pPr>
    </w:p>
    <w:p>
      <w:pPr>
        <w:ind w:left="1260" w:right="519"/>
        <w:spacing w:after="0" w:line="249" w:lineRule="auto"/>
        <w:rPr>
          <w:sz w:val="20"/>
          <w:szCs w:val="20"/>
          <w:color w:val="auto"/>
        </w:rPr>
      </w:pPr>
      <w:r>
        <w:rPr>
          <w:rFonts w:ascii="Arial" w:cs="Arial" w:eastAsia="Arial" w:hAnsi="Arial"/>
          <w:sz w:val="18"/>
          <w:szCs w:val="18"/>
          <w:color w:val="auto"/>
        </w:rPr>
        <w:t>Under the Collaboration Agreement, we established a collaborative relationship under which FCDI agreed to render certain services to us for the development and manufacture iPSC-derived cells in accordance with a research plan and approved budget funded by us. For the first</w:t>
      </w:r>
    </w:p>
    <w:p>
      <w:pPr>
        <w:spacing w:after="0" w:line="1" w:lineRule="exact"/>
        <w:rPr>
          <w:sz w:val="20"/>
          <w:szCs w:val="20"/>
          <w:color w:val="auto"/>
        </w:rPr>
      </w:pPr>
    </w:p>
    <w:p>
      <w:pPr>
        <w:ind w:left="1260" w:right="799"/>
        <w:spacing w:after="0" w:line="260" w:lineRule="auto"/>
        <w:rPr>
          <w:sz w:val="20"/>
          <w:szCs w:val="20"/>
          <w:color w:val="auto"/>
        </w:rPr>
      </w:pPr>
      <w:r>
        <w:rPr>
          <w:rFonts w:ascii="Arial" w:cs="Arial" w:eastAsia="Arial" w:hAnsi="Arial"/>
          <w:sz w:val="18"/>
          <w:szCs w:val="18"/>
          <w:color w:val="auto"/>
        </w:rPr>
        <w:t>three years of the term of the Collaboration Agreement, we agreed to pay FCDI a minimum of $2.5 million per year.</w:t>
      </w:r>
    </w:p>
    <w:p>
      <w:pPr>
        <w:spacing w:after="0" w:line="143"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Under the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Collaboration Agreement.</w:t>
      </w:r>
    </w:p>
    <w:p>
      <w:pPr>
        <w:spacing w:after="0" w:line="142"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The Collaboration Agreement expires upon the termination of the Reprogramming License. Either party may terminate the Collaboration Agreement upon the other party’s material breach, subject to a 30-day notice and cure period. We may terminate the Collaboration Agreement for convenience after October 1, 2021 by providing FCDI 60-days’ written notice.</w:t>
      </w:r>
    </w:p>
    <w:p>
      <w:pPr>
        <w:spacing w:after="0" w:line="125" w:lineRule="exact"/>
        <w:rPr>
          <w:sz w:val="20"/>
          <w:szCs w:val="20"/>
          <w:color w:val="auto"/>
        </w:rPr>
      </w:pPr>
    </w:p>
    <w:p>
      <w:pPr>
        <w:ind w:left="1260" w:right="1359"/>
        <w:spacing w:after="0" w:line="275" w:lineRule="auto"/>
        <w:rPr>
          <w:sz w:val="20"/>
          <w:szCs w:val="20"/>
          <w:color w:val="auto"/>
        </w:rPr>
      </w:pPr>
      <w:r>
        <w:rPr>
          <w:rFonts w:ascii="Arial" w:cs="Arial" w:eastAsia="Arial" w:hAnsi="Arial"/>
          <w:sz w:val="18"/>
          <w:szCs w:val="18"/>
          <w:color w:val="auto"/>
        </w:rPr>
        <w:t>The Collaboration Agreement also contains customary representations and warranties, confidentiality and indemnification provisions.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Manufacturing and Supply Agreement</w:t>
      </w:r>
    </w:p>
    <w:p>
      <w:pPr>
        <w:spacing w:after="0" w:line="174"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Under the Manufacturing Agreement, FCDI will perform certain agreed upon technology transfer, process development, analytical testing, and GMP manufacturing services for us with respect to clinical supply of our product candidates as agreed to in future work orders. The Manufacturing Agreement contains certain exclusivity provisions, which remain effective until the fifth anniversary of the Manufacturing Agreement, including that</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FCDI will be our exclusive clinical supplier for the first NK cell product candidate for which we submit an IND and that FCDI will have the option to be our exclusive clinical supplier for certain of our next three or four product candidates for which we may submit an IND, depending on whether they are NK cell product candidates or T cell product candidates. Subject to certain conditions, FCDI may also have the right to be the exclusive clinical supplier for the first product candidate for which we submit an IND after the fifth anniversary of the Manufacturing Agreement.</w:t>
      </w:r>
    </w:p>
    <w:p>
      <w:pPr>
        <w:spacing w:after="0" w:line="127"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3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Bayer HealthCare LLC</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Option Agreement</w:t>
      </w:r>
    </w:p>
    <w:p>
      <w:pPr>
        <w:spacing w:after="0" w:line="174"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139"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In the event that Bayer exercises its ROFR right, we will provide Bayer with our current, minimum offer terms with respect to the relevant Research Product Rights, or the Minimum Offer Terms, as determined by our 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137" w:lineRule="exact"/>
        <w:rPr>
          <w:sz w:val="20"/>
          <w:szCs w:val="20"/>
          <w:color w:val="auto"/>
        </w:rPr>
      </w:pPr>
    </w:p>
    <w:p>
      <w:pPr>
        <w:ind w:left="1260" w:right="719"/>
        <w:spacing w:after="0" w:line="272" w:lineRule="auto"/>
        <w:rPr>
          <w:sz w:val="20"/>
          <w:szCs w:val="20"/>
          <w:color w:val="auto"/>
        </w:rPr>
      </w:pPr>
      <w:r>
        <w:rPr>
          <w:rFonts w:ascii="Arial" w:cs="Arial" w:eastAsia="Arial" w:hAnsi="Arial"/>
          <w:sz w:val="18"/>
          <w:szCs w:val="18"/>
          <w:color w:val="auto"/>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3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iCELL, Inc.</w:t>
      </w:r>
    </w:p>
    <w:p>
      <w:pPr>
        <w:spacing w:after="0" w:line="178" w:lineRule="exact"/>
        <w:rPr>
          <w:sz w:val="20"/>
          <w:szCs w:val="20"/>
          <w:color w:val="auto"/>
        </w:rPr>
      </w:pPr>
    </w:p>
    <w:p>
      <w:pPr>
        <w:ind w:left="1260" w:right="579"/>
        <w:spacing w:after="0" w:line="267" w:lineRule="auto"/>
        <w:rPr>
          <w:sz w:val="20"/>
          <w:szCs w:val="20"/>
          <w:color w:val="auto"/>
        </w:rPr>
      </w:pPr>
      <w:r>
        <w:rPr>
          <w:rFonts w:ascii="Arial" w:cs="Arial" w:eastAsia="Arial" w:hAnsi="Arial"/>
          <w:sz w:val="18"/>
          <w:szCs w:val="18"/>
          <w:color w:val="auto"/>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w:t>
      </w:r>
    </w:p>
    <w:p>
      <w:pPr>
        <w:spacing w:after="0" w:line="339"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The initial term of the sublicense expires on the later of (i) March 31, 2027, or (ii) the expiration of the last -to-expire valid claim covering a licensed product.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w:t>
      </w:r>
    </w:p>
    <w:p>
      <w:pPr>
        <w:spacing w:after="0" w:line="141"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Pursuant to the iCELL Sublicense, we paid an upfront license issue fee in the low six -figures and we agreed to make low single-digit percentage royalty payments to iCELL on certain net sales amounts of the products developed under the iCELL Sublicense, as well as commercial milestone payments on a country-by-country basis based on certain net sales amounts related to products developed under the iCELL Sublicense in the aggregate of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University of Toronto and McMaster University</w:t>
      </w:r>
    </w:p>
    <w:p>
      <w:pPr>
        <w:spacing w:after="0" w:line="165"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On June 9, 2020, we entered into an asset purchase agreement by and among Empirica, our wholly-owned subsidiary Century Therapeutics Canada ULC, or Century Canada and us pursuant to which we purchased certain assets of Empirica, including a license agreement, or the Empirica License, dated January 22, 2019, by and among the Governing Council of the University of Toronto, or the Council, the McMaster University, or, together with the Council, the Toronto Universities, and Empirica. Under the Empirica License, we received an exclusive, non-transferable, sublicensable, worldwide license under certain patents and antibody sequences and related intellectual property rights and know-how to, among other things, reproduce, manufacture and commercialize certain CD-133 related antibody and antibody sequence-derived technology, including but not limited to BiTE and bi-Specific or engineered T-Cells, including but not limited to CAR-Ts. The Toronto Universities reserve a royalty -free, non- exclusive, perpetual, irrevocable license to use such technology for non-commercial research, educational and administrative purposes.</w:t>
      </w:r>
    </w:p>
    <w:p>
      <w:pPr>
        <w:spacing w:after="0" w:line="345" w:lineRule="exact"/>
        <w:rPr>
          <w:sz w:val="20"/>
          <w:szCs w:val="20"/>
          <w:color w:val="auto"/>
        </w:rPr>
      </w:pPr>
    </w:p>
    <w:p>
      <w:pPr>
        <w:ind w:left="1260" w:right="719"/>
        <w:spacing w:after="0" w:line="252" w:lineRule="auto"/>
        <w:rPr>
          <w:sz w:val="20"/>
          <w:szCs w:val="20"/>
          <w:color w:val="auto"/>
        </w:rPr>
      </w:pPr>
      <w:r>
        <w:rPr>
          <w:rFonts w:ascii="Arial" w:cs="Arial" w:eastAsia="Arial" w:hAnsi="Arial"/>
          <w:sz w:val="18"/>
          <w:szCs w:val="18"/>
          <w:color w:val="auto"/>
        </w:rPr>
        <w:t>The Empirica License expires upon the expiration of the last-to-expire valid claim covering the antibody and antibody-derived technology licensed under the agreement. The Toronto Universities may immediately terminate the agreement upon certain insolvency events or upon our material breach with 30 days’ prior written notice and cure period. We may terminate the agreement for convenience upon 30 days’ written notice.</w:t>
      </w:r>
    </w:p>
    <w:p>
      <w:pPr>
        <w:spacing w:after="0" w:line="138"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Pursuant to the Empirica License, we are required to make aggregate milestone payments of $18 million to the Toronto Universities upon the achievement of regulatory approval for certain products developed pursuant to the Empirica License in the United States, European Union and Japan. We are also required to make royalty payments to the Toronto Universities in an amount equal to a low single-digit percentage of annual net sales of any product commercialized utilizing technology licensed under the Empirica License. We are also required to pay the Toronto Institutions 50% of all non-royalty payments from sublicenses up to certain maximum amounts and 50% of royalty payments from sublicenses up to a maximum low single-digit percentage. The Empirica License contains customary representations and warranties, confidentiality, insurance, audit and indemnification provisions.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Intellectual property</w:t>
      </w:r>
    </w:p>
    <w:p>
      <w:pPr>
        <w:spacing w:after="0" w:line="155"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Intellectual property is of vital importance in our field and in biotechnology generally. We seek to protect and enhance our intellectual property, proprietary technology, inventions, and improvements that are commercially</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659"/>
        <w:spacing w:after="0" w:line="275" w:lineRule="auto"/>
        <w:rPr>
          <w:sz w:val="20"/>
          <w:szCs w:val="20"/>
          <w:color w:val="auto"/>
        </w:rPr>
      </w:pPr>
      <w:r>
        <w:rPr>
          <w:rFonts w:ascii="Arial" w:cs="Arial" w:eastAsia="Arial" w:hAnsi="Arial"/>
          <w:sz w:val="18"/>
          <w:szCs w:val="18"/>
          <w:color w:val="auto"/>
        </w:rPr>
        <w:t>important to the development of our business by seeking, maintaining, enforcing and defending patent rights, whether developed internally or licensed from third parties.</w:t>
      </w:r>
    </w:p>
    <w:p>
      <w:pPr>
        <w:spacing w:after="0" w:line="118"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We do not own any issued patents covering our product candidates, platforms or technology and our patent portfolio is currently comprised only of provisional patent applications. Additionally, we have not filed any patent applications related to our product candidates other than CNTY-101. We have sought patent protection in the United States related to our CNTY-101 product candidate, as well as other iPSC-derived engineered CAR cells comprising certain transgene insertions and deletions, including our proprietary Allo-Evasion™ technology. This portfolio covers compositions of programmed cellular immunotherapies, our proprietary Allo-Evasion™ technology and our platform for industrial scale iPSC engineering and differentiation. The portfolio also includes technology for a universal CAR cell platform.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366"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150" w:lineRule="exact"/>
        <w:rPr>
          <w:sz w:val="20"/>
          <w:szCs w:val="20"/>
          <w:color w:val="auto"/>
        </w:rPr>
      </w:pPr>
    </w:p>
    <w:p>
      <w:pPr>
        <w:ind w:left="1260" w:right="459"/>
        <w:spacing w:after="0" w:line="265"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w:t>
      </w:r>
    </w:p>
    <w:p>
      <w:pPr>
        <w:spacing w:after="0" w:line="2"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28"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will file U.S. non-provisional applications and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366"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42"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127"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Intellectual property relating to iPSC technology</w:t>
      </w:r>
    </w:p>
    <w:p>
      <w:pPr>
        <w:spacing w:after="0" w:line="161"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This portfolio covers various aspects of the generation of human iPSCs from somatic cells and, as of March 16,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issue from these pending patent applications will expire on dates ranging from 2029 to 2034, without giving effect to any patent term adjustment or extension.</w:t>
      </w:r>
    </w:p>
    <w:p>
      <w:pPr>
        <w:spacing w:after="0" w:line="368" w:lineRule="exact"/>
        <w:rPr>
          <w:sz w:val="20"/>
          <w:szCs w:val="20"/>
          <w:color w:val="auto"/>
        </w:rPr>
      </w:pPr>
    </w:p>
    <w:p>
      <w:pPr>
        <w:ind w:left="1260" w:right="699"/>
        <w:spacing w:after="0" w:line="268" w:lineRule="auto"/>
        <w:rPr>
          <w:sz w:val="20"/>
          <w:szCs w:val="20"/>
          <w:color w:val="auto"/>
        </w:rPr>
      </w:pPr>
      <w:r>
        <w:rPr>
          <w:rFonts w:ascii="Arial" w:cs="Arial" w:eastAsia="Arial" w:hAnsi="Arial"/>
          <w:sz w:val="18"/>
          <w:szCs w:val="18"/>
          <w:color w:val="auto"/>
        </w:rPr>
        <w:t>Included within the license is a sublicense under certain to patents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138"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Given that the rights granted to us under these patents are non-exclusive, third parties may obtain licenses to these patents and related technology to compete with us. For more information, see “Risk Factors — Risks related to commercialization of our product candidates — 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Intellectual property relating to genetic engineering</w:t>
      </w:r>
    </w:p>
    <w:p>
      <w:pPr>
        <w:spacing w:after="0" w:line="161"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patents and any pending applications claiming priority therefrom. Our license covers the making and using of CRISPR-MAD7 for editing iPSCs, making master engineered iPSC lines and using master engineered iPSC lines to manufacture human therapeutic products. These</w:t>
      </w:r>
    </w:p>
    <w:p>
      <w:pPr>
        <w:sectPr>
          <w:pgSz w:w="11900" w:h="16838" w:orient="portrait"/>
          <w:cols w:equalWidth="0" w:num="1">
            <w:col w:w="9859"/>
          </w:cols>
          <w:pgMar w:left="600" w:top="132" w:right="1440" w:bottom="794" w:gutter="0" w:footer="0" w:header="0"/>
        </w:sect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794"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issued patents and any patents that may issue from these pending patent applications will expire in 2037, without giving effect to any patent term adjustment or extension.</w:t>
      </w:r>
    </w:p>
    <w:p>
      <w:pPr>
        <w:spacing w:after="0" w:line="117"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Given that the rights granted to us under these patents are non-exclusive, third parties may obtain licenses to these patents and related technology to compete with us. For more information, see “Risk Factors — Risks related to commercialization of our product candidates — 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Intellectual property relating to the differentiation of hematopoietic cells</w:t>
      </w:r>
    </w:p>
    <w:p>
      <w:pPr>
        <w:spacing w:after="0" w:line="161"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have licensed from FCDI a portfolio of six patent families including issued patents and pending patent applications broadly applicable to the differentiation of iPSC cells. Our license is exclusive to exploit cancer immunotherapeutic products consisting of cells that are or are modifications of NK cells, T cells, dendritic cells and macrophages derived from human iPSCs. This portfolio covers various aspects of the generation of hematopoietic precursor and immune effector cells from iPSCs and, as of March 16,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3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Intellectual property relating to engineered iPSCs and derivative cells</w:t>
      </w:r>
    </w:p>
    <w:p>
      <w:pPr>
        <w:spacing w:after="0" w:line="161"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color w:val="auto"/>
        </w:rPr>
        <w:t>Currently we own four pending provisional patent applications covering our engineered iPSC cells, cell differentiation technology and compositions of engineered cellular immunotherapies. The portfolio includes composition of matter claims covering our CNTY- 101 product, as well as other iPSC-derived engineered CAR cells comprising certain transgene insertions and deletions, including our proprietary Allo -Evasion™ technology. One of our provisional patent applications includes claims directed to a universal CAR cell platform. Any U.S. patents that may issue from such pending provisional patent applications would expire in 2040, without giving effect to any patent term adjustment or extension.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Intellectual property relating to engineered T cells</w:t>
      </w:r>
    </w:p>
    <w:p>
      <w:pPr>
        <w:spacing w:after="0" w:line="147"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Competition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biotechnology and pharmaceutical industries have made substantial investments in</w:t>
      </w:r>
    </w:p>
    <w:p>
      <w:pPr>
        <w:spacing w:after="0" w:line="8" w:lineRule="exact"/>
        <w:rPr>
          <w:sz w:val="20"/>
          <w:szCs w:val="20"/>
          <w:color w:val="auto"/>
        </w:rPr>
      </w:pPr>
    </w:p>
    <w:p>
      <w:pPr>
        <w:ind w:left="1260" w:right="499"/>
        <w:spacing w:after="0" w:line="260" w:lineRule="auto"/>
        <w:rPr>
          <w:sz w:val="20"/>
          <w:szCs w:val="20"/>
          <w:color w:val="auto"/>
        </w:rPr>
      </w:pPr>
      <w:r>
        <w:rPr>
          <w:rFonts w:ascii="Arial" w:cs="Arial" w:eastAsia="Arial" w:hAnsi="Arial"/>
          <w:sz w:val="18"/>
          <w:szCs w:val="18"/>
          <w:color w:val="auto"/>
        </w:rPr>
        <w:t>recent years into the rapid development of novel immunotherapies for the treatment of a range of pathologies, including infectious diseases and cancers, making this a highly competitive market.</w:t>
      </w:r>
    </w:p>
    <w:p>
      <w:pPr>
        <w:spacing w:after="0" w:line="130"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59"/>
        <w:spacing w:after="0" w:line="275" w:lineRule="auto"/>
        <w:rPr>
          <w:sz w:val="20"/>
          <w:szCs w:val="20"/>
          <w:color w:val="auto"/>
        </w:rPr>
      </w:pPr>
      <w:r>
        <w:rPr>
          <w:rFonts w:ascii="Arial" w:cs="Arial" w:eastAsia="Arial" w:hAnsi="Arial"/>
          <w:sz w:val="18"/>
          <w:szCs w:val="18"/>
          <w:color w:val="auto"/>
        </w:rPr>
        <w:t>thereof, technologies, and data emerge within the field of immunotherapy and, furthermore, within the treatment of infectious diseases and cancers.</w:t>
      </w:r>
    </w:p>
    <w:p>
      <w:pPr>
        <w:spacing w:after="0" w:line="118"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40" w:lineRule="exact"/>
        <w:rPr>
          <w:sz w:val="20"/>
          <w:szCs w:val="20"/>
          <w:color w:val="auto"/>
        </w:rPr>
      </w:pPr>
    </w:p>
    <w:p>
      <w:pPr>
        <w:ind w:left="1260" w:right="619"/>
        <w:spacing w:after="0" w:line="270" w:lineRule="auto"/>
        <w:rPr>
          <w:sz w:val="20"/>
          <w:szCs w:val="20"/>
          <w:color w:val="auto"/>
        </w:rPr>
      </w:pPr>
      <w:r>
        <w:rPr>
          <w:rFonts w:ascii="Arial" w:cs="Arial" w:eastAsia="Arial" w:hAnsi="Arial"/>
          <w:sz w:val="18"/>
          <w:szCs w:val="18"/>
          <w:color w:val="auto"/>
        </w:rPr>
        <w:t>Large pharmaceutical companies that have commercialized or are developing immunotherapies to treat cancer include AstraZeneca, Bristol Myers Squibb, Gilead Sciences, Merck, Novartis, Pfizer, and Roche/Genentech.</w:t>
      </w:r>
    </w:p>
    <w:p>
      <w:pPr>
        <w:spacing w:after="0" w:line="135" w:lineRule="exact"/>
        <w:rPr>
          <w:sz w:val="20"/>
          <w:szCs w:val="20"/>
          <w:color w:val="auto"/>
        </w:rPr>
      </w:pPr>
    </w:p>
    <w:p>
      <w:pPr>
        <w:ind w:left="1260" w:right="639"/>
        <w:spacing w:after="0" w:line="268" w:lineRule="auto"/>
        <w:rPr>
          <w:sz w:val="20"/>
          <w:szCs w:val="20"/>
          <w:color w:val="auto"/>
        </w:rPr>
      </w:pPr>
      <w:r>
        <w:rPr>
          <w:rFonts w:ascii="Arial" w:cs="Arial" w:eastAsia="Arial" w:hAnsi="Arial"/>
          <w:sz w:val="18"/>
          <w:szCs w:val="18"/>
          <w:color w:val="auto"/>
        </w:rPr>
        <w:t>Companies that compete with us directly on the level of the development of product candidates targeting B cell lymphomas include Gilead Sciences, Novartis and Bristol Myers Squibb, among others. Companies developing therapeutic candidates to treat glioblastomas include Arbor Pharmaceuticals and Genentech.</w:t>
      </w:r>
    </w:p>
    <w:p>
      <w:pPr>
        <w:spacing w:after="0" w:line="125" w:lineRule="exact"/>
        <w:rPr>
          <w:sz w:val="20"/>
          <w:szCs w:val="20"/>
          <w:color w:val="auto"/>
        </w:rPr>
      </w:pPr>
    </w:p>
    <w:p>
      <w:pPr>
        <w:ind w:left="1260" w:right="699"/>
        <w:spacing w:after="0" w:line="270" w:lineRule="auto"/>
        <w:rPr>
          <w:sz w:val="20"/>
          <w:szCs w:val="20"/>
          <w:color w:val="auto"/>
        </w:rPr>
      </w:pPr>
      <w:r>
        <w:rPr>
          <w:rFonts w:ascii="Arial" w:cs="Arial" w:eastAsia="Arial" w:hAnsi="Arial"/>
          <w:sz w:val="18"/>
          <w:szCs w:val="18"/>
          <w:color w:val="auto"/>
        </w:rPr>
        <w:t>On the technology level, other emerging biopharmaceutical companies which can potentially develop competing cell therapy candidates to treat cancer include Fate Therapeutics, Allogene Therapeutics and Nkarta Therapeutics.</w:t>
      </w:r>
    </w:p>
    <w:p>
      <w:pPr>
        <w:spacing w:after="0" w:line="135"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370"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Government regulation</w:t>
      </w:r>
    </w:p>
    <w:p>
      <w:pPr>
        <w:spacing w:after="0" w:line="155"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In the United States,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States development process</w:t>
      </w:r>
    </w:p>
    <w:p>
      <w:pPr>
        <w:spacing w:after="0" w:line="178" w:lineRule="exact"/>
        <w:rPr>
          <w:sz w:val="20"/>
          <w:szCs w:val="20"/>
          <w:color w:val="auto"/>
        </w:rPr>
      </w:pPr>
    </w:p>
    <w:p>
      <w:pPr>
        <w:ind w:left="1260" w:right="479"/>
        <w:spacing w:after="0" w:line="275" w:lineRule="auto"/>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91" w:lineRule="exact"/>
        <w:rPr>
          <w:sz w:val="20"/>
          <w:szCs w:val="20"/>
          <w:color w:val="auto"/>
        </w:rPr>
      </w:pPr>
    </w:p>
    <w:p>
      <w:pPr>
        <w:ind w:left="1720" w:right="539" w:hanging="142"/>
        <w:spacing w:after="0" w:line="270" w:lineRule="auto"/>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cGLP, and applicable requirements for the humane use of laboratory animals or other applicable regulations;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20" w:hanging="142"/>
        <w:spacing w:after="0"/>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cGMP;</w:t>
      </w:r>
    </w:p>
    <w:p>
      <w:pPr>
        <w:spacing w:after="0" w:line="129" w:lineRule="exact"/>
        <w:rPr>
          <w:rFonts w:ascii="Arial" w:cs="Arial" w:eastAsia="Arial" w:hAnsi="Arial"/>
          <w:sz w:val="18"/>
          <w:szCs w:val="18"/>
          <w:color w:val="auto"/>
        </w:rPr>
      </w:pPr>
    </w:p>
    <w:p>
      <w:pPr>
        <w:ind w:left="1720" w:right="779" w:hanging="142"/>
        <w:spacing w:after="0" w:line="275"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90" w:lineRule="exact"/>
        <w:rPr>
          <w:rFonts w:ascii="Arial" w:cs="Arial" w:eastAsia="Arial" w:hAnsi="Arial"/>
          <w:sz w:val="18"/>
          <w:szCs w:val="18"/>
          <w:color w:val="auto"/>
        </w:rPr>
      </w:pPr>
    </w:p>
    <w:p>
      <w:pPr>
        <w:ind w:left="1720" w:right="719" w:hanging="142"/>
        <w:spacing w:after="0" w:line="275"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90" w:lineRule="exact"/>
        <w:rPr>
          <w:rFonts w:ascii="Arial" w:cs="Arial" w:eastAsia="Arial" w:hAnsi="Arial"/>
          <w:sz w:val="18"/>
          <w:szCs w:val="18"/>
          <w:color w:val="auto"/>
        </w:rPr>
      </w:pPr>
    </w:p>
    <w:p>
      <w:pPr>
        <w:ind w:left="1720" w:right="899" w:hanging="142"/>
        <w:spacing w:after="0" w:line="268"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Current Good Clinical Practices, or cGCP, and any additional requirements for the protection of human research subjects and their health information, to establish the safety, purity, potency, and efficacy, of the proposed biologic product for its intended use;</w:t>
      </w:r>
    </w:p>
    <w:p>
      <w:pPr>
        <w:spacing w:after="0" w:line="97" w:lineRule="exact"/>
        <w:rPr>
          <w:rFonts w:ascii="Arial" w:cs="Arial" w:eastAsia="Arial" w:hAnsi="Arial"/>
          <w:sz w:val="18"/>
          <w:szCs w:val="18"/>
          <w:color w:val="auto"/>
        </w:rPr>
      </w:pPr>
    </w:p>
    <w:p>
      <w:pPr>
        <w:ind w:left="1720" w:right="699" w:hanging="142"/>
        <w:spacing w:after="0" w:line="270"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potency, and efficacy from results of nonclinical testing and clinical trials;</w:t>
      </w:r>
    </w:p>
    <w:p>
      <w:pPr>
        <w:spacing w:after="0" w:line="95" w:lineRule="exact"/>
        <w:rPr>
          <w:rFonts w:ascii="Arial" w:cs="Arial" w:eastAsia="Arial" w:hAnsi="Arial"/>
          <w:sz w:val="18"/>
          <w:szCs w:val="18"/>
          <w:color w:val="auto"/>
        </w:rPr>
      </w:pPr>
    </w:p>
    <w:p>
      <w:pPr>
        <w:ind w:left="1720" w:right="499" w:hanging="142"/>
        <w:spacing w:after="0" w:line="268"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97" w:lineRule="exact"/>
        <w:rPr>
          <w:rFonts w:ascii="Arial" w:cs="Arial" w:eastAsia="Arial" w:hAnsi="Arial"/>
          <w:sz w:val="18"/>
          <w:szCs w:val="18"/>
          <w:color w:val="auto"/>
        </w:rPr>
      </w:pPr>
    </w:p>
    <w:p>
      <w:pPr>
        <w:ind w:left="1720" w:right="899" w:hanging="142"/>
        <w:spacing w:after="0" w:line="275"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04" w:lineRule="exact"/>
        <w:rPr>
          <w:rFonts w:ascii="Arial" w:cs="Arial" w:eastAsia="Arial" w:hAnsi="Arial"/>
          <w:sz w:val="18"/>
          <w:szCs w:val="18"/>
          <w:color w:val="auto"/>
        </w:rPr>
      </w:pPr>
    </w:p>
    <w:p>
      <w:pPr>
        <w:ind w:left="1720" w:right="1019" w:hanging="142"/>
        <w:spacing w:after="0" w:line="275"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potential FDA Advisory Committee meeting to elicit expert input on critical issues and including a vote by external committee members;</w:t>
      </w:r>
    </w:p>
    <w:p>
      <w:pPr>
        <w:spacing w:after="0" w:line="90" w:lineRule="exact"/>
        <w:rPr>
          <w:rFonts w:ascii="Arial" w:cs="Arial" w:eastAsia="Arial" w:hAnsi="Arial"/>
          <w:sz w:val="18"/>
          <w:szCs w:val="18"/>
          <w:color w:val="auto"/>
        </w:rPr>
      </w:pPr>
    </w:p>
    <w:p>
      <w:pPr>
        <w:ind w:left="1720" w:right="699" w:hanging="142"/>
        <w:spacing w:after="0" w:line="275"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FDA review and approval, or licensure, of the BLA, and payment of associated user fees, when applicable; and</w:t>
      </w:r>
    </w:p>
    <w:p>
      <w:pPr>
        <w:spacing w:after="0" w:line="90" w:lineRule="exact"/>
        <w:rPr>
          <w:rFonts w:ascii="Arial" w:cs="Arial" w:eastAsia="Arial" w:hAnsi="Arial"/>
          <w:sz w:val="18"/>
          <w:szCs w:val="18"/>
          <w:color w:val="auto"/>
        </w:rPr>
      </w:pPr>
    </w:p>
    <w:p>
      <w:pPr>
        <w:ind w:left="1720" w:right="879" w:hanging="142"/>
        <w:spacing w:after="0" w:line="270"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Strategies, or REMS, and the potential requirement to conduct post-approval studies.</w:t>
      </w:r>
    </w:p>
    <w:p>
      <w:pPr>
        <w:spacing w:after="0" w:line="122" w:lineRule="exact"/>
        <w:rPr>
          <w:sz w:val="20"/>
          <w:szCs w:val="20"/>
          <w:color w:val="auto"/>
        </w:rPr>
      </w:pPr>
    </w:p>
    <w:p>
      <w:pPr>
        <w:ind w:left="1260" w:right="679"/>
        <w:spacing w:after="0" w:line="267" w:lineRule="auto"/>
        <w:rPr>
          <w:sz w:val="20"/>
          <w:szCs w:val="20"/>
          <w:color w:val="auto"/>
        </w:rPr>
      </w:pPr>
      <w:r>
        <w:rPr>
          <w:rFonts w:ascii="Arial" w:cs="Arial" w:eastAsia="Arial" w:hAnsi="Arial"/>
          <w:sz w:val="18"/>
          <w:szCs w:val="18"/>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40"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368"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39"/>
        <w:spacing w:after="0" w:line="250" w:lineRule="auto"/>
        <w:rPr>
          <w:sz w:val="20"/>
          <w:szCs w:val="20"/>
          <w:color w:val="auto"/>
        </w:rPr>
      </w:pPr>
      <w:r>
        <w:rPr>
          <w:rFonts w:ascii="Arial" w:cs="Arial" w:eastAsia="Arial" w:hAnsi="Arial"/>
          <w:sz w:val="18"/>
          <w:szCs w:val="18"/>
          <w:color w:val="auto"/>
        </w:rPr>
        <w:t>the FDA as part of the IND. Clinical trials must be conducted and monitored in accordance with the FDA’s regulations comprising the cGCP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359" w:lineRule="exact"/>
        <w:rPr>
          <w:sz w:val="20"/>
          <w:szCs w:val="20"/>
          <w:color w:val="auto"/>
        </w:rPr>
      </w:pPr>
    </w:p>
    <w:p>
      <w:pPr>
        <w:ind w:left="1260" w:right="739"/>
        <w:spacing w:after="0" w:line="275" w:lineRule="auto"/>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69" w:lineRule="exact"/>
        <w:rPr>
          <w:sz w:val="20"/>
          <w:szCs w:val="20"/>
          <w:color w:val="auto"/>
        </w:rPr>
      </w:pPr>
    </w:p>
    <w:p>
      <w:pPr>
        <w:jc w:val="both"/>
        <w:ind w:left="1720" w:right="959" w:hanging="142"/>
        <w:spacing w:after="0" w:line="283" w:lineRule="auto"/>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biologic product is initially introduced into healthy human subjects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tested for safety. In the case of some products for rare and severe diseases, the initial human testing is often conducted in patients.</w:t>
      </w:r>
    </w:p>
    <w:p>
      <w:pPr>
        <w:spacing w:after="0" w:line="61" w:lineRule="exact"/>
        <w:rPr>
          <w:rFonts w:ascii="Arial" w:cs="Arial" w:eastAsia="Arial" w:hAnsi="Arial"/>
          <w:sz w:val="18"/>
          <w:szCs w:val="18"/>
          <w:color w:val="auto"/>
        </w:rPr>
      </w:pPr>
    </w:p>
    <w:p>
      <w:pPr>
        <w:ind w:left="1720" w:right="639" w:hanging="142"/>
        <w:spacing w:after="0" w:line="277" w:lineRule="auto"/>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 The biologic product is evaluated in a limited patient population to identify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possible adverse effects and safety risks, to preliminarily evaluate the efficacy of the product for specific targeted diseases and to determine dosage tolerance, optimal dosage and dosing schedule.</w:t>
      </w:r>
    </w:p>
    <w:p>
      <w:pPr>
        <w:spacing w:after="0" w:line="53" w:lineRule="exact"/>
        <w:rPr>
          <w:rFonts w:ascii="Arial" w:cs="Arial" w:eastAsia="Arial" w:hAnsi="Arial"/>
          <w:sz w:val="18"/>
          <w:szCs w:val="18"/>
          <w:color w:val="auto"/>
        </w:rPr>
      </w:pPr>
    </w:p>
    <w:p>
      <w:pPr>
        <w:ind w:left="1720" w:right="439" w:hanging="142"/>
        <w:spacing w:after="0" w:line="272" w:lineRule="auto"/>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 Clinical trials are undertaken to further evaluate dosage, clinical efficacy, potency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safety in 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21" w:lineRule="exact"/>
        <w:rPr>
          <w:sz w:val="20"/>
          <w:szCs w:val="20"/>
          <w:color w:val="auto"/>
        </w:rPr>
      </w:pPr>
    </w:p>
    <w:p>
      <w:pPr>
        <w:jc w:val="both"/>
        <w:ind w:left="1260" w:right="679"/>
        <w:spacing w:after="0" w:line="25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36"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344"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249555</wp:posOffset>
            </wp:positionV>
            <wp:extent cx="679958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99"/>
        <w:spacing w:after="0" w:line="254" w:lineRule="auto"/>
        <w:rPr>
          <w:sz w:val="20"/>
          <w:szCs w:val="20"/>
          <w:color w:val="auto"/>
        </w:rPr>
      </w:pPr>
      <w:r>
        <w:rPr>
          <w:rFonts w:ascii="Arial" w:cs="Arial" w:eastAsia="Arial" w:hAnsi="Arial"/>
          <w:sz w:val="18"/>
          <w:szCs w:val="18"/>
          <w:color w:val="auto"/>
        </w:rPr>
        <w:t>product. Additionally, appropriate packaging must be selected and tested and stability studies must be conducted to demonstrate that the biological product candidate does not undergo unacceptable deterioration over its shelf life.</w:t>
      </w:r>
    </w:p>
    <w:p>
      <w:pPr>
        <w:spacing w:after="0" w:line="123"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353"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States review and approval processes</w:t>
      </w:r>
    </w:p>
    <w:p>
      <w:pPr>
        <w:spacing w:after="0" w:line="165"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342"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53" w:lineRule="exact"/>
        <w:rPr>
          <w:sz w:val="20"/>
          <w:szCs w:val="20"/>
          <w:color w:val="auto"/>
        </w:rPr>
      </w:pPr>
    </w:p>
    <w:p>
      <w:pPr>
        <w:ind w:left="1260" w:right="519"/>
        <w:spacing w:after="0" w:line="265"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380"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79"/>
        <w:spacing w:after="0" w:line="253" w:lineRule="auto"/>
        <w:rPr>
          <w:sz w:val="20"/>
          <w:szCs w:val="20"/>
          <w:color w:val="auto"/>
        </w:rPr>
      </w:pPr>
      <w:r>
        <w:rPr>
          <w:rFonts w:ascii="Arial" w:cs="Arial" w:eastAsia="Arial" w:hAnsi="Arial"/>
          <w:sz w:val="18"/>
          <w:szCs w:val="18"/>
          <w:color w:val="auto"/>
        </w:rPr>
        <w:t>the clinical trials were conducted in compliance with IND study requirements and cGCP requirements. To assure cGMP and cGCP compliance, an applicant must incur significant expenditure of time, money and effort in the areas of training, record keeping, production, and quality control.</w:t>
      </w:r>
    </w:p>
    <w:p>
      <w:pPr>
        <w:spacing w:after="0" w:line="123"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360"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44"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States post-approval requirements</w:t>
      </w:r>
    </w:p>
    <w:p>
      <w:pPr>
        <w:spacing w:after="0" w:line="165"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143"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370"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w:t>
      </w:r>
    </w:p>
    <w:p>
      <w:pPr>
        <w:sectPr>
          <w:pgSz w:w="11900" w:h="16838" w:orient="portrait"/>
          <w:cols w:equalWidth="0" w:num="1">
            <w:col w:w="9859"/>
          </w:cols>
          <w:pgMar w:left="600" w:top="131" w:right="1440" w:bottom="1103"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103"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2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35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65" w:lineRule="exact"/>
        <w:rPr>
          <w:sz w:val="20"/>
          <w:szCs w:val="20"/>
          <w:color w:val="auto"/>
        </w:rPr>
      </w:pPr>
    </w:p>
    <w:p>
      <w:pPr>
        <w:ind w:left="1260" w:right="519"/>
        <w:spacing w:after="0" w:line="250" w:lineRule="auto"/>
        <w:rPr>
          <w:sz w:val="20"/>
          <w:szCs w:val="20"/>
          <w:color w:val="auto"/>
        </w:rPr>
      </w:pPr>
      <w:r>
        <w:rPr>
          <w:rFonts w:ascii="Arial" w:cs="Arial" w:eastAsia="Arial" w:hAnsi="Arial"/>
          <w:sz w:val="18"/>
          <w:szCs w:val="18"/>
          <w:color w:val="auto"/>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31" w:lineRule="exact"/>
        <w:rPr>
          <w:sz w:val="20"/>
          <w:szCs w:val="20"/>
          <w:color w:val="auto"/>
        </w:rPr>
      </w:pPr>
    </w:p>
    <w:p>
      <w:pPr>
        <w:jc w:val="both"/>
        <w:ind w:left="1260" w:right="519"/>
        <w:spacing w:after="0" w:line="252" w:lineRule="auto"/>
        <w:rPr>
          <w:sz w:val="20"/>
          <w:szCs w:val="20"/>
          <w:color w:val="auto"/>
        </w:rPr>
      </w:pPr>
      <w:r>
        <w:rPr>
          <w:rFonts w:ascii="Arial" w:cs="Arial" w:eastAsia="Arial" w:hAnsi="Arial"/>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38"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99"/>
        <w:spacing w:after="0" w:line="260" w:lineRule="auto"/>
        <w:rPr>
          <w:sz w:val="20"/>
          <w:szCs w:val="20"/>
          <w:color w:val="auto"/>
        </w:rPr>
      </w:pPr>
      <w:r>
        <w:rPr>
          <w:rFonts w:ascii="Arial" w:cs="Arial" w:eastAsia="Arial" w:hAnsi="Arial"/>
          <w:sz w:val="18"/>
          <w:szCs w:val="18"/>
          <w:color w:val="auto"/>
        </w:rPr>
        <w:t>biological product designated as an orphan product receives marketing approval for an indication broader than what is designated, it may not be entitled to orphan product exclusivity.</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Expedited review and approval programs</w:t>
      </w:r>
    </w:p>
    <w:p>
      <w:pPr>
        <w:spacing w:after="0" w:line="151" w:lineRule="exact"/>
        <w:rPr>
          <w:sz w:val="20"/>
          <w:szCs w:val="20"/>
          <w:color w:val="auto"/>
        </w:rPr>
      </w:pPr>
    </w:p>
    <w:p>
      <w:pPr>
        <w:jc w:val="both"/>
        <w:ind w:left="1260" w:right="859"/>
        <w:spacing w:after="0" w:line="254" w:lineRule="auto"/>
        <w:rPr>
          <w:sz w:val="20"/>
          <w:szCs w:val="20"/>
          <w:color w:val="auto"/>
        </w:rPr>
      </w:pPr>
      <w:r>
        <w:rPr>
          <w:rFonts w:ascii="Arial" w:cs="Arial" w:eastAsia="Arial" w:hAnsi="Arial"/>
          <w:sz w:val="18"/>
          <w:szCs w:val="18"/>
          <w:color w:val="auto"/>
        </w:rPr>
        <w:t>The FDA has various programs, including fast track designation, priority review, accelerated approval, and breakthrough therapy designation, that are intended to expedite or simplify the process for the development and</w:t>
      </w:r>
    </w:p>
    <w:p>
      <w:pPr>
        <w:spacing w:after="0" w:line="137"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44"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 marketing studies to verify and describe the predicted effect on irreversible morbidity or mortality or other clinical endpoint, and the biological product may be subject to accelerated withdrawal procedures.</w:t>
      </w:r>
    </w:p>
    <w:p>
      <w:pPr>
        <w:spacing w:after="0" w:line="128" w:lineRule="exact"/>
        <w:rPr>
          <w:sz w:val="20"/>
          <w:szCs w:val="20"/>
          <w:color w:val="auto"/>
        </w:rPr>
      </w:pPr>
    </w:p>
    <w:p>
      <w:pPr>
        <w:ind w:left="1260" w:right="539"/>
        <w:spacing w:after="0" w:line="250" w:lineRule="auto"/>
        <w:rPr>
          <w:sz w:val="20"/>
          <w:szCs w:val="20"/>
          <w:color w:val="auto"/>
        </w:rPr>
      </w:pPr>
      <w:r>
        <w:rPr>
          <w:rFonts w:ascii="Arial" w:cs="Arial" w:eastAsia="Arial" w:hAnsi="Arial"/>
          <w:sz w:val="18"/>
          <w:szCs w:val="18"/>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360"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Biologics Price Competition and Innovation Act</w:t>
      </w:r>
    </w:p>
    <w:p>
      <w:pPr>
        <w:spacing w:after="0" w:line="165"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The Biologics Price Competition and Innovation Act of 2009, or BPCIA, which was enacted as part of the Patient Protection and Affordable Care Act of 2010, as amended by the Health Care and Education Reconciliation Act of</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 xml:space="preserve">2010, or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Regulation outside of the United States</w:t>
      </w:r>
    </w:p>
    <w:p>
      <w:pPr>
        <w:spacing w:after="0" w:line="151" w:lineRule="exact"/>
        <w:rPr>
          <w:sz w:val="20"/>
          <w:szCs w:val="20"/>
          <w:color w:val="auto"/>
        </w:rPr>
      </w:pPr>
    </w:p>
    <w:p>
      <w:pPr>
        <w:ind w:left="1260" w:right="639"/>
        <w:spacing w:after="0" w:line="250" w:lineRule="auto"/>
        <w:rPr>
          <w:sz w:val="20"/>
          <w:szCs w:val="20"/>
          <w:color w:val="auto"/>
        </w:rPr>
      </w:pPr>
      <w:r>
        <w:rPr>
          <w:rFonts w:ascii="Arial" w:cs="Arial" w:eastAsia="Arial" w:hAnsi="Arial"/>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360"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To obtain regulatory approval of an orphan drug under the European Union regulatory system, we are mandated to submit a Marketing Authorization Application, or MAAs, to be assessed in the centralized procedure. The centralized procedure, which came into operation in 1995, allows applicants to obtain a marketing authorization that is valid throughout the European Union. It is compulsory for medicinal products manufactured using biotechnological processes, for orphan medicinal products and for human products containing a new active substance which was not authorized in the Community before May 20, 2004 (date of entry into force of Regulation (EC) No 726/2004) and which are intended for the treatment of AIDS, cancer, neurodegenerative disorder or diabetes. The centralized procedure is optional for any other products containing new active substances not authorized in the Community before May 20, 2004 or for products that constitute a significant therapeutic, scientific or technical innovation or for which a Community authorization is in the interests of patients at Community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risk/benefit/risk profile. The procedure results in a Commission decision, which is valid in all European Union Member States. Centrally-authorized products may be marketed in all Member States. The centralized procedure is as follows: Full copies of the marketing authorization, or MA, application are sent to a rapporteur and a co -rapporteur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200" w:lineRule="exact"/>
        <w:rPr>
          <w:sz w:val="20"/>
          <w:szCs w:val="20"/>
          <w:color w:val="auto"/>
        </w:rPr>
      </w:pPr>
    </w:p>
    <w:p>
      <w:pPr>
        <w:spacing w:after="0" w:line="370" w:lineRule="exact"/>
        <w:rPr>
          <w:sz w:val="20"/>
          <w:szCs w:val="20"/>
          <w:color w:val="auto"/>
        </w:rPr>
      </w:pPr>
    </w:p>
    <w:p>
      <w:pPr>
        <w:jc w:val="both"/>
        <w:ind w:left="1260" w:right="519"/>
        <w:spacing w:after="0" w:line="254" w:lineRule="auto"/>
        <w:rPr>
          <w:sz w:val="20"/>
          <w:szCs w:val="20"/>
          <w:color w:val="auto"/>
        </w:rPr>
      </w:pPr>
      <w:r>
        <w:rPr>
          <w:rFonts w:ascii="Arial" w:cs="Arial" w:eastAsia="Arial" w:hAnsi="Arial"/>
          <w:sz w:val="18"/>
          <w:szCs w:val="18"/>
          <w:color w:val="auto"/>
        </w:rPr>
        <w:t>The rapporteur and co-rapporteur then assess the applicant’s replies, submit them for discussion to the CHMP and, taking into account the conclusions of this debate, prepare a final assessment report. Once the evaluation is</w:t>
      </w:r>
    </w:p>
    <w:p>
      <w:pPr>
        <w:sectPr>
          <w:pgSz w:w="11900" w:h="16838" w:orient="portrait"/>
          <w:cols w:equalWidth="0" w:num="1">
            <w:col w:w="9859"/>
          </w:cols>
          <w:pgMar w:left="600" w:top="132" w:right="1440" w:bottom="982"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982"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completed, the CHMP gives a favorable or unfavorable opinion as to whether to grant the authorization. When the opinion is favorable, it shall include the draft summary of the product’s characteristics, the package leaflet and the texts proposed for the various packaging materials. The time limit for the evaluation procedure is 210 days. The EMA then has fifteen days to forward its opinion to the European Commission. This is the start of the second phase of the procedure: the decision-making process. The EMA sends to the Commission its opinion and assessment report, together with annexes containing: the SmPC, or Annex 1; the particulars of the MAH responsible for batch release, the particulars of the manufacturer of the active substance and the conditions of the marketing authorization, or Annex 2; and the labelling and the package leaflet, or Annex 3. The annexes are translated into the 22 other official languages of the European Union. During the decision- making process, the Commission services verify that the marketing authorization complies with Union law. 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w:t>
      </w:r>
    </w:p>
    <w:p>
      <w:pPr>
        <w:spacing w:after="0" w:line="129"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The draft decision is then sent to the Standing Committee on Medicinal Products for Human Use, (Member States have one representative each in both of these committees) for their opinions. The centralized procedure provides for the grant of a single marketing authorization that is valid for all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371"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Applications from persons or companies seeking “orphan medicinal product designation” for products they intend to develop for the diagnosis, prevention, or treatment of life-threatening or very serious conditions that affect not more than five in 10,000 persons in the European Union are reviewed by the Committee for Orphan Medicinal Products, or COMP. In addition, orphan drug designation can be granted if the drug or biologic is intended for a life threatening, seriously debilitating, or serious and chronic condition in the European Union and that without incentives it is unlikely that sales of the drug in the European Union would be sufficient to justify developing the drug or biologic. Orphan drug designation is only available if there is no other satisfactory method approved in the European Union of diagnosing, preventing, or treating the condition, or if such a method exists, the proposed orphan drug will be of significant benefit to patients.</w:t>
      </w:r>
    </w:p>
    <w:p>
      <w:pPr>
        <w:spacing w:after="0" w:line="141" w:lineRule="exact"/>
        <w:rPr>
          <w:sz w:val="20"/>
          <w:szCs w:val="20"/>
          <w:color w:val="auto"/>
        </w:rPr>
      </w:pPr>
    </w:p>
    <w:p>
      <w:pPr>
        <w:ind w:left="1260" w:right="459"/>
        <w:spacing w:after="0" w:line="265" w:lineRule="auto"/>
        <w:rPr>
          <w:sz w:val="20"/>
          <w:szCs w:val="20"/>
          <w:color w:val="auto"/>
        </w:rPr>
      </w:pPr>
      <w:r>
        <w:rPr>
          <w:rFonts w:ascii="Arial" w:cs="Arial" w:eastAsia="Arial" w:hAnsi="Arial"/>
          <w:sz w:val="18"/>
          <w:szCs w:val="18"/>
          <w:color w:val="auto"/>
        </w:rPr>
        <w:t>Orphan drug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that has an orphan drug designation subsequently receives EMA marketing approval for the indication for which it has such designation, the product is entitled to orphan market exclusivity, which means the EMA may not approve any other application to market a similar drug or biologic for the same indication for a period of ten years.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In order to do so, however, they must demonstrate that the new drugs or biologics are clinically superior over the existing orphan product. This demonstration of clinical superiority may be done at the time of initial approval or in post-approval studies, depending on the type of marketing authorization granted.</w:t>
      </w:r>
    </w:p>
    <w:p>
      <w:pPr>
        <w:spacing w:after="0" w:line="137" w:lineRule="exact"/>
        <w:rPr>
          <w:sz w:val="20"/>
          <w:szCs w:val="20"/>
          <w:color w:val="auto"/>
        </w:rPr>
      </w:pPr>
    </w:p>
    <w:p>
      <w:pPr>
        <w:ind w:left="1260" w:right="959"/>
        <w:spacing w:after="0" w:line="270" w:lineRule="auto"/>
        <w:rPr>
          <w:sz w:val="20"/>
          <w:szCs w:val="20"/>
          <w:color w:val="auto"/>
        </w:rPr>
      </w:pPr>
      <w:r>
        <w:rPr>
          <w:rFonts w:ascii="Arial" w:cs="Arial" w:eastAsia="Arial" w:hAnsi="Arial"/>
          <w:sz w:val="18"/>
          <w:szCs w:val="18"/>
          <w:color w:val="auto"/>
        </w:rPr>
        <w:t>A Pediatric Investigation Plan, or PIP, in the European Union is aimed at ensuring that the necessary data are obtained to support the authorization of a medicine for children, through studies in children. All applications for</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 -use marketing authorization, or PUMA. If a PUMA is granted, the product will benefit from ten years of market protection as an incentive.</w:t>
      </w:r>
    </w:p>
    <w:p>
      <w:pPr>
        <w:spacing w:after="0" w:line="345"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In March 2016, the EMA launched an initiative, The Priority Medicines, or PRIME, scheme, to facilitate development of product candidates in indications, often rare, for which few or no therapies currently exist. The PRIME scheme is intended to encourage development of drugs and biologics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359"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The United Kingdom left the European Union on January 31, 2020, referred to as Brexit, following which, existing European Union medicinal product legislation continued to apply in the United Kingdom during the transition period under the terms of the Brexit withdrawal agreement. The Brexit transition period, which ended on December 31, 2020, maintained access to the European Union single market and to the global trade deals negotiated by the European Union on behalf of its members. The Brexit transition period provided time for the United Kingdom and European Union to negotiate a framework for partnership for the future, which was then crystallized in the Trade and Cooperation Agreement, or TCA, and became effective on the January 1, 2021.</w:t>
      </w:r>
    </w:p>
    <w:p>
      <w:pPr>
        <w:spacing w:after="0" w:line="13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As of January 1, 2021, the Medicines and Healthcare products Regulatory Agency, or MHRA, is the United Kingdom’s standalone medicines and medical devices regulator. As a result of the Northern Ireland protocol, different rules will apply in Northern Ireland than in England, Wales and Scotland, together Great Britain, broadly, Northern Ireland will continue to follow the European Union regulatory regime, but its national competent authority will remain the MHRA. The MHRA has published a draft guidance on how various aspects of the United Kingdom regulatory regime for medicines will operate in Great Britain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United Kingdom. The new guidance was be given effect via the Human Medicines Regulations (Amendment etc.) (European Union Exit) Regulations 2019, or the Exit Regulations. The United Kingdom regulatory regime largely mirrors that of the European Union.</w:t>
      </w:r>
    </w:p>
    <w:p>
      <w:pPr>
        <w:spacing w:after="0" w:line="345" w:lineRule="exact"/>
        <w:rPr>
          <w:sz w:val="20"/>
          <w:szCs w:val="20"/>
          <w:color w:val="auto"/>
        </w:rPr>
      </w:pPr>
    </w:p>
    <w:p>
      <w:pPr>
        <w:ind w:left="1260" w:right="739"/>
        <w:spacing w:after="0" w:line="252" w:lineRule="auto"/>
        <w:rPr>
          <w:sz w:val="20"/>
          <w:szCs w:val="20"/>
          <w:color w:val="auto"/>
        </w:rPr>
      </w:pPr>
      <w:r>
        <w:rPr>
          <w:rFonts w:ascii="Arial" w:cs="Arial" w:eastAsia="Arial" w:hAnsi="Arial"/>
          <w:sz w:val="18"/>
          <w:szCs w:val="18"/>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will automatically be converted (grandfathered) into United Kingdom MAs free-of-charge on January 1, 2021.</w:t>
      </w:r>
    </w:p>
    <w:p>
      <w:pPr>
        <w:spacing w:after="0" w:line="138"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There will be no pre-marketing authorization orphan designation. Instead, the MHRA will review applications for orphan designation in parallel to the corresponding MA application. The criteria are essentially the same, but have been tailored for the Great Britain market, i.e., the prevalence of the condition in Great Britain (rather than the</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spacing w:after="0" w:line="270" w:lineRule="auto"/>
        <w:rPr>
          <w:sz w:val="20"/>
          <w:szCs w:val="20"/>
          <w:color w:val="auto"/>
        </w:rPr>
      </w:pPr>
      <w:r>
        <w:rPr>
          <w:rFonts w:ascii="Arial" w:cs="Arial" w:eastAsia="Arial" w:hAnsi="Arial"/>
          <w:sz w:val="18"/>
          <w:szCs w:val="18"/>
          <w:color w:val="auto"/>
        </w:rPr>
        <w:t>European Union) must not be more than five in 10,000. Should an orphan designation be granted, the period or market exclusivity will be set from the date of first approval of the product in Great Britain or the European Economic Area, wherever is earliest.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65"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11" w:lineRule="exact"/>
        <w:rPr>
          <w:sz w:val="20"/>
          <w:szCs w:val="20"/>
          <w:color w:val="auto"/>
        </w:rPr>
      </w:pPr>
    </w:p>
    <w:p>
      <w:pPr>
        <w:ind w:left="1720" w:right="579" w:hanging="142"/>
        <w:spacing w:after="0" w:line="267" w:lineRule="auto"/>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8" w:lineRule="exact"/>
        <w:rPr>
          <w:rFonts w:ascii="Arial" w:cs="Arial" w:eastAsia="Arial" w:hAnsi="Arial"/>
          <w:sz w:val="18"/>
          <w:szCs w:val="18"/>
          <w:color w:val="auto"/>
        </w:rPr>
      </w:pPr>
    </w:p>
    <w:p>
      <w:pPr>
        <w:ind w:left="1720" w:right="479" w:hanging="142"/>
        <w:spacing w:after="0" w:line="269" w:lineRule="auto"/>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323" w:lineRule="exact"/>
        <w:rPr>
          <w:rFonts w:ascii="Arial" w:cs="Arial" w:eastAsia="Arial" w:hAnsi="Arial"/>
          <w:sz w:val="18"/>
          <w:szCs w:val="18"/>
          <w:color w:val="auto"/>
        </w:rPr>
      </w:pPr>
    </w:p>
    <w:p>
      <w:pPr>
        <w:ind w:left="1720" w:right="499" w:hanging="142"/>
        <w:spacing w:after="0" w:line="267" w:lineRule="auto"/>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13" w:lineRule="exact"/>
        <w:rPr>
          <w:rFonts w:ascii="Arial" w:cs="Arial" w:eastAsia="Arial" w:hAnsi="Arial"/>
          <w:sz w:val="18"/>
          <w:szCs w:val="18"/>
          <w:color w:val="auto"/>
        </w:rPr>
      </w:pPr>
    </w:p>
    <w:p>
      <w:pPr>
        <w:ind w:left="1720" w:right="499" w:hanging="142"/>
        <w:spacing w:after="0" w:line="270" w:lineRule="auto"/>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implementing regulations, impose obligations on certain types of individuals and</w:t>
      </w:r>
    </w:p>
    <w:p>
      <w:pPr>
        <w:spacing w:after="0" w:line="95" w:lineRule="exact"/>
        <w:rPr>
          <w:rFonts w:ascii="Arial" w:cs="Arial" w:eastAsia="Arial" w:hAnsi="Arial"/>
          <w:sz w:val="18"/>
          <w:szCs w:val="18"/>
          <w:color w:val="auto"/>
        </w:rPr>
      </w:pPr>
    </w:p>
    <w:p>
      <w:pPr>
        <w:ind w:left="1720" w:right="1159" w:hanging="142"/>
        <w:spacing w:after="0" w:line="270" w:lineRule="auto"/>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entities regarding the electronic exchange of information in common healthcare transactions, as well as standards relating to the privacy and security of individually identifiable health information;</w:t>
      </w:r>
    </w:p>
    <w:p>
      <w:pPr>
        <w:spacing w:after="0" w:line="108" w:lineRule="exact"/>
        <w:rPr>
          <w:rFonts w:ascii="Arial" w:cs="Arial" w:eastAsia="Arial" w:hAnsi="Arial"/>
          <w:sz w:val="18"/>
          <w:szCs w:val="18"/>
          <w:color w:val="auto"/>
        </w:rPr>
      </w:pPr>
    </w:p>
    <w:p>
      <w:pPr>
        <w:ind w:left="1720" w:right="499" w:hanging="142"/>
        <w:spacing w:after="0" w:line="266" w:lineRule="auto"/>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as well as ownership and investment interests held by physicians and their immediate family members; and</w:t>
      </w:r>
    </w:p>
    <w:p>
      <w:pPr>
        <w:spacing w:after="0" w:line="102" w:lineRule="exact"/>
        <w:rPr>
          <w:rFonts w:ascii="Arial" w:cs="Arial" w:eastAsia="Arial" w:hAnsi="Arial"/>
          <w:sz w:val="18"/>
          <w:szCs w:val="18"/>
          <w:color w:val="auto"/>
        </w:rPr>
      </w:pPr>
    </w:p>
    <w:p>
      <w:pPr>
        <w:ind w:left="1720" w:right="519" w:hanging="142"/>
        <w:spacing w:after="0" w:line="267" w:lineRule="auto"/>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40"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Healthcare Reform</w:t>
      </w:r>
    </w:p>
    <w:p>
      <w:pPr>
        <w:spacing w:after="0" w:line="147"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358" w:lineRule="exact"/>
        <w:rPr>
          <w:sz w:val="20"/>
          <w:szCs w:val="20"/>
          <w:color w:val="auto"/>
        </w:rPr>
      </w:pPr>
    </w:p>
    <w:p>
      <w:pPr>
        <w:ind w:left="1260" w:right="539"/>
        <w:spacing w:after="0" w:line="250"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Since that time, there have been significant ongoing efforts to modify or eliminate the Affordable Care Act. On January 20, 2017, President Trump signed an executive order directing federal agencies to exercise existing authorities to reduce burdens associated with the Affordable Care Act pending further action by Congress. In October 2017, he signed an executive order which directed federal agencies to modify how the Affordable Care Act is implemented. The Tax Cuts and Jobs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354"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Other legislative changes have been proposed and adopted since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$ 1.2 trillion for the fiscal years 2012 through 2021, triggering the legislation’s automatic reductions to several government programs. These reductions included aggregate reductions to Medicare payments to healthcare providers of up to 2% per fiscal year, which went into effect in April 2013. Subsequent litigation extended the 2% reduction, on average, to 2030 unless additional Congressional action is taken. However, pursuant to the Coronavirus Aid, Relief and Economic Security Act, or CARES Act, the 2% Medicare sequester reductions have been suspended from May 1, 2020 through March 31, 2021 due to the COVID-19 pandemic.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Further legislative and regulatory changes under the Affordable Care Act remain possible, although the new Administration under President Biden has signaled that it plans to build on the Affordable Care Act and expand the number of people who are eligible for subsidies under it. President Biden indicated that he intends to use executive orders to undo changes to the Affordable Care Act made by the former administration and would advocate for legislation to build on the Affordable Care Act.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27"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The Affordable Care Act has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which heard oral arguments in the case on November 10, 2020. A ruling is expected in 2021.</w:t>
      </w:r>
    </w:p>
    <w:p>
      <w:pPr>
        <w:spacing w:after="0" w:line="143" w:lineRule="exact"/>
        <w:rPr>
          <w:sz w:val="20"/>
          <w:szCs w:val="20"/>
          <w:color w:val="auto"/>
        </w:rPr>
      </w:pPr>
    </w:p>
    <w:p>
      <w:pPr>
        <w:ind w:left="1260" w:right="499"/>
        <w:spacing w:after="0" w:line="265" w:lineRule="auto"/>
        <w:rPr>
          <w:sz w:val="20"/>
          <w:szCs w:val="20"/>
          <w:color w:val="auto"/>
        </w:rPr>
      </w:pPr>
      <w:r>
        <w:rPr>
          <w:rFonts w:ascii="Arial" w:cs="Arial" w:eastAsia="Arial" w:hAnsi="Arial"/>
          <w:sz w:val="18"/>
          <w:szCs w:val="18"/>
          <w:color w:val="auto"/>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Affordable Care Act, effective January 1, 2019, to close the coverage gap in most Medicare drug plans, commonly referred to as the “donut hole,” by increasing from</w:t>
      </w:r>
    </w:p>
    <w:p>
      <w:pPr>
        <w:spacing w:after="0" w:line="1" w:lineRule="exact"/>
        <w:rPr>
          <w:sz w:val="20"/>
          <w:szCs w:val="20"/>
          <w:color w:val="auto"/>
        </w:rPr>
      </w:pPr>
    </w:p>
    <w:p>
      <w:pPr>
        <w:ind w:left="1260" w:right="479" w:hanging="5"/>
        <w:spacing w:after="0" w:line="275" w:lineRule="auto"/>
        <w:tabs>
          <w:tab w:leader="none" w:pos="15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percent to 70 percent the point-of-sale discount that is owed by pharmaceutical manufacturers who participate in Medicare Part D.</w:t>
      </w:r>
    </w:p>
    <w:p>
      <w:pPr>
        <w:spacing w:after="0" w:line="131" w:lineRule="exact"/>
        <w:rPr>
          <w:sz w:val="20"/>
          <w:szCs w:val="20"/>
          <w:color w:val="auto"/>
        </w:rPr>
      </w:pPr>
    </w:p>
    <w:p>
      <w:pPr>
        <w:ind w:left="1260" w:right="459"/>
        <w:spacing w:after="0" w:line="265" w:lineRule="auto"/>
        <w:rPr>
          <w:sz w:val="20"/>
          <w:szCs w:val="20"/>
          <w:color w:val="auto"/>
        </w:rPr>
      </w:pPr>
      <w:r>
        <w:rPr>
          <w:rFonts w:ascii="Arial" w:cs="Arial" w:eastAsia="Arial" w:hAnsi="Arial"/>
          <w:sz w:val="18"/>
          <w:szCs w:val="18"/>
          <w:color w:val="auto"/>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366" w:lineRule="exact"/>
        <w:rPr>
          <w:sz w:val="20"/>
          <w:szCs w:val="20"/>
          <w:color w:val="auto"/>
        </w:rPr>
      </w:pPr>
    </w:p>
    <w:p>
      <w:pPr>
        <w:ind w:left="1260" w:right="579"/>
        <w:spacing w:after="0" w:line="267"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0" w:lineRule="exact"/>
        <w:rPr>
          <w:sz w:val="20"/>
          <w:szCs w:val="20"/>
          <w:color w:val="auto"/>
        </w:rPr>
      </w:pPr>
    </w:p>
    <w:p>
      <w:pPr>
        <w:jc w:val="both"/>
        <w:ind w:left="1260" w:right="519"/>
        <w:spacing w:after="0" w:line="268"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Human capital resources</w:t>
      </w:r>
    </w:p>
    <w:p>
      <w:pPr>
        <w:spacing w:after="0" w:line="155" w:lineRule="exact"/>
        <w:rPr>
          <w:sz w:val="20"/>
          <w:szCs w:val="20"/>
          <w:color w:val="auto"/>
        </w:rPr>
      </w:pPr>
    </w:p>
    <w:p>
      <w:pPr>
        <w:ind w:left="1260" w:right="619"/>
        <w:spacing w:after="0" w:line="270" w:lineRule="auto"/>
        <w:rPr>
          <w:sz w:val="20"/>
          <w:szCs w:val="20"/>
          <w:color w:val="auto"/>
        </w:rPr>
      </w:pPr>
      <w:r>
        <w:rPr>
          <w:rFonts w:ascii="Arial" w:cs="Arial" w:eastAsia="Arial" w:hAnsi="Arial"/>
          <w:sz w:val="18"/>
          <w:szCs w:val="18"/>
          <w:color w:val="auto"/>
        </w:rPr>
        <w:t>As of March 1, 2021, we had 97 full-time employees and ten part-time employees. Of our 97 full and part-time employees, 47 have Ph.D. or M.D. degrees and 69 are engaged in research and development activities. We consider our relationship with our employees to be good.</w:t>
      </w:r>
    </w:p>
    <w:p>
      <w:pPr>
        <w:spacing w:after="0" w:line="135"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Facilities</w:t>
      </w:r>
    </w:p>
    <w:p>
      <w:pPr>
        <w:spacing w:after="0" w:line="169"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color w:val="auto"/>
        </w:rPr>
        <w:t>Our principal executive offices are located in Philadelphia, Pennsylvania, pursuant to a lease that expires in March 2032. We operate in three laboratory spaces in Philadelphia pursuant to leases that expire in January 2026, January 2031 and July 2023. Additionally, we lease office and laboratory space in Seattle, Washington pursuant to leases expiring in January 2030 and</w:t>
      </w:r>
    </w:p>
    <w:p>
      <w:pPr>
        <w:spacing w:after="0" w:line="1"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May 2030, respectively. Century Canada’s operations are located in Hamilton, Ontario, pursuant to a lease that expires in October 2025. We are investing in the construction of a 53,000 square foot cell therapy manufacturing facility on a tract of land in Branchburg, New Jersey pursuant to a lease expiring in May 2037. We believe that our current facilities are adequate to meet our ongoing needs, and that, if we require additional space, we will be able to obtain additional facilities on commercially reasonable terms.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Legal proceedings</w:t>
      </w:r>
    </w:p>
    <w:p>
      <w:pPr>
        <w:spacing w:after="0" w:line="155" w:lineRule="exact"/>
        <w:rPr>
          <w:sz w:val="20"/>
          <w:szCs w:val="20"/>
          <w:color w:val="auto"/>
        </w:rPr>
      </w:pPr>
    </w:p>
    <w:p>
      <w:pPr>
        <w:jc w:val="both"/>
        <w:ind w:left="1260" w:right="1099"/>
        <w:spacing w:after="0" w:line="270"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Management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information regarding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00" w:type="dxa"/>
            <w:vAlign w:val="bottom"/>
          </w:tcPr>
          <w:p>
            <w:pPr>
              <w:jc w:val="center"/>
              <w:ind w:left="611"/>
              <w:spacing w:after="0"/>
              <w:rPr>
                <w:sz w:val="20"/>
                <w:szCs w:val="20"/>
                <w:color w:val="auto"/>
              </w:rPr>
            </w:pPr>
            <w:r>
              <w:rPr>
                <w:rFonts w:ascii="Arial" w:cs="Arial" w:eastAsia="Arial" w:hAnsi="Arial"/>
                <w:sz w:val="16"/>
                <w:szCs w:val="16"/>
                <w:b w:val="1"/>
                <w:bCs w:val="1"/>
                <w:color w:val="auto"/>
                <w:w w:val="99"/>
              </w:rPr>
              <w:t>Age</w:t>
            </w:r>
          </w:p>
        </w:tc>
        <w:tc>
          <w:tcPr>
            <w:tcW w:w="4000" w:type="dxa"/>
            <w:vAlign w:val="bottom"/>
          </w:tcPr>
          <w:p>
            <w:pPr>
              <w:ind w:left="80"/>
              <w:spacing w:after="0"/>
              <w:rPr>
                <w:sz w:val="20"/>
                <w:szCs w:val="20"/>
                <w:color w:val="auto"/>
              </w:rPr>
            </w:pPr>
            <w:r>
              <w:rPr>
                <w:rFonts w:ascii="Arial" w:cs="Arial" w:eastAsia="Arial" w:hAnsi="Arial"/>
                <w:sz w:val="16"/>
                <w:szCs w:val="16"/>
                <w:b w:val="1"/>
                <w:bCs w:val="1"/>
                <w:color w:val="auto"/>
              </w:rPr>
              <w:t>Position(s)</w:t>
            </w:r>
          </w:p>
        </w:tc>
      </w:tr>
      <w:tr>
        <w:trPr>
          <w:trHeight w:val="242"/>
        </w:trPr>
        <w:tc>
          <w:tcPr>
            <w:tcW w:w="20" w:type="dxa"/>
            <w:vAlign w:val="bottom"/>
          </w:tcPr>
          <w:p>
            <w:pPr>
              <w:spacing w:after="0"/>
              <w:rPr>
                <w:sz w:val="21"/>
                <w:szCs w:val="21"/>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00" w:type="dxa"/>
            <w:vAlign w:val="bottom"/>
            <w:tcBorders>
              <w:top w:val="single" w:sz="8" w:color="auto"/>
            </w:tcBorders>
            <w:shd w:val="clear" w:color="auto" w:fill="CCEEFF"/>
          </w:tcPr>
          <w:p>
            <w:pPr>
              <w:spacing w:after="0"/>
              <w:rPr>
                <w:sz w:val="21"/>
                <w:szCs w:val="21"/>
                <w:color w:val="auto"/>
              </w:rPr>
            </w:pPr>
          </w:p>
        </w:tc>
        <w:tc>
          <w:tcPr>
            <w:tcW w:w="4000" w:type="dxa"/>
            <w:vAlign w:val="bottom"/>
            <w:tcBorders>
              <w:top w:val="single" w:sz="8" w:color="auto"/>
            </w:tcBorders>
            <w:shd w:val="clear" w:color="auto" w:fill="CCEEFF"/>
          </w:tcPr>
          <w:p>
            <w:pPr>
              <w:spacing w:after="0"/>
              <w:rPr>
                <w:sz w:val="21"/>
                <w:szCs w:val="21"/>
                <w:color w:val="auto"/>
              </w:rPr>
            </w:pPr>
          </w:p>
        </w:tc>
      </w:tr>
      <w:tr>
        <w:trPr>
          <w:trHeight w:val="229"/>
        </w:trPr>
        <w:tc>
          <w:tcPr>
            <w:tcW w:w="2980" w:type="dxa"/>
            <w:vAlign w:val="bottom"/>
            <w:gridSpan w:val="2"/>
          </w:tcPr>
          <w:p>
            <w:pPr>
              <w:spacing w:after="0"/>
              <w:rPr>
                <w:sz w:val="20"/>
                <w:szCs w:val="20"/>
                <w:color w:val="auto"/>
              </w:rPr>
            </w:pPr>
            <w:r>
              <w:rPr>
                <w:rFonts w:ascii="Arial" w:cs="Arial" w:eastAsia="Arial" w:hAnsi="Arial"/>
                <w:sz w:val="18"/>
                <w:szCs w:val="18"/>
                <w:color w:val="auto"/>
              </w:rPr>
              <w:t>Osvaldo Flores, Ph.D.</w:t>
            </w:r>
          </w:p>
        </w:tc>
        <w:tc>
          <w:tcPr>
            <w:tcW w:w="1200" w:type="dxa"/>
            <w:vAlign w:val="bottom"/>
          </w:tcPr>
          <w:p>
            <w:pPr>
              <w:jc w:val="center"/>
              <w:ind w:left="591"/>
              <w:spacing w:after="0"/>
              <w:rPr>
                <w:sz w:val="20"/>
                <w:szCs w:val="20"/>
                <w:color w:val="auto"/>
              </w:rPr>
            </w:pPr>
            <w:r>
              <w:rPr>
                <w:rFonts w:ascii="Arial" w:cs="Arial" w:eastAsia="Arial" w:hAnsi="Arial"/>
                <w:sz w:val="18"/>
                <w:szCs w:val="18"/>
                <w:color w:val="auto"/>
                <w:w w:val="99"/>
              </w:rPr>
              <w:t>58</w:t>
            </w:r>
          </w:p>
        </w:tc>
        <w:tc>
          <w:tcPr>
            <w:tcW w:w="4000" w:type="dxa"/>
            <w:vAlign w:val="bottom"/>
          </w:tcPr>
          <w:p>
            <w:pPr>
              <w:ind w:left="8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29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Michael Diem, M.D.</w:t>
            </w:r>
          </w:p>
        </w:tc>
        <w:tc>
          <w:tcPr>
            <w:tcW w:w="1200" w:type="dxa"/>
            <w:vAlign w:val="bottom"/>
            <w:tcBorders>
              <w:bottom w:val="single" w:sz="8" w:color="CCEEFF"/>
            </w:tcBorders>
            <w:shd w:val="clear" w:color="auto" w:fill="CCEEFF"/>
          </w:tcPr>
          <w:p>
            <w:pPr>
              <w:jc w:val="center"/>
              <w:ind w:left="591"/>
              <w:spacing w:after="0"/>
              <w:rPr>
                <w:sz w:val="20"/>
                <w:szCs w:val="20"/>
                <w:color w:val="auto"/>
              </w:rPr>
            </w:pPr>
            <w:r>
              <w:rPr>
                <w:rFonts w:ascii="Arial" w:cs="Arial" w:eastAsia="Arial" w:hAnsi="Arial"/>
                <w:sz w:val="18"/>
                <w:szCs w:val="18"/>
                <w:color w:val="auto"/>
                <w:w w:val="99"/>
              </w:rPr>
              <w:t>51</w:t>
            </w:r>
          </w:p>
        </w:tc>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Chief Business Officer</w:t>
            </w:r>
          </w:p>
        </w:tc>
      </w:tr>
      <w:tr>
        <w:trPr>
          <w:trHeight w:val="229"/>
        </w:trPr>
        <w:tc>
          <w:tcPr>
            <w:tcW w:w="2980" w:type="dxa"/>
            <w:vAlign w:val="bottom"/>
            <w:gridSpan w:val="2"/>
          </w:tcPr>
          <w:p>
            <w:pPr>
              <w:spacing w:after="0"/>
              <w:rPr>
                <w:sz w:val="20"/>
                <w:szCs w:val="20"/>
                <w:color w:val="auto"/>
              </w:rPr>
            </w:pPr>
            <w:r>
              <w:rPr>
                <w:rFonts w:ascii="Arial" w:cs="Arial" w:eastAsia="Arial" w:hAnsi="Arial"/>
                <w:sz w:val="18"/>
                <w:szCs w:val="18"/>
                <w:color w:val="auto"/>
              </w:rPr>
              <w:t>Douglas Carr, CPA</w:t>
            </w:r>
          </w:p>
        </w:tc>
        <w:tc>
          <w:tcPr>
            <w:tcW w:w="1200" w:type="dxa"/>
            <w:vAlign w:val="bottom"/>
          </w:tcPr>
          <w:p>
            <w:pPr>
              <w:jc w:val="center"/>
              <w:ind w:left="591"/>
              <w:spacing w:after="0"/>
              <w:rPr>
                <w:sz w:val="20"/>
                <w:szCs w:val="20"/>
                <w:color w:val="auto"/>
              </w:rPr>
            </w:pPr>
            <w:r>
              <w:rPr>
                <w:rFonts w:ascii="Arial" w:cs="Arial" w:eastAsia="Arial" w:hAnsi="Arial"/>
                <w:sz w:val="18"/>
                <w:szCs w:val="18"/>
                <w:color w:val="auto"/>
                <w:w w:val="99"/>
              </w:rPr>
              <w:t>58</w:t>
            </w:r>
          </w:p>
        </w:tc>
        <w:tc>
          <w:tcPr>
            <w:tcW w:w="4000" w:type="dxa"/>
            <w:vAlign w:val="bottom"/>
          </w:tcPr>
          <w:p>
            <w:pPr>
              <w:ind w:left="80"/>
              <w:spacing w:after="0"/>
              <w:rPr>
                <w:sz w:val="20"/>
                <w:szCs w:val="20"/>
                <w:color w:val="auto"/>
              </w:rPr>
            </w:pPr>
            <w:r>
              <w:rPr>
                <w:rFonts w:ascii="Arial" w:cs="Arial" w:eastAsia="Arial" w:hAnsi="Arial"/>
                <w:sz w:val="18"/>
                <w:szCs w:val="18"/>
                <w:color w:val="auto"/>
              </w:rPr>
              <w:t>Vice President of Finance &amp; Operations</w:t>
            </w:r>
          </w:p>
        </w:tc>
      </w:tr>
      <w:tr>
        <w:trPr>
          <w:trHeight w:val="27"/>
        </w:trPr>
        <w:tc>
          <w:tcPr>
            <w:tcW w:w="29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Hyam Levitsky, M.D.</w:t>
            </w:r>
          </w:p>
        </w:tc>
        <w:tc>
          <w:tcPr>
            <w:tcW w:w="1200" w:type="dxa"/>
            <w:vAlign w:val="bottom"/>
            <w:tcBorders>
              <w:bottom w:val="single" w:sz="8" w:color="CCEEFF"/>
            </w:tcBorders>
            <w:shd w:val="clear" w:color="auto" w:fill="CCEEFF"/>
          </w:tcPr>
          <w:p>
            <w:pPr>
              <w:jc w:val="center"/>
              <w:ind w:left="591"/>
              <w:spacing w:after="0"/>
              <w:rPr>
                <w:sz w:val="20"/>
                <w:szCs w:val="20"/>
                <w:color w:val="auto"/>
              </w:rPr>
            </w:pPr>
            <w:r>
              <w:rPr>
                <w:rFonts w:ascii="Arial" w:cs="Arial" w:eastAsia="Arial" w:hAnsi="Arial"/>
                <w:sz w:val="18"/>
                <w:szCs w:val="18"/>
                <w:color w:val="auto"/>
                <w:w w:val="99"/>
              </w:rPr>
              <w:t>63</w:t>
            </w:r>
          </w:p>
        </w:tc>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President of Research and Development</w:t>
            </w:r>
          </w:p>
        </w:tc>
      </w:tr>
      <w:tr>
        <w:trPr>
          <w:trHeight w:val="247"/>
        </w:trPr>
        <w:tc>
          <w:tcPr>
            <w:tcW w:w="2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Non-Employee Directors</w:t>
            </w:r>
          </w:p>
        </w:tc>
        <w:tc>
          <w:tcPr>
            <w:tcW w:w="120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Toshikazu Ban</w:t>
            </w:r>
          </w:p>
        </w:tc>
        <w:tc>
          <w:tcPr>
            <w:tcW w:w="1200" w:type="dxa"/>
            <w:vAlign w:val="bottom"/>
            <w:tcBorders>
              <w:bottom w:val="single" w:sz="8" w:color="CCEEFF"/>
            </w:tcBorders>
            <w:shd w:val="clear" w:color="auto" w:fill="CCEEFF"/>
          </w:tcPr>
          <w:p>
            <w:pPr>
              <w:jc w:val="center"/>
              <w:ind w:left="591"/>
              <w:spacing w:after="0"/>
              <w:rPr>
                <w:sz w:val="20"/>
                <w:szCs w:val="20"/>
                <w:color w:val="auto"/>
              </w:rPr>
            </w:pPr>
            <w:r>
              <w:rPr>
                <w:rFonts w:ascii="Arial" w:cs="Arial" w:eastAsia="Arial" w:hAnsi="Arial"/>
                <w:sz w:val="18"/>
                <w:szCs w:val="18"/>
                <w:color w:val="auto"/>
                <w:w w:val="99"/>
              </w:rPr>
              <w:t>59</w:t>
            </w:r>
          </w:p>
        </w:tc>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29"/>
        </w:trPr>
        <w:tc>
          <w:tcPr>
            <w:tcW w:w="2980" w:type="dxa"/>
            <w:vAlign w:val="bottom"/>
            <w:gridSpan w:val="2"/>
          </w:tcPr>
          <w:p>
            <w:pPr>
              <w:spacing w:after="0"/>
              <w:rPr>
                <w:sz w:val="20"/>
                <w:szCs w:val="20"/>
                <w:color w:val="auto"/>
              </w:rPr>
            </w:pPr>
            <w:r>
              <w:rPr>
                <w:rFonts w:ascii="Arial" w:cs="Arial" w:eastAsia="Arial" w:hAnsi="Arial"/>
                <w:sz w:val="18"/>
                <w:szCs w:val="18"/>
                <w:color w:val="auto"/>
              </w:rPr>
              <w:t>Cynthia Butitta</w:t>
            </w:r>
          </w:p>
        </w:tc>
        <w:tc>
          <w:tcPr>
            <w:tcW w:w="1200" w:type="dxa"/>
            <w:vAlign w:val="bottom"/>
          </w:tcPr>
          <w:p>
            <w:pPr>
              <w:jc w:val="center"/>
              <w:ind w:left="591"/>
              <w:spacing w:after="0"/>
              <w:rPr>
                <w:sz w:val="20"/>
                <w:szCs w:val="20"/>
                <w:color w:val="auto"/>
              </w:rPr>
            </w:pPr>
            <w:r>
              <w:rPr>
                <w:rFonts w:ascii="Arial" w:cs="Arial" w:eastAsia="Arial" w:hAnsi="Arial"/>
                <w:sz w:val="18"/>
                <w:szCs w:val="18"/>
                <w:color w:val="auto"/>
                <w:w w:val="99"/>
              </w:rPr>
              <w:t>66</w:t>
            </w:r>
          </w:p>
        </w:tc>
        <w:tc>
          <w:tcPr>
            <w:tcW w:w="400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7"/>
        </w:trPr>
        <w:tc>
          <w:tcPr>
            <w:tcW w:w="29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Eli Casdin</w:t>
            </w:r>
          </w:p>
        </w:tc>
        <w:tc>
          <w:tcPr>
            <w:tcW w:w="1200" w:type="dxa"/>
            <w:vAlign w:val="bottom"/>
            <w:tcBorders>
              <w:bottom w:val="single" w:sz="8" w:color="CCEEFF"/>
            </w:tcBorders>
            <w:shd w:val="clear" w:color="auto" w:fill="CCEEFF"/>
          </w:tcPr>
          <w:p>
            <w:pPr>
              <w:jc w:val="center"/>
              <w:ind w:left="591"/>
              <w:spacing w:after="0"/>
              <w:rPr>
                <w:sz w:val="20"/>
                <w:szCs w:val="20"/>
                <w:color w:val="auto"/>
              </w:rPr>
            </w:pPr>
            <w:r>
              <w:rPr>
                <w:rFonts w:ascii="Arial" w:cs="Arial" w:eastAsia="Arial" w:hAnsi="Arial"/>
                <w:sz w:val="18"/>
                <w:szCs w:val="18"/>
                <w:color w:val="auto"/>
                <w:w w:val="99"/>
              </w:rPr>
              <w:t>49</w:t>
            </w:r>
          </w:p>
        </w:tc>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29"/>
        </w:trPr>
        <w:tc>
          <w:tcPr>
            <w:tcW w:w="2980" w:type="dxa"/>
            <w:vAlign w:val="bottom"/>
            <w:gridSpan w:val="2"/>
          </w:tcPr>
          <w:p>
            <w:pPr>
              <w:spacing w:after="0"/>
              <w:rPr>
                <w:sz w:val="20"/>
                <w:szCs w:val="20"/>
                <w:color w:val="auto"/>
              </w:rPr>
            </w:pPr>
            <w:r>
              <w:rPr>
                <w:rFonts w:ascii="Arial" w:cs="Arial" w:eastAsia="Arial" w:hAnsi="Arial"/>
                <w:sz w:val="18"/>
                <w:szCs w:val="18"/>
                <w:color w:val="auto"/>
              </w:rPr>
              <w:t>Juergen Eckhardt, M.D.</w:t>
            </w:r>
          </w:p>
        </w:tc>
        <w:tc>
          <w:tcPr>
            <w:tcW w:w="1200" w:type="dxa"/>
            <w:vAlign w:val="bottom"/>
          </w:tcPr>
          <w:p>
            <w:pPr>
              <w:jc w:val="center"/>
              <w:ind w:left="591"/>
              <w:spacing w:after="0"/>
              <w:rPr>
                <w:sz w:val="20"/>
                <w:szCs w:val="20"/>
                <w:color w:val="auto"/>
              </w:rPr>
            </w:pPr>
            <w:r>
              <w:rPr>
                <w:rFonts w:ascii="Arial" w:cs="Arial" w:eastAsia="Arial" w:hAnsi="Arial"/>
                <w:sz w:val="18"/>
                <w:szCs w:val="18"/>
                <w:color w:val="auto"/>
                <w:w w:val="99"/>
              </w:rPr>
              <w:t>54</w:t>
            </w:r>
          </w:p>
        </w:tc>
        <w:tc>
          <w:tcPr>
            <w:tcW w:w="400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7"/>
        </w:trPr>
        <w:tc>
          <w:tcPr>
            <w:tcW w:w="29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Joseph Jimenez</w:t>
            </w:r>
          </w:p>
        </w:tc>
        <w:tc>
          <w:tcPr>
            <w:tcW w:w="1200" w:type="dxa"/>
            <w:vAlign w:val="bottom"/>
            <w:tcBorders>
              <w:bottom w:val="single" w:sz="8" w:color="CCEEFF"/>
            </w:tcBorders>
            <w:shd w:val="clear" w:color="auto" w:fill="CCEEFF"/>
          </w:tcPr>
          <w:p>
            <w:pPr>
              <w:jc w:val="center"/>
              <w:ind w:left="591"/>
              <w:spacing w:after="0"/>
              <w:rPr>
                <w:sz w:val="20"/>
                <w:szCs w:val="20"/>
                <w:color w:val="auto"/>
              </w:rPr>
            </w:pPr>
            <w:r>
              <w:rPr>
                <w:rFonts w:ascii="Arial" w:cs="Arial" w:eastAsia="Arial" w:hAnsi="Arial"/>
                <w:sz w:val="18"/>
                <w:szCs w:val="18"/>
                <w:color w:val="auto"/>
                <w:w w:val="99"/>
              </w:rPr>
              <w:t>61</w:t>
            </w:r>
          </w:p>
        </w:tc>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Director, Chairman of the Board</w:t>
            </w:r>
          </w:p>
        </w:tc>
      </w:tr>
      <w:tr>
        <w:trPr>
          <w:trHeight w:val="229"/>
        </w:trPr>
        <w:tc>
          <w:tcPr>
            <w:tcW w:w="2980" w:type="dxa"/>
            <w:vAlign w:val="bottom"/>
            <w:gridSpan w:val="2"/>
          </w:tcPr>
          <w:p>
            <w:pPr>
              <w:spacing w:after="0"/>
              <w:rPr>
                <w:sz w:val="20"/>
                <w:szCs w:val="20"/>
                <w:color w:val="auto"/>
              </w:rPr>
            </w:pPr>
            <w:r>
              <w:rPr>
                <w:rFonts w:ascii="Arial" w:cs="Arial" w:eastAsia="Arial" w:hAnsi="Arial"/>
                <w:sz w:val="18"/>
                <w:szCs w:val="18"/>
                <w:color w:val="auto"/>
              </w:rPr>
              <w:t>Carlo Rizzuto, Ph.D.</w:t>
            </w:r>
          </w:p>
        </w:tc>
        <w:tc>
          <w:tcPr>
            <w:tcW w:w="1200" w:type="dxa"/>
            <w:vAlign w:val="bottom"/>
          </w:tcPr>
          <w:p>
            <w:pPr>
              <w:jc w:val="center"/>
              <w:ind w:left="591"/>
              <w:spacing w:after="0"/>
              <w:rPr>
                <w:sz w:val="20"/>
                <w:szCs w:val="20"/>
                <w:color w:val="auto"/>
              </w:rPr>
            </w:pPr>
            <w:r>
              <w:rPr>
                <w:rFonts w:ascii="Arial" w:cs="Arial" w:eastAsia="Arial" w:hAnsi="Arial"/>
                <w:sz w:val="18"/>
                <w:szCs w:val="18"/>
                <w:color w:val="auto"/>
                <w:w w:val="99"/>
              </w:rPr>
              <w:t>50</w:t>
            </w:r>
          </w:p>
        </w:tc>
        <w:tc>
          <w:tcPr>
            <w:tcW w:w="4000" w:type="dxa"/>
            <w:vAlign w:val="bottom"/>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25400</wp:posOffset>
            </wp:positionV>
            <wp:extent cx="51936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00" w:lineRule="exact"/>
        <w:rPr>
          <w:sz w:val="20"/>
          <w:szCs w:val="20"/>
          <w:color w:val="auto"/>
        </w:rPr>
      </w:pPr>
    </w:p>
    <w:p>
      <w:pPr>
        <w:ind w:left="1560" w:hanging="305"/>
        <w:spacing w:after="0"/>
        <w:tabs>
          <w:tab w:leader="none" w:pos="15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Member of our audit committee.</w:t>
      </w:r>
    </w:p>
    <w:p>
      <w:pPr>
        <w:spacing w:after="0" w:line="79" w:lineRule="exact"/>
        <w:rPr>
          <w:rFonts w:ascii="Arial" w:cs="Arial" w:eastAsia="Arial" w:hAnsi="Arial"/>
          <w:sz w:val="13"/>
          <w:szCs w:val="13"/>
          <w:color w:val="auto"/>
        </w:rPr>
      </w:pPr>
    </w:p>
    <w:p>
      <w:pPr>
        <w:ind w:left="1560" w:hanging="305"/>
        <w:spacing w:after="0"/>
        <w:tabs>
          <w:tab w:leader="none" w:pos="15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Member of our compensation committee.</w:t>
      </w:r>
    </w:p>
    <w:p>
      <w:pPr>
        <w:spacing w:after="0" w:line="79" w:lineRule="exact"/>
        <w:rPr>
          <w:rFonts w:ascii="Arial" w:cs="Arial" w:eastAsia="Arial" w:hAnsi="Arial"/>
          <w:sz w:val="13"/>
          <w:szCs w:val="13"/>
          <w:color w:val="auto"/>
        </w:rPr>
      </w:pPr>
    </w:p>
    <w:p>
      <w:pPr>
        <w:ind w:left="1560" w:hanging="305"/>
        <w:spacing w:after="0"/>
        <w:tabs>
          <w:tab w:leader="none" w:pos="15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Member of our nominating and corporate governance committee.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Executive officers</w:t>
      </w:r>
    </w:p>
    <w:p>
      <w:pPr>
        <w:spacing w:after="0" w:line="133" w:lineRule="exact"/>
        <w:rPr>
          <w:sz w:val="20"/>
          <w:szCs w:val="20"/>
          <w:color w:val="auto"/>
        </w:rPr>
      </w:pPr>
    </w:p>
    <w:p>
      <w:pPr>
        <w:ind w:left="1260" w:right="599"/>
        <w:spacing w:after="0" w:line="253" w:lineRule="auto"/>
        <w:rPr>
          <w:sz w:val="20"/>
          <w:szCs w:val="20"/>
          <w:color w:val="auto"/>
        </w:rPr>
      </w:pPr>
      <w:r>
        <w:rPr>
          <w:rFonts w:ascii="Arial" w:cs="Arial" w:eastAsia="Arial" w:hAnsi="Arial"/>
          <w:sz w:val="18"/>
          <w:szCs w:val="18"/>
          <w:b w:val="1"/>
          <w:bCs w:val="1"/>
          <w:i w:val="1"/>
          <w:iCs w:val="1"/>
          <w:color w:val="auto"/>
        </w:rPr>
        <w:t xml:space="preserve">Osvaldo Flores, Ph.D. </w:t>
      </w:r>
      <w:r>
        <w:rPr>
          <w:rFonts w:ascii="Arial" w:cs="Arial" w:eastAsia="Arial" w:hAnsi="Arial"/>
          <w:sz w:val="18"/>
          <w:szCs w:val="18"/>
          <w:color w:val="auto"/>
        </w:rPr>
        <w:t>has served as a member of our board of directors since the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Reorganization in February 2021, and previously served as a member of the board of managers of Century Therapeutics, LLC from June 2019 until the 2021 Reorganization in February 2021. Dr. Flores previously served as a member of the board of directors of Prior Century from September 2018 until the 2021 Reorganization in February 2021. Dr. Flores has served as our President and Chief Executive Officer since June 2019 and the President and Chief Executive Officer of Prior Century from September 10, 2018 until the 2021 Reorganization in</w:t>
      </w:r>
    </w:p>
    <w:p>
      <w:pPr>
        <w:spacing w:after="0" w:line="1"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February 2021. Dr. Flores was previously Vice President of R&amp;D from December 2015 until December 2017, and Entrepreneur-in-Residence from January 2018 until August 2018 with Janssen, a Johnson &amp; Johnson company. He founded and served as President and Chief Scientific Officer of Novira Therapeutics from January 2009 to December 2015. Prior to Novira, Dr. Flores was a department head at Merck &amp; Co., where he led drug discovery and development programs across diverse therapeutic areas including antiviral, oncology, and metabolic, from 1999 to 2008. Dr. Flores began his R&amp;D career at Tularik Inc., establishing key elements of the antiviral drug discovery platform. Dr. Flores received his Ph.D. in Biochemistry and Molecular Biology from Rutgers University and was a postdoctoral Fellow at the Salk Institute.</w:t>
      </w:r>
    </w:p>
    <w:p>
      <w:pPr>
        <w:spacing w:after="0" w:line="145" w:lineRule="exact"/>
        <w:rPr>
          <w:sz w:val="20"/>
          <w:szCs w:val="20"/>
          <w:color w:val="auto"/>
        </w:rPr>
      </w:pPr>
    </w:p>
    <w:p>
      <w:pPr>
        <w:ind w:left="1260" w:right="639"/>
        <w:spacing w:after="0" w:line="270" w:lineRule="auto"/>
        <w:rPr>
          <w:sz w:val="20"/>
          <w:szCs w:val="20"/>
          <w:color w:val="auto"/>
        </w:rPr>
      </w:pPr>
      <w:r>
        <w:rPr>
          <w:rFonts w:ascii="Arial" w:cs="Arial" w:eastAsia="Arial" w:hAnsi="Arial"/>
          <w:sz w:val="18"/>
          <w:szCs w:val="18"/>
          <w:color w:val="auto"/>
        </w:rPr>
        <w:t>We believe that Dr. Flores is qualified to serve on our board of directors due to the valuable experience he brings in his capacity as our President and Chief Officer along with his extensive experience and knowledge of our industry.</w:t>
      </w:r>
    </w:p>
    <w:p>
      <w:pPr>
        <w:spacing w:after="0" w:line="113" w:lineRule="exact"/>
        <w:rPr>
          <w:sz w:val="20"/>
          <w:szCs w:val="20"/>
          <w:color w:val="auto"/>
        </w:rPr>
      </w:pPr>
    </w:p>
    <w:p>
      <w:pPr>
        <w:ind w:left="1260" w:right="759"/>
        <w:spacing w:after="0" w:line="273" w:lineRule="auto"/>
        <w:rPr>
          <w:sz w:val="20"/>
          <w:szCs w:val="20"/>
          <w:color w:val="auto"/>
        </w:rPr>
      </w:pPr>
      <w:r>
        <w:rPr>
          <w:rFonts w:ascii="Arial" w:cs="Arial" w:eastAsia="Arial" w:hAnsi="Arial"/>
          <w:sz w:val="18"/>
          <w:szCs w:val="18"/>
          <w:b w:val="1"/>
          <w:bCs w:val="1"/>
          <w:i w:val="1"/>
          <w:iCs w:val="1"/>
          <w:color w:val="auto"/>
        </w:rPr>
        <w:t xml:space="preserve">Michael Diem, M.D. </w:t>
      </w:r>
      <w:r>
        <w:rPr>
          <w:rFonts w:ascii="Arial" w:cs="Arial" w:eastAsia="Arial" w:hAnsi="Arial"/>
          <w:sz w:val="18"/>
          <w:szCs w:val="18"/>
          <w:color w:val="auto"/>
        </w:rPr>
        <w:t>has served as our Chief Business Officer since September 2020.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us, Dr. Diem was Senior Vice President of Business and Corporate Development at Amicus Therapeutics, a global biotechnology company, from September 2017 to</w:t>
      </w:r>
    </w:p>
    <w:p>
      <w:pPr>
        <w:spacing w:after="0" w:line="2"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September 2020, and prior to that, he served as Senior Vice President, Business and Corporate Development at Aevi Genomic Medicine, a biopharmaceutical company, from May 2016 to September 2017. From October 2013 to April 2016, Dr. Diem was the Global Head of Corporate Strategy and Corporate Development at AstraZeneca, a global biopharmaceutical company, where he was responsible for mergers and acquisitions, divestitures, and managed the company’s strategic investment activities and MedImmune Ventures. Dr. Diem currently serves as an advisor to an investment fund of UPMC Enterprises, and has held this role since</w:t>
      </w:r>
    </w:p>
    <w:p>
      <w:pPr>
        <w:spacing w:after="0" w:line="1" w:lineRule="exact"/>
        <w:rPr>
          <w:sz w:val="20"/>
          <w:szCs w:val="20"/>
          <w:color w:val="auto"/>
        </w:rPr>
      </w:pPr>
    </w:p>
    <w:p>
      <w:pPr>
        <w:ind w:left="1260" w:right="719"/>
        <w:spacing w:after="0" w:line="275" w:lineRule="auto"/>
        <w:rPr>
          <w:sz w:val="20"/>
          <w:szCs w:val="20"/>
          <w:color w:val="auto"/>
        </w:rPr>
      </w:pPr>
      <w:r>
        <w:rPr>
          <w:rFonts w:ascii="Arial" w:cs="Arial" w:eastAsia="Arial" w:hAnsi="Arial"/>
          <w:sz w:val="18"/>
          <w:szCs w:val="18"/>
          <w:color w:val="auto"/>
        </w:rPr>
        <w:t>December 2020. Additionally, he serves on the board of directors of Venatorx Pharmaceuticals and the</w:t>
      </w:r>
    </w:p>
    <w:p>
      <w:pPr>
        <w:sectPr>
          <w:pgSz w:w="11900" w:h="16838" w:orient="portrait"/>
          <w:cols w:equalWidth="0" w:num="1">
            <w:col w:w="9859"/>
          </w:cols>
          <w:pgMar w:left="600" w:top="132" w:right="1440" w:bottom="1440" w:gutter="0" w:footer="0" w:header="0"/>
        </w:sectPr>
      </w:pP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color w:val="auto"/>
        </w:rPr>
        <w:t>Boys and Girls Clubs of Philadelphia. Dr. Diem holds a B.A. in biological sciences from Rutgers University, an M.D. from the Rutgers-Robert Wood Johnson Medical School, and an M.B.A. from Case Western Reserve University. Dr. Diem completed his medical training at Duke University and is a Kauffman Fellow.</w:t>
      </w:r>
    </w:p>
    <w:p>
      <w:pPr>
        <w:spacing w:after="0" w:line="1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 xml:space="preserve">Douglas Carr, CPA </w:t>
      </w:r>
      <w:r>
        <w:rPr>
          <w:rFonts w:ascii="Arial" w:cs="Arial" w:eastAsia="Arial" w:hAnsi="Arial"/>
          <w:sz w:val="18"/>
          <w:szCs w:val="18"/>
          <w:color w:val="auto"/>
        </w:rPr>
        <w:t>has served as our Vice President of Finance and Operations since</w:t>
      </w:r>
    </w:p>
    <w:p>
      <w:pPr>
        <w:spacing w:after="0" w:line="30"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June 2019 and of Prior Century from October 2018 until June 2019. Prior to joining us, Mr. Carr was VP of Finance at Novira Therapeutics, Inc., or Novira, an antiviral drug discovery company, from July 2014 to June 2017 where he directed all financial and fiscal management aspects of the Company’s operations and participated in the execution of the sale of Novira to Johnson &amp; Johnson. Prior to that time, Mr. Carr was Financial Controller for Omthera Pharmaceuticals, Inc. from November 2008 to July 2014 where he established the finance and accounting infrastructure and led the Company through an initial public offering and subsequent sale to AstraZeneca in 2013. Mr. Carr holds a B.A. from Rutgers University and is a Certified Public Accountant in the State of New Jersey. Mr. Carr currently serves on the Board of Directors at Heritage Conservancy in Doylestown, Pennsylvania.</w:t>
      </w:r>
    </w:p>
    <w:p>
      <w:pPr>
        <w:spacing w:after="0" w:line="338" w:lineRule="exact"/>
        <w:rPr>
          <w:sz w:val="20"/>
          <w:szCs w:val="20"/>
          <w:color w:val="auto"/>
        </w:rPr>
      </w:pPr>
    </w:p>
    <w:p>
      <w:pPr>
        <w:jc w:val="both"/>
        <w:ind w:left="1260" w:right="459"/>
        <w:spacing w:after="0" w:line="258" w:lineRule="auto"/>
        <w:rPr>
          <w:sz w:val="20"/>
          <w:szCs w:val="20"/>
          <w:color w:val="auto"/>
        </w:rPr>
      </w:pPr>
      <w:r>
        <w:rPr>
          <w:rFonts w:ascii="Arial" w:cs="Arial" w:eastAsia="Arial" w:hAnsi="Arial"/>
          <w:sz w:val="18"/>
          <w:szCs w:val="18"/>
          <w:b w:val="1"/>
          <w:bCs w:val="1"/>
          <w:i w:val="1"/>
          <w:iCs w:val="1"/>
          <w:color w:val="auto"/>
        </w:rPr>
        <w:t xml:space="preserve">Hyam Levitsky, M.D. </w:t>
      </w:r>
      <w:r>
        <w:rPr>
          <w:rFonts w:ascii="Arial" w:cs="Arial" w:eastAsia="Arial" w:hAnsi="Arial"/>
          <w:sz w:val="18"/>
          <w:szCs w:val="18"/>
          <w:color w:val="auto"/>
        </w:rPr>
        <w:t>has served as our President, Research and Development since May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Levitsky served as Executive Vice President and Chief Scientific Officer at Juno Therapeutics, Inc. from 2015 to 2018 and was Head of Cancer Immunotherapy Experimental Medicine at F.</w:t>
      </w:r>
    </w:p>
    <w:p>
      <w:pPr>
        <w:ind w:left="1260" w:right="479"/>
        <w:spacing w:after="0" w:line="250" w:lineRule="auto"/>
        <w:rPr>
          <w:sz w:val="20"/>
          <w:szCs w:val="20"/>
          <w:color w:val="auto"/>
        </w:rPr>
      </w:pPr>
      <w:r>
        <w:rPr>
          <w:rFonts w:ascii="Arial" w:cs="Arial" w:eastAsia="Arial" w:hAnsi="Arial"/>
          <w:sz w:val="18"/>
          <w:szCs w:val="18"/>
          <w:color w:val="auto"/>
        </w:rPr>
        <w:t>Hoffmann- La Roche &amp; Co. from 2011 to 2015. Previously, 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Dr. Levitsky has served on the board of directors of Replimune Therapeutics, Inc. since May 2018. Dr. Levitsky received a B.S. from the University of Pennsylvania School of Engineering and Applied Science and an M.D. from The Johns Hopkins University School of Medicine.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Non-employee directors</w:t>
      </w:r>
    </w:p>
    <w:p>
      <w:pPr>
        <w:spacing w:after="0" w:line="133"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b w:val="1"/>
          <w:bCs w:val="1"/>
          <w:i w:val="1"/>
          <w:iCs w:val="1"/>
          <w:color w:val="auto"/>
        </w:rPr>
        <w:t xml:space="preserve">Toshikazu Ban </w:t>
      </w:r>
      <w:r>
        <w:rPr>
          <w:rFonts w:ascii="Arial" w:cs="Arial" w:eastAsia="Arial" w:hAnsi="Arial"/>
          <w:sz w:val="18"/>
          <w:szCs w:val="18"/>
          <w:color w:val="auto"/>
        </w:rPr>
        <w:t>has served as a member of our board of directors since the 2021 Reorganization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2021, and previously served as a member of the board of managers of Century Therapeutics, LLC from June 2019 until the 2021 Reorganization in February 2021. Mr. Ban served on the board of directors of Prior Century from October 2018 until the 2021 Reorganization in February 2021. He has served as Corporate Vice President and Deputy General Manager of the pharmaceutical product division at FUJIFILM Corporation since</w:t>
      </w:r>
    </w:p>
    <w:p>
      <w:pPr>
        <w:spacing w:after="0" w:line="4" w:lineRule="exact"/>
        <w:rPr>
          <w:sz w:val="20"/>
          <w:szCs w:val="20"/>
          <w:color w:val="auto"/>
        </w:rPr>
      </w:pPr>
    </w:p>
    <w:p>
      <w:pPr>
        <w:ind w:left="1260" w:right="679"/>
        <w:spacing w:after="0" w:line="249" w:lineRule="auto"/>
        <w:rPr>
          <w:sz w:val="20"/>
          <w:szCs w:val="20"/>
          <w:color w:val="auto"/>
        </w:rPr>
      </w:pPr>
      <w:r>
        <w:rPr>
          <w:rFonts w:ascii="Arial" w:cs="Arial" w:eastAsia="Arial" w:hAnsi="Arial"/>
          <w:sz w:val="18"/>
          <w:szCs w:val="18"/>
          <w:color w:val="auto"/>
        </w:rPr>
        <w:t>July 2018. Mr. Ban joined FUJIFILM Corporation in April 2013, a conglomerate operating in the photography, optics, biotechnology, and chemical industries, and served as Corporate Vice President and General Manager of regenerative medicine business product division from</w:t>
      </w:r>
    </w:p>
    <w:p>
      <w:pPr>
        <w:spacing w:after="0" w:line="1"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June 2016. Prior to joining FUJIFILM Corporation, Mr. Ban served at Takeda Pharmaceutical Co. Ltd. from April 1985 to March 2013 in various R&amp;D management and Business Development roles of gradually increasing responsibility, including Vice President, Global head of Business Development from January 2008 to January 2012. Mr. Ban is currently a Board Member of FUJIFILM Toyama Chemical and FUJIFILM Kyowa Kirin Biologics, Ltd. He has been a Director of Perseus Proteomics Inc. since June 2017. Mr. Ban earned his B.S. in Pharmaceutical Science from The University of Tokyo and M.S. from the Graduate School of Medical Science of Kyoto University.</w:t>
      </w:r>
    </w:p>
    <w:p>
      <w:pPr>
        <w:spacing w:after="0" w:line="341" w:lineRule="exact"/>
        <w:rPr>
          <w:sz w:val="20"/>
          <w:szCs w:val="20"/>
          <w:color w:val="auto"/>
        </w:rPr>
      </w:pPr>
    </w:p>
    <w:p>
      <w:pPr>
        <w:ind w:left="1260" w:right="1079"/>
        <w:spacing w:after="0" w:line="260" w:lineRule="auto"/>
        <w:rPr>
          <w:sz w:val="20"/>
          <w:szCs w:val="20"/>
          <w:color w:val="auto"/>
        </w:rPr>
      </w:pPr>
      <w:r>
        <w:rPr>
          <w:rFonts w:ascii="Arial" w:cs="Arial" w:eastAsia="Arial" w:hAnsi="Arial"/>
          <w:sz w:val="18"/>
          <w:szCs w:val="18"/>
          <w:color w:val="auto"/>
        </w:rPr>
        <w:t>We believe that Mr. Ban is qualified to serve on our board of directors due to his extensive management experience and deep understanding of the biotechnology industry.</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 xml:space="preserve">Cynthia Butitta </w:t>
      </w:r>
      <w:r>
        <w:rPr>
          <w:rFonts w:ascii="Arial" w:cs="Arial" w:eastAsia="Arial" w:hAnsi="Arial"/>
          <w:sz w:val="18"/>
          <w:szCs w:val="18"/>
          <w:color w:val="auto"/>
        </w:rPr>
        <w:t>has served as a member of our board of directors since February 2021.</w:t>
      </w:r>
    </w:p>
    <w:p>
      <w:pPr>
        <w:spacing w:after="0" w:line="30" w:lineRule="exact"/>
        <w:rPr>
          <w:sz w:val="20"/>
          <w:szCs w:val="20"/>
          <w:color w:val="auto"/>
        </w:rPr>
      </w:pPr>
    </w:p>
    <w:p>
      <w:pPr>
        <w:ind w:left="1260" w:right="519"/>
        <w:spacing w:after="0" w:line="249" w:lineRule="auto"/>
        <w:rPr>
          <w:sz w:val="20"/>
          <w:szCs w:val="20"/>
          <w:color w:val="auto"/>
        </w:rPr>
      </w:pPr>
      <w:r>
        <w:rPr>
          <w:rFonts w:ascii="Arial" w:cs="Arial" w:eastAsia="Arial" w:hAnsi="Arial"/>
          <w:sz w:val="18"/>
          <w:szCs w:val="18"/>
          <w:color w:val="auto"/>
        </w:rPr>
        <w:t>Ms. Butitta has served as a member of the board of directors of Olema Pharmaceuticals, Autolus Therapeutics plc, and UroGen Pharma Ltd., publicly traded biopharmaceutical companies, since August 2020, March 2018 and October 2017, respectively. Ms. Butitta previously served as the Chief Operating Officer of Kite Pharma Inc., a biopharmaceutical company, from March 2014 to September 2017 and as its Executive Vice President and Chief Financial Officer from</w:t>
      </w:r>
    </w:p>
    <w:p>
      <w:pPr>
        <w:spacing w:after="0" w:line="2" w:lineRule="exact"/>
        <w:rPr>
          <w:sz w:val="20"/>
          <w:szCs w:val="20"/>
          <w:color w:val="auto"/>
        </w:rPr>
      </w:pPr>
    </w:p>
    <w:p>
      <w:pPr>
        <w:ind w:left="1260" w:right="939"/>
        <w:spacing w:after="0" w:line="260" w:lineRule="auto"/>
        <w:rPr>
          <w:sz w:val="20"/>
          <w:szCs w:val="20"/>
          <w:color w:val="auto"/>
        </w:rPr>
      </w:pPr>
      <w:r>
        <w:rPr>
          <w:rFonts w:ascii="Arial" w:cs="Arial" w:eastAsia="Arial" w:hAnsi="Arial"/>
          <w:sz w:val="18"/>
          <w:szCs w:val="18"/>
          <w:color w:val="auto"/>
        </w:rPr>
        <w:t>January 2014 to May 2016. From May 2011 to December 2012, Ms. Butitta was Senior Vice President and</w:t>
      </w:r>
    </w:p>
    <w:p>
      <w:pPr>
        <w:sectPr>
          <w:pgSz w:w="11900" w:h="16838" w:orient="portrait"/>
          <w:cols w:equalWidth="0" w:num="1">
            <w:col w:w="9859"/>
          </w:cols>
          <w:pgMar w:left="600" w:top="132" w:right="1440" w:bottom="1090" w:gutter="0" w:footer="0" w:header="0"/>
        </w:sect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09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59"/>
        <w:spacing w:after="0" w:line="249" w:lineRule="auto"/>
        <w:rPr>
          <w:sz w:val="20"/>
          <w:szCs w:val="20"/>
          <w:color w:val="auto"/>
        </w:rPr>
      </w:pPr>
      <w:r>
        <w:rPr>
          <w:rFonts w:ascii="Arial" w:cs="Arial" w:eastAsia="Arial" w:hAnsi="Arial"/>
          <w:sz w:val="18"/>
          <w:szCs w:val="18"/>
          <w:color w:val="auto"/>
        </w:rPr>
        <w:t>Chief Financial Officer at NextWave Pharmaceuticals, Inc., a specialty pharmaceutical company. Prior to that, Ms. Butitta served in senior leadership roles at Telik, Inc., a biopharmaceutical company, from 1998 to 2010, including Chief Operating Officer and Chief Financial Officer.</w:t>
      </w:r>
    </w:p>
    <w:p>
      <w:pPr>
        <w:spacing w:after="0" w:line="1" w:lineRule="exact"/>
        <w:rPr>
          <w:sz w:val="20"/>
          <w:szCs w:val="20"/>
          <w:color w:val="auto"/>
        </w:rPr>
      </w:pPr>
    </w:p>
    <w:p>
      <w:pPr>
        <w:ind w:left="1260" w:right="759"/>
        <w:spacing w:after="0" w:line="260" w:lineRule="auto"/>
        <w:rPr>
          <w:sz w:val="20"/>
          <w:szCs w:val="20"/>
          <w:color w:val="auto"/>
        </w:rPr>
      </w:pPr>
      <w:r>
        <w:rPr>
          <w:rFonts w:ascii="Arial" w:cs="Arial" w:eastAsia="Arial" w:hAnsi="Arial"/>
          <w:sz w:val="18"/>
          <w:szCs w:val="18"/>
          <w:color w:val="auto"/>
        </w:rPr>
        <w:t>Ms. Butitta received a B.S. with honors in business and accounting from Edgewood College in Madison, Wisconsin and an M.B.A. in finance from the University of Wisconsin, Madison.</w:t>
      </w:r>
    </w:p>
    <w:p>
      <w:pPr>
        <w:spacing w:after="0" w:line="117" w:lineRule="exact"/>
        <w:rPr>
          <w:sz w:val="20"/>
          <w:szCs w:val="20"/>
          <w:color w:val="auto"/>
        </w:rPr>
      </w:pPr>
    </w:p>
    <w:p>
      <w:pPr>
        <w:jc w:val="both"/>
        <w:ind w:left="1260" w:right="779"/>
        <w:spacing w:after="0" w:line="254" w:lineRule="auto"/>
        <w:rPr>
          <w:sz w:val="20"/>
          <w:szCs w:val="20"/>
          <w:color w:val="auto"/>
        </w:rPr>
      </w:pPr>
      <w:r>
        <w:rPr>
          <w:rFonts w:ascii="Arial" w:cs="Arial" w:eastAsia="Arial" w:hAnsi="Arial"/>
          <w:sz w:val="18"/>
          <w:szCs w:val="18"/>
          <w:color w:val="auto"/>
        </w:rPr>
        <w:t>We believe that Ms. Butitta is qualified to serve on our board of directors due to her extensive experience as a public company director, her knowledge of corporate finance and accounting, and her experience as a biopharmaceutical company executive.</w:t>
      </w:r>
    </w:p>
    <w:p>
      <w:pPr>
        <w:spacing w:after="0" w:line="115"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b w:val="1"/>
          <w:bCs w:val="1"/>
          <w:i w:val="1"/>
          <w:iCs w:val="1"/>
          <w:color w:val="auto"/>
        </w:rPr>
        <w:t xml:space="preserve">Eli Casdin </w:t>
      </w:r>
      <w:r>
        <w:rPr>
          <w:rFonts w:ascii="Arial" w:cs="Arial" w:eastAsia="Arial" w:hAnsi="Arial"/>
          <w:sz w:val="18"/>
          <w:szCs w:val="18"/>
          <w:color w:val="auto"/>
        </w:rPr>
        <w:t>has served as a member of our board of directors since February 2021. He founded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Casdin Capital, a venture capital firm specializing in life sciences, in 2011 and serves as Chief Investment Officer of Casdin Capital. Prior to founding Casdin Capital, Mr. Casdin was a Vice President and Analyst at Alliance Bernstein and a member of its “thematic” based investment group from 2007 until 2011. Mr. Casdin’s previously held positions at Bear Stearns, an investment bank and Cooper Hill Partners, a biotechnology-focused investment firm. Mr. Casdin has served on the board of directors of life-sciences-focused special purpose acquisition companies CM Life Sciences, Inc. and CM Life Sciences II, Inc., since September 2020 and February 2021, respectively. Mr. Casdin also serves on the board of directors of several other life science and biotechnology -focused entities, including, AbSci Corporation, C2i Genomics, Cedilla Therapeutics, DNA Script, Einstein Medical, EQRx, GeneMatters, Genomatica, Insitro, Maze Therapeutics, Mnemo Therapeutics, PACT Pharma, Inc., New York Genome Center, Prominex Inc., Sexton Biotechnologies, SomaLogic, Tango Therapeutics, Tenaya Therapeutics, Verana Health, Inc., Verve Therapeutics, and Vineti, Inc. Mr. Casdin also serves on the Columbia University School of General Studies board of directors. Mr. Casdin earned his B.S. from Columbia University and an M.B.A. from Columbia Business School.</w:t>
      </w:r>
    </w:p>
    <w:p>
      <w:pPr>
        <w:spacing w:after="0" w:line="354"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We believe that Mr. Casdin is qualified to serve on our board of directors due to his investment experience, knowledge of the biopharmaceutical industry, and extensive board experience on life sciences and biotechnology companies.</w:t>
      </w:r>
    </w:p>
    <w:p>
      <w:pPr>
        <w:spacing w:after="0" w:line="101"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b w:val="1"/>
          <w:bCs w:val="1"/>
          <w:i w:val="1"/>
          <w:iCs w:val="1"/>
          <w:color w:val="auto"/>
        </w:rPr>
        <w:t xml:space="preserve">Juergen Eckhardt </w:t>
      </w:r>
      <w:r>
        <w:rPr>
          <w:rFonts w:ascii="Arial" w:cs="Arial" w:eastAsia="Arial" w:hAnsi="Arial"/>
          <w:sz w:val="18"/>
          <w:szCs w:val="18"/>
          <w:color w:val="auto"/>
        </w:rPr>
        <w:t>has served as a member of our board of directors since the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Reorganization in February 2021, and previously served as a member of the board of managers of Century Therapeutics, LLC from September 2020 until the 2021 Reorganization in February 2021. Dr. Eckhardt served as Vice President, Head of Venture Investments at Bayer Consumer Care AG, or Bayer AG, a conglomerate operating in the field of pharmaceuticals, consumer health and agriculture, from September 2016 until February 2019 and has served as Senior Vice President, Head of Leaps by Bayer, the strategic venture capital unit of Bayer AG, since March 2019. Before joining Bayer AG in 2016, Dr. Eckhardt was head of the venture capital franchise at Bellevue Asset Management, an investment management firm, in Switzerland from November 2004 to August 2016. Previously, Dr. Eckhardt was a management consultant and Associate Partner with McKinsey &amp; Co. and a member of McKinsey’s Healthcare Leadership Team. Dr. Eckhardt currently serves as a member of the board of directors of Joyn Bio, Dewpoint, Khloris, Oerth Bio, Immunitas, eGenesis, and several other private companies. Dr. Eckhardt received his M.D. from the University of Basel and his M.B.A. from INSEAD in Fontainebleau, France.</w:t>
      </w:r>
    </w:p>
    <w:p>
      <w:pPr>
        <w:spacing w:after="0" w:line="356" w:lineRule="exact"/>
        <w:rPr>
          <w:sz w:val="20"/>
          <w:szCs w:val="20"/>
          <w:color w:val="auto"/>
        </w:rPr>
      </w:pPr>
    </w:p>
    <w:p>
      <w:pPr>
        <w:ind w:left="1260" w:right="1059"/>
        <w:spacing w:after="0" w:line="260" w:lineRule="auto"/>
        <w:rPr>
          <w:sz w:val="20"/>
          <w:szCs w:val="20"/>
          <w:color w:val="auto"/>
        </w:rPr>
      </w:pPr>
      <w:r>
        <w:rPr>
          <w:rFonts w:ascii="Arial" w:cs="Arial" w:eastAsia="Arial" w:hAnsi="Arial"/>
          <w:sz w:val="18"/>
          <w:szCs w:val="18"/>
          <w:color w:val="auto"/>
        </w:rPr>
        <w:t>We believe that Dr. Eckhardt is qualified to serve on our board of directors due to his deep knowledge of the biopharmaceutical industry and his diverse board experience.</w:t>
      </w:r>
    </w:p>
    <w:p>
      <w:pPr>
        <w:spacing w:after="0" w:line="10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b w:val="1"/>
          <w:bCs w:val="1"/>
          <w:i w:val="1"/>
          <w:iCs w:val="1"/>
          <w:color w:val="auto"/>
        </w:rPr>
        <w:t xml:space="preserve">Joseph Jimenez </w:t>
      </w:r>
      <w:r>
        <w:rPr>
          <w:rFonts w:ascii="Arial" w:cs="Arial" w:eastAsia="Arial" w:hAnsi="Arial"/>
          <w:sz w:val="18"/>
          <w:szCs w:val="18"/>
          <w:color w:val="auto"/>
        </w:rPr>
        <w:t>has served as a member of our board of directors since the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Reorganization in February 2021, and previously served as a member of the board of managers of Century Therapeutics, LLC from August 2019 until the 2021 Reorganization in February 2021. Mr. Jimenez has served as chairman of our board of directors since February 2021. Mr. Jimenez is currently Co-Founder and Managing Director of Aditum Bio, a venture capital firm. He has held this position since July 2019. Mr. Jimenez served as CEO of Novartis AG, a pharmaceutical company, from 2010 until his retirement in 2018. He led Novartis’ Pharmaceuticals Division from October 2007 to 2010 and its Consumer Health Division in 2007. From 2006 to 2007, Mr. Jimenez served as Advisor to the Blackstone Group L.P. Mr. Jimenez was Executive Vice President, President and CEO of Heinz Europe from 2002 to 2006, and President and CEO of H.J. Heinz Company North America from 1999 to 2002. Mr. Jimenez is currently</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79"/>
        <w:spacing w:after="0" w:line="251" w:lineRule="auto"/>
        <w:rPr>
          <w:sz w:val="20"/>
          <w:szCs w:val="20"/>
          <w:color w:val="auto"/>
        </w:rPr>
      </w:pPr>
      <w:r>
        <w:rPr>
          <w:rFonts w:ascii="Arial" w:cs="Arial" w:eastAsia="Arial" w:hAnsi="Arial"/>
          <w:sz w:val="18"/>
          <w:szCs w:val="18"/>
          <w:color w:val="auto"/>
        </w:rPr>
        <w:t>a member of the board of directors of General Motors Company, where he has served since 2015. Mr. Jimenez has also been a member of the board of The Proctor &amp; Gamble Company since March 2018 and Graphite Bio since June 2020. Additionally, Mr. Jimenez served on the board of directors of Colgate-Palmolive Company from 2009 to 2015, and of AstraZeneca PLC, from 2002 to 2007. Mr. Jimenez received his B.A. in marketing from Stanford University and an M.B.A. from the University of California, Berkeley.</w:t>
      </w:r>
    </w:p>
    <w:p>
      <w:pPr>
        <w:spacing w:after="0" w:line="127" w:lineRule="exact"/>
        <w:rPr>
          <w:sz w:val="20"/>
          <w:szCs w:val="20"/>
          <w:color w:val="auto"/>
        </w:rPr>
      </w:pPr>
    </w:p>
    <w:p>
      <w:pPr>
        <w:ind w:left="1260" w:right="739"/>
        <w:spacing w:after="0" w:line="254" w:lineRule="auto"/>
        <w:rPr>
          <w:sz w:val="20"/>
          <w:szCs w:val="20"/>
          <w:color w:val="auto"/>
        </w:rPr>
      </w:pPr>
      <w:r>
        <w:rPr>
          <w:rFonts w:ascii="Arial" w:cs="Arial" w:eastAsia="Arial" w:hAnsi="Arial"/>
          <w:sz w:val="18"/>
          <w:szCs w:val="18"/>
          <w:color w:val="auto"/>
        </w:rPr>
        <w:t>We believe that Mr. Jimenez is qualified to serve on our board of directors due to his years of experience as a senior executive in the pharmaceutical industry, his extensive public company directorship experience, and his deep insights into our industry.</w:t>
      </w:r>
    </w:p>
    <w:p>
      <w:pPr>
        <w:spacing w:after="0" w:line="115"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b w:val="1"/>
          <w:bCs w:val="1"/>
          <w:i w:val="1"/>
          <w:iCs w:val="1"/>
          <w:color w:val="auto"/>
        </w:rPr>
        <w:t xml:space="preserve">Carlo Rizzuto, Ph.D. </w:t>
      </w:r>
      <w:r>
        <w:rPr>
          <w:rFonts w:ascii="Arial" w:cs="Arial" w:eastAsia="Arial" w:hAnsi="Arial"/>
          <w:sz w:val="18"/>
          <w:szCs w:val="18"/>
          <w:color w:val="auto"/>
        </w:rPr>
        <w:t>has served as a member of our board of directors since the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Reorganization in February 2021, and previously served as a member of the board of managers of Century Therapeutics, LLC from June 2019 until the 2021 Reorganization in February 2021. Dr. Rizzuto served on the board of directors of Prior Century from March 2018 until June 2019. From April 2018 until August 2018, Dr. Rizzuto was President, Secretary and Treasurer of Prior Century. Dr. Rizzuto joined Versant Ventures in November 2012 where he has served in a variety of roles including operating principal, venture partner and partner. Dr. Rizzuto has served as Chief Executive Officer of Highline Therapeutics, a biotech incubator established by Versant Ventures, since March 2015. Dr. Rizzuto previously served as Chief Business Officer of Anokion SA, a biopharmaceutical company, from January 2014 to January 2017. Prior to joining Versant Ventures, Dr. Rizzuto worked at Novartis Pharmaceuticals, where he was a global program team director from 2010 to 2012. Dr. Rizzuto has served on the Pandion Therapeutics, Inc. board of directors since January 2018. Dr. Rizzuto received a Ph.D. in virology from Harvard University and a B.A. in biology from the University of Virginia.</w:t>
      </w:r>
    </w:p>
    <w:p>
      <w:pPr>
        <w:spacing w:after="0" w:line="141" w:lineRule="exact"/>
        <w:rPr>
          <w:sz w:val="20"/>
          <w:szCs w:val="20"/>
          <w:color w:val="auto"/>
        </w:rPr>
      </w:pPr>
    </w:p>
    <w:p>
      <w:pPr>
        <w:ind w:left="1260" w:right="699"/>
        <w:spacing w:after="0" w:line="260" w:lineRule="auto"/>
        <w:rPr>
          <w:sz w:val="20"/>
          <w:szCs w:val="20"/>
          <w:color w:val="auto"/>
        </w:rPr>
      </w:pPr>
      <w:r>
        <w:rPr>
          <w:rFonts w:ascii="Arial" w:cs="Arial" w:eastAsia="Arial" w:hAnsi="Arial"/>
          <w:sz w:val="18"/>
          <w:szCs w:val="18"/>
          <w:color w:val="auto"/>
        </w:rPr>
        <w:t>We believe that Dr. Rizzuto is qualified to serve on our board of directors due to his knowledge and experience as an investor in the life sciences industry.</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composition and election of directors</w:t>
      </w:r>
    </w:p>
    <w:p>
      <w:pPr>
        <w:spacing w:after="0" w:line="155" w:lineRule="exact"/>
        <w:rPr>
          <w:sz w:val="20"/>
          <w:szCs w:val="20"/>
          <w:color w:val="auto"/>
        </w:rPr>
      </w:pPr>
    </w:p>
    <w:p>
      <w:pPr>
        <w:ind w:left="1260" w:right="459"/>
        <w:spacing w:after="0" w:line="249" w:lineRule="auto"/>
        <w:rPr>
          <w:sz w:val="20"/>
          <w:szCs w:val="20"/>
          <w:color w:val="auto"/>
        </w:rPr>
      </w:pPr>
      <w:r>
        <w:rPr>
          <w:rFonts w:ascii="Arial" w:cs="Arial" w:eastAsia="Arial" w:hAnsi="Arial"/>
          <w:sz w:val="18"/>
          <w:szCs w:val="18"/>
          <w:color w:val="auto"/>
        </w:rPr>
        <w:t>Our board of directors is currently composed of seven members. Six of our directors are independent within the meaning of the independent director guidelines of Nasdaq. Pursuant to our certificate of incorporation as in effect immediately prior to this offering and voting agreement, Mr. Ban and Dr. Rizzuto were designated by the holders of our Series A preferred stock;</w:t>
      </w:r>
    </w:p>
    <w:p>
      <w:pPr>
        <w:spacing w:after="0" w:line="2" w:lineRule="exact"/>
        <w:rPr>
          <w:sz w:val="20"/>
          <w:szCs w:val="20"/>
          <w:color w:val="auto"/>
        </w:rPr>
      </w:pPr>
    </w:p>
    <w:p>
      <w:pPr>
        <w:ind w:left="1260" w:right="539"/>
        <w:spacing w:after="0" w:line="252" w:lineRule="auto"/>
        <w:rPr>
          <w:sz w:val="20"/>
          <w:szCs w:val="20"/>
          <w:color w:val="auto"/>
        </w:rPr>
      </w:pPr>
      <w:r>
        <w:rPr>
          <w:rFonts w:ascii="Arial" w:cs="Arial" w:eastAsia="Arial" w:hAnsi="Arial"/>
          <w:sz w:val="18"/>
          <w:szCs w:val="18"/>
          <w:color w:val="auto"/>
        </w:rPr>
        <w:t>Dr. Eckhardt was designated by holders of our Series B preferred stock; Mr. Casdin was designated by the holders of our Series C preferred stock; and Dr. Flores was designated by the holders of our common stock, voting as a separate class. Mr. Jimenez and Ms. Butitta were appointed as independent directors by our board of directors, and Mr. Jimenez was appointed as Chairman of our board of directors.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65"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In accordance with our second amended and restated certificate of incorporation, which will become effective immediately prior to the closing of this offering, our directors will be divided into three classes serving staggered three-year terms.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current directors will be divided among the three classes as follows:</w:t>
      </w:r>
    </w:p>
    <w:p>
      <w:pPr>
        <w:spacing w:after="0" w:line="315" w:lineRule="exact"/>
        <w:rPr>
          <w:sz w:val="20"/>
          <w:szCs w:val="20"/>
          <w:color w:val="auto"/>
        </w:rPr>
      </w:pPr>
    </w:p>
    <w:p>
      <w:pPr>
        <w:ind w:left="1260"/>
        <w:spacing w:after="0"/>
        <w:tabs>
          <w:tab w:leader="none" w:pos="4740" w:val="left"/>
          <w:tab w:leader="none" w:pos="5880" w:val="left"/>
          <w:tab w:leader="none" w:pos="7400" w:val="left"/>
        </w:tabs>
        <w:rPr>
          <w:sz w:val="20"/>
          <w:szCs w:val="20"/>
          <w:color w:val="auto"/>
        </w:rPr>
      </w:pPr>
      <w:r>
        <w:rPr>
          <w:rFonts w:ascii="Arial" w:cs="Arial" w:eastAsia="Arial" w:hAnsi="Arial"/>
          <w:sz w:val="18"/>
          <w:szCs w:val="18"/>
          <w:color w:val="auto"/>
        </w:rPr>
        <w:t>• the Class I directors will be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 and their terms will</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expire at the first annual meeting of stockholders held following the closing of this offering;</w:t>
      </w:r>
    </w:p>
    <w:p>
      <w:pPr>
        <w:spacing w:after="0" w:line="116" w:lineRule="exact"/>
        <w:rPr>
          <w:sz w:val="20"/>
          <w:szCs w:val="20"/>
          <w:color w:val="auto"/>
        </w:rPr>
      </w:pPr>
    </w:p>
    <w:p>
      <w:pPr>
        <w:ind w:left="1260"/>
        <w:spacing w:after="0"/>
        <w:tabs>
          <w:tab w:leader="none" w:pos="4800" w:val="left"/>
          <w:tab w:leader="none" w:pos="6200" w:val="left"/>
        </w:tabs>
        <w:rPr>
          <w:sz w:val="20"/>
          <w:szCs w:val="20"/>
          <w:color w:val="auto"/>
        </w:rPr>
      </w:pPr>
      <w:r>
        <w:rPr>
          <w:rFonts w:ascii="Arial" w:cs="Arial" w:eastAsia="Arial" w:hAnsi="Arial"/>
          <w:sz w:val="18"/>
          <w:szCs w:val="18"/>
          <w:color w:val="auto"/>
        </w:rPr>
        <w:t>• the Class II directors will be</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and their terms will expire at the</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second annual meeting of stockholders held following the closing of this offering; and</w:t>
      </w:r>
    </w:p>
    <w:p>
      <w:pPr>
        <w:spacing w:after="0" w:line="116" w:lineRule="exact"/>
        <w:rPr>
          <w:sz w:val="20"/>
          <w:szCs w:val="20"/>
          <w:color w:val="auto"/>
        </w:rPr>
      </w:pPr>
    </w:p>
    <w:p>
      <w:pPr>
        <w:ind w:left="1260"/>
        <w:spacing w:after="0"/>
        <w:tabs>
          <w:tab w:leader="none" w:pos="4840" w:val="left"/>
          <w:tab w:leader="none" w:pos="6260" w:val="left"/>
        </w:tabs>
        <w:rPr>
          <w:sz w:val="20"/>
          <w:szCs w:val="20"/>
          <w:color w:val="auto"/>
        </w:rPr>
      </w:pPr>
      <w:r>
        <w:rPr>
          <w:rFonts w:ascii="Arial" w:cs="Arial" w:eastAsia="Arial" w:hAnsi="Arial"/>
          <w:sz w:val="18"/>
          <w:szCs w:val="18"/>
          <w:color w:val="auto"/>
        </w:rPr>
        <w:t>• the Class III directors will be</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and their terms will expire at the third</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annual meeting of stockholders held following the closing of this offering.</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second amended and restated certificate of incorporation and our amended and restated bylaws, which will become effective immediately prior to the closing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The classification of our board of directors may have the effect of delaying or preventing a change in control or management. See “Description of capital stock—Anti-Takeover Provisions of Delaware Law and our Charter Documents” for a discussion of other anti-takeover provisions will be included in our second amended and restated certificate of incorporation.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leadership structure</w:t>
      </w:r>
    </w:p>
    <w:p>
      <w:pPr>
        <w:spacing w:after="0" w:line="142"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Our board of directors does not have a formal policy with respect to the separation of the offices of Chief Executive Officer and Chairman of the board of directors.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of directors. Our board of directors believes that the separation of the positions of Chief Executive Officer and Chairman of the board of directors reinforces the independence of the board of directors from management, creates an environment that encourages objective oversight of management’s performance and enhances the effectiveness of our board of directors as a whole.</w:t>
      </w:r>
    </w:p>
    <w:p>
      <w:pPr>
        <w:spacing w:after="0" w:line="39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Role of board in risk oversight</w:t>
      </w:r>
    </w:p>
    <w:p>
      <w:pPr>
        <w:spacing w:after="0" w:line="155" w:lineRule="exact"/>
        <w:rPr>
          <w:sz w:val="20"/>
          <w:szCs w:val="20"/>
          <w:color w:val="auto"/>
        </w:rPr>
      </w:pPr>
    </w:p>
    <w:p>
      <w:pPr>
        <w:ind w:left="1260" w:right="579"/>
        <w:spacing w:after="0" w:line="250"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45"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the risks inherent in their respective areas of oversight. While our board of directors is responsible for monitoring strategic risk exposure, our audit committee oversees management of financial reporting, compliance and litigation risks, as well as the steps management has taken to monitor and control such exposures. Our nominating and corporate governance committee manages risks associated with the independence of our board of directors, potential conflicts of interest and the effectiveness of our board of directors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39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Director independence</w:t>
      </w:r>
    </w:p>
    <w:p>
      <w:pPr>
        <w:spacing w:after="0" w:line="142"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In connection with this offering, we intend to apply to list our common stock on the Nasdaq Global Market. Under the Nasdaq listing rules, or the Listing Rules, independent directors must comprise a majority of a listed company’s board of directors within a specified period following the closing of this offering. In addition, the Listing Rules require that, subject to specified exceptions, each member of a listed company’s audit, compensation, and nominating and governance committees be independent. Under the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 Rule 10A-3 as of the closing of this offering.</w:t>
      </w:r>
    </w:p>
    <w:p>
      <w:pPr>
        <w:spacing w:after="0" w:line="352"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 We intend to satisfy the compensation committee independence requirements of Rule 10A-3 as of the closing of this offering.</w:t>
      </w:r>
    </w:p>
    <w:p>
      <w:pPr>
        <w:spacing w:after="0" w:line="138"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Our board of directors has undertaken a review of the independence of each director and determined that all of our directors, other than Dr. Flores, qualify as “independent” directors in accordance with the Listing Rules. Dr. Flores is not considered independent by virtue of his position as our President and Chief Executive Officer. In making these determinations, our board of directors reviewed and discussed information provided by the directors and us with regard to each director’s business and personal activities and relationships as they may relate to us and our management.</w:t>
      </w:r>
    </w:p>
    <w:p>
      <w:pPr>
        <w:spacing w:after="0" w:line="38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committees</w:t>
      </w:r>
    </w:p>
    <w:p>
      <w:pPr>
        <w:spacing w:after="0" w:line="169"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intends to adopt a written charter that satisfies the applicable rules and regulations of the SEC and Listing Rules, which we will post on our website at www.centurytx.com upon the closing of this offering.</w:t>
      </w:r>
    </w:p>
    <w:p>
      <w:pPr>
        <w:spacing w:after="0" w:line="161"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3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Audit committee</w:t>
            </w: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50"/>
        </w:trPr>
        <w:tc>
          <w:tcPr>
            <w:tcW w:w="3420" w:type="dxa"/>
            <w:vAlign w:val="bottom"/>
            <w:gridSpan w:val="2"/>
          </w:tcPr>
          <w:p>
            <w:pPr>
              <w:spacing w:after="0"/>
              <w:rPr>
                <w:sz w:val="20"/>
                <w:szCs w:val="20"/>
                <w:color w:val="auto"/>
              </w:rPr>
            </w:pPr>
            <w:r>
              <w:rPr>
                <w:rFonts w:ascii="Arial" w:cs="Arial" w:eastAsia="Arial" w:hAnsi="Arial"/>
                <w:sz w:val="18"/>
                <w:szCs w:val="18"/>
                <w:color w:val="auto"/>
              </w:rPr>
              <w:t>Our audit committee consists of</w:t>
            </w:r>
          </w:p>
        </w:tc>
        <w:tc>
          <w:tcPr>
            <w:tcW w:w="11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right="330"/>
              <w:spacing w:after="0"/>
              <w:rPr>
                <w:sz w:val="20"/>
                <w:szCs w:val="20"/>
                <w:color w:val="auto"/>
              </w:rPr>
            </w:pPr>
            <w:r>
              <w:rPr>
                <w:rFonts w:ascii="Arial" w:cs="Arial" w:eastAsia="Arial" w:hAnsi="Arial"/>
                <w:sz w:val="18"/>
                <w:szCs w:val="18"/>
                <w:color w:val="auto"/>
                <w:w w:val="99"/>
              </w:rPr>
              <w:t>, and</w:t>
            </w:r>
          </w:p>
        </w:tc>
        <w:tc>
          <w:tcPr>
            <w:tcW w:w="2100" w:type="dxa"/>
            <w:vAlign w:val="bottom"/>
          </w:tcPr>
          <w:p>
            <w:pPr>
              <w:ind w:left="360"/>
              <w:spacing w:after="0"/>
              <w:rPr>
                <w:sz w:val="20"/>
                <w:szCs w:val="20"/>
                <w:color w:val="auto"/>
              </w:rPr>
            </w:pPr>
            <w:r>
              <w:rPr>
                <w:rFonts w:ascii="Arial" w:cs="Arial" w:eastAsia="Arial" w:hAnsi="Arial"/>
                <w:sz w:val="18"/>
                <w:szCs w:val="18"/>
                <w:color w:val="auto"/>
              </w:rPr>
              <w:t>. Our board of</w:t>
            </w: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directors has determined that each of</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ind w:left="780"/>
              <w:spacing w:after="0"/>
              <w:rPr>
                <w:sz w:val="20"/>
                <w:szCs w:val="20"/>
                <w:color w:val="auto"/>
              </w:rPr>
            </w:pPr>
            <w:r>
              <w:rPr>
                <w:rFonts w:ascii="Arial" w:cs="Arial" w:eastAsia="Arial" w:hAnsi="Arial"/>
                <w:sz w:val="18"/>
                <w:szCs w:val="18"/>
                <w:color w:val="auto"/>
              </w:rPr>
              <w:t>and</w:t>
            </w:r>
          </w:p>
        </w:tc>
        <w:tc>
          <w:tcPr>
            <w:tcW w:w="2100" w:type="dxa"/>
            <w:vAlign w:val="bottom"/>
          </w:tcPr>
          <w:p>
            <w:pPr>
              <w:ind w:left="740"/>
              <w:spacing w:after="0"/>
              <w:rPr>
                <w:sz w:val="20"/>
                <w:szCs w:val="20"/>
                <w:color w:val="auto"/>
              </w:rPr>
            </w:pPr>
            <w:r>
              <w:rPr>
                <w:rFonts w:ascii="Arial" w:cs="Arial" w:eastAsia="Arial" w:hAnsi="Arial"/>
                <w:sz w:val="18"/>
                <w:szCs w:val="18"/>
                <w:color w:val="auto"/>
              </w:rPr>
              <w:t>are independent</w:t>
            </w:r>
          </w:p>
        </w:tc>
      </w:tr>
      <w:tr>
        <w:trPr>
          <w:trHeight w:val="229"/>
        </w:trPr>
        <w:tc>
          <w:tcPr>
            <w:tcW w:w="8140" w:type="dxa"/>
            <w:vAlign w:val="bottom"/>
            <w:gridSpan w:val="5"/>
          </w:tcPr>
          <w:p>
            <w:pPr>
              <w:spacing w:after="0"/>
              <w:rPr>
                <w:sz w:val="20"/>
                <w:szCs w:val="20"/>
                <w:color w:val="auto"/>
              </w:rPr>
            </w:pPr>
            <w:r>
              <w:rPr>
                <w:rFonts w:ascii="Arial" w:cs="Arial" w:eastAsia="Arial" w:hAnsi="Arial"/>
                <w:sz w:val="18"/>
                <w:szCs w:val="18"/>
                <w:color w:val="auto"/>
              </w:rPr>
              <w:t>under the Listing Rules and Rule 10A-3(b)(1) of the Exchange Act. The chair of our audit</w:t>
            </w:r>
          </w:p>
        </w:tc>
      </w:tr>
      <w:tr>
        <w:trPr>
          <w:trHeight w:val="229"/>
        </w:trPr>
        <w:tc>
          <w:tcPr>
            <w:tcW w:w="1220" w:type="dxa"/>
            <w:vAlign w:val="bottom"/>
          </w:tcPr>
          <w:p>
            <w:pPr>
              <w:spacing w:after="0"/>
              <w:rPr>
                <w:sz w:val="20"/>
                <w:szCs w:val="20"/>
                <w:color w:val="auto"/>
              </w:rPr>
            </w:pPr>
            <w:r>
              <w:rPr>
                <w:rFonts w:ascii="Arial" w:cs="Arial" w:eastAsia="Arial" w:hAnsi="Arial"/>
                <w:sz w:val="18"/>
                <w:szCs w:val="18"/>
                <w:color w:val="auto"/>
              </w:rPr>
              <w:t>committee is</w:t>
            </w:r>
          </w:p>
        </w:tc>
        <w:tc>
          <w:tcPr>
            <w:tcW w:w="6920" w:type="dxa"/>
            <w:vAlign w:val="bottom"/>
            <w:gridSpan w:val="4"/>
          </w:tcPr>
          <w:p>
            <w:pPr>
              <w:jc w:val="center"/>
              <w:ind w:left="730"/>
              <w:spacing w:after="0"/>
              <w:rPr>
                <w:sz w:val="20"/>
                <w:szCs w:val="20"/>
                <w:color w:val="auto"/>
              </w:rPr>
            </w:pPr>
            <w:r>
              <w:rPr>
                <w:rFonts w:ascii="Arial" w:cs="Arial" w:eastAsia="Arial" w:hAnsi="Arial"/>
                <w:sz w:val="18"/>
                <w:szCs w:val="18"/>
                <w:color w:val="auto"/>
              </w:rPr>
              <w:t>. Our board of directors has determined that each member of the audit</w:t>
            </w:r>
          </w:p>
        </w:tc>
      </w:tr>
      <w:tr>
        <w:trPr>
          <w:trHeight w:val="229"/>
        </w:trPr>
        <w:tc>
          <w:tcPr>
            <w:tcW w:w="8140" w:type="dxa"/>
            <w:vAlign w:val="bottom"/>
            <w:gridSpan w:val="5"/>
          </w:tcPr>
          <w:p>
            <w:pPr>
              <w:spacing w:after="0"/>
              <w:rPr>
                <w:sz w:val="20"/>
                <w:szCs w:val="20"/>
                <w:color w:val="auto"/>
              </w:rPr>
            </w:pPr>
            <w:r>
              <w:rPr>
                <w:rFonts w:ascii="Arial" w:cs="Arial" w:eastAsia="Arial" w:hAnsi="Arial"/>
                <w:sz w:val="18"/>
                <w:szCs w:val="18"/>
                <w:color w:val="auto"/>
              </w:rPr>
              <w:t>committee can read and understanding fundamental consolidated financial statements and</w:t>
            </w:r>
          </w:p>
        </w:tc>
      </w:tr>
      <w:tr>
        <w:trPr>
          <w:trHeight w:val="229"/>
        </w:trPr>
        <w:tc>
          <w:tcPr>
            <w:tcW w:w="1220" w:type="dxa"/>
            <w:vAlign w:val="bottom"/>
          </w:tcPr>
          <w:p>
            <w:pPr>
              <w:spacing w:after="0"/>
              <w:rPr>
                <w:sz w:val="20"/>
                <w:szCs w:val="20"/>
                <w:color w:val="auto"/>
              </w:rPr>
            </w:pPr>
            <w:r>
              <w:rPr>
                <w:rFonts w:ascii="Arial" w:cs="Arial" w:eastAsia="Arial" w:hAnsi="Arial"/>
                <w:sz w:val="18"/>
                <w:szCs w:val="18"/>
                <w:color w:val="auto"/>
              </w:rPr>
              <w:t>that</w:t>
            </w:r>
          </w:p>
        </w:tc>
        <w:tc>
          <w:tcPr>
            <w:tcW w:w="6920" w:type="dxa"/>
            <w:vAlign w:val="bottom"/>
            <w:gridSpan w:val="4"/>
          </w:tcPr>
          <w:p>
            <w:pPr>
              <w:ind w:left="180"/>
              <w:spacing w:after="0"/>
              <w:rPr>
                <w:sz w:val="20"/>
                <w:szCs w:val="20"/>
                <w:color w:val="auto"/>
              </w:rPr>
            </w:pPr>
            <w:r>
              <w:rPr>
                <w:rFonts w:ascii="Arial" w:cs="Arial" w:eastAsia="Arial" w:hAnsi="Arial"/>
                <w:sz w:val="18"/>
                <w:szCs w:val="18"/>
                <w:color w:val="auto"/>
              </w:rPr>
              <w:t>is an “audit committee financial expert” as such term is currently defined in</w:t>
            </w:r>
          </w:p>
        </w:tc>
      </w:tr>
    </w:tbl>
    <w:p>
      <w:pPr>
        <w:spacing w:after="0" w:line="12" w:lineRule="exact"/>
        <w:rPr>
          <w:sz w:val="20"/>
          <w:szCs w:val="20"/>
          <w:color w:val="auto"/>
        </w:rPr>
      </w:pPr>
    </w:p>
    <w:p>
      <w:pPr>
        <w:ind w:left="1260" w:right="759"/>
        <w:spacing w:after="0" w:line="275" w:lineRule="auto"/>
        <w:rPr>
          <w:sz w:val="20"/>
          <w:szCs w:val="20"/>
          <w:color w:val="auto"/>
        </w:rPr>
      </w:pPr>
      <w:r>
        <w:rPr>
          <w:rFonts w:ascii="Arial" w:cs="Arial" w:eastAsia="Arial" w:hAnsi="Arial"/>
          <w:sz w:val="18"/>
          <w:szCs w:val="18"/>
          <w:color w:val="auto"/>
        </w:rPr>
        <w:t>Item 407(d)(5) of Regulation S-K. Our audit committee is directly responsible for, among other things:</w:t>
      </w:r>
    </w:p>
    <w:p>
      <w:pPr>
        <w:spacing w:after="0" w:line="91" w:lineRule="exact"/>
        <w:rPr>
          <w:sz w:val="20"/>
          <w:szCs w:val="20"/>
          <w:color w:val="auto"/>
        </w:rPr>
      </w:pPr>
    </w:p>
    <w:p>
      <w:pPr>
        <w:ind w:left="1400" w:right="1019" w:hanging="145"/>
        <w:spacing w:after="0" w:line="275" w:lineRule="auto"/>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consolidated financial statements;</w:t>
      </w:r>
    </w:p>
    <w:p>
      <w:pPr>
        <w:spacing w:after="0" w:line="104" w:lineRule="exact"/>
        <w:rPr>
          <w:rFonts w:ascii="Arial" w:cs="Arial" w:eastAsia="Arial" w:hAnsi="Arial"/>
          <w:sz w:val="18"/>
          <w:szCs w:val="18"/>
          <w:color w:val="auto"/>
        </w:rPr>
      </w:pPr>
    </w:p>
    <w:p>
      <w:pPr>
        <w:ind w:left="1400" w:hanging="145"/>
        <w:spacing w:after="0"/>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29" w:lineRule="exact"/>
        <w:rPr>
          <w:rFonts w:ascii="Arial" w:cs="Arial" w:eastAsia="Arial" w:hAnsi="Arial"/>
          <w:sz w:val="18"/>
          <w:szCs w:val="18"/>
          <w:color w:val="auto"/>
        </w:rPr>
      </w:pPr>
    </w:p>
    <w:p>
      <w:pPr>
        <w:jc w:val="both"/>
        <w:ind w:left="1400" w:right="519" w:hanging="145"/>
        <w:spacing w:after="0" w:line="275" w:lineRule="auto"/>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90" w:lineRule="exact"/>
        <w:rPr>
          <w:rFonts w:ascii="Arial" w:cs="Arial" w:eastAsia="Arial" w:hAnsi="Arial"/>
          <w:sz w:val="18"/>
          <w:szCs w:val="18"/>
          <w:color w:val="auto"/>
        </w:rPr>
      </w:pPr>
    </w:p>
    <w:p>
      <w:pPr>
        <w:ind w:left="1400" w:right="779" w:hanging="145"/>
        <w:spacing w:after="0" w:line="275" w:lineRule="auto"/>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29" w:lineRule="exact"/>
        <w:rPr>
          <w:rFonts w:ascii="Arial" w:cs="Arial" w:eastAsia="Arial" w:hAnsi="Arial"/>
          <w:sz w:val="18"/>
          <w:szCs w:val="18"/>
          <w:color w:val="auto"/>
        </w:rPr>
      </w:pPr>
    </w:p>
    <w:p>
      <w:pPr>
        <w:ind w:left="1400" w:right="1379" w:hanging="145"/>
        <w:spacing w:after="0" w:line="275" w:lineRule="auto"/>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monitoring compliance with the code of business and conduct and ethics for financial management;</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29" w:lineRule="exact"/>
        <w:rPr>
          <w:rFonts w:ascii="Arial" w:cs="Arial" w:eastAsia="Arial" w:hAnsi="Arial"/>
          <w:sz w:val="18"/>
          <w:szCs w:val="18"/>
          <w:color w:val="auto"/>
        </w:rPr>
      </w:pPr>
    </w:p>
    <w:p>
      <w:pPr>
        <w:ind w:left="1400" w:right="699" w:hanging="145"/>
        <w:spacing w:after="0" w:line="275" w:lineRule="auto"/>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w:t>
      </w:r>
    </w:p>
    <w:p>
      <w:pPr>
        <w:sectPr>
          <w:pgSz w:w="11900" w:h="16838" w:orient="portrait"/>
          <w:cols w:equalWidth="0" w:num="1">
            <w:col w:w="9859"/>
          </w:cols>
          <w:pgMar w:left="600" w:top="132" w:right="1440" w:bottom="1440" w:gutter="0" w:footer="0" w:header="0"/>
        </w:sectPr>
      </w:pP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5" w:lineRule="exact"/>
        <w:rPr>
          <w:sz w:val="20"/>
          <w:szCs w:val="20"/>
          <w:color w:val="auto"/>
        </w:rPr>
      </w:pPr>
    </w:p>
    <w:p>
      <w:pPr>
        <w:ind w:left="1260"/>
        <w:spacing w:after="0"/>
        <w:tabs>
          <w:tab w:leader="none" w:pos="5740" w:val="left"/>
          <w:tab w:leader="none" w:pos="6900" w:val="left"/>
          <w:tab w:leader="none" w:pos="8400" w:val="left"/>
        </w:tabs>
        <w:rPr>
          <w:sz w:val="20"/>
          <w:szCs w:val="20"/>
          <w:color w:val="auto"/>
        </w:rPr>
      </w:pPr>
      <w:r>
        <w:rPr>
          <w:rFonts w:ascii="Arial" w:cs="Arial" w:eastAsia="Arial" w:hAnsi="Arial"/>
          <w:sz w:val="18"/>
          <w:szCs w:val="18"/>
          <w:color w:val="auto"/>
        </w:rPr>
        <w:t>Our compensation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 Our board</w:t>
      </w:r>
    </w:p>
    <w:p>
      <w:pPr>
        <w:spacing w:after="0" w:line="35" w:lineRule="exact"/>
        <w:rPr>
          <w:sz w:val="20"/>
          <w:szCs w:val="20"/>
          <w:color w:val="auto"/>
        </w:rPr>
      </w:pPr>
    </w:p>
    <w:p>
      <w:pPr>
        <w:ind w:left="1260" w:right="679"/>
        <w:spacing w:after="0" w:line="280" w:lineRule="auto"/>
        <w:rPr>
          <w:sz w:val="20"/>
          <w:szCs w:val="20"/>
          <w:color w:val="auto"/>
        </w:rPr>
      </w:pPr>
      <w:r>
        <w:rPr>
          <w:rFonts w:ascii="Arial" w:cs="Arial" w:eastAsia="Arial" w:hAnsi="Arial"/>
          <w:sz w:val="18"/>
          <w:szCs w:val="18"/>
          <w:color w:val="auto"/>
        </w:rPr>
        <w:t>of directors has determined that each member of this committee is a non-employee director, as defined by Rule 16b-3 promulgated under the Exchange Act and meets the requirements for</w:t>
      </w:r>
    </w:p>
    <w:p>
      <w:pPr>
        <w:spacing w:after="0" w:line="1" w:lineRule="exact"/>
        <w:rPr>
          <w:sz w:val="20"/>
          <w:szCs w:val="20"/>
          <w:color w:val="auto"/>
        </w:rPr>
      </w:pPr>
    </w:p>
    <w:p>
      <w:pPr>
        <w:ind w:left="1260"/>
        <w:spacing w:after="0"/>
        <w:tabs>
          <w:tab w:leader="none" w:pos="9280" w:val="left"/>
        </w:tabs>
        <w:rPr>
          <w:sz w:val="20"/>
          <w:szCs w:val="20"/>
          <w:color w:val="auto"/>
        </w:rPr>
      </w:pPr>
      <w:r>
        <w:rPr>
          <w:rFonts w:ascii="Arial" w:cs="Arial" w:eastAsia="Arial" w:hAnsi="Arial"/>
          <w:sz w:val="18"/>
          <w:szCs w:val="18"/>
          <w:color w:val="auto"/>
        </w:rPr>
        <w:t>independence under the Listing Rules. The chair of our compensation committee is</w:t>
      </w:r>
      <w:r>
        <w:rPr>
          <w:sz w:val="20"/>
          <w:szCs w:val="20"/>
          <w:color w:val="auto"/>
        </w:rPr>
        <w:tab/>
      </w:r>
      <w:r>
        <w:rPr>
          <w:rFonts w:ascii="Arial" w:cs="Arial" w:eastAsia="Arial" w:hAnsi="Arial"/>
          <w:sz w:val="13"/>
          <w:szCs w:val="13"/>
          <w:color w:val="auto"/>
        </w:rPr>
        <w: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compensation committee is responsible for, among other things:</w:t>
      </w:r>
    </w:p>
    <w:p>
      <w:pPr>
        <w:spacing w:after="0" w:line="170" w:lineRule="exact"/>
        <w:rPr>
          <w:sz w:val="20"/>
          <w:szCs w:val="20"/>
          <w:color w:val="auto"/>
        </w:rPr>
      </w:pPr>
    </w:p>
    <w:p>
      <w:pPr>
        <w:ind w:left="1400" w:right="459" w:hanging="145"/>
        <w:spacing w:after="0" w:line="275" w:lineRule="auto"/>
        <w:tabs>
          <w:tab w:leader="none" w:pos="1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approving the compensation of our executive officers and recommending that our board of directors approve the compensation of our Chief Executive Officer;</w:t>
      </w:r>
    </w:p>
    <w:p>
      <w:pPr>
        <w:spacing w:after="0" w:line="104" w:lineRule="exact"/>
        <w:rPr>
          <w:rFonts w:ascii="Arial" w:cs="Arial" w:eastAsia="Arial" w:hAnsi="Arial"/>
          <w:sz w:val="18"/>
          <w:szCs w:val="18"/>
          <w:color w:val="auto"/>
        </w:rPr>
      </w:pPr>
    </w:p>
    <w:p>
      <w:pPr>
        <w:ind w:left="1400" w:hanging="145"/>
        <w:spacing w:after="0"/>
        <w:tabs>
          <w:tab w:leader="none" w:pos="1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56" w:lineRule="exact"/>
        <w:rPr>
          <w:rFonts w:ascii="Arial" w:cs="Arial" w:eastAsia="Arial" w:hAnsi="Arial"/>
          <w:sz w:val="18"/>
          <w:szCs w:val="18"/>
          <w:color w:val="auto"/>
        </w:rPr>
      </w:pPr>
    </w:p>
    <w:p>
      <w:pPr>
        <w:ind w:left="1400" w:hanging="145"/>
        <w:spacing w:after="0"/>
        <w:tabs>
          <w:tab w:leader="none" w:pos="1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56" w:lineRule="exact"/>
        <w:rPr>
          <w:rFonts w:ascii="Arial" w:cs="Arial" w:eastAsia="Arial" w:hAnsi="Arial"/>
          <w:sz w:val="18"/>
          <w:szCs w:val="18"/>
          <w:color w:val="auto"/>
        </w:rPr>
      </w:pPr>
    </w:p>
    <w:p>
      <w:pPr>
        <w:ind w:left="1400" w:right="539" w:hanging="145"/>
        <w:spacing w:after="0" w:line="275" w:lineRule="auto"/>
        <w:tabs>
          <w:tab w:leader="none" w:pos="1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incentive compensation and equity plans; and</w:t>
      </w:r>
    </w:p>
    <w:p>
      <w:pPr>
        <w:spacing w:after="0" w:line="104" w:lineRule="exact"/>
        <w:rPr>
          <w:rFonts w:ascii="Arial" w:cs="Arial" w:eastAsia="Arial" w:hAnsi="Arial"/>
          <w:sz w:val="18"/>
          <w:szCs w:val="18"/>
          <w:color w:val="auto"/>
        </w:rPr>
      </w:pPr>
    </w:p>
    <w:p>
      <w:pPr>
        <w:ind w:left="1400" w:hanging="145"/>
        <w:spacing w:after="0"/>
        <w:tabs>
          <w:tab w:leader="none" w:pos="1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8" w:lineRule="exact"/>
        <w:rPr>
          <w:sz w:val="20"/>
          <w:szCs w:val="20"/>
          <w:color w:val="auto"/>
        </w:rPr>
      </w:pPr>
    </w:p>
    <w:p>
      <w:pPr>
        <w:ind w:left="1260"/>
        <w:spacing w:after="0"/>
        <w:tabs>
          <w:tab w:leader="none" w:pos="7740" w:val="left"/>
          <w:tab w:leader="none" w:pos="8900" w:val="left"/>
        </w:tabs>
        <w:rPr>
          <w:sz w:val="20"/>
          <w:szCs w:val="20"/>
          <w:color w:val="auto"/>
        </w:rPr>
      </w:pPr>
      <w:r>
        <w:rPr>
          <w:rFonts w:ascii="Arial" w:cs="Arial" w:eastAsia="Arial" w:hAnsi="Arial"/>
          <w:sz w:val="18"/>
          <w:szCs w:val="18"/>
          <w:color w:val="auto"/>
        </w:rPr>
        <w:t>Our nominating and corporate governance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35" w:lineRule="exact"/>
        <w:rPr>
          <w:sz w:val="20"/>
          <w:szCs w:val="20"/>
          <w:color w:val="auto"/>
        </w:rPr>
      </w:pPr>
    </w:p>
    <w:p>
      <w:pPr>
        <w:ind w:left="1260"/>
        <w:spacing w:after="0"/>
        <w:tabs>
          <w:tab w:leader="none" w:pos="264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Our board of directors has determined that each member of the nominating and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governance committee meets the requirements for independence under the Listing</w:t>
      </w:r>
    </w:p>
    <w:p>
      <w:pPr>
        <w:spacing w:after="0" w:line="35" w:lineRule="exact"/>
        <w:rPr>
          <w:sz w:val="20"/>
          <w:szCs w:val="20"/>
          <w:color w:val="auto"/>
        </w:rPr>
      </w:pPr>
    </w:p>
    <w:p>
      <w:pPr>
        <w:ind w:left="1260"/>
        <w:spacing w:after="0"/>
        <w:tabs>
          <w:tab w:leader="none" w:pos="8600" w:val="left"/>
        </w:tabs>
        <w:rPr>
          <w:sz w:val="20"/>
          <w:szCs w:val="20"/>
          <w:color w:val="auto"/>
        </w:rPr>
      </w:pPr>
      <w:r>
        <w:rPr>
          <w:rFonts w:ascii="Arial" w:cs="Arial" w:eastAsia="Arial" w:hAnsi="Arial"/>
          <w:sz w:val="18"/>
          <w:szCs w:val="18"/>
          <w:color w:val="auto"/>
        </w:rPr>
        <w:t>Rules. The chair of our nominating and corporate governance committee is</w:t>
      </w:r>
      <w:r>
        <w:rPr>
          <w:sz w:val="20"/>
          <w:szCs w:val="20"/>
          <w:color w:val="auto"/>
        </w:rPr>
        <w:tab/>
      </w:r>
      <w:r>
        <w:rPr>
          <w:rFonts w:ascii="Arial" w:cs="Arial" w:eastAsia="Arial" w:hAnsi="Arial"/>
          <w:sz w:val="18"/>
          <w:szCs w:val="18"/>
          <w:color w:val="auto"/>
        </w:rPr>
        <w:t>. The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nominating and corporate governance committee is responsible for, among other things:</w:t>
      </w:r>
    </w:p>
    <w:p>
      <w:pPr>
        <w:spacing w:after="0" w:line="156" w:lineRule="exact"/>
        <w:rPr>
          <w:sz w:val="20"/>
          <w:szCs w:val="20"/>
          <w:color w:val="auto"/>
        </w:rPr>
      </w:pPr>
    </w:p>
    <w:p>
      <w:pPr>
        <w:ind w:left="1400" w:hanging="145"/>
        <w:spacing w:after="0"/>
        <w:tabs>
          <w:tab w:leader="none" w:pos="1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56" w:lineRule="exact"/>
        <w:rPr>
          <w:rFonts w:ascii="Arial" w:cs="Arial" w:eastAsia="Arial" w:hAnsi="Arial"/>
          <w:sz w:val="18"/>
          <w:szCs w:val="18"/>
          <w:color w:val="auto"/>
        </w:rPr>
      </w:pPr>
    </w:p>
    <w:p>
      <w:pPr>
        <w:ind w:left="1400" w:hanging="145"/>
        <w:spacing w:after="0"/>
        <w:tabs>
          <w:tab w:leader="none" w:pos="1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56" w:lineRule="exact"/>
        <w:rPr>
          <w:rFonts w:ascii="Arial" w:cs="Arial" w:eastAsia="Arial" w:hAnsi="Arial"/>
          <w:sz w:val="18"/>
          <w:szCs w:val="18"/>
          <w:color w:val="auto"/>
        </w:rPr>
      </w:pPr>
    </w:p>
    <w:p>
      <w:pPr>
        <w:ind w:left="1400" w:hanging="145"/>
        <w:spacing w:after="0"/>
        <w:tabs>
          <w:tab w:leader="none" w:pos="1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42" w:lineRule="exact"/>
        <w:rPr>
          <w:rFonts w:ascii="Arial" w:cs="Arial" w:eastAsia="Arial" w:hAnsi="Arial"/>
          <w:sz w:val="18"/>
          <w:szCs w:val="18"/>
          <w:color w:val="auto"/>
        </w:rPr>
      </w:pPr>
    </w:p>
    <w:p>
      <w:pPr>
        <w:ind w:left="1400" w:hanging="145"/>
        <w:spacing w:after="0"/>
        <w:tabs>
          <w:tab w:leader="none" w:pos="1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56" w:lineRule="exact"/>
        <w:rPr>
          <w:rFonts w:ascii="Arial" w:cs="Arial" w:eastAsia="Arial" w:hAnsi="Arial"/>
          <w:sz w:val="18"/>
          <w:szCs w:val="18"/>
          <w:color w:val="auto"/>
        </w:rPr>
      </w:pPr>
    </w:p>
    <w:p>
      <w:pPr>
        <w:ind w:left="1400" w:hanging="145"/>
        <w:spacing w:after="0"/>
        <w:tabs>
          <w:tab w:leader="none" w:pos="1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55" w:lineRule="exact"/>
        <w:rPr>
          <w:sz w:val="20"/>
          <w:szCs w:val="20"/>
          <w:color w:val="auto"/>
        </w:rPr>
      </w:pPr>
    </w:p>
    <w:p>
      <w:pPr>
        <w:ind w:left="1260" w:right="439"/>
        <w:spacing w:after="0" w:line="283" w:lineRule="auto"/>
        <w:rPr>
          <w:sz w:val="20"/>
          <w:szCs w:val="20"/>
          <w:color w:val="auto"/>
        </w:rPr>
      </w:pPr>
      <w:r>
        <w:rPr>
          <w:rFonts w:ascii="Arial" w:cs="Arial" w:eastAsia="Arial" w:hAnsi="Arial"/>
          <w:sz w:val="18"/>
          <w:szCs w:val="18"/>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Non-employee director compensation</w:t>
      </w:r>
    </w:p>
    <w:p>
      <w:pPr>
        <w:spacing w:after="0" w:line="169" w:lineRule="exact"/>
        <w:rPr>
          <w:sz w:val="20"/>
          <w:szCs w:val="20"/>
          <w:color w:val="auto"/>
        </w:rPr>
      </w:pPr>
    </w:p>
    <w:p>
      <w:pPr>
        <w:ind w:left="1260" w:right="639"/>
        <w:spacing w:after="0" w:line="282" w:lineRule="auto"/>
        <w:rPr>
          <w:sz w:val="20"/>
          <w:szCs w:val="20"/>
          <w:color w:val="auto"/>
        </w:rPr>
      </w:pPr>
      <w:r>
        <w:rPr>
          <w:rFonts w:ascii="Arial" w:cs="Arial" w:eastAsia="Arial" w:hAnsi="Arial"/>
          <w:sz w:val="18"/>
          <w:szCs w:val="18"/>
          <w:color w:val="auto"/>
        </w:rPr>
        <w:t>Prior to 2021, we did not regularly provide compensation to our non-employee directors and, as shown in the table below, did not provide any compensation to our non-employee directors in 2020. Dr. Flores, our President and Chief Executive Officer, does not receive additional compensation for his services as a director. We do reimburse our non-employee directors for reasonable travel and out-of-pocket expenses incurred in connection with attending board of directors and committee meetings.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78" w:lineRule="exact"/>
        <w:rPr>
          <w:sz w:val="20"/>
          <w:szCs w:val="20"/>
          <w:color w:val="auto"/>
        </w:rPr>
      </w:pPr>
    </w:p>
    <w:p>
      <w:pPr>
        <w:ind w:left="1260" w:right="639"/>
        <w:spacing w:after="0" w:line="275"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during the year ended December 31, 2020.</w:t>
      </w:r>
    </w:p>
    <w:p>
      <w:pPr>
        <w:sectPr>
          <w:pgSz w:w="11900" w:h="16838" w:orient="portrait"/>
          <w:cols w:equalWidth="0" w:num="1">
            <w:col w:w="9859"/>
          </w:cols>
          <w:pgMar w:left="600" w:top="132" w:right="1440" w:bottom="1440" w:gutter="0" w:footer="0" w:header="0"/>
        </w:sectPr>
      </w:pP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29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Fees earned</w:t>
            </w:r>
          </w:p>
        </w:tc>
        <w:tc>
          <w:tcPr>
            <w:tcW w:w="8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188"/>
        </w:trPr>
        <w:tc>
          <w:tcPr>
            <w:tcW w:w="2980" w:type="dxa"/>
            <w:vAlign w:val="bottom"/>
          </w:tcPr>
          <w:p>
            <w:pPr>
              <w:spacing w:after="0"/>
              <w:rPr>
                <w:sz w:val="16"/>
                <w:szCs w:val="16"/>
                <w:color w:val="auto"/>
              </w:rPr>
            </w:pPr>
          </w:p>
        </w:tc>
        <w:tc>
          <w:tcPr>
            <w:tcW w:w="2420" w:type="dxa"/>
            <w:vAlign w:val="bottom"/>
          </w:tcPr>
          <w:p>
            <w:pPr>
              <w:jc w:val="right"/>
              <w:ind w:right="54"/>
              <w:spacing w:after="0"/>
              <w:rPr>
                <w:sz w:val="20"/>
                <w:szCs w:val="20"/>
                <w:color w:val="auto"/>
              </w:rPr>
            </w:pPr>
            <w:r>
              <w:rPr>
                <w:rFonts w:ascii="Arial" w:cs="Arial" w:eastAsia="Arial" w:hAnsi="Arial"/>
                <w:sz w:val="16"/>
                <w:szCs w:val="16"/>
                <w:b w:val="1"/>
                <w:bCs w:val="1"/>
                <w:color w:val="auto"/>
              </w:rPr>
              <w:t>or paid in</w:t>
            </w:r>
          </w:p>
        </w:tc>
        <w:tc>
          <w:tcPr>
            <w:tcW w:w="840" w:type="dxa"/>
            <w:vAlign w:val="bottom"/>
          </w:tcPr>
          <w:p>
            <w:pPr>
              <w:jc w:val="right"/>
              <w:ind w:right="73"/>
              <w:spacing w:after="0"/>
              <w:rPr>
                <w:sz w:val="20"/>
                <w:szCs w:val="20"/>
                <w:color w:val="auto"/>
              </w:rPr>
            </w:pPr>
            <w:r>
              <w:rPr>
                <w:rFonts w:ascii="Arial" w:cs="Arial" w:eastAsia="Arial" w:hAnsi="Arial"/>
                <w:sz w:val="16"/>
                <w:szCs w:val="16"/>
                <w:b w:val="1"/>
                <w:bCs w:val="1"/>
                <w:color w:val="auto"/>
              </w:rPr>
              <w:t>Option</w:t>
            </w:r>
          </w:p>
        </w:tc>
        <w:tc>
          <w:tcPr>
            <w:tcW w:w="1380" w:type="dxa"/>
            <w:vAlign w:val="bottom"/>
          </w:tcPr>
          <w:p>
            <w:pPr>
              <w:jc w:val="right"/>
              <w:ind w:right="53"/>
              <w:spacing w:after="0"/>
              <w:rPr>
                <w:sz w:val="20"/>
                <w:szCs w:val="20"/>
                <w:color w:val="auto"/>
              </w:rPr>
            </w:pPr>
            <w:r>
              <w:rPr>
                <w:rFonts w:ascii="Arial" w:cs="Arial" w:eastAsia="Arial" w:hAnsi="Arial"/>
                <w:sz w:val="16"/>
                <w:szCs w:val="16"/>
                <w:b w:val="1"/>
                <w:bCs w:val="1"/>
                <w:color w:val="auto"/>
              </w:rPr>
              <w:t>All other</w:t>
            </w:r>
          </w:p>
        </w:tc>
        <w:tc>
          <w:tcPr>
            <w:tcW w:w="560" w:type="dxa"/>
            <w:vAlign w:val="bottom"/>
          </w:tcPr>
          <w:p>
            <w:pPr>
              <w:spacing w:after="0"/>
              <w:rPr>
                <w:sz w:val="16"/>
                <w:szCs w:val="16"/>
                <w:color w:val="auto"/>
              </w:rPr>
            </w:pPr>
          </w:p>
        </w:tc>
      </w:tr>
      <w:tr>
        <w:trPr>
          <w:trHeight w:val="188"/>
        </w:trPr>
        <w:tc>
          <w:tcPr>
            <w:tcW w:w="2980" w:type="dxa"/>
            <w:vAlign w:val="bottom"/>
          </w:tcPr>
          <w:p>
            <w:pPr>
              <w:spacing w:after="0"/>
              <w:rPr>
                <w:sz w:val="16"/>
                <w:szCs w:val="16"/>
                <w:color w:val="auto"/>
              </w:rPr>
            </w:pPr>
          </w:p>
        </w:tc>
        <w:tc>
          <w:tcPr>
            <w:tcW w:w="2420" w:type="dxa"/>
            <w:vAlign w:val="bottom"/>
          </w:tcPr>
          <w:p>
            <w:pPr>
              <w:jc w:val="right"/>
              <w:ind w:right="54"/>
              <w:spacing w:after="0"/>
              <w:rPr>
                <w:sz w:val="20"/>
                <w:szCs w:val="20"/>
                <w:color w:val="auto"/>
              </w:rPr>
            </w:pPr>
            <w:r>
              <w:rPr>
                <w:rFonts w:ascii="Arial" w:cs="Arial" w:eastAsia="Arial" w:hAnsi="Arial"/>
                <w:sz w:val="16"/>
                <w:szCs w:val="16"/>
                <w:b w:val="1"/>
                <w:bCs w:val="1"/>
                <w:color w:val="auto"/>
              </w:rPr>
              <w:t>cash</w:t>
            </w:r>
          </w:p>
        </w:tc>
        <w:tc>
          <w:tcPr>
            <w:tcW w:w="840" w:type="dxa"/>
            <w:vAlign w:val="bottom"/>
          </w:tcPr>
          <w:p>
            <w:pPr>
              <w:jc w:val="right"/>
              <w:ind w:right="73"/>
              <w:spacing w:after="0"/>
              <w:rPr>
                <w:sz w:val="20"/>
                <w:szCs w:val="20"/>
                <w:color w:val="auto"/>
              </w:rPr>
            </w:pPr>
            <w:r>
              <w:rPr>
                <w:rFonts w:ascii="Arial" w:cs="Arial" w:eastAsia="Arial" w:hAnsi="Arial"/>
                <w:sz w:val="16"/>
                <w:szCs w:val="16"/>
                <w:b w:val="1"/>
                <w:bCs w:val="1"/>
                <w:color w:val="auto"/>
              </w:rPr>
              <w:t>awards</w:t>
            </w:r>
          </w:p>
        </w:tc>
        <w:tc>
          <w:tcPr>
            <w:tcW w:w="1380" w:type="dxa"/>
            <w:vAlign w:val="bottom"/>
          </w:tcPr>
          <w:p>
            <w:pPr>
              <w:jc w:val="right"/>
              <w:ind w:right="53"/>
              <w:spacing w:after="0"/>
              <w:rPr>
                <w:sz w:val="20"/>
                <w:szCs w:val="20"/>
                <w:color w:val="auto"/>
              </w:rPr>
            </w:pPr>
            <w:r>
              <w:rPr>
                <w:rFonts w:ascii="Arial" w:cs="Arial" w:eastAsia="Arial" w:hAnsi="Arial"/>
                <w:sz w:val="16"/>
                <w:szCs w:val="16"/>
                <w:b w:val="1"/>
                <w:bCs w:val="1"/>
                <w:color w:val="auto"/>
              </w:rPr>
              <w:t>compensation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7"/>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42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2"/>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Carlo Rizzuto, Ph.D.</w:t>
            </w:r>
          </w:p>
        </w:tc>
        <w:tc>
          <w:tcPr>
            <w:tcW w:w="2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Toshikazu Ban</w:t>
            </w:r>
          </w:p>
        </w:tc>
        <w:tc>
          <w:tcPr>
            <w:tcW w:w="2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Cynthia Butitta(1)</w:t>
            </w:r>
          </w:p>
        </w:tc>
        <w:tc>
          <w:tcPr>
            <w:tcW w:w="2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Eli Casdin(1)</w:t>
            </w:r>
          </w:p>
        </w:tc>
        <w:tc>
          <w:tcPr>
            <w:tcW w:w="2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Juergen Eckhardt</w:t>
            </w:r>
          </w:p>
        </w:tc>
        <w:tc>
          <w:tcPr>
            <w:tcW w:w="2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Joseph Jimenez</w:t>
            </w:r>
          </w:p>
        </w:tc>
        <w:tc>
          <w:tcPr>
            <w:tcW w:w="2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25400</wp:posOffset>
            </wp:positionV>
            <wp:extent cx="51936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87"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3"/>
          <w:szCs w:val="13"/>
          <w:color w:val="auto"/>
        </w:rPr>
        <w:t>(1)</w:t>
        <w:tab/>
        <w:t>Cynthia Butitta and Eli Casdin joined our board of directors in February 2021.</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2021 Letter agreements with Ms. Butitta and Mr. Jimenez</w:t>
      </w:r>
    </w:p>
    <w:p>
      <w:pPr>
        <w:spacing w:after="0" w:line="155"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In February 2021, in connection with our Series C Financing, we entered into letter agreements with Ms. Butitta and Mr. Jimenez regarding their service as members of our board of directors and their compensation for that service. These letters each contemplate one-time stock option awards and annual cash retainers.</w:t>
      </w:r>
    </w:p>
    <w:p>
      <w:pPr>
        <w:spacing w:after="0" w:line="150"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The letter agreements provide for the issuance of stock options to purchase 375,465 and 683,601 shares of our common stock to Ms. Butitta and Mr. Jimenez, respectively. In each case, the exercise price of this options is equal to the fair market value per share of common stock on the grant date, as determined by our board of directors. Each 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129"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The letter agreements also provide that we will pay annual cash retainers of $25,000 and $50,000 to Ms. Butitta and Mr. Jimenez, respectively. These annual retainers will be paid in quarterly installments. Following the completion of this offering, these annual cash retainers will be superseded by the compensation payable under the Non-Employee Director Compensation Policy described below.</w:t>
      </w:r>
    </w:p>
    <w:p>
      <w:pPr>
        <w:spacing w:after="0" w:line="38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69" w:lineRule="exact"/>
        <w:rPr>
          <w:sz w:val="20"/>
          <w:szCs w:val="20"/>
          <w:color w:val="auto"/>
        </w:rPr>
      </w:pPr>
    </w:p>
    <w:p>
      <w:pPr>
        <w:ind w:left="1260" w:right="619"/>
        <w:spacing w:after="0" w:line="270" w:lineRule="auto"/>
        <w:rPr>
          <w:sz w:val="20"/>
          <w:szCs w:val="20"/>
          <w:color w:val="auto"/>
        </w:rPr>
      </w:pPr>
      <w:r>
        <w:rPr>
          <w:rFonts w:ascii="Arial" w:cs="Arial" w:eastAsia="Arial" w:hAnsi="Arial"/>
          <w:sz w:val="18"/>
          <w:szCs w:val="18"/>
          <w:color w:val="auto"/>
        </w:rPr>
        <w:t>Our board of directors intends to adopt a non-employee director compensation policy, to be effective immediately prior to closing of this offering. The below table depicts this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103505</wp:posOffset>
            </wp:positionV>
            <wp:extent cx="51936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Compensation Elements: Non-Employee Director Compensation Policy</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-118745</wp:posOffset>
            </wp:positionV>
            <wp:extent cx="5193665" cy="1536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93665" cy="153670"/>
                    </a:xfrm>
                    <a:prstGeom prst="rect">
                      <a:avLst/>
                    </a:prstGeom>
                    <a:noFill/>
                  </pic:spPr>
                </pic:pic>
              </a:graphicData>
            </a:graphic>
          </wp:anchor>
        </w:drawing>
      </w:r>
    </w:p>
    <w:p>
      <w:pPr>
        <w:spacing w:after="0" w:line="20"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Annual Retainer</w:t>
            </w:r>
          </w:p>
        </w:tc>
        <w:tc>
          <w:tcPr>
            <w:tcW w:w="28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Committee Chair Retainer</w:t>
            </w:r>
          </w:p>
        </w:tc>
        <w:tc>
          <w:tcPr>
            <w:tcW w:w="2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Audit</w:t>
            </w:r>
          </w:p>
        </w:tc>
        <w:tc>
          <w:tcPr>
            <w:tcW w:w="28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28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Nominating and Corporate Governance</w:t>
            </w:r>
          </w:p>
        </w:tc>
        <w:tc>
          <w:tcPr>
            <w:tcW w:w="28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Committee Member Retainer</w:t>
            </w:r>
          </w:p>
        </w:tc>
        <w:tc>
          <w:tcPr>
            <w:tcW w:w="2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Audit</w:t>
            </w:r>
          </w:p>
        </w:tc>
        <w:tc>
          <w:tcPr>
            <w:tcW w:w="28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28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Nominating and Corporate Governance</w:t>
            </w:r>
          </w:p>
        </w:tc>
        <w:tc>
          <w:tcPr>
            <w:tcW w:w="28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Initial Equity Grant</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Annual Equity Retainer</w:t>
            </w:r>
          </w:p>
        </w:tc>
        <w:tc>
          <w:tcPr>
            <w:tcW w:w="2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59"/>
          </w:cols>
          <w:pgMar w:left="600" w:top="132" w:right="1440" w:bottom="1440" w:gutter="0" w:footer="0" w:header="0"/>
        </w:sectPr>
      </w:pPr>
    </w:p>
    <w:p>
      <w:pPr>
        <w:spacing w:after="0" w:line="2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249555</wp:posOffset>
            </wp:positionV>
            <wp:extent cx="679958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Each annual cash retainer will be paid quarterly in arrears. Our board of directors may, in its discretion, permit a non-employee director to elect to receive any portion of the annual cash retainer in the form of fully vested shares of common stock in lieu of cash. All equity awards granted under the non-employee director compensation policy will be granted under, and subject to the terms of, the 2021 Plan.</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55"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In connection with this offering, our board of directors will adopt a written code of business conduct and ethics that will apply to all of our directors, officers, and employees. The code of business conduct and ethics will cover fundamental ethics and compliance-related principles and practices such as accurate accounting records and financial reporting, avoiding conflicts of interest, the protection and use of our property and information, and compliance with legal and regulatory requirements. Our code of business conduct and ethics will be posted on the investor relations section of our website at www.centurytx.com. We intend to disclose any amendments to our code of business conduct and ethics, or waivers of its requirements, on our website to the extent required by the applicable rules and exchange requirements.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Limitation on liability and indemnification matters</w:t>
      </w:r>
    </w:p>
    <w:p>
      <w:pPr>
        <w:spacing w:after="0" w:line="169"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Our second amended and restated certificate of incorporation and our amended and restated bylaws, which will each become effective immediately prior to the closing of this offering, will limit our directors’ liability and may indemnify our directors and officers to the fullest extent permitted under the DGCL. The DGCL provides that directors of a corporation will not be personally liable for monetary damages for breach of their fiduciary duties as directors, except for liability for any:</w:t>
      </w:r>
    </w:p>
    <w:p>
      <w:pPr>
        <w:spacing w:after="0" w:line="100" w:lineRule="exact"/>
        <w:rPr>
          <w:sz w:val="20"/>
          <w:szCs w:val="20"/>
          <w:color w:val="auto"/>
        </w:rPr>
      </w:pPr>
    </w:p>
    <w:p>
      <w:pPr>
        <w:ind w:left="1400" w:hanging="145"/>
        <w:spacing w:after="0"/>
        <w:tabs>
          <w:tab w:leader="none" w:pos="1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42" w:lineRule="exact"/>
        <w:rPr>
          <w:rFonts w:ascii="Arial" w:cs="Arial" w:eastAsia="Arial" w:hAnsi="Arial"/>
          <w:sz w:val="18"/>
          <w:szCs w:val="18"/>
          <w:color w:val="auto"/>
        </w:rPr>
      </w:pPr>
    </w:p>
    <w:p>
      <w:pPr>
        <w:ind w:left="1400" w:right="439" w:hanging="145"/>
        <w:spacing w:after="0" w:line="257" w:lineRule="auto"/>
        <w:tabs>
          <w:tab w:leader="none" w:pos="1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343" w:lineRule="exact"/>
        <w:rPr>
          <w:rFonts w:ascii="Arial" w:cs="Arial" w:eastAsia="Arial" w:hAnsi="Arial"/>
          <w:sz w:val="18"/>
          <w:szCs w:val="18"/>
          <w:color w:val="auto"/>
        </w:rPr>
      </w:pPr>
    </w:p>
    <w:p>
      <w:pPr>
        <w:ind w:left="1400" w:right="839" w:hanging="145"/>
        <w:spacing w:after="0" w:line="275" w:lineRule="auto"/>
        <w:tabs>
          <w:tab w:leader="none" w:pos="1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as provided in Section 174 of the DGCL; or</w:t>
      </w:r>
    </w:p>
    <w:p>
      <w:pPr>
        <w:spacing w:after="0" w:line="104" w:lineRule="exact"/>
        <w:rPr>
          <w:rFonts w:ascii="Arial" w:cs="Arial" w:eastAsia="Arial" w:hAnsi="Arial"/>
          <w:sz w:val="18"/>
          <w:szCs w:val="18"/>
          <w:color w:val="auto"/>
        </w:rPr>
      </w:pPr>
    </w:p>
    <w:p>
      <w:pPr>
        <w:ind w:left="1400" w:hanging="145"/>
        <w:spacing w:after="0"/>
        <w:tabs>
          <w:tab w:leader="none" w:pos="1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benefit.</w:t>
      </w:r>
    </w:p>
    <w:p>
      <w:pPr>
        <w:spacing w:after="0" w:line="156"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color w:val="auto"/>
        </w:rPr>
        <w:t>The DGCL and our amended and restated bylaws provide that we will, in certain situations, indemnify our directors and officers and may indemnify other employees and other agents, to the fullest extent permitted by law.</w:t>
      </w:r>
    </w:p>
    <w:p>
      <w:pPr>
        <w:spacing w:after="0" w:line="135"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We have entered or intend to enter into indemnification agreements with each of our directors and officers. These indemnification agreements may require us, among other things, to indemnify our directors and officers for some expenses, including attorneys’ fees, judgments, penalties, fines, and settlement amounts incurred by a director or officer in any action or proceeding arising out of his or her service as one of our directors or officers,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357"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provisions in our second amended and restated certificate of incorporation and amended and restated bylaws and these indemnification agreements are necessary to attract and retain qualified persons as directors and officers.</w:t>
      </w:r>
    </w:p>
    <w:p>
      <w:pPr>
        <w:spacing w:after="0" w:line="140" w:lineRule="exact"/>
        <w:rPr>
          <w:sz w:val="20"/>
          <w:szCs w:val="20"/>
          <w:color w:val="auto"/>
        </w:rPr>
      </w:pPr>
    </w:p>
    <w:p>
      <w:pPr>
        <w:ind w:left="1260" w:right="559"/>
        <w:spacing w:after="0" w:line="267" w:lineRule="auto"/>
        <w:rPr>
          <w:sz w:val="20"/>
          <w:szCs w:val="20"/>
          <w:color w:val="auto"/>
        </w:rPr>
      </w:pPr>
      <w:r>
        <w:rPr>
          <w:rFonts w:ascii="Arial" w:cs="Arial" w:eastAsia="Arial" w:hAnsi="Arial"/>
          <w:sz w:val="18"/>
          <w:szCs w:val="18"/>
          <w:color w:val="auto"/>
        </w:rPr>
        <w:t>The limitation of liability and indemnification provisions in our second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79"/>
        <w:spacing w:after="0" w:line="270" w:lineRule="auto"/>
        <w:rPr>
          <w:sz w:val="20"/>
          <w:szCs w:val="20"/>
          <w:color w:val="auto"/>
        </w:rPr>
      </w:pPr>
      <w:r>
        <w:rPr>
          <w:rFonts w:ascii="Arial" w:cs="Arial" w:eastAsia="Arial" w:hAnsi="Arial"/>
          <w:sz w:val="18"/>
          <w:szCs w:val="18"/>
          <w:color w:val="auto"/>
        </w:rPr>
        <w:t>stockholders. Further, a stockholder’s investment may be adversely affected to the extent that we pay the costs of settlement and damage awards against directors and officers as required by these indemnification provisions.</w:t>
      </w:r>
    </w:p>
    <w:p>
      <w:pPr>
        <w:spacing w:after="0" w:line="122" w:lineRule="exact"/>
        <w:rPr>
          <w:sz w:val="20"/>
          <w:szCs w:val="20"/>
          <w:color w:val="auto"/>
        </w:rPr>
      </w:pPr>
    </w:p>
    <w:p>
      <w:pPr>
        <w:jc w:val="both"/>
        <w:ind w:left="1260" w:right="599"/>
        <w:spacing w:after="0" w:line="270"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35" w:lineRule="exact"/>
        <w:rPr>
          <w:sz w:val="20"/>
          <w:szCs w:val="20"/>
          <w:color w:val="auto"/>
        </w:rPr>
      </w:pPr>
    </w:p>
    <w:p>
      <w:pPr>
        <w:ind w:left="1260" w:right="699"/>
        <w:spacing w:after="0" w:line="270"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Executive compensation</w:t>
      </w:r>
    </w:p>
    <w:p>
      <w:pPr>
        <w:spacing w:after="0" w:line="163" w:lineRule="exact"/>
        <w:rPr>
          <w:sz w:val="20"/>
          <w:szCs w:val="20"/>
          <w:color w:val="auto"/>
        </w:rPr>
      </w:pPr>
    </w:p>
    <w:p>
      <w:pPr>
        <w:ind w:left="1260" w:right="539"/>
        <w:spacing w:after="0" w:line="291" w:lineRule="auto"/>
        <w:rPr>
          <w:sz w:val="20"/>
          <w:szCs w:val="20"/>
          <w:color w:val="auto"/>
        </w:rPr>
      </w:pPr>
      <w:r>
        <w:rPr>
          <w:rFonts w:ascii="Arial" w:cs="Arial" w:eastAsia="Arial" w:hAnsi="Arial"/>
          <w:sz w:val="18"/>
          <w:szCs w:val="18"/>
          <w:color w:val="auto"/>
        </w:rPr>
        <w:t>Our named executive officers, or NEOs, for the year ended December 31, 2020, which consist of our principal executive officer and our two most highly compensated executive officers, are:</w:t>
      </w:r>
    </w:p>
    <w:p>
      <w:pPr>
        <w:spacing w:after="0" w:line="103" w:lineRule="exact"/>
        <w:rPr>
          <w:sz w:val="20"/>
          <w:szCs w:val="20"/>
          <w:color w:val="auto"/>
        </w:rPr>
      </w:pPr>
    </w:p>
    <w:p>
      <w:pPr>
        <w:ind w:left="1400" w:hanging="145"/>
        <w:spacing w:after="0"/>
        <w:tabs>
          <w:tab w:leader="none" w:pos="1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Dr. Osvaldo Flores, our President and Chief Executive Officer;</w:t>
      </w:r>
    </w:p>
    <w:p>
      <w:pPr>
        <w:spacing w:after="0" w:line="169" w:lineRule="exact"/>
        <w:rPr>
          <w:rFonts w:ascii="Arial" w:cs="Arial" w:eastAsia="Arial" w:hAnsi="Arial"/>
          <w:sz w:val="18"/>
          <w:szCs w:val="18"/>
          <w:color w:val="auto"/>
        </w:rPr>
      </w:pPr>
    </w:p>
    <w:p>
      <w:pPr>
        <w:ind w:left="1400" w:hanging="145"/>
        <w:spacing w:after="0"/>
        <w:tabs>
          <w:tab w:leader="none" w:pos="1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Dr. Hyam Levitsky, our President of Research and Development; and</w:t>
      </w:r>
    </w:p>
    <w:p>
      <w:pPr>
        <w:spacing w:after="0" w:line="156" w:lineRule="exact"/>
        <w:rPr>
          <w:rFonts w:ascii="Arial" w:cs="Arial" w:eastAsia="Arial" w:hAnsi="Arial"/>
          <w:sz w:val="18"/>
          <w:szCs w:val="18"/>
          <w:color w:val="auto"/>
        </w:rPr>
      </w:pPr>
    </w:p>
    <w:p>
      <w:pPr>
        <w:ind w:left="1400" w:hanging="145"/>
        <w:spacing w:after="0"/>
        <w:tabs>
          <w:tab w:leader="none" w:pos="1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Dr. Michael Diem, our Chief Business Officer.</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Summary compensation table</w:t>
      </w:r>
    </w:p>
    <w:p>
      <w:pPr>
        <w:spacing w:after="0" w:line="169" w:lineRule="exact"/>
        <w:rPr>
          <w:sz w:val="20"/>
          <w:szCs w:val="20"/>
          <w:color w:val="auto"/>
        </w:rPr>
      </w:pPr>
    </w:p>
    <w:p>
      <w:pPr>
        <w:ind w:left="1260" w:right="519"/>
        <w:spacing w:after="0" w:line="291" w:lineRule="auto"/>
        <w:rPr>
          <w:sz w:val="20"/>
          <w:szCs w:val="20"/>
          <w:color w:val="auto"/>
        </w:rPr>
      </w:pPr>
      <w:r>
        <w:rPr>
          <w:rFonts w:ascii="Arial" w:cs="Arial" w:eastAsia="Arial" w:hAnsi="Arial"/>
          <w:sz w:val="18"/>
          <w:szCs w:val="18"/>
          <w:color w:val="auto"/>
        </w:rPr>
        <w:t>The following table provides information regarding the compensation earned by our NEOs for the year ended December 31, 2020.</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2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Non-equity</w:t>
            </w:r>
          </w:p>
        </w:tc>
        <w:tc>
          <w:tcPr>
            <w:tcW w:w="10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188"/>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1440" w:type="dxa"/>
            <w:vAlign w:val="bottom"/>
          </w:tcPr>
          <w:p>
            <w:pPr>
              <w:jc w:val="right"/>
              <w:ind w:right="215"/>
              <w:spacing w:after="0"/>
              <w:rPr>
                <w:sz w:val="20"/>
                <w:szCs w:val="20"/>
                <w:color w:val="auto"/>
              </w:rPr>
            </w:pPr>
            <w:r>
              <w:rPr>
                <w:rFonts w:ascii="Arial" w:cs="Arial" w:eastAsia="Arial" w:hAnsi="Arial"/>
                <w:sz w:val="16"/>
                <w:szCs w:val="16"/>
                <w:b w:val="1"/>
                <w:bCs w:val="1"/>
                <w:color w:val="auto"/>
              </w:rPr>
              <w:t>incentive plan</w:t>
            </w:r>
          </w:p>
        </w:tc>
        <w:tc>
          <w:tcPr>
            <w:tcW w:w="1020" w:type="dxa"/>
            <w:vAlign w:val="bottom"/>
          </w:tcPr>
          <w:p>
            <w:pPr>
              <w:jc w:val="right"/>
              <w:ind w:right="14"/>
              <w:spacing w:after="0"/>
              <w:rPr>
                <w:sz w:val="20"/>
                <w:szCs w:val="20"/>
                <w:color w:val="auto"/>
              </w:rPr>
            </w:pPr>
            <w:r>
              <w:rPr>
                <w:rFonts w:ascii="Arial" w:cs="Arial" w:eastAsia="Arial" w:hAnsi="Arial"/>
                <w:sz w:val="16"/>
                <w:szCs w:val="16"/>
                <w:b w:val="1"/>
                <w:bCs w:val="1"/>
                <w:color w:val="auto"/>
              </w:rPr>
              <w:t>All other</w:t>
            </w:r>
          </w:p>
        </w:tc>
        <w:tc>
          <w:tcPr>
            <w:tcW w:w="820" w:type="dxa"/>
            <w:vAlign w:val="bottom"/>
          </w:tcPr>
          <w:p>
            <w:pPr>
              <w:spacing w:after="0"/>
              <w:rPr>
                <w:sz w:val="16"/>
                <w:szCs w:val="16"/>
                <w:color w:val="auto"/>
              </w:rPr>
            </w:pPr>
          </w:p>
        </w:tc>
      </w:tr>
      <w:tr>
        <w:trPr>
          <w:trHeight w:val="188"/>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Salary</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Bonus</w:t>
            </w:r>
          </w:p>
        </w:tc>
        <w:tc>
          <w:tcPr>
            <w:tcW w:w="3140" w:type="dxa"/>
            <w:vAlign w:val="bottom"/>
            <w:gridSpan w:val="3"/>
          </w:tcPr>
          <w:p>
            <w:pPr>
              <w:jc w:val="right"/>
              <w:ind w:right="14"/>
              <w:spacing w:after="0"/>
              <w:rPr>
                <w:sz w:val="20"/>
                <w:szCs w:val="20"/>
                <w:color w:val="auto"/>
              </w:rPr>
            </w:pPr>
            <w:r>
              <w:rPr>
                <w:rFonts w:ascii="Arial" w:cs="Arial" w:eastAsia="Arial" w:hAnsi="Arial"/>
                <w:sz w:val="16"/>
                <w:szCs w:val="16"/>
                <w:b w:val="1"/>
                <w:bCs w:val="1"/>
                <w:color w:val="auto"/>
              </w:rPr>
              <w:t>awards compensation compensation</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7"/>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 and principal position Year</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2"/>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Osvaldo Flores, Ph.D.</w:t>
            </w:r>
          </w:p>
        </w:tc>
        <w:tc>
          <w:tcPr>
            <w:tcW w:w="14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2020 461,250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741,750</w:t>
            </w:r>
          </w:p>
        </w:tc>
        <w:tc>
          <w:tcPr>
            <w:tcW w:w="14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185,400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1,390,650</w:t>
            </w:r>
          </w:p>
        </w:tc>
      </w:tr>
      <w:tr>
        <w:trPr>
          <w:trHeight w:val="196"/>
        </w:trPr>
        <w:tc>
          <w:tcPr>
            <w:tcW w:w="2060" w:type="dxa"/>
            <w:vAlign w:val="bottom"/>
          </w:tcPr>
          <w:p>
            <w:pPr>
              <w:ind w:left="180"/>
              <w:spacing w:after="0" w:line="196" w:lineRule="exact"/>
              <w:rPr>
                <w:sz w:val="20"/>
                <w:szCs w:val="20"/>
                <w:color w:val="auto"/>
              </w:rPr>
            </w:pPr>
            <w:r>
              <w:rPr>
                <w:rFonts w:ascii="Arial" w:cs="Arial" w:eastAsia="Arial" w:hAnsi="Arial"/>
                <w:sz w:val="18"/>
                <w:szCs w:val="18"/>
                <w:i w:val="1"/>
                <w:iCs w:val="1"/>
                <w:color w:val="auto"/>
              </w:rPr>
              <w:t>President and Chief</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2060" w:type="dxa"/>
            <w:vAlign w:val="bottom"/>
          </w:tcPr>
          <w:p>
            <w:pPr>
              <w:ind w:left="180"/>
              <w:spacing w:after="0"/>
              <w:rPr>
                <w:sz w:val="20"/>
                <w:szCs w:val="20"/>
                <w:color w:val="auto"/>
              </w:rPr>
            </w:pPr>
            <w:r>
              <w:rPr>
                <w:rFonts w:ascii="Arial" w:cs="Arial" w:eastAsia="Arial" w:hAnsi="Arial"/>
                <w:sz w:val="18"/>
                <w:szCs w:val="18"/>
                <w:i w:val="1"/>
                <w:iCs w:val="1"/>
                <w:color w:val="auto"/>
              </w:rPr>
              <w:t>Executive Officer</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0"/>
        </w:trPr>
        <w:tc>
          <w:tcPr>
            <w:tcW w:w="206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6"/>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Hyam Levitsky</w:t>
            </w:r>
          </w:p>
        </w:tc>
        <w:tc>
          <w:tcPr>
            <w:tcW w:w="14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2020 384,375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115,875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502,125</w:t>
            </w:r>
          </w:p>
        </w:tc>
      </w:tr>
      <w:tr>
        <w:trPr>
          <w:trHeight w:val="234"/>
        </w:trPr>
        <w:tc>
          <w:tcPr>
            <w:tcW w:w="2060" w:type="dxa"/>
            <w:vAlign w:val="bottom"/>
          </w:tcPr>
          <w:p>
            <w:pPr>
              <w:ind w:left="180"/>
              <w:spacing w:after="0"/>
              <w:rPr>
                <w:sz w:val="20"/>
                <w:szCs w:val="20"/>
                <w:color w:val="auto"/>
              </w:rPr>
            </w:pPr>
            <w:r>
              <w:rPr>
                <w:rFonts w:ascii="Arial" w:cs="Arial" w:eastAsia="Arial" w:hAnsi="Arial"/>
                <w:sz w:val="18"/>
                <w:szCs w:val="18"/>
                <w:i w:val="1"/>
                <w:iCs w:val="1"/>
                <w:color w:val="auto"/>
              </w:rPr>
              <w:t>President of R&amp;D</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
        </w:trPr>
        <w:tc>
          <w:tcPr>
            <w:tcW w:w="206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6"/>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Michael Diem</w:t>
            </w:r>
          </w:p>
        </w:tc>
        <w:tc>
          <w:tcPr>
            <w:tcW w:w="2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2020 123,958 125,000(4)644,258</w:t>
            </w:r>
          </w:p>
        </w:tc>
        <w:tc>
          <w:tcPr>
            <w:tcW w:w="14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49,583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942,799</w:t>
            </w:r>
          </w:p>
        </w:tc>
      </w:tr>
      <w:tr>
        <w:trPr>
          <w:trHeight w:val="196"/>
        </w:trPr>
        <w:tc>
          <w:tcPr>
            <w:tcW w:w="2060" w:type="dxa"/>
            <w:vAlign w:val="bottom"/>
          </w:tcPr>
          <w:p>
            <w:pPr>
              <w:ind w:left="180"/>
              <w:spacing w:after="0" w:line="196" w:lineRule="exact"/>
              <w:rPr>
                <w:sz w:val="20"/>
                <w:szCs w:val="20"/>
                <w:color w:val="auto"/>
              </w:rPr>
            </w:pPr>
            <w:r>
              <w:rPr>
                <w:rFonts w:ascii="Arial" w:cs="Arial" w:eastAsia="Arial" w:hAnsi="Arial"/>
                <w:sz w:val="18"/>
                <w:szCs w:val="18"/>
                <w:i w:val="1"/>
                <w:iCs w:val="1"/>
                <w:color w:val="auto"/>
              </w:rPr>
              <w:t>Chief Business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2060" w:type="dxa"/>
            <w:vAlign w:val="bottom"/>
          </w:tcPr>
          <w:p>
            <w:pPr>
              <w:ind w:left="180"/>
              <w:spacing w:after="0"/>
              <w:rPr>
                <w:sz w:val="20"/>
                <w:szCs w:val="20"/>
                <w:color w:val="auto"/>
              </w:rPr>
            </w:pPr>
            <w:r>
              <w:rPr>
                <w:rFonts w:ascii="Arial" w:cs="Arial" w:eastAsia="Arial" w:hAnsi="Arial"/>
                <w:sz w:val="18"/>
                <w:szCs w:val="18"/>
                <w:i w:val="1"/>
                <w:iCs w:val="1"/>
                <w:color w:val="auto"/>
              </w:rPr>
              <w:t>Officer(3)</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42545</wp:posOffset>
            </wp:positionV>
            <wp:extent cx="51936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27" w:lineRule="exact"/>
        <w:rPr>
          <w:sz w:val="20"/>
          <w:szCs w:val="20"/>
          <w:color w:val="auto"/>
        </w:rPr>
      </w:pPr>
    </w:p>
    <w:p>
      <w:pPr>
        <w:ind w:left="1260" w:right="499" w:hanging="5"/>
        <w:spacing w:after="0" w:line="263" w:lineRule="auto"/>
        <w:tabs>
          <w:tab w:leader="none" w:pos="1557"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stock options awarded to the NEO in fiscal year 2020. These values have been determined under the principles used to calculate the value of equity awards for purposes of our financial statements. For a discussion of the assumptions and methodologies used to calculate the amounts referred to above, please see the discussion of option awards contained in Note 14, Stock Based Compensation, to our financial statements included elsewhere in this prospectus. The amounts reported in this column reflect the accounting cost for these stock options and do not correspond to the actual economic value that may be received by the NEO upon exercise of the stock options.</w:t>
      </w:r>
    </w:p>
    <w:p>
      <w:pPr>
        <w:spacing w:after="0" w:line="52" w:lineRule="exact"/>
        <w:rPr>
          <w:rFonts w:ascii="Arial" w:cs="Arial" w:eastAsia="Arial" w:hAnsi="Arial"/>
          <w:sz w:val="13"/>
          <w:szCs w:val="13"/>
          <w:color w:val="auto"/>
        </w:rPr>
      </w:pPr>
    </w:p>
    <w:p>
      <w:pPr>
        <w:ind w:left="1540" w:hanging="285"/>
        <w:spacing w:after="0"/>
        <w:tabs>
          <w:tab w:leader="none" w:pos="15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Amounts shown are cash incentive payments earned in respect of 2020 performance and paid in the first quarter of 2021.</w:t>
      </w:r>
    </w:p>
    <w:p>
      <w:pPr>
        <w:spacing w:after="0" w:line="92" w:lineRule="exact"/>
        <w:rPr>
          <w:rFonts w:ascii="Arial" w:cs="Arial" w:eastAsia="Arial" w:hAnsi="Arial"/>
          <w:sz w:val="13"/>
          <w:szCs w:val="13"/>
          <w:color w:val="auto"/>
        </w:rPr>
      </w:pPr>
    </w:p>
    <w:p>
      <w:pPr>
        <w:ind w:left="1560" w:hanging="305"/>
        <w:spacing w:after="0"/>
        <w:tabs>
          <w:tab w:leader="none" w:pos="15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Dr. Diem commenced employment with us in September 2020.</w:t>
      </w:r>
    </w:p>
    <w:p>
      <w:pPr>
        <w:spacing w:after="0" w:line="79" w:lineRule="exact"/>
        <w:rPr>
          <w:rFonts w:ascii="Arial" w:cs="Arial" w:eastAsia="Arial" w:hAnsi="Arial"/>
          <w:sz w:val="13"/>
          <w:szCs w:val="13"/>
          <w:color w:val="auto"/>
        </w:rPr>
      </w:pPr>
    </w:p>
    <w:p>
      <w:pPr>
        <w:ind w:left="1540" w:hanging="285"/>
        <w:spacing w:after="0"/>
        <w:tabs>
          <w:tab w:leader="none" w:pos="15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Amount shown is a sign-on bonus paid to Dr. Diem upon his hire.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Narrative disclosure to the summary compensation table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78" w:lineRule="exact"/>
        <w:rPr>
          <w:sz w:val="20"/>
          <w:szCs w:val="20"/>
          <w:color w:val="auto"/>
        </w:rPr>
      </w:pPr>
    </w:p>
    <w:p>
      <w:pPr>
        <w:ind w:left="1260" w:right="539"/>
        <w:spacing w:after="0" w:line="270" w:lineRule="auto"/>
        <w:rPr>
          <w:sz w:val="20"/>
          <w:szCs w:val="20"/>
          <w:color w:val="auto"/>
        </w:rPr>
      </w:pPr>
      <w:r>
        <w:rPr>
          <w:rFonts w:ascii="Arial" w:cs="Arial" w:eastAsia="Arial" w:hAnsi="Arial"/>
          <w:sz w:val="18"/>
          <w:szCs w:val="18"/>
          <w:color w:val="auto"/>
        </w:rPr>
        <w:t>The compensation of our NEOs generally consists of base salary, annual cash bonus opportunities, long term incentive compensation in the form of equity awards, and other benefits, as described below.</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Base salary</w:t>
      </w:r>
    </w:p>
    <w:p>
      <w:pPr>
        <w:spacing w:after="0" w:line="161" w:lineRule="exact"/>
        <w:rPr>
          <w:sz w:val="20"/>
          <w:szCs w:val="20"/>
          <w:color w:val="auto"/>
        </w:rPr>
      </w:pPr>
    </w:p>
    <w:p>
      <w:pPr>
        <w:ind w:left="1260" w:right="479"/>
        <w:spacing w:after="0" w:line="283" w:lineRule="auto"/>
        <w:rPr>
          <w:sz w:val="20"/>
          <w:szCs w:val="20"/>
          <w:color w:val="auto"/>
        </w:rPr>
      </w:pPr>
      <w:r>
        <w:rPr>
          <w:rFonts w:ascii="Arial" w:cs="Arial" w:eastAsia="Arial" w:hAnsi="Arial"/>
          <w:sz w:val="18"/>
          <w:szCs w:val="18"/>
          <w:color w:val="auto"/>
        </w:rPr>
        <w:t>The base salary payable to each NEO is intended to provide a fixed component of compensation reflecting the executive’s skill set, experience, role, responsibilities, and contributions. Each NEO’s initial base salary was specified in his offer letter or employment agreement, as described below, and is reviewed (and, if applicable, adjusted) from time to time by our board of directors or compensation committee.</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NEOs’ current annual base salary rates are: $477,405 for Dr. Flores, $397,838 for</w:t>
      </w:r>
    </w:p>
    <w:p>
      <w:pPr>
        <w:spacing w:after="0" w:line="35" w:lineRule="exact"/>
        <w:rPr>
          <w:sz w:val="20"/>
          <w:szCs w:val="20"/>
          <w:color w:val="auto"/>
        </w:rPr>
      </w:pPr>
    </w:p>
    <w:p>
      <w:pPr>
        <w:ind w:left="1260" w:right="639"/>
        <w:spacing w:after="0" w:line="291" w:lineRule="auto"/>
        <w:rPr>
          <w:sz w:val="20"/>
          <w:szCs w:val="20"/>
          <w:color w:val="auto"/>
        </w:rPr>
      </w:pPr>
      <w:r>
        <w:rPr>
          <w:rFonts w:ascii="Arial" w:cs="Arial" w:eastAsia="Arial" w:hAnsi="Arial"/>
          <w:sz w:val="18"/>
          <w:szCs w:val="18"/>
          <w:color w:val="auto"/>
        </w:rPr>
        <w:t>Dr. Levitsky, and $437,750 for Dr. Diem. These amounts reflect 3% increases to the executives’ annual base salary rates in effect at the end of 2020.</w:t>
      </w:r>
    </w:p>
    <w:p>
      <w:pPr>
        <w:sectPr>
          <w:pgSz w:w="11900" w:h="16838" w:orient="portrait"/>
          <w:cols w:equalWidth="0" w:num="1">
            <w:col w:w="9859"/>
          </w:cols>
          <w:pgMar w:left="600" w:top="132" w:right="1440" w:bottom="1440" w:gutter="0" w:footer="0" w:header="0"/>
        </w:sect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Annual non-equity incentives</w:t>
      </w:r>
    </w:p>
    <w:p>
      <w:pPr>
        <w:spacing w:after="0" w:line="161"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Each of our NEOs’ annual non-equity incentive opportunity is expressed as a percentage of base salary that can be earned based on the achievement of predetermined corporate and individual performance objectives. The 2020 target opportunities for Dr. Flores, Dr. Levitsky, and Dr. Diem were 40%, 30%, and 40% of their respective base salaries.</w:t>
      </w:r>
    </w:p>
    <w:p>
      <w:pPr>
        <w:spacing w:after="0" w:line="138" w:lineRule="exact"/>
        <w:rPr>
          <w:sz w:val="20"/>
          <w:szCs w:val="20"/>
          <w:color w:val="auto"/>
        </w:rPr>
      </w:pPr>
    </w:p>
    <w:p>
      <w:pPr>
        <w:ind w:left="1260" w:right="639"/>
        <w:spacing w:after="0" w:line="267" w:lineRule="auto"/>
        <w:rPr>
          <w:sz w:val="20"/>
          <w:szCs w:val="20"/>
          <w:color w:val="auto"/>
        </w:rPr>
      </w:pPr>
      <w:r>
        <w:rPr>
          <w:rFonts w:ascii="Arial" w:cs="Arial" w:eastAsia="Arial" w:hAnsi="Arial"/>
          <w:sz w:val="18"/>
          <w:szCs w:val="18"/>
          <w:color w:val="auto"/>
        </w:rPr>
        <w:t>The goals applicable to the NEOs’ 2020 annual non-equity incentives related to certain clinical milestones, pipeline, platform and manufacturing development, operations, financing, corporate development, human resources, scientific leadership, and intellectual property. Following a review of 2020 performance, our compensation committee approved 2020 non-equity incentive payments to Dr. Flores, Dr. Levitsky and Dr. Diem equal to 100% of their respective target amounts (pro-rated in the case of Dr. Diem, to account for his mid-year hire).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 term equity incentives</w:t>
      </w:r>
    </w:p>
    <w:p>
      <w:pPr>
        <w:spacing w:after="0" w:line="174" w:lineRule="exact"/>
        <w:rPr>
          <w:sz w:val="20"/>
          <w:szCs w:val="20"/>
          <w:color w:val="auto"/>
        </w:rPr>
      </w:pPr>
    </w:p>
    <w:p>
      <w:pPr>
        <w:ind w:left="1260" w:right="759"/>
        <w:spacing w:after="0" w:line="267" w:lineRule="auto"/>
        <w:rPr>
          <w:sz w:val="20"/>
          <w:szCs w:val="20"/>
          <w:color w:val="auto"/>
        </w:rPr>
      </w:pPr>
      <w:r>
        <w:rPr>
          <w:rFonts w:ascii="Arial" w:cs="Arial" w:eastAsia="Arial" w:hAnsi="Arial"/>
          <w:sz w:val="18"/>
          <w:szCs w:val="18"/>
          <w:color w:val="auto"/>
        </w:rPr>
        <w:t>Our equity-based incentive awards are designed to align our interests and the interests of our stockholders with those of our employees and consultants, including our NEOs. Our board of directors or compensation committee approves equity grants. Dr. Flores and Dr. Diem each received options to purchase shares of our common stock in 2020. See “—Outstanding Equity Awards at Fiscal Year-End” for more information regarding equity awards made in 2020 to our NEOs.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Employment arrangements with our NEOs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Osvaldo Flores, Ph.D.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August 2018, we entered into an employment offer letter with Dr. Flores. The offer letter</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provided for Dr. Flores’ at-will employment and set forth his initial annual base salary of $450,000</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his initial target annual bonus opportunity at 30% of base salary. The offer letter also</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provided for the issuance of a restricted stock award to Dr. Flores, or the 2018 Restricted Shares,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for an opportunity for Dr. Flores to receive certain stock options in the future, upon</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achievement of certain performance conditions. The 2018 Restricted Shares were granted to</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Dr. Flores in September 2018. In lieu of the stock options discussed in the offer letter, we granted</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options to Dr. Flores in October 2020. See “—Outstanding Equity Awards at Fiscal Year-</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End” for additional details regarding the 2018 Restricted Shares and the 2020 stock options.</w:t>
      </w:r>
    </w:p>
    <w:p>
      <w:pPr>
        <w:spacing w:after="0" w:line="170"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ind w:left="1260" w:right="559" w:hanging="5"/>
        <w:spacing w:after="0" w:line="266" w:lineRule="auto"/>
        <w:tabs>
          <w:tab w:leader="none" w:pos="15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payments in (i)-(iii) above, Dr. Flores’ salary and COBRA continuation period will be extended from six (6) months to twelve (12) months and the 2018 Restricted Shares (to the extent then unvested) and shall become fully vested as of the date of termination.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Hyam Levitsky, M.D.</w:t>
      </w:r>
    </w:p>
    <w:p>
      <w:pPr>
        <w:spacing w:after="0" w:line="178" w:lineRule="exact"/>
        <w:rPr>
          <w:sz w:val="20"/>
          <w:szCs w:val="20"/>
          <w:color w:val="auto"/>
        </w:rPr>
      </w:pPr>
    </w:p>
    <w:p>
      <w:pPr>
        <w:ind w:left="1260" w:right="919"/>
        <w:spacing w:after="0" w:line="265" w:lineRule="auto"/>
        <w:rPr>
          <w:sz w:val="20"/>
          <w:szCs w:val="20"/>
          <w:color w:val="auto"/>
        </w:rPr>
      </w:pPr>
      <w:r>
        <w:rPr>
          <w:rFonts w:ascii="Arial" w:cs="Arial" w:eastAsia="Arial" w:hAnsi="Arial"/>
          <w:sz w:val="18"/>
          <w:szCs w:val="18"/>
          <w:color w:val="auto"/>
        </w:rPr>
        <w:t>In March 2019, we entered into an employment agreement with Dr. Levitsky. The agreement provided for Dr. Levitsky’s at-will employment and set forth his initial annual base salary of:</w:t>
      </w:r>
    </w:p>
    <w:p>
      <w:pPr>
        <w:ind w:left="1260" w:right="499" w:hanging="5"/>
        <w:spacing w:after="0" w:line="267" w:lineRule="auto"/>
        <w:tabs>
          <w:tab w:leader="none" w:pos="1487" w:val="left"/>
        </w:tabs>
        <w:numPr>
          <w:ilvl w:val="0"/>
          <w:numId w:val="90"/>
        </w:numPr>
        <w:rPr>
          <w:rFonts w:ascii="Arial" w:cs="Arial" w:eastAsia="Arial" w:hAnsi="Arial"/>
          <w:sz w:val="18"/>
          <w:szCs w:val="18"/>
          <w:color w:val="auto"/>
        </w:rPr>
      </w:pPr>
      <w:r>
        <w:rPr>
          <w:rFonts w:ascii="Arial" w:cs="Arial" w:eastAsia="Arial" w:hAnsi="Arial"/>
          <w:sz w:val="18"/>
          <w:szCs w:val="18"/>
          <w:color w:val="auto"/>
        </w:rPr>
        <w:t>$500,000 if working at full-time capacity, or (ii) $375,000 if working at a 75% schedule, which requires an average minimum of 120 hours per month. The agreement also provides for an initial target annual bonus opportunity of up to 30% of base salary, a sign-on bonus of $100,000, equity incentive awards in the form of stock options to purchase shares of our common stock and eligibility to participate in our employee benefit plans. In lieu of the stock options discussed in the employment agreement, the Company sold to Dr. Levitsky an equivalent number of restricted shares in</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right="1800"/>
        <w:spacing w:after="0" w:line="270" w:lineRule="auto"/>
        <w:rPr>
          <w:sz w:val="20"/>
          <w:szCs w:val="20"/>
          <w:color w:val="auto"/>
        </w:rPr>
      </w:pPr>
      <w:r>
        <w:rPr>
          <w:rFonts w:ascii="Arial" w:cs="Arial" w:eastAsia="Arial" w:hAnsi="Arial"/>
          <w:sz w:val="18"/>
          <w:szCs w:val="18"/>
          <w:color w:val="auto"/>
        </w:rPr>
        <w:t>July 2019 at a price equal to what the option exercise price otherwise would have been. See “— Outstanding Equity Awards at Fiscal Year-End” for additional details regarding this restricted stock award.</w:t>
      </w:r>
    </w:p>
    <w:p>
      <w:pPr>
        <w:spacing w:after="0" w:line="122" w:lineRule="exact"/>
        <w:rPr>
          <w:sz w:val="20"/>
          <w:szCs w:val="20"/>
          <w:color w:val="auto"/>
        </w:rPr>
      </w:pPr>
    </w:p>
    <w:p>
      <w:pPr>
        <w:ind w:left="1260" w:right="1780"/>
        <w:spacing w:after="0" w:line="270" w:lineRule="auto"/>
        <w:rPr>
          <w:sz w:val="20"/>
          <w:szCs w:val="20"/>
          <w:color w:val="auto"/>
        </w:rPr>
      </w:pPr>
      <w:r>
        <w:rPr>
          <w:rFonts w:ascii="Arial" w:cs="Arial" w:eastAsia="Arial" w:hAnsi="Arial"/>
          <w:sz w:val="18"/>
          <w:szCs w:val="18"/>
          <w:color w:val="auto"/>
        </w:rPr>
        <w:t>Dr. Levitsky’s employment agreement provides for a severance benefit of three (3) months of salary continuation following a termination of his employment by us without cause, subject to his execution of a general release of claims.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Michael Diem, M.D.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August 2020, we entered into an employment offer letter with Dr. Diem. The offer letter</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provided for Dr. Diem’s at-will employment and set forth his initial annual base salary of</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$425,000, his initial target annual bonus opportunity of up to 40% of base salary (pro-rated for</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any partial years of employment), and a sign-on bonus of $125,000; however, if terminated for</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cause or if Dr. Diem resigns within 12 months of his start date, the sign-on bonus must be repaid</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within 30 days of his termination date. The offer letter also provided for the issuance of a stock</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option to purchase shares of our common stock and his eligibility to participate in our employee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benefit plans. See “—Outstanding Equity Awards at Fiscal Year-End” for additional details</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regarding the stock option granted to Dr. Diem in connection with his hire.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Proprietary information and assignment agreements</w:t>
      </w:r>
    </w:p>
    <w:p>
      <w:pPr>
        <w:spacing w:after="0" w:line="178" w:lineRule="exact"/>
        <w:rPr>
          <w:sz w:val="20"/>
          <w:szCs w:val="20"/>
          <w:color w:val="auto"/>
        </w:rPr>
      </w:pPr>
    </w:p>
    <w:p>
      <w:pPr>
        <w:ind w:left="1260" w:right="1820"/>
        <w:spacing w:after="0" w:line="267" w:lineRule="auto"/>
        <w:rPr>
          <w:sz w:val="20"/>
          <w:szCs w:val="20"/>
          <w:color w:val="auto"/>
        </w:rPr>
      </w:pPr>
      <w:r>
        <w:rPr>
          <w:rFonts w:ascii="Arial" w:cs="Arial" w:eastAsia="Arial" w:hAnsi="Arial"/>
          <w:sz w:val="18"/>
          <w:szCs w:val="18"/>
          <w:color w:val="auto"/>
        </w:rPr>
        <w:t>Each of Dr. Flores, Dr. Levitsky and Dr. Diem also entered into a Proprietary Information and Assignment Agreement with us that includes customary provisions regarding confidentiality and ownership of intellectual property, and prohibits the solicitation of our employees for a period of one (1) year following any cessation of employment. The payment of any severance benefits under each executive’s employment agreement is conditioned on continued compliance with his or her Proprietary Information and Assignment Agreement.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provides information regarding the outstanding equity awards held by our</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NEOs as of December 31, 2020. All awards were granted pursuant to the 2018 Plan. See “—</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Equity Incentive Plans—2018 Plan”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142240</wp:posOffset>
            </wp:positionV>
            <wp:extent cx="670941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09410" cy="17145"/>
                    </a:xfrm>
                    <a:prstGeom prst="rect">
                      <a:avLst/>
                    </a:prstGeom>
                    <a:noFill/>
                  </pic:spPr>
                </pic:pic>
              </a:graphicData>
            </a:graphic>
          </wp:anchor>
        </w:drawing>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Option awards</w:t>
            </w: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Stock awards</w:t>
            </w:r>
          </w:p>
        </w:tc>
        <w:tc>
          <w:tcPr>
            <w:tcW w:w="1240" w:type="dxa"/>
            <w:vAlign w:val="bottom"/>
            <w:tcBorders>
              <w:bottom w:val="single" w:sz="8" w:color="auto"/>
            </w:tcBorders>
          </w:tcPr>
          <w:p>
            <w:pPr>
              <w:spacing w:after="0"/>
              <w:rPr>
                <w:sz w:val="19"/>
                <w:szCs w:val="19"/>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jc w:val="right"/>
              <w:ind w:right="79"/>
              <w:spacing w:after="0" w:line="171" w:lineRule="exact"/>
              <w:rPr>
                <w:sz w:val="20"/>
                <w:szCs w:val="20"/>
                <w:color w:val="auto"/>
              </w:rPr>
            </w:pPr>
            <w:r>
              <w:rPr>
                <w:rFonts w:ascii="Arial" w:cs="Arial" w:eastAsia="Arial" w:hAnsi="Arial"/>
                <w:sz w:val="16"/>
                <w:szCs w:val="16"/>
                <w:b w:val="1"/>
                <w:bCs w:val="1"/>
                <w:color w:val="auto"/>
              </w:rPr>
              <w:t>Equity</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right"/>
              <w:ind w:right="39"/>
              <w:spacing w:after="0" w:line="171" w:lineRule="exact"/>
              <w:rPr>
                <w:sz w:val="20"/>
                <w:szCs w:val="20"/>
                <w:color w:val="auto"/>
              </w:rPr>
            </w:pPr>
            <w:r>
              <w:rPr>
                <w:rFonts w:ascii="Arial" w:cs="Arial" w:eastAsia="Arial" w:hAnsi="Arial"/>
                <w:sz w:val="16"/>
                <w:szCs w:val="16"/>
                <w:b w:val="1"/>
                <w:bCs w:val="1"/>
                <w:color w:val="auto"/>
              </w:rPr>
              <w:t>Equity</w:t>
            </w:r>
          </w:p>
        </w:tc>
        <w:tc>
          <w:tcPr>
            <w:tcW w:w="124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Equity</w:t>
            </w:r>
          </w:p>
        </w:tc>
      </w:tr>
      <w:tr>
        <w:trPr>
          <w:trHeight w:val="188"/>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incentive</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incentive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incentive plan</w:t>
            </w:r>
          </w:p>
        </w:tc>
      </w:tr>
      <w:tr>
        <w:trPr>
          <w:trHeight w:val="188"/>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plan awards:</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Market</w:t>
            </w:r>
          </w:p>
        </w:tc>
        <w:tc>
          <w:tcPr>
            <w:tcW w:w="2520" w:type="dxa"/>
            <w:vAlign w:val="bottom"/>
            <w:gridSpan w:val="2"/>
          </w:tcPr>
          <w:p>
            <w:pPr>
              <w:jc w:val="right"/>
              <w:spacing w:after="0"/>
              <w:rPr>
                <w:sz w:val="20"/>
                <w:szCs w:val="20"/>
                <w:color w:val="auto"/>
              </w:rPr>
            </w:pPr>
            <w:r>
              <w:rPr>
                <w:rFonts w:ascii="Arial" w:cs="Arial" w:eastAsia="Arial" w:hAnsi="Arial"/>
                <w:sz w:val="16"/>
                <w:szCs w:val="16"/>
                <w:b w:val="1"/>
                <w:bCs w:val="1"/>
                <w:color w:val="auto"/>
              </w:rPr>
              <w:t>plan awards: awards: market</w:t>
            </w:r>
          </w:p>
        </w:tc>
      </w:tr>
      <w:tr>
        <w:trPr>
          <w:trHeight w:val="188"/>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value of</w:t>
            </w:r>
          </w:p>
        </w:tc>
        <w:tc>
          <w:tcPr>
            <w:tcW w:w="2520" w:type="dxa"/>
            <w:vAlign w:val="bottom"/>
            <w:gridSpan w:val="2"/>
          </w:tcPr>
          <w:p>
            <w:pPr>
              <w:jc w:val="right"/>
              <w:spacing w:after="0"/>
              <w:rPr>
                <w:sz w:val="20"/>
                <w:szCs w:val="20"/>
                <w:color w:val="auto"/>
              </w:rPr>
            </w:pPr>
            <w:r>
              <w:rPr>
                <w:rFonts w:ascii="Arial" w:cs="Arial" w:eastAsia="Arial" w:hAnsi="Arial"/>
                <w:sz w:val="16"/>
                <w:szCs w:val="16"/>
                <w:b w:val="1"/>
                <w:bCs w:val="1"/>
                <w:color w:val="auto"/>
              </w:rPr>
              <w:t>number of or payout value</w:t>
            </w:r>
          </w:p>
        </w:tc>
      </w:tr>
      <w:tr>
        <w:trPr>
          <w:trHeight w:val="188"/>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securities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of shares</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 or</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unearned</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of unearned</w:t>
            </w:r>
          </w:p>
        </w:tc>
      </w:tr>
      <w:tr>
        <w:trPr>
          <w:trHeight w:val="188"/>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underlying</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underlying</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underlying</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or units of</w:t>
            </w:r>
          </w:p>
        </w:tc>
        <w:tc>
          <w:tcPr>
            <w:tcW w:w="3480" w:type="dxa"/>
            <w:vAlign w:val="bottom"/>
            <w:gridSpan w:val="3"/>
          </w:tcPr>
          <w:p>
            <w:pPr>
              <w:jc w:val="right"/>
              <w:spacing w:after="0"/>
              <w:rPr>
                <w:sz w:val="20"/>
                <w:szCs w:val="20"/>
                <w:color w:val="auto"/>
              </w:rPr>
            </w:pPr>
            <w:r>
              <w:rPr>
                <w:rFonts w:ascii="Arial" w:cs="Arial" w:eastAsia="Arial" w:hAnsi="Arial"/>
                <w:sz w:val="16"/>
                <w:szCs w:val="16"/>
                <w:b w:val="1"/>
                <w:bCs w:val="1"/>
                <w:color w:val="auto"/>
              </w:rPr>
              <w:t>units of shares, units or shares, units or</w:t>
            </w:r>
          </w:p>
        </w:tc>
      </w:tr>
      <w:tr>
        <w:trPr>
          <w:trHeight w:val="188"/>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unexercised</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unexercised</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unexercised</w:t>
            </w: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Option</w:t>
            </w:r>
          </w:p>
        </w:tc>
        <w:tc>
          <w:tcPr>
            <w:tcW w:w="26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Option stock that stock that</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 rights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other rights</w:t>
            </w:r>
          </w:p>
        </w:tc>
      </w:tr>
      <w:tr>
        <w:trPr>
          <w:trHeight w:val="188"/>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Name and</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options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options</w:t>
            </w:r>
          </w:p>
        </w:tc>
        <w:tc>
          <w:tcPr>
            <w:tcW w:w="27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unearned exercise expiration</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have not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have not</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that have not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that have not</w:t>
            </w:r>
          </w:p>
        </w:tc>
      </w:tr>
      <w:tr>
        <w:trPr>
          <w:trHeight w:val="188"/>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principal</w:t>
            </w: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auto"/>
              </w:rPr>
              <w:t>exercisable unexercisable</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options</w:t>
            </w: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price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date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vested</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vested</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vested</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vested</w:t>
            </w:r>
          </w:p>
        </w:tc>
      </w:tr>
      <w:tr>
        <w:trPr>
          <w:trHeight w:val="188"/>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7"/>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(a)</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(b)</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(d)</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(f)</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(g)</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(h)</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(i)</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w:t>
            </w:r>
          </w:p>
        </w:tc>
      </w:tr>
      <w:tr>
        <w:trPr>
          <w:trHeight w:val="206"/>
        </w:trPr>
        <w:tc>
          <w:tcPr>
            <w:tcW w:w="20" w:type="dxa"/>
            <w:vAlign w:val="bottom"/>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Osvaldo Flores,</w:t>
            </w:r>
          </w:p>
        </w:tc>
        <w:tc>
          <w:tcPr>
            <w:tcW w:w="1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Ph.D.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CCEEFF"/>
            </w:tcBorders>
            <w:gridSpan w:val="2"/>
            <w:shd w:val="clear" w:color="auto" w:fill="CCEEFF"/>
          </w:tcPr>
          <w:p>
            <w:pPr>
              <w:jc w:val="right"/>
              <w:ind w:right="1039"/>
              <w:spacing w:after="0"/>
              <w:rPr>
                <w:sz w:val="20"/>
                <w:szCs w:val="20"/>
                <w:color w:val="auto"/>
              </w:rPr>
            </w:pPr>
            <w:r>
              <w:rPr>
                <w:rFonts w:ascii="Arial" w:cs="Arial" w:eastAsia="Arial" w:hAnsi="Arial"/>
                <w:sz w:val="16"/>
                <w:szCs w:val="16"/>
                <w:color w:val="auto"/>
              </w:rPr>
              <w:t>537,500(2)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0.69 10/1/2030</w:t>
            </w:r>
          </w:p>
        </w:tc>
        <w:tc>
          <w:tcPr>
            <w:tcW w:w="9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537,500(3)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0.69 10/1/2030</w:t>
            </w: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gridSpan w:val="2"/>
          </w:tcPr>
          <w:p>
            <w:pPr>
              <w:spacing w:after="0"/>
              <w:rPr>
                <w:sz w:val="4"/>
                <w:szCs w:val="4"/>
                <w:color w:val="auto"/>
              </w:rPr>
            </w:pPr>
          </w:p>
        </w:tc>
        <w:tc>
          <w:tcPr>
            <w:tcW w:w="1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2"/>
        </w:trPr>
        <w:tc>
          <w:tcPr>
            <w:tcW w:w="20" w:type="dxa"/>
            <w:vAlign w:val="bottom"/>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1,219,785(4)841,651.66</w:t>
            </w:r>
          </w:p>
        </w:tc>
        <w:tc>
          <w:tcPr>
            <w:tcW w:w="1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Arial" w:cs="Arial" w:eastAsia="Arial" w:hAnsi="Arial"/>
                <w:sz w:val="16"/>
                <w:szCs w:val="16"/>
                <w:color w:val="auto"/>
              </w:rPr>
              <w:t>Hyam Levitsky</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gridSpan w:val="2"/>
          </w:tcPr>
          <w:p>
            <w:pPr>
              <w:jc w:val="right"/>
              <w:ind w:right="39"/>
              <w:spacing w:after="0"/>
              <w:rPr>
                <w:sz w:val="20"/>
                <w:szCs w:val="20"/>
                <w:color w:val="auto"/>
              </w:rPr>
            </w:pPr>
            <w:r>
              <w:rPr>
                <w:rFonts w:ascii="Arial" w:cs="Arial" w:eastAsia="Arial" w:hAnsi="Arial"/>
                <w:sz w:val="16"/>
                <w:szCs w:val="16"/>
                <w:color w:val="auto"/>
              </w:rPr>
              <w:t>815,625(5)562,781.25</w:t>
            </w: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5"/>
        </w:trPr>
        <w:tc>
          <w:tcPr>
            <w:tcW w:w="12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Michael</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Diem</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933,707(6)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0.69 9/30/2030</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73"/>
        </w:trPr>
        <w:tc>
          <w:tcPr>
            <w:tcW w:w="20" w:type="dxa"/>
            <w:vAlign w:val="bottom"/>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r>
    </w:tbl>
    <w:p>
      <w:pPr>
        <w:spacing w:after="0" w:line="215" w:lineRule="exact"/>
        <w:rPr>
          <w:sz w:val="20"/>
          <w:szCs w:val="20"/>
          <w:color w:val="auto"/>
        </w:rPr>
      </w:pPr>
    </w:p>
    <w:p>
      <w:pPr>
        <w:ind w:left="1260" w:right="1860" w:hanging="5"/>
        <w:spacing w:after="0" w:line="278" w:lineRule="auto"/>
        <w:tabs>
          <w:tab w:leader="none" w:pos="1557" w:val="left"/>
        </w:tabs>
        <w:numPr>
          <w:ilvl w:val="0"/>
          <w:numId w:val="91"/>
        </w:numPr>
        <w:rPr>
          <w:rFonts w:ascii="Arial" w:cs="Arial" w:eastAsia="Arial" w:hAnsi="Arial"/>
          <w:sz w:val="13"/>
          <w:szCs w:val="13"/>
          <w:color w:val="auto"/>
        </w:rPr>
      </w:pPr>
      <w:r>
        <w:rPr>
          <w:rFonts w:ascii="Arial" w:cs="Arial" w:eastAsia="Arial" w:hAnsi="Arial"/>
          <w:sz w:val="13"/>
          <w:szCs w:val="13"/>
          <w:color w:val="auto"/>
        </w:rPr>
        <w:t>For this purpose, the value of each share of Restricted Stock on December 31, 2020 was estimated to be $0.69, based on the most recent independent valuation of our common stock prior to that date.</w:t>
      </w:r>
    </w:p>
    <w:p>
      <w:pPr>
        <w:sectPr>
          <w:pgSz w:w="11900" w:h="16838" w:orient="portrait"/>
          <w:cols w:equalWidth="0" w:num="1">
            <w:col w:w="11060"/>
          </w:cols>
          <w:pgMar w:left="600" w:top="132"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1060"/>
          </w:cols>
          <w:pgMar w:left="600" w:top="132" w:right="239"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99" w:hanging="5"/>
        <w:spacing w:after="0" w:line="244" w:lineRule="auto"/>
        <w:tabs>
          <w:tab w:leader="none" w:pos="1554"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This option was granted on October 20, 2020 and vests as follows: 25% on the first anniversary of the grant date and the remaining 75% in 36 equal monthly installments thereafter. Vesting of the award requires continued employment through the applicable vesting date, provided that vesting will accelerate upon a termination without cause within 12 months following a sale event.</w:t>
      </w:r>
    </w:p>
    <w:p>
      <w:pPr>
        <w:spacing w:after="0" w:line="201" w:lineRule="exact"/>
        <w:rPr>
          <w:rFonts w:ascii="Arial" w:cs="Arial" w:eastAsia="Arial" w:hAnsi="Arial"/>
          <w:sz w:val="13"/>
          <w:szCs w:val="13"/>
          <w:color w:val="auto"/>
        </w:rPr>
      </w:pPr>
    </w:p>
    <w:p>
      <w:pPr>
        <w:ind w:left="1540" w:hanging="285"/>
        <w:spacing w:after="0"/>
        <w:tabs>
          <w:tab w:leader="none" w:pos="1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This option will vest upon the first to occur of (a) our closing of a business development transaction prior to June 30, 2021 or</w:t>
      </w:r>
    </w:p>
    <w:p>
      <w:pPr>
        <w:ind w:left="1260" w:right="479"/>
        <w:spacing w:after="0" w:line="242" w:lineRule="auto"/>
        <w:rPr>
          <w:rFonts w:ascii="Arial" w:cs="Arial" w:eastAsia="Arial" w:hAnsi="Arial"/>
          <w:sz w:val="13"/>
          <w:szCs w:val="13"/>
          <w:color w:val="auto"/>
        </w:rPr>
      </w:pPr>
      <w:r>
        <w:rPr>
          <w:rFonts w:ascii="Arial" w:cs="Arial" w:eastAsia="Arial" w:hAnsi="Arial"/>
          <w:sz w:val="13"/>
          <w:szCs w:val="13"/>
          <w:color w:val="auto"/>
        </w:rPr>
        <w:t>(b) our closing of an initial public offering prior to August 13, 2021, in each case provided that specified financial metrics are achieved in connection with the closing. Vesting of the award requires continued employment through the applicable vesting date, provided that vesting will accelerate upon a termination without cause within 12 months following a sale event. If this offering is completed prior to August 13, 2021 and Dr. Flores remains in service through that time, this option will then become fully vested and exercisable.</w:t>
      </w:r>
    </w:p>
    <w:p>
      <w:pPr>
        <w:spacing w:after="0" w:line="204" w:lineRule="exact"/>
        <w:rPr>
          <w:rFonts w:ascii="Arial" w:cs="Arial" w:eastAsia="Arial" w:hAnsi="Arial"/>
          <w:sz w:val="13"/>
          <w:szCs w:val="13"/>
          <w:color w:val="auto"/>
        </w:rPr>
      </w:pPr>
    </w:p>
    <w:p>
      <w:pPr>
        <w:ind w:left="1260" w:right="479" w:hanging="5"/>
        <w:spacing w:after="0" w:line="244" w:lineRule="auto"/>
        <w:tabs>
          <w:tab w:leader="none" w:pos="1554"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This restricted stock award was granted on September 10, 2018 and vests as follows: 25% on the first anniversary of the grant date and the remaining 75% in 36 equal monthly installments thereafter. Vesting of the award requires continued employment through the applicable vesting date, provided that vesting will accelerate in full upon a termination without cause or a resignation with good reason within 12 months following a change in control.</w:t>
      </w:r>
    </w:p>
    <w:p>
      <w:pPr>
        <w:spacing w:after="0" w:line="64" w:lineRule="exact"/>
        <w:rPr>
          <w:rFonts w:ascii="Arial" w:cs="Arial" w:eastAsia="Arial" w:hAnsi="Arial"/>
          <w:sz w:val="13"/>
          <w:szCs w:val="13"/>
          <w:color w:val="auto"/>
        </w:rPr>
      </w:pPr>
    </w:p>
    <w:p>
      <w:pPr>
        <w:ind w:left="1260" w:right="439" w:hanging="5"/>
        <w:spacing w:after="0" w:line="242" w:lineRule="auto"/>
        <w:tabs>
          <w:tab w:leader="none" w:pos="1554"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This restricted stock award was granted on July 18, 2019 and vests as follows: 25% on May 1, 2020 and the remaining 75% in 36 equal monthly installments thereafter. Vesting of the award requires continued employment through the applicable vesting date. The shares subject to this restricted stock award are held by a trust for the benefit of Dr. Levitsky’s family. We authorized the transfer to facilitate Dr. Levitsky’s estate planning and that the shares remain subject to all the same transfer restrictions and vesting conditions as would have applied in the absence of such transfer.</w:t>
      </w:r>
    </w:p>
    <w:p>
      <w:pPr>
        <w:spacing w:after="0" w:line="53" w:lineRule="exact"/>
        <w:rPr>
          <w:rFonts w:ascii="Arial" w:cs="Arial" w:eastAsia="Arial" w:hAnsi="Arial"/>
          <w:sz w:val="13"/>
          <w:szCs w:val="13"/>
          <w:color w:val="auto"/>
        </w:rPr>
      </w:pPr>
    </w:p>
    <w:p>
      <w:pPr>
        <w:ind w:left="1260" w:right="519" w:hanging="5"/>
        <w:spacing w:after="0" w:line="242" w:lineRule="auto"/>
        <w:tabs>
          <w:tab w:leader="none" w:pos="1554"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This option was granted on October 1, 2020 and vests as follows: 25% on September 16, 2021 and the remaining 75% in 36 equal monthly installments thereafter. Vesting of the award requires continued employment through the applicable vesting date. On February 24, 2021, Dr. Diem utilized the early exercise feature of his stock option to purchase 200,000 restricted shares of common stock subject to the same vesting schedule as the original option, leaving 733,707 options outstanding under this option award.</w:t>
      </w:r>
    </w:p>
    <w:p>
      <w:pPr>
        <w:spacing w:after="0" w:line="29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Equity incentive plans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Plan</w:t>
      </w:r>
    </w:p>
    <w:p>
      <w:pPr>
        <w:spacing w:after="0" w:line="165"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color w:val="auto"/>
        </w:rPr>
        <w:t>Our 2021 Plan will become effective upon the effectiveness of the Registration Statement of which this prospectus forms a part. Upon the effectiveness of the 2021 Plan, we will cease granting awards under our 2018 Plan. A summary of the material terms of the 2021 Plan follows below.</w:t>
      </w:r>
    </w:p>
    <w:p>
      <w:pPr>
        <w:spacing w:after="0" w:line="338"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2021 Plan authorizes the award of both equity-based and cash-based incentive awards, including: (i) stock options (both incentive stock options and nonqualified stock options), (ii) stock appreciation rights, or SARs, (iii) restricted stock awards, or RSAs, (iv) restricted stock units, or RSUs, and (v) cash or other stock based awards. Incentive stock options may be granted only to employees. All other types of awards may be issued to employees, directors, consultants and other service providers.</w:t>
      </w:r>
    </w:p>
    <w:p>
      <w:pPr>
        <w:spacing w:after="0" w:line="123" w:lineRule="exact"/>
        <w:rPr>
          <w:sz w:val="20"/>
          <w:szCs w:val="20"/>
          <w:color w:val="auto"/>
        </w:rPr>
      </w:pPr>
    </w:p>
    <w:p>
      <w:pPr>
        <w:ind w:left="1260" w:right="659"/>
        <w:spacing w:after="0" w:line="260" w:lineRule="auto"/>
        <w:rPr>
          <w:sz w:val="20"/>
          <w:szCs w:val="20"/>
          <w:color w:val="auto"/>
        </w:rPr>
      </w:pPr>
      <w:r>
        <w:rPr>
          <w:rFonts w:ascii="Arial" w:cs="Arial" w:eastAsia="Arial" w:hAnsi="Arial"/>
          <w:sz w:val="18"/>
          <w:szCs w:val="18"/>
          <w:i w:val="1"/>
          <w:iCs w:val="1"/>
          <w:color w:val="auto"/>
        </w:rPr>
        <w:t xml:space="preserve">Shares Subject to 2021 Plan. </w:t>
      </w:r>
      <w:r>
        <w:rPr>
          <w:rFonts w:ascii="Arial" w:cs="Arial" w:eastAsia="Arial" w:hAnsi="Arial"/>
          <w:sz w:val="18"/>
          <w:szCs w:val="18"/>
          <w:color w:val="auto"/>
        </w:rPr>
        <w:t>We will initially reserve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for issuance under our 2021 Plan. The number of shares reserved for issuance under our</w:t>
      </w:r>
    </w:p>
    <w:p>
      <w:pPr>
        <w:ind w:left="1260"/>
        <w:spacing w:after="0"/>
        <w:tabs>
          <w:tab w:leader="none" w:pos="5680" w:val="left"/>
        </w:tabs>
        <w:rPr>
          <w:sz w:val="20"/>
          <w:szCs w:val="20"/>
          <w:color w:val="auto"/>
        </w:rPr>
      </w:pPr>
      <w:r>
        <w:rPr>
          <w:rFonts w:ascii="Arial" w:cs="Arial" w:eastAsia="Arial" w:hAnsi="Arial"/>
          <w:sz w:val="18"/>
          <w:szCs w:val="18"/>
          <w:color w:val="auto"/>
        </w:rPr>
        <w:t>2021 Plan will increase automatically on</w:t>
      </w:r>
      <w:r>
        <w:rPr>
          <w:sz w:val="20"/>
          <w:szCs w:val="20"/>
          <w:color w:val="auto"/>
        </w:rPr>
        <w:tab/>
      </w:r>
      <w:r>
        <w:rPr>
          <w:rFonts w:ascii="Arial" w:cs="Arial" w:eastAsia="Arial" w:hAnsi="Arial"/>
          <w:sz w:val="18"/>
          <w:szCs w:val="18"/>
          <w:color w:val="auto"/>
        </w:rPr>
        <w:t>and each anniversary of such date prior to</w:t>
      </w:r>
    </w:p>
    <w:p>
      <w:pPr>
        <w:spacing w:after="0" w:line="8" w:lineRule="exact"/>
        <w:rPr>
          <w:sz w:val="20"/>
          <w:szCs w:val="20"/>
          <w:color w:val="auto"/>
        </w:rPr>
      </w:pPr>
    </w:p>
    <w:p>
      <w:pPr>
        <w:ind w:left="1260"/>
        <w:spacing w:after="0"/>
        <w:tabs>
          <w:tab w:leader="none" w:pos="6440" w:val="left"/>
        </w:tabs>
        <w:rPr>
          <w:sz w:val="20"/>
          <w:szCs w:val="20"/>
          <w:color w:val="auto"/>
        </w:rPr>
      </w:pPr>
      <w:r>
        <w:rPr>
          <w:rFonts w:ascii="Arial" w:cs="Arial" w:eastAsia="Arial" w:hAnsi="Arial"/>
          <w:sz w:val="18"/>
          <w:szCs w:val="18"/>
          <w:color w:val="auto"/>
        </w:rPr>
        <w:t>the termination of the 2021 Plan, equal to the lesser of (i)</w:t>
      </w:r>
      <w:r>
        <w:rPr>
          <w:sz w:val="20"/>
          <w:szCs w:val="20"/>
          <w:color w:val="auto"/>
        </w:rPr>
        <w:tab/>
      </w:r>
      <w:r>
        <w:rPr>
          <w:rFonts w:ascii="Arial" w:cs="Arial" w:eastAsia="Arial" w:hAnsi="Arial"/>
          <w:sz w:val="18"/>
          <w:szCs w:val="18"/>
          <w:color w:val="auto"/>
        </w:rPr>
        <w:t>% of our shares of common stock</w:t>
      </w:r>
    </w:p>
    <w:p>
      <w:pPr>
        <w:spacing w:after="0" w:line="8" w:lineRule="exact"/>
        <w:rPr>
          <w:sz w:val="20"/>
          <w:szCs w:val="20"/>
          <w:color w:val="auto"/>
        </w:rPr>
      </w:pPr>
    </w:p>
    <w:p>
      <w:pPr>
        <w:ind w:left="1260" w:right="899"/>
        <w:spacing w:after="0" w:line="249" w:lineRule="auto"/>
        <w:rPr>
          <w:sz w:val="20"/>
          <w:szCs w:val="20"/>
          <w:color w:val="auto"/>
        </w:rPr>
      </w:pPr>
      <w:r>
        <w:rPr>
          <w:rFonts w:ascii="Arial" w:cs="Arial" w:eastAsia="Arial" w:hAnsi="Arial"/>
          <w:sz w:val="18"/>
          <w:szCs w:val="18"/>
          <w:color w:val="auto"/>
        </w:rPr>
        <w:t>issued and outstanding on the last day of the immediately preceding fiscal year and (ii) such smaller number of shares as determined by our board or compensation committee. No more</w:t>
      </w:r>
    </w:p>
    <w:p>
      <w:pPr>
        <w:spacing w:after="0" w:line="1" w:lineRule="exact"/>
        <w:rPr>
          <w:sz w:val="20"/>
          <w:szCs w:val="20"/>
          <w:color w:val="auto"/>
        </w:rPr>
      </w:pPr>
    </w:p>
    <w:p>
      <w:pPr>
        <w:ind w:left="1260" w:right="1059"/>
        <w:spacing w:after="0" w:line="260" w:lineRule="auto"/>
        <w:rPr>
          <w:sz w:val="20"/>
          <w:szCs w:val="20"/>
          <w:color w:val="auto"/>
        </w:rPr>
      </w:pPr>
      <w:r>
        <w:rPr>
          <w:rFonts w:ascii="Arial" w:cs="Arial" w:eastAsia="Arial" w:hAnsi="Arial"/>
          <w:sz w:val="18"/>
          <w:szCs w:val="18"/>
          <w:color w:val="auto"/>
        </w:rPr>
        <w:t>than shares of our common stock may be issued under the 2021 Plan through incentive stock options.</w:t>
      </w:r>
    </w:p>
    <w:p>
      <w:pPr>
        <w:spacing w:after="0" w:line="143" w:lineRule="exact"/>
        <w:rPr>
          <w:sz w:val="20"/>
          <w:szCs w:val="20"/>
          <w:color w:val="auto"/>
        </w:rPr>
      </w:pPr>
    </w:p>
    <w:p>
      <w:pPr>
        <w:ind w:left="1260" w:right="459"/>
        <w:spacing w:after="0" w:line="275" w:lineRule="auto"/>
        <w:rPr>
          <w:sz w:val="20"/>
          <w:szCs w:val="20"/>
          <w:color w:val="auto"/>
        </w:rPr>
      </w:pPr>
      <w:r>
        <w:rPr>
          <w:rFonts w:ascii="Arial" w:cs="Arial" w:eastAsia="Arial" w:hAnsi="Arial"/>
          <w:sz w:val="18"/>
          <w:szCs w:val="18"/>
          <w:color w:val="auto"/>
        </w:rPr>
        <w:t>The following shares will be added (or added back) to the shares available for issuance under the 2021 Plan:</w:t>
      </w:r>
    </w:p>
    <w:p>
      <w:pPr>
        <w:spacing w:after="0" w:line="77" w:lineRule="exact"/>
        <w:rPr>
          <w:sz w:val="20"/>
          <w:szCs w:val="20"/>
          <w:color w:val="auto"/>
        </w:rPr>
      </w:pPr>
    </w:p>
    <w:p>
      <w:pPr>
        <w:ind w:left="1400" w:right="859" w:hanging="145"/>
        <w:spacing w:after="0" w:line="275" w:lineRule="auto"/>
        <w:tabs>
          <w:tab w:leader="none" w:pos="14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subject to 2018 Plan or 2021 Plan awards that expire, terminate or are cancelled or forfeited for any reason after the effectiveness of the 2021 Plan;</w:t>
      </w:r>
    </w:p>
    <w:p>
      <w:pPr>
        <w:spacing w:after="0" w:line="90" w:lineRule="exact"/>
        <w:rPr>
          <w:rFonts w:ascii="Arial" w:cs="Arial" w:eastAsia="Arial" w:hAnsi="Arial"/>
          <w:sz w:val="18"/>
          <w:szCs w:val="18"/>
          <w:color w:val="auto"/>
        </w:rPr>
      </w:pPr>
    </w:p>
    <w:p>
      <w:pPr>
        <w:ind w:left="1400" w:right="519" w:hanging="145"/>
        <w:spacing w:after="0" w:line="275" w:lineRule="auto"/>
        <w:tabs>
          <w:tab w:leader="none" w:pos="14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that after the effectiveness of the 2021 Plan are withheld to satisfy the exercise price of an option issued under our 2018 Plan or 2021 Plan; and</w:t>
      </w:r>
    </w:p>
    <w:p>
      <w:pPr>
        <w:spacing w:after="0" w:line="90" w:lineRule="exact"/>
        <w:rPr>
          <w:rFonts w:ascii="Arial" w:cs="Arial" w:eastAsia="Arial" w:hAnsi="Arial"/>
          <w:sz w:val="18"/>
          <w:szCs w:val="18"/>
          <w:color w:val="auto"/>
        </w:rPr>
      </w:pPr>
    </w:p>
    <w:p>
      <w:pPr>
        <w:ind w:left="1400" w:right="979" w:hanging="145"/>
        <w:spacing w:after="0" w:line="275" w:lineRule="auto"/>
        <w:tabs>
          <w:tab w:leader="none" w:pos="14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that after the effectiveness of the 2021 Plan are withheld to satisfy tax withholding obligations related to any award under our 2018 Plan or 2021 Plan.</w:t>
      </w:r>
    </w:p>
    <w:p>
      <w:pPr>
        <w:spacing w:after="0" w:line="118" w:lineRule="exact"/>
        <w:rPr>
          <w:sz w:val="20"/>
          <w:szCs w:val="20"/>
          <w:color w:val="auto"/>
        </w:rPr>
      </w:pPr>
    </w:p>
    <w:p>
      <w:pPr>
        <w:ind w:left="1260" w:right="699"/>
        <w:spacing w:after="0" w:line="260" w:lineRule="auto"/>
        <w:rPr>
          <w:sz w:val="20"/>
          <w:szCs w:val="20"/>
          <w:color w:val="auto"/>
        </w:rPr>
      </w:pPr>
      <w:r>
        <w:rPr>
          <w:rFonts w:ascii="Arial" w:cs="Arial" w:eastAsia="Arial" w:hAnsi="Arial"/>
          <w:sz w:val="18"/>
          <w:szCs w:val="18"/>
          <w:color w:val="auto"/>
        </w:rPr>
        <w:t>As described below in “—Equity Incentive Plans—2018 Plan” there were shares of common stock underlying awards outstanding under the 2018 Plan as of December 31, 2020.</w:t>
      </w:r>
    </w:p>
    <w:p>
      <w:pPr>
        <w:spacing w:after="0" w:line="117"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Shares of our common stock issued by us through the assumption or substitution of awards in connection with a future acquisition of another entity will not reduce the shares available for issuance under the 2021 Plan.</w:t>
      </w:r>
    </w:p>
    <w:p>
      <w:pPr>
        <w:spacing w:after="0" w:line="119" w:lineRule="exact"/>
        <w:rPr>
          <w:sz w:val="20"/>
          <w:szCs w:val="20"/>
          <w:color w:val="auto"/>
        </w:rPr>
      </w:pPr>
    </w:p>
    <w:p>
      <w:pPr>
        <w:ind w:left="1260" w:right="599"/>
        <w:spacing w:after="0" w:line="26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We expect that our 2021 Plan will be administered by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administrator of the plan will have the authority to, among other things, interpret the plan and award agreements,</w:t>
      </w:r>
    </w:p>
    <w:p>
      <w:pPr>
        <w:sectPr>
          <w:pgSz w:w="11900" w:h="16838" w:orient="portrait"/>
          <w:cols w:equalWidth="0" w:num="1">
            <w:col w:w="9859"/>
          </w:cols>
          <w:pgMar w:left="600" w:top="132" w:right="1440" w:bottom="1117"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117"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select grantees, determine the vesting, payment and other terms of awards, and modify or amend awards. Our compensation committee may delegate to one or more of our officers the authority to issue awards under the 2021 Plan to grantees who are not executive officers, subject to parameters established by the compensation committee.</w:t>
      </w:r>
    </w:p>
    <w:p>
      <w:pPr>
        <w:spacing w:after="0" w:line="107" w:lineRule="exact"/>
        <w:rPr>
          <w:sz w:val="20"/>
          <w:szCs w:val="20"/>
          <w:color w:val="auto"/>
        </w:rPr>
      </w:pPr>
    </w:p>
    <w:p>
      <w:pPr>
        <w:ind w:left="1260" w:right="439"/>
        <w:spacing w:after="0" w:line="270"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of certain corporate events or transactions (such as a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stock split, reverse stock split, spin-off, stock dividend, or similar transaction or change in our capital structure), our compensation committee will make adjustments or substitutions to the number and kind of shares that may be issued under the 2021 Plan, the number and kind of shares subject to outstanding awards, the exercise price or base price of outstanding awards, and/or any other affected terms and conditions of the 2021 Plan or outstanding awards, in each case as it deems appropriate and equitable.</w:t>
      </w:r>
    </w:p>
    <w:p>
      <w:pPr>
        <w:spacing w:after="0" w:line="119" w:lineRule="exact"/>
        <w:rPr>
          <w:sz w:val="20"/>
          <w:szCs w:val="20"/>
          <w:color w:val="auto"/>
        </w:rPr>
      </w:pPr>
    </w:p>
    <w:p>
      <w:pPr>
        <w:ind w:left="1260" w:right="679"/>
        <w:spacing w:after="0" w:line="273"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2021 Plan provides for the grant of both incentive stock options and non-qualified stock options to purchase shares of our common stock at a stated exercise price. The exercise price of stock options granted under the 2021 Plan must be at least equal to the fair market value of our common stock on the date of grant. The maximum term of options granted under our 2021 Plan is ten years.</w:t>
      </w:r>
    </w:p>
    <w:p>
      <w:pPr>
        <w:spacing w:after="0" w:line="132" w:lineRule="exact"/>
        <w:rPr>
          <w:sz w:val="20"/>
          <w:szCs w:val="20"/>
          <w:color w:val="auto"/>
        </w:rPr>
      </w:pPr>
    </w:p>
    <w:p>
      <w:pPr>
        <w:jc w:val="both"/>
        <w:ind w:left="1260" w:right="679"/>
        <w:spacing w:after="0" w:line="270" w:lineRule="auto"/>
        <w:rPr>
          <w:sz w:val="20"/>
          <w:szCs w:val="20"/>
          <w:color w:val="auto"/>
        </w:rPr>
      </w:pPr>
      <w:r>
        <w:rPr>
          <w:rFonts w:ascii="Arial" w:cs="Arial" w:eastAsia="Arial" w:hAnsi="Arial"/>
          <w:sz w:val="18"/>
          <w:szCs w:val="18"/>
          <w:color w:val="auto"/>
        </w:rPr>
        <w:t>Our compensation committee may provide in the terms of the applicable award agreement that the participant may exercise an unvested portion in exchange for restricted stock subject to the same vesting terms as the option.</w:t>
      </w:r>
    </w:p>
    <w:p>
      <w:pPr>
        <w:spacing w:after="0" w:line="104" w:lineRule="exact"/>
        <w:rPr>
          <w:sz w:val="20"/>
          <w:szCs w:val="20"/>
          <w:color w:val="auto"/>
        </w:rPr>
      </w:pPr>
    </w:p>
    <w:p>
      <w:pPr>
        <w:ind w:left="1260" w:right="459"/>
        <w:spacing w:after="0" w:line="271"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An SAR provides for a payment, in cash or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a combination of both, to the holder based upon the difference between the fair market value of our common stock on the date of exercise and a predetermined exercise price, multiplied by the number of shares. The base price of a SAR must be at least the fair market value of a share of our common stock on the date of grant. SARs may not have a term that is longer than ten years from the date of grant.</w:t>
      </w:r>
    </w:p>
    <w:p>
      <w:pPr>
        <w:spacing w:after="0" w:line="118" w:lineRule="exact"/>
        <w:rPr>
          <w:sz w:val="20"/>
          <w:szCs w:val="20"/>
          <w:color w:val="auto"/>
        </w:rPr>
      </w:pPr>
    </w:p>
    <w:p>
      <w:pPr>
        <w:ind w:left="1260" w:right="499"/>
        <w:spacing w:after="0" w:line="271"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An RSA is an issuance of shares of our common stock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restrictions that lapse based on the satisfaction of service and/or performance conditions. The price, if any, of each share subject to an RSA will be determined by the compensation committee. During the vesting period, a participant will have the right to vote and receive any dividends with respect to restricted stock, provided that our compensation committee may specify that any such dividends are subject to the same vesting schedule as the shares to which they relate.</w:t>
      </w:r>
    </w:p>
    <w:p>
      <w:pPr>
        <w:spacing w:after="0" w:line="346" w:lineRule="exact"/>
        <w:rPr>
          <w:sz w:val="20"/>
          <w:szCs w:val="20"/>
          <w:color w:val="auto"/>
        </w:rPr>
      </w:pPr>
    </w:p>
    <w:p>
      <w:pPr>
        <w:ind w:left="1260" w:right="479"/>
        <w:spacing w:after="0" w:line="280"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represent the right to receive shares of our common stock (or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value of such shares) at a specified time in the future, following the satisfaction of specified service and/or performance conditions.</w:t>
      </w:r>
    </w:p>
    <w:p>
      <w:pPr>
        <w:spacing w:after="0" w:line="96"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i w:val="1"/>
          <w:iCs w:val="1"/>
          <w:color w:val="auto"/>
        </w:rPr>
        <w:t xml:space="preserve">Cash or other stock based awards. </w:t>
      </w:r>
      <w:r>
        <w:rPr>
          <w:rFonts w:ascii="Arial" w:cs="Arial" w:eastAsia="Arial" w:hAnsi="Arial"/>
          <w:sz w:val="18"/>
          <w:szCs w:val="18"/>
          <w:color w:val="auto"/>
        </w:rPr>
        <w:t>Cash or other stock based awards (including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unrestricted shares of our common stock or immediate cash payments) may be granted to participants. Our compensation committee will determine the terms and conditions of each such award, including, as applicable, the term, any exercise or purchase price, performance goals, vesting conditions, and other terms and conditions. Payment in respect of a cash or other stock based award may be made in cash, shares of our common stock, or a combination of both, at the discretion of our compensation committee.</w:t>
      </w:r>
    </w:p>
    <w:p>
      <w:pPr>
        <w:spacing w:after="0" w:line="119" w:lineRule="exact"/>
        <w:rPr>
          <w:sz w:val="20"/>
          <w:szCs w:val="20"/>
          <w:color w:val="auto"/>
        </w:rPr>
      </w:pPr>
    </w:p>
    <w:p>
      <w:pPr>
        <w:ind w:left="1260" w:right="499"/>
        <w:spacing w:after="0" w:line="270"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Upon or in anticipation of a change in control (which includes certain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stock transactions, certain changes in our board composition and any other event deemed by our board of directors to constitute a change in control), our compensation committee may take such actions as it deems appropriate with respect to outstanding awards under the</w:t>
      </w:r>
    </w:p>
    <w:p>
      <w:pPr>
        <w:spacing w:after="0" w:line="1"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2021 Plan. Such actions may include (among other things) the acceleration of award vesting, the substitution of awards, the cancellation of unexercised or unvested awards and the redemption or cashout of awards. In the discretion of our compensation committee, any cash or other substitute consideration payable upon redemption or cashout of an award may be subjected to the same vesting terms that applied to the original award, or earn-out, escrow, holdback or similar arrangements comparable to those applicable to stockholders in connection with the change in control. The compensation committee need not treat all outstanding awards in an identical manner.</w:t>
      </w:r>
    </w:p>
    <w:p>
      <w:pPr>
        <w:sectPr>
          <w:pgSz w:w="11900" w:h="16838" w:orient="portrait"/>
          <w:cols w:equalWidth="0" w:num="1">
            <w:col w:w="9859"/>
          </w:cols>
          <w:pgMar w:left="600" w:top="132" w:right="1440" w:bottom="10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022"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i w:val="1"/>
          <w:iCs w:val="1"/>
          <w:color w:val="auto"/>
        </w:rPr>
        <w:t xml:space="preserve">No repricing without stockholder approval. </w:t>
      </w:r>
      <w:r>
        <w:rPr>
          <w:rFonts w:ascii="Arial" w:cs="Arial" w:eastAsia="Arial" w:hAnsi="Arial"/>
          <w:sz w:val="18"/>
          <w:szCs w:val="18"/>
          <w:color w:val="auto"/>
        </w:rPr>
        <w:t>Neither our board of directors nor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without obtaining prior approval of our stockholders: (i) cancel options or stock appreciation rights outstanding under the 2021 Plan in exchange for new options or stock appreciation rights with a lower exercise or base price per share; (ii) cancel underwater options or stock appreciation rights outstanding under the 2021 Plan in exchange for consideration payable in our equity securities; or (iii) otherwise directly reduce the exercise or base price of options or stock appreciation rights outstanding under the 2021 Plan.</w:t>
      </w:r>
    </w:p>
    <w:p>
      <w:pPr>
        <w:spacing w:after="0" w:line="108" w:lineRule="exact"/>
        <w:rPr>
          <w:sz w:val="20"/>
          <w:szCs w:val="20"/>
          <w:color w:val="auto"/>
        </w:rPr>
      </w:pPr>
    </w:p>
    <w:p>
      <w:pPr>
        <w:ind w:left="1260" w:right="659"/>
        <w:spacing w:after="0" w:line="281" w:lineRule="auto"/>
        <w:rPr>
          <w:sz w:val="20"/>
          <w:szCs w:val="20"/>
          <w:color w:val="auto"/>
        </w:rPr>
      </w:pPr>
      <w:r>
        <w:rPr>
          <w:rFonts w:ascii="Arial" w:cs="Arial" w:eastAsia="Arial" w:hAnsi="Arial"/>
          <w:sz w:val="18"/>
          <w:szCs w:val="18"/>
          <w:i w:val="1"/>
          <w:iCs w:val="1"/>
          <w:color w:val="auto"/>
        </w:rPr>
        <w:t xml:space="preserve">Clawback. </w:t>
      </w:r>
      <w:r>
        <w:rPr>
          <w:rFonts w:ascii="Arial" w:cs="Arial" w:eastAsia="Arial" w:hAnsi="Arial"/>
          <w:sz w:val="18"/>
          <w:szCs w:val="18"/>
          <w:color w:val="auto"/>
        </w:rPr>
        <w:t>Awards under the 2021 Plan will be subject to clawback or recoupment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applicable policy, law or exchange listing requirement in effect from time to time.</w:t>
      </w:r>
    </w:p>
    <w:p>
      <w:pPr>
        <w:spacing w:after="0" w:line="94" w:lineRule="exact"/>
        <w:rPr>
          <w:sz w:val="20"/>
          <w:szCs w:val="20"/>
          <w:color w:val="auto"/>
        </w:rPr>
      </w:pPr>
    </w:p>
    <w:p>
      <w:pPr>
        <w:ind w:left="1260" w:right="659"/>
        <w:spacing w:after="0" w:line="265"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Except for certain estate planning transfers authorized by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awards granted under the 2021 Plan are generally nontransferable except by will or by the laws of descent and distribution.</w:t>
      </w:r>
    </w:p>
    <w:p>
      <w:pPr>
        <w:spacing w:after="0" w:line="108"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our 2021 Plan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stockholder approval if required by applicable law or exchange listing requirement. The 2021 Plan will terminate ten years after it becomes effective.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2018 Plan</w:t>
      </w:r>
    </w:p>
    <w:p>
      <w:pPr>
        <w:spacing w:after="0" w:line="151"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The 2018 Plan was originally adopted on June 1, 2018 to enable the issuance of stock options, restricted stock awards, unrestricted stock awards, restricted stock units, and other awards to our employees, officers, directors, and consultants.</w:t>
      </w:r>
    </w:p>
    <w:p>
      <w:pPr>
        <w:spacing w:after="0" w:line="137"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As noted above, we will cease granting awards under the 2018 Plan immediately prior to this offering. Any outstanding awards will continue to be subject to the terms of the 2018 Plan and the applicable award agreements.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summary of the material terms of the 2018 Plan follows below.</w:t>
      </w:r>
    </w:p>
    <w:p>
      <w:pPr>
        <w:spacing w:after="0" w:line="125" w:lineRule="exact"/>
        <w:rPr>
          <w:sz w:val="20"/>
          <w:szCs w:val="20"/>
          <w:color w:val="auto"/>
        </w:rPr>
      </w:pPr>
    </w:p>
    <w:p>
      <w:pPr>
        <w:ind w:left="1260" w:right="999"/>
        <w:spacing w:after="0" w:line="281"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We expect that our compensation committee will administer the 2018 Plan</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date of this offering.</w:t>
      </w:r>
    </w:p>
    <w:p>
      <w:pPr>
        <w:spacing w:after="0" w:line="94" w:lineRule="exact"/>
        <w:rPr>
          <w:sz w:val="20"/>
          <w:szCs w:val="20"/>
          <w:color w:val="auto"/>
        </w:rPr>
      </w:pPr>
    </w:p>
    <w:p>
      <w:pPr>
        <w:ind w:left="1260" w:right="759"/>
        <w:spacing w:after="0" w:line="281" w:lineRule="auto"/>
        <w:rPr>
          <w:sz w:val="20"/>
          <w:szCs w:val="20"/>
          <w:color w:val="auto"/>
        </w:rPr>
      </w:pPr>
      <w:r>
        <w:rPr>
          <w:rFonts w:ascii="Arial" w:cs="Arial" w:eastAsia="Arial" w:hAnsi="Arial"/>
          <w:sz w:val="18"/>
          <w:szCs w:val="18"/>
          <w:i w:val="1"/>
          <w:iCs w:val="1"/>
          <w:color w:val="auto"/>
        </w:rPr>
        <w:t xml:space="preserve">Shares subject to 2018 plan. </w:t>
      </w:r>
      <w:r>
        <w:rPr>
          <w:rFonts w:ascii="Arial" w:cs="Arial" w:eastAsia="Arial" w:hAnsi="Arial"/>
          <w:sz w:val="18"/>
          <w:szCs w:val="18"/>
          <w:color w:val="auto"/>
        </w:rPr>
        <w:t>The maximum number of shares that may be granted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2018 Plan is 23,498,781.</w:t>
      </w:r>
    </w:p>
    <w:p>
      <w:pPr>
        <w:spacing w:after="0" w:line="112"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As of December 31, 2020, there were (i) 3,172,699 shares available for issuance in respect of new awards under the 2018 Plan, (ii) options outstanding under the 2018 Plan with respect to 9,768,326 shares of our common stock, and (iii) 3,286,504 shares of restricted common stock outstanding under the 2018 Plan (some of which were acquired upon early exercise of stock options).</w:t>
      </w:r>
    </w:p>
    <w:p>
      <w:pPr>
        <w:spacing w:after="0" w:line="106"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i w:val="1"/>
          <w:iCs w:val="1"/>
          <w:color w:val="auto"/>
        </w:rPr>
        <w:t xml:space="preserve">Share recycling. </w:t>
      </w:r>
      <w:r>
        <w:rPr>
          <w:rFonts w:ascii="Arial" w:cs="Arial" w:eastAsia="Arial" w:hAnsi="Arial"/>
          <w:sz w:val="18"/>
          <w:szCs w:val="18"/>
          <w:color w:val="auto"/>
        </w:rPr>
        <w:t>Under the terms of the 2018 Plan, shares underlying awards that are forfeited,</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 reacquired by the company prior to vesting, satisfied in cash or otherwise terminated, and shares that are withheld in settlement of a tax withholding obligation associated with an award or in satisfaction of the exercise price of an award, will again become available for grant under the 2018 Plan. However, as noted above, following the effectiveness of the 2021 Plan, such shares will instead become available for grant under the 2021 Plan.</w:t>
      </w:r>
    </w:p>
    <w:p>
      <w:pPr>
        <w:spacing w:after="0" w:line="120"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2018 Plan provides for the grant of both incentive stock options and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purchase shares of our common stock at a stated exercise price. The exercise price of stock options granted under the 2018 Plan must be at least equal to the fair market value of our common stock on the date of grant. The maximum term of options granted under our 2018 Plan is ten years.</w:t>
      </w:r>
    </w:p>
    <w:p>
      <w:pPr>
        <w:spacing w:after="0" w:line="134"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Certain stock options issued under the 2018 Plan allow for exercise prior to vesting in exchange for restricted shares of common stock subject to the same vesting schedule as the original option, and several optionees utilized this early exercise feature.</w:t>
      </w:r>
    </w:p>
    <w:p>
      <w:pPr>
        <w:spacing w:after="0" w:line="105" w:lineRule="exact"/>
        <w:rPr>
          <w:sz w:val="20"/>
          <w:szCs w:val="20"/>
          <w:color w:val="auto"/>
        </w:rPr>
      </w:pPr>
    </w:p>
    <w:p>
      <w:pPr>
        <w:jc w:val="both"/>
        <w:ind w:left="1260" w:right="679"/>
        <w:spacing w:after="0" w:line="265"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2018 Plan also allows for the grant or sale of RSAs. The price, if any,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share subject to an RSA will be determined by the plan administrator. During the vesting period, a participant will have the right</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color w:val="auto"/>
        </w:rPr>
        <w:t>to vote and receive any dividends with respect to restricted stock, provided that the plan administrator may specify that any such dividends are subject to the same vesting schedule as the shares to which they relate.</w:t>
      </w:r>
    </w:p>
    <w:p>
      <w:pPr>
        <w:spacing w:after="0" w:line="105" w:lineRule="exact"/>
        <w:rPr>
          <w:sz w:val="20"/>
          <w:szCs w:val="20"/>
          <w:color w:val="auto"/>
        </w:rPr>
      </w:pPr>
    </w:p>
    <w:p>
      <w:pPr>
        <w:ind w:left="1260" w:right="459"/>
        <w:spacing w:after="0" w:line="260" w:lineRule="auto"/>
        <w:rPr>
          <w:sz w:val="20"/>
          <w:szCs w:val="20"/>
          <w:color w:val="auto"/>
        </w:rPr>
      </w:pPr>
      <w:r>
        <w:rPr>
          <w:rFonts w:ascii="Arial" w:cs="Arial" w:eastAsia="Arial" w:hAnsi="Arial"/>
          <w:sz w:val="18"/>
          <w:szCs w:val="18"/>
          <w:i w:val="1"/>
          <w:iCs w:val="1"/>
          <w:color w:val="auto"/>
        </w:rPr>
        <w:t xml:space="preserve">Stock appreciation rights, restricted stock units, unrestricted stock awards. </w:t>
      </w:r>
      <w:r>
        <w:rPr>
          <w:rFonts w:ascii="Arial" w:cs="Arial" w:eastAsia="Arial" w:hAnsi="Arial"/>
          <w:sz w:val="18"/>
          <w:szCs w:val="18"/>
          <w:color w:val="auto"/>
        </w:rPr>
        <w:t>In addition,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allows for the grant of SARs, RSUs and unrestricted stock awards, with terms as determined by the board in accordance with the 2018 Plan. However, as noted above, we have not granted any SARs, RSUs or unrestricted stock awards under the 2018 Plan.</w:t>
      </w:r>
    </w:p>
    <w:p>
      <w:pPr>
        <w:spacing w:after="0" w:line="112"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i w:val="1"/>
          <w:iCs w:val="1"/>
          <w:color w:val="auto"/>
        </w:rPr>
        <w:t xml:space="preserve">Sale event. </w:t>
      </w:r>
      <w:r>
        <w:rPr>
          <w:rFonts w:ascii="Arial" w:cs="Arial" w:eastAsia="Arial" w:hAnsi="Arial"/>
          <w:sz w:val="18"/>
          <w:szCs w:val="18"/>
          <w:color w:val="auto"/>
        </w:rPr>
        <w:t>If we are subject to a “sale event” (including certain dissolution, liquidation, asset</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merger transactions), the plan administrator will determine how to treat outstanding awards under our 2018 Plan. This may include: (i) the cancellation and/or forfeiture of outstanding awards, unless exercised prior to the sale event or assumed, substituted or continued by the surviving entity or its parent; or (ii) cashout or redemption of outstanding awards. The plan administrator need not treat all outstanding awards in an identical manner.</w:t>
      </w:r>
    </w:p>
    <w:p>
      <w:pPr>
        <w:spacing w:after="0" w:line="120"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of a stock dividend, reorganization, recapitalization,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stock split, subdivision, combination, reclassification, merger, asset sale, or other similar event or transaction affecting our common stock, proportional adjustments will be made to the number of shares reserved for issuance under our 2018 Plan; the number and class of shares subject to outstanding awards; and the exercise or repurchase price applicable to outstanding awards.</w:t>
      </w:r>
    </w:p>
    <w:p>
      <w:pPr>
        <w:spacing w:after="0" w:line="322" w:lineRule="exact"/>
        <w:rPr>
          <w:sz w:val="20"/>
          <w:szCs w:val="20"/>
          <w:color w:val="auto"/>
        </w:rPr>
      </w:pPr>
    </w:p>
    <w:p>
      <w:pPr>
        <w:ind w:left="1260" w:right="859"/>
        <w:spacing w:after="0" w:line="265" w:lineRule="auto"/>
        <w:rPr>
          <w:sz w:val="20"/>
          <w:szCs w:val="20"/>
          <w:color w:val="auto"/>
        </w:rPr>
      </w:pPr>
      <w:r>
        <w:rPr>
          <w:rFonts w:ascii="Arial" w:cs="Arial" w:eastAsia="Arial" w:hAnsi="Arial"/>
          <w:sz w:val="18"/>
          <w:szCs w:val="18"/>
          <w:i w:val="1"/>
          <w:iCs w:val="1"/>
          <w:color w:val="auto"/>
        </w:rPr>
        <w:t xml:space="preserve">Repricing. </w:t>
      </w:r>
      <w:r>
        <w:rPr>
          <w:rFonts w:ascii="Arial" w:cs="Arial" w:eastAsia="Arial" w:hAnsi="Arial"/>
          <w:sz w:val="18"/>
          <w:szCs w:val="18"/>
          <w:color w:val="auto"/>
        </w:rPr>
        <w:t>Without approval of stockholders, the plan administrator may reprice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under the 2018 Plan by reducing the exercise price of such options or cancelling such options in exchange for new awards.</w:t>
      </w:r>
    </w:p>
    <w:p>
      <w:pPr>
        <w:spacing w:after="0" w:line="108" w:lineRule="exact"/>
        <w:rPr>
          <w:sz w:val="20"/>
          <w:szCs w:val="20"/>
          <w:color w:val="auto"/>
        </w:rPr>
      </w:pPr>
    </w:p>
    <w:p>
      <w:pPr>
        <w:jc w:val="both"/>
        <w:ind w:left="1260" w:right="639"/>
        <w:spacing w:after="0" w:line="260"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the plan administrator and/or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award agreement, 2018 Plan awards generally may not be sold, pledged, assigned, hypothecated, transferred, or disposed of in any manner other than by will, the laws of descent, and distribution.</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ESPP</w:t>
      </w:r>
    </w:p>
    <w:p>
      <w:pPr>
        <w:spacing w:after="0" w:line="165"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Our board of directors intends to adopt the ESPP prior to closing of this offering, under which we may provide our employees and employees of our participating subsidiaries with an opportunity to purchase shares of our common stock at a discounted purchase price. The material terms of the ESPP are summarized below. The ESPP is intended to qualify as an “employee stock purchase plan” meeting the requirements of Section 423 of the Code.</w:t>
      </w:r>
    </w:p>
    <w:p>
      <w:pPr>
        <w:spacing w:after="0" w:line="106" w:lineRule="exact"/>
        <w:rPr>
          <w:sz w:val="20"/>
          <w:szCs w:val="20"/>
          <w:color w:val="auto"/>
        </w:rPr>
      </w:pPr>
    </w:p>
    <w:p>
      <w:pPr>
        <w:ind w:left="1260" w:right="499"/>
        <w:spacing w:after="0" w:line="258"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Subject to the express provisions of the ESPP, our compensation committee will</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authority to construe and interpret the ESPP, prescribe, amend, and rescind rules relating to the ESPP’s administration and take any other actions necessary or desirable for the administration of the ESPP and to facilitate compliance with Section 423 of the Code and other applicable law.</w:t>
      </w:r>
    </w:p>
    <w:p>
      <w:pPr>
        <w:spacing w:after="0" w:line="334" w:lineRule="exact"/>
        <w:rPr>
          <w:sz w:val="20"/>
          <w:szCs w:val="20"/>
          <w:color w:val="auto"/>
        </w:rPr>
      </w:pPr>
    </w:p>
    <w:p>
      <w:pPr>
        <w:ind w:left="1260"/>
        <w:spacing w:after="0"/>
        <w:tabs>
          <w:tab w:leader="none" w:pos="3660" w:val="left"/>
        </w:tabs>
        <w:rPr>
          <w:sz w:val="20"/>
          <w:szCs w:val="20"/>
          <w:color w:val="auto"/>
        </w:rPr>
      </w:pPr>
      <w:r>
        <w:rPr>
          <w:rFonts w:ascii="Arial" w:cs="Arial" w:eastAsia="Arial" w:hAnsi="Arial"/>
          <w:sz w:val="18"/>
          <w:szCs w:val="18"/>
          <w:i w:val="1"/>
          <w:iCs w:val="1"/>
          <w:color w:val="auto"/>
        </w:rPr>
        <w:t>Stock Subject to the ESPP.</w:t>
      </w:r>
      <w:r>
        <w:rPr>
          <w:sz w:val="20"/>
          <w:szCs w:val="20"/>
          <w:color w:val="auto"/>
        </w:rPr>
        <w:tab/>
      </w:r>
      <w:r>
        <w:rPr>
          <w:rFonts w:ascii="Arial" w:cs="Arial" w:eastAsia="Arial" w:hAnsi="Arial"/>
          <w:sz w:val="18"/>
          <w:szCs w:val="18"/>
          <w:color w:val="auto"/>
        </w:rPr>
        <w:t>Subject to adjustment as provided in the ESPP, a total of</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shares of our common stock will be authorized and reserved for issuance under the ESPP. In</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addition, subject to prior approval by our board of directors in each instance, on or</w:t>
      </w:r>
    </w:p>
    <w:p>
      <w:pPr>
        <w:spacing w:after="0" w:line="8" w:lineRule="exact"/>
        <w:rPr>
          <w:sz w:val="20"/>
          <w:szCs w:val="20"/>
          <w:color w:val="auto"/>
        </w:rPr>
      </w:pPr>
    </w:p>
    <w:p>
      <w:pPr>
        <w:jc w:val="both"/>
        <w:ind w:left="1260" w:right="739"/>
        <w:spacing w:after="0" w:line="249" w:lineRule="auto"/>
        <w:rPr>
          <w:sz w:val="20"/>
          <w:szCs w:val="20"/>
          <w:color w:val="auto"/>
        </w:rPr>
      </w:pPr>
      <w:r>
        <w:rPr>
          <w:rFonts w:ascii="Arial" w:cs="Arial" w:eastAsia="Arial" w:hAnsi="Arial"/>
          <w:sz w:val="18"/>
          <w:szCs w:val="18"/>
          <w:color w:val="auto"/>
        </w:rPr>
        <w:t>about and each anniversary of such date thereafter prior to the termination of the ESPP, the number of shares of our common stock authorized and reserved for issuance under the ESPP will be increased by a number of shares of our common stock equal to the least of</w:t>
      </w:r>
    </w:p>
    <w:p>
      <w:pPr>
        <w:spacing w:after="0" w:line="1" w:lineRule="exact"/>
        <w:rPr>
          <w:sz w:val="20"/>
          <w:szCs w:val="20"/>
          <w:color w:val="auto"/>
        </w:rPr>
      </w:pPr>
    </w:p>
    <w:p>
      <w:pPr>
        <w:ind w:left="1260" w:right="459" w:hanging="5"/>
        <w:spacing w:after="0" w:line="250" w:lineRule="auto"/>
        <w:tabs>
          <w:tab w:leader="none" w:pos="2583"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of our common stock, (ii) % of the shares of our common stock outstanding on the final day of the immediately preceding calendar year, and (iii) such smaller number of shares of our common stock as determined by our board of directors. Such shares of our common stock may be newly issued shares, treasury shares or shares acquired on the open market. In the event that any dividend or other distribution (whether in the form of cash, our common stock, or other property), recapitalization, stock split, reverse stock split, reorganization, merger, consolidation, split-up, spin-off, or exchange of our common stock or our other securities, or other change in our structure affecting our common stock occurs, then in order to prevent dilution or enlargement of the benefits or potential benefits intended to be made available under the ESPP, our compensation committee will, in such manner as it deems equitable, adjust the number of shares and class of common stock that may be delivered under the ESPP, the purchase price per share and the number of shares covered by each outstanding option under the ESPP, and the numerical limits described above.</w:t>
      </w:r>
    </w:p>
    <w:p>
      <w:pPr>
        <w:sectPr>
          <w:pgSz w:w="11900" w:h="16838" w:orient="portrait"/>
          <w:cols w:equalWidth="0" w:num="1">
            <w:col w:w="9859"/>
          </w:cols>
          <w:pgMar w:left="600" w:top="132" w:right="1440" w:bottom="11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13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Generally, our employees and employees of our participating subsidiaries who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employed for at least two (2) years (or such lesser period determined by our compensation committee) and are customarily employed for at least twenty (20) hours per week and for more than five (5) months in any calendar year will be eligible to participate in the ESPP. Notwithstanding the foregoing, our compensation committee may exclude from participation in the ESPP or any offering period employees who are (i) “highly compensated employees” within the meaning of Section 414(q) of the Code, or (ii) citizens or residents of a foreign jurisdiction where the grant of an option under the ESPP to such employee would be prohibited under the laws of such foreign jurisdiction or the grant of an option under the ESPP to such employee in compliance with the laws of such foreign jurisdiction would cause the ESPP to violate the requirements of Section 423 of the Code. No employee may be granted options to purchase shares of our common stock under the ESPP if such employee (x) immediately after the grant would own capital stock possessing 5% or more of the total combined voting power or value of all classes of our capital stock, or (y) holds rights to purchase shares of our common stock under all of our employee stock purchase plans (as defined in Section 423 of the Code) that accrue at a rate exceeding $25,000 (determined as of the option grant date) for each calendar year in which such rights are outstanding.</w:t>
      </w:r>
    </w:p>
    <w:p>
      <w:pPr>
        <w:spacing w:after="0" w:line="330" w:lineRule="exact"/>
        <w:rPr>
          <w:sz w:val="20"/>
          <w:szCs w:val="20"/>
          <w:color w:val="auto"/>
        </w:rPr>
      </w:pPr>
    </w:p>
    <w:p>
      <w:pPr>
        <w:ind w:left="1260" w:right="619"/>
        <w:spacing w:after="0" w:line="253" w:lineRule="auto"/>
        <w:rPr>
          <w:sz w:val="20"/>
          <w:szCs w:val="20"/>
          <w:color w:val="auto"/>
        </w:rPr>
      </w:pPr>
      <w:r>
        <w:rPr>
          <w:rFonts w:ascii="Arial" w:cs="Arial" w:eastAsia="Arial" w:hAnsi="Arial"/>
          <w:sz w:val="18"/>
          <w:szCs w:val="18"/>
          <w:i w:val="1"/>
          <w:iCs w:val="1"/>
          <w:color w:val="auto"/>
        </w:rPr>
        <w:t xml:space="preserve">Grant and exercise of options. </w:t>
      </w:r>
      <w:r>
        <w:rPr>
          <w:rFonts w:ascii="Arial" w:cs="Arial" w:eastAsia="Arial" w:hAnsi="Arial"/>
          <w:sz w:val="18"/>
          <w:szCs w:val="18"/>
          <w:color w:val="auto"/>
        </w:rPr>
        <w:t>The ESPP provides for twelve (12) month offering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commencing on or about January 1st of each year, unless specified otherwise by our compensation committee. Eligible employees may elect to become a participant in the ESPP by submitting an enrollment form, pursuant to which an employee may elect to enroll in the ESPP, authorize a new level of payroll deductions, or stop payroll deductions and withdraw from an</w:t>
      </w:r>
    </w:p>
    <w:p>
      <w:pPr>
        <w:spacing w:after="0" w:line="3" w:lineRule="exact"/>
        <w:rPr>
          <w:sz w:val="20"/>
          <w:szCs w:val="20"/>
          <w:color w:val="auto"/>
        </w:rPr>
      </w:pPr>
    </w:p>
    <w:p>
      <w:pPr>
        <w:ind w:left="1260" w:right="759"/>
        <w:spacing w:after="0" w:line="260" w:lineRule="auto"/>
        <w:rPr>
          <w:sz w:val="20"/>
          <w:szCs w:val="20"/>
          <w:color w:val="auto"/>
        </w:rPr>
      </w:pPr>
      <w:r>
        <w:rPr>
          <w:rFonts w:ascii="Arial" w:cs="Arial" w:eastAsia="Arial" w:hAnsi="Arial"/>
          <w:sz w:val="18"/>
          <w:szCs w:val="18"/>
          <w:color w:val="auto"/>
        </w:rPr>
        <w:t>offering period. However, a participant may not purchase more than shares of our common stock during each offering period.</w:t>
      </w:r>
    </w:p>
    <w:p>
      <w:pPr>
        <w:spacing w:after="0" w:line="130" w:lineRule="exact"/>
        <w:rPr>
          <w:sz w:val="20"/>
          <w:szCs w:val="20"/>
          <w:color w:val="auto"/>
        </w:rPr>
      </w:pPr>
    </w:p>
    <w:p>
      <w:pPr>
        <w:ind w:left="1260" w:right="739"/>
        <w:spacing w:after="0" w:line="249" w:lineRule="auto"/>
        <w:rPr>
          <w:sz w:val="20"/>
          <w:szCs w:val="20"/>
          <w:color w:val="auto"/>
        </w:rPr>
      </w:pPr>
      <w:r>
        <w:rPr>
          <w:rFonts w:ascii="Arial" w:cs="Arial" w:eastAsia="Arial" w:hAnsi="Arial"/>
          <w:sz w:val="18"/>
          <w:szCs w:val="18"/>
          <w:color w:val="auto"/>
        </w:rPr>
        <w:t>During each offering period for which a participant has enrolled, the participant may contribute through payroll deductions in an amount equal to (i) between 1% and %, in</w:t>
      </w:r>
    </w:p>
    <w:p>
      <w:pPr>
        <w:spacing w:after="0" w:line="1" w:lineRule="exact"/>
        <w:rPr>
          <w:sz w:val="20"/>
          <w:szCs w:val="20"/>
          <w:color w:val="auto"/>
        </w:rPr>
      </w:pPr>
    </w:p>
    <w:p>
      <w:pPr>
        <w:ind w:left="1260" w:right="519"/>
        <w:spacing w:after="0" w:line="250" w:lineRule="auto"/>
        <w:rPr>
          <w:sz w:val="20"/>
          <w:szCs w:val="20"/>
          <w:color w:val="auto"/>
        </w:rPr>
      </w:pPr>
      <w:r>
        <w:rPr>
          <w:rFonts w:ascii="Arial" w:cs="Arial" w:eastAsia="Arial" w:hAnsi="Arial"/>
          <w:sz w:val="18"/>
          <w:szCs w:val="18"/>
          <w:color w:val="auto"/>
        </w:rPr>
        <w:t>whole percentages, of his or her compensation, or (ii) a fixed dollar amount, in each case, on each pay day occurring during such offering period. A participant’s compensation for purposes of the ESPP includes base salary, wages, annual cash incentive compensation and commissions (including overtime), but excludes education or tuition reimbursements, imputed income arising under any group insurance or benefit program, travel expenses, business and relocation expenses, income received in connection with stock options or other equity or equity-based awards, incentive compensation (other than annual cash incentive compensation), and one-time bonuses (e.g., retention or sign on bonuses). No interest shall accrue on or be payable with respect to the payroll deductions of a participant in the ESPP. Payroll deductions would be made before deduction for any salary deferral contributions made by the employee to any tax-qualified or nonqualified deferred compensation plan.</w:t>
      </w:r>
    </w:p>
    <w:p>
      <w:pPr>
        <w:spacing w:after="0" w:line="157" w:lineRule="exact"/>
        <w:rPr>
          <w:sz w:val="20"/>
          <w:szCs w:val="20"/>
          <w:color w:val="auto"/>
        </w:rPr>
      </w:pPr>
    </w:p>
    <w:p>
      <w:pPr>
        <w:ind w:left="1260" w:right="539"/>
        <w:spacing w:after="0" w:line="265" w:lineRule="auto"/>
        <w:rPr>
          <w:sz w:val="20"/>
          <w:szCs w:val="20"/>
          <w:color w:val="auto"/>
        </w:rPr>
      </w:pPr>
      <w:r>
        <w:rPr>
          <w:rFonts w:ascii="Arial" w:cs="Arial" w:eastAsia="Arial" w:hAnsi="Arial"/>
          <w:sz w:val="18"/>
          <w:szCs w:val="18"/>
          <w:color w:val="auto"/>
        </w:rPr>
        <w:t>On the last trading day of each offering period, a participant’s option to purchase shares of our common stock will be exercised automatically. The per-share purchase price will be the lesser of</w:t>
      </w:r>
    </w:p>
    <w:p>
      <w:pPr>
        <w:ind w:left="2520" w:hanging="1265"/>
        <w:spacing w:after="0"/>
        <w:tabs>
          <w:tab w:leader="none" w:pos="2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percent (%) of the fair market value of one share of our common stock on the</w:t>
      </w:r>
    </w:p>
    <w:p>
      <w:pPr>
        <w:spacing w:after="0" w:line="22" w:lineRule="exact"/>
        <w:rPr>
          <w:sz w:val="20"/>
          <w:szCs w:val="20"/>
          <w:color w:val="auto"/>
        </w:rPr>
      </w:pPr>
    </w:p>
    <w:p>
      <w:pPr>
        <w:ind w:left="1260" w:right="579"/>
        <w:spacing w:after="0" w:line="266" w:lineRule="auto"/>
        <w:rPr>
          <w:sz w:val="20"/>
          <w:szCs w:val="20"/>
          <w:color w:val="auto"/>
        </w:rPr>
      </w:pPr>
      <w:r>
        <w:rPr>
          <w:rFonts w:ascii="Arial" w:cs="Arial" w:eastAsia="Arial" w:hAnsi="Arial"/>
          <w:sz w:val="18"/>
          <w:szCs w:val="18"/>
          <w:color w:val="auto"/>
        </w:rPr>
        <w:t>first trading day of the applicable offering period and (ii) percent ( %) of the fair market value of one share of our common stock on the last trading day of the applicable offering period. As soon as reasonably practicable after the last day of each offering period, we will arrange for the delivery to each participant of the shares of our common stock purchased upon exercise of his or her option. We may require that the shares of our common stock be deposited and/or retained for a specified period of time with a financial services firm or other agent it designates as broker. Neither payroll deductions nor rights with respect to the exercise of an option or to receive shares of our common stock are transferable, other than by will, by the laws of descent and distribution, or by written designation of a beneficiary with our compensation committee.</w:t>
      </w:r>
    </w:p>
    <w:p>
      <w:pPr>
        <w:spacing w:after="0" w:line="339" w:lineRule="exact"/>
        <w:rPr>
          <w:sz w:val="20"/>
          <w:szCs w:val="20"/>
          <w:color w:val="auto"/>
        </w:rPr>
      </w:pPr>
    </w:p>
    <w:p>
      <w:pPr>
        <w:ind w:left="1260" w:right="499"/>
        <w:spacing w:after="0" w:line="269" w:lineRule="auto"/>
        <w:rPr>
          <w:sz w:val="20"/>
          <w:szCs w:val="20"/>
          <w:color w:val="auto"/>
        </w:rPr>
      </w:pPr>
      <w:r>
        <w:rPr>
          <w:rFonts w:ascii="Arial" w:cs="Arial" w:eastAsia="Arial" w:hAnsi="Arial"/>
          <w:sz w:val="18"/>
          <w:szCs w:val="18"/>
          <w:i w:val="1"/>
          <w:iCs w:val="1"/>
          <w:color w:val="auto"/>
        </w:rPr>
        <w:t xml:space="preserve">Termination of Employment and Withdrawal from the ESPP. </w:t>
      </w:r>
      <w:r>
        <w:rPr>
          <w:rFonts w:ascii="Arial" w:cs="Arial" w:eastAsia="Arial" w:hAnsi="Arial"/>
          <w:sz w:val="18"/>
          <w:szCs w:val="18"/>
          <w:color w:val="auto"/>
        </w:rPr>
        <w:t>Participants may elect to withdraw</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ESPP at any time and receive back any of their contributions, without interest, not used to purchase shares of our common stock; provided that if a participant wishes to withdraw his or her funds prior to purchase, he or she must submit a revised enrollment form to our compensation committee at least fifteen (15) days prior to the end of the then-current offering period. Participants who terminate employment before the end of an offering period will be deemed to have withdrawn from the ESPP and the payroll deductions in the participant’s notional account that have not been used to purchase shares of our common stock will be returned to the participant.</w:t>
      </w:r>
    </w:p>
    <w:p>
      <w:pPr>
        <w:sectPr>
          <w:pgSz w:w="11900" w:h="16838" w:orient="portrait"/>
          <w:cols w:equalWidth="0" w:num="1">
            <w:col w:w="9859"/>
          </w:cols>
          <w:pgMar w:left="600" w:top="132" w:right="1440" w:bottom="9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955"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i w:val="1"/>
          <w:iCs w:val="1"/>
          <w:color w:val="auto"/>
        </w:rPr>
        <w:t xml:space="preserve">Amendment and Termination of the ESPP. </w:t>
      </w:r>
      <w:r>
        <w:rPr>
          <w:rFonts w:ascii="Arial" w:cs="Arial" w:eastAsia="Arial" w:hAnsi="Arial"/>
          <w:sz w:val="18"/>
          <w:szCs w:val="18"/>
          <w:color w:val="auto"/>
        </w:rPr>
        <w:t>Our compensation committee may amend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the ESPP at any time for any reason. If the ESPP is terminated, our compensation committee may elect to terminate the outstanding offering period either immediately, or after shares of our common stock have been purchased on the last trading day of the offering period (which may, in the discretion of our compensation committee, be accelerated) and all amounts that have not been used to purchase shares of our common stock will then be returned to participants as soon as administratively practicable. In the event of a merger, consolidation, acquisition of property or stock, separation, reorganization, or other corporate event described in Section 424 of the Code,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that occurs before the date of the applicable transaction. Unless terminated earlier pursuant to the terms of the ESPP, the ESPP will have a term of 10 years following the ESPP’s effective date.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Other benefits</w:t>
      </w:r>
    </w:p>
    <w:p>
      <w:pPr>
        <w:spacing w:after="0" w:line="155" w:lineRule="exact"/>
        <w:rPr>
          <w:sz w:val="20"/>
          <w:szCs w:val="20"/>
          <w:color w:val="auto"/>
        </w:rPr>
      </w:pPr>
    </w:p>
    <w:p>
      <w:pPr>
        <w:ind w:left="1260" w:right="859"/>
        <w:spacing w:after="0" w:line="275" w:lineRule="auto"/>
        <w:rPr>
          <w:sz w:val="20"/>
          <w:szCs w:val="20"/>
          <w:color w:val="auto"/>
        </w:rPr>
      </w:pPr>
      <w:r>
        <w:rPr>
          <w:rFonts w:ascii="Arial" w:cs="Arial" w:eastAsia="Arial" w:hAnsi="Arial"/>
          <w:sz w:val="18"/>
          <w:szCs w:val="18"/>
          <w:color w:val="auto"/>
        </w:rPr>
        <w:t>We currently provide welfare benefits that are available to all of our employees, including our NEOs, including health, dental, life, vision, and disability insurance.</w:t>
      </w:r>
    </w:p>
    <w:p>
      <w:pPr>
        <w:spacing w:after="0" w:line="131" w:lineRule="exact"/>
        <w:rPr>
          <w:sz w:val="20"/>
          <w:szCs w:val="20"/>
          <w:color w:val="auto"/>
        </w:rPr>
      </w:pPr>
    </w:p>
    <w:p>
      <w:pPr>
        <w:ind w:left="1260" w:right="619"/>
        <w:spacing w:after="0" w:line="266" w:lineRule="auto"/>
        <w:rPr>
          <w:sz w:val="20"/>
          <w:szCs w:val="20"/>
          <w:color w:val="auto"/>
        </w:rPr>
      </w:pPr>
      <w:r>
        <w:rPr>
          <w:rFonts w:ascii="Arial" w:cs="Arial" w:eastAsia="Arial" w:hAnsi="Arial"/>
          <w:sz w:val="18"/>
          <w:szCs w:val="18"/>
          <w:color w:val="auto"/>
        </w:rPr>
        <w:t>In addition, we maintain, and the NEOs participate in, a 401(k) plan that provides eligible employees with an opportunity to save for retirement on a tax advantage basis and under which we make safe harbor matching employer contributions. We match 100% of the first 3% of the participating employee’s contributions and 50% of the next 2% of the participating employee’s contributions, and participants are always fully vested in their safe harbor matching employer contributions. Employees’ pre-tax contributions are allocated to each participant’s individual account and are then invested in selected investment alternatives according to the participant’s directions. The 401(k) plan is intended to be qualified under Section 401(a) of the Code.</w:t>
      </w:r>
    </w:p>
    <w:p>
      <w:pPr>
        <w:spacing w:after="0" w:line="142" w:lineRule="exact"/>
        <w:rPr>
          <w:sz w:val="20"/>
          <w:szCs w:val="20"/>
          <w:color w:val="auto"/>
        </w:rPr>
      </w:pPr>
    </w:p>
    <w:p>
      <w:pPr>
        <w:ind w:left="1260" w:right="839"/>
        <w:spacing w:after="0" w:line="275" w:lineRule="auto"/>
        <w:rPr>
          <w:sz w:val="20"/>
          <w:szCs w:val="20"/>
          <w:color w:val="auto"/>
        </w:rPr>
      </w:pPr>
      <w:r>
        <w:rPr>
          <w:rFonts w:ascii="Arial" w:cs="Arial" w:eastAsia="Arial" w:hAnsi="Arial"/>
          <w:sz w:val="18"/>
          <w:szCs w:val="18"/>
          <w:color w:val="auto"/>
        </w:rPr>
        <w:t>We do not maintain any defined benefit pension plans or nonqualified deferred compensation plans.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Rule 10b5-1 sales plans</w:t>
      </w:r>
    </w:p>
    <w:p>
      <w:pPr>
        <w:spacing w:after="0" w:line="155" w:lineRule="exact"/>
        <w:rPr>
          <w:sz w:val="20"/>
          <w:szCs w:val="20"/>
          <w:color w:val="auto"/>
        </w:rPr>
      </w:pPr>
    </w:p>
    <w:p>
      <w:pPr>
        <w:ind w:left="1260" w:right="499"/>
        <w:spacing w:after="0" w:line="265"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our common stock on a periodic basis. Under a Rule 10b5-1 plan, a broker executes trades pursuant to parameters established by the director or officer when entering into the plan, without further direction from them. The director or officer may amend or terminate a Rule 10b5-1 plan subject to compliance with our insider trading policy. Our directors and executive officers also may buy or sell additional shares outside of a</w:t>
      </w:r>
    </w:p>
    <w:p>
      <w:pPr>
        <w:spacing w:after="0" w:line="1"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Rule 10b5-1 plan when they are not in possession of material nonpublic information subject to compliance with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Certain relationships and related party transactions</w:t>
      </w:r>
    </w:p>
    <w:p>
      <w:pPr>
        <w:spacing w:after="0" w:line="150"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The following includes a summary of transactions since January 1, 2019 and any currently proposed transactions to which we were or are expected to be a participant in which (1) the amount involved exceeded or will exceed the lesser of $ 120,000 or one percent of our average total assets at year end for the last two completed fiscal years,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 and “Management—Non-employee director compensation.”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Bayer HealthCare LLC</w:t>
      </w:r>
    </w:p>
    <w:p>
      <w:pPr>
        <w:spacing w:after="0" w:line="155" w:lineRule="exact"/>
        <w:rPr>
          <w:sz w:val="20"/>
          <w:szCs w:val="20"/>
          <w:color w:val="auto"/>
        </w:rPr>
      </w:pPr>
    </w:p>
    <w:p>
      <w:pPr>
        <w:ind w:left="1260" w:right="779"/>
        <w:spacing w:after="0" w:line="260" w:lineRule="auto"/>
        <w:rPr>
          <w:sz w:val="20"/>
          <w:szCs w:val="20"/>
          <w:color w:val="auto"/>
        </w:rPr>
      </w:pPr>
      <w:r>
        <w:rPr>
          <w:rFonts w:ascii="Arial" w:cs="Arial" w:eastAsia="Arial" w:hAnsi="Arial"/>
          <w:sz w:val="18"/>
          <w:szCs w:val="18"/>
          <w:color w:val="auto"/>
        </w:rPr>
        <w:t>Bayer is a holder of greater than 5% of our securities. Below is a summary of the transactions entered into between Bayer and us since January 1, 2019.</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Commitment agreement and option agreement</w:t>
      </w:r>
    </w:p>
    <w:p>
      <w:pPr>
        <w:spacing w:after="0" w:line="165"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In June 2019, we entered into a Commitment Agreement by and among Prior Century, Bayer and us, or the Commitment Agreement, pursuant to which Bayer agreed to make an aggregate capital contribution of up to $215 million, upon the achievement of certain milestones. In June 2019, Bayer invested $75 million in consideration for 26,143,709 units in Century Therapeutics, LLC. Bayer invested an additional $70 million in 2020 and 2021, for no additional consideration. The Commitment Agreement terminated on February 25, 2021 in connection with the Series C Financing and Bayer has no continuing obligation to invest any additional amounts under the Commitment Agreement.</w:t>
      </w:r>
    </w:p>
    <w:p>
      <w:pPr>
        <w:spacing w:after="0" w:line="341"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In June 2019, we entered into an Option Agreement by and among Prior Century, Bayer and us, which, following the 2021 Reorganization, was subsequently amended and restated in February 2021, or the Option Agreement. For a description of the Option Agreement, see “Business—Licensing, Partnerships and Collaborations—Bayer Option Agreement.” No payments were made under the Option Agreement in 2019 or 2020.</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Series C Financing</w:t>
      </w:r>
    </w:p>
    <w:p>
      <w:pPr>
        <w:spacing w:after="0" w:line="165" w:lineRule="exact"/>
        <w:rPr>
          <w:sz w:val="20"/>
          <w:szCs w:val="20"/>
          <w:color w:val="auto"/>
        </w:rPr>
      </w:pPr>
    </w:p>
    <w:p>
      <w:pPr>
        <w:ind w:left="1260" w:right="599"/>
        <w:spacing w:after="0" w:line="260" w:lineRule="auto"/>
        <w:rPr>
          <w:sz w:val="20"/>
          <w:szCs w:val="20"/>
          <w:color w:val="auto"/>
        </w:rPr>
      </w:pPr>
      <w:r>
        <w:rPr>
          <w:rFonts w:ascii="Arial" w:cs="Arial" w:eastAsia="Arial" w:hAnsi="Arial"/>
          <w:sz w:val="18"/>
          <w:szCs w:val="18"/>
          <w:color w:val="auto"/>
        </w:rPr>
        <w:t>Bayer participated in our Series C Financing in February 2021. For a description of the Series C Financing and Bayer’s participation therein, see “—Series C Financing.”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FUJIFILM Cellular Dynamics, Inc.</w:t>
      </w:r>
    </w:p>
    <w:p>
      <w:pPr>
        <w:spacing w:after="0" w:line="155" w:lineRule="exact"/>
        <w:rPr>
          <w:sz w:val="20"/>
          <w:szCs w:val="20"/>
          <w:color w:val="auto"/>
        </w:rPr>
      </w:pPr>
    </w:p>
    <w:p>
      <w:pPr>
        <w:ind w:left="1260" w:right="839"/>
        <w:spacing w:after="0" w:line="260" w:lineRule="auto"/>
        <w:rPr>
          <w:sz w:val="20"/>
          <w:szCs w:val="20"/>
          <w:color w:val="auto"/>
        </w:rPr>
      </w:pPr>
      <w:r>
        <w:rPr>
          <w:rFonts w:ascii="Arial" w:cs="Arial" w:eastAsia="Arial" w:hAnsi="Arial"/>
          <w:sz w:val="18"/>
          <w:szCs w:val="18"/>
          <w:color w:val="auto"/>
        </w:rPr>
        <w:t>FCDI is a holder of greater than 5% of our securities. Below are the transactions entered into between FCDI and us since January 1, 2019.</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Reprogramming license agreement</w:t>
      </w:r>
    </w:p>
    <w:p>
      <w:pPr>
        <w:spacing w:after="0" w:line="151"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In September 2018, we entered into a License Agreement, or the Reprogramming License, with FCDI pursuant to which FCDI granted us a non-exclusive, sublicensable, worldwide (excluding Japan) license under certain patents and know-how related to the reprogramming of human cells to iPSCs. For a description of the Reprogramming License, see “Business—Licensing, Partnerships and Collaborations—FUJIFILM Cellular Dynamics.” No payments were made under the Reprogramming License in 2019 or 2020.</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Differentiation license agreement</w:t>
      </w:r>
    </w:p>
    <w:p>
      <w:pPr>
        <w:spacing w:after="0" w:line="165"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In September 2018, we entered into a License Agreement, or the Differentiation License, with FCDI pursuant to which FCDI granted us an exclusive, sublicensable, worldwide (excluding Japan) license under certain patents and know-how for the research, development and commercialization of certain cancer immunotherapy products consisting of cells that are, or are modifications of, NK cells, T cells, dendritic cells, and macrophages derived from human iPSCs for cancer immunotherapeutic use. As consideration for the Differentiation License, Prior Century issued FCDI 7,500,000 shares of its common stock, which converted into an equivalent number of shares of our</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right="919"/>
        <w:spacing w:after="0" w:line="270" w:lineRule="auto"/>
        <w:rPr>
          <w:sz w:val="20"/>
          <w:szCs w:val="20"/>
          <w:color w:val="auto"/>
        </w:rPr>
      </w:pPr>
      <w:r>
        <w:rPr>
          <w:rFonts w:ascii="Arial" w:cs="Arial" w:eastAsia="Arial" w:hAnsi="Arial"/>
          <w:sz w:val="18"/>
          <w:szCs w:val="18"/>
          <w:color w:val="auto"/>
        </w:rPr>
        <w:t>common stock in the 2021 Reorganization. For a description of the Differentiation License Agreement, see “Business—Licensing, Partnerships and Collaborations—FUJIFILM Cellular Dynamics.” No payments were made under the Differentiation License in 2019 or 2020.</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Master collaboration agreement</w:t>
      </w:r>
    </w:p>
    <w:p>
      <w:pPr>
        <w:spacing w:after="0" w:line="165"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In October 2019, we entered into a Master Collaboration Agreement, or the Collaboration Agreement, with FCDI pursuant to which FCDI agreed to provide certain development, testing, and manufacturing services to us with respect to our sale of certain licensed products pursuant to the Reprogramming License and Differentiation License. For a description of the Master Collaboration Agreement, see “Business—Licensing, Partnerships and Collaborations—FUJIFILM Cellular Dynamics.” We have made payments to FCDI under the Master Collaboration Agreement totaling $4.8 million in 2019 and $5.3 million in 2020.</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78"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In March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For a description of the Manufacturing Agreement, see “Business— Licensing, Partnerships and Collaborations—FUJIFILM Cellular Dynamics.”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Series C Financing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Following the 2021 Reorganization, on February 25, 2021, we completed the Series C Financing.</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Certain holders of more than 5% of our capital stock (or their affiliates) participated in the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Series C Financing. Versant Vantage II, L.P. invested $10 million for a total of 1,545,125 shares of</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Series C preferred stock and Bayer invested $25 million for a total of 3,862,813 shares of</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Series C Preferred Stock, each at a price of approximately $6.472 per share.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65"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In connection with the Series C Financing, we entered into an investors’ rights agreement, or the investors’ rights agreement, with certain holders of our common stock and each holder of our preferred stock, which includes each holder of more than 5% of our capital stock. The investors’ rights agreement imposes certain affirmative obligations on us, including with respect to financial reporting obligations and investor inspections, and also grants certain rights to certain of the holders of our capital stock party thereto, including rights of first offer, demand, and piggyback registration rights and, if we are eligible, Form S-3 registration rights, with respect to the registrable securities held by them. See the section titled “Description of capital stock— Registration Rights” for additional information. Certain provisions of the investors’ rights agreement, including our affirmative obligations and the right of first offer rights will terminate immediately prior to the closing of this offering, while the registration rights set forth in the investors’ rights agreement will continue in effect after the closing of this offering until they expire in accordance with their terms.</w:t>
      </w:r>
    </w:p>
    <w:p>
      <w:pPr>
        <w:spacing w:after="0" w:line="3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78"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In connection with the Series C Financing, we entered into a voting agreement with certain holders of our common stock and each holder of our preferred stock, which includes each holder of more than 5% of our capital stock. The voting agreement, including all rights thereunder, will automatically terminate upon the closing of this offering.</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78" w:lineRule="exact"/>
        <w:rPr>
          <w:sz w:val="20"/>
          <w:szCs w:val="20"/>
          <w:color w:val="auto"/>
        </w:rPr>
      </w:pPr>
    </w:p>
    <w:p>
      <w:pPr>
        <w:jc w:val="both"/>
        <w:ind w:left="1260" w:right="899"/>
        <w:spacing w:after="0" w:line="270" w:lineRule="auto"/>
        <w:rPr>
          <w:sz w:val="20"/>
          <w:szCs w:val="20"/>
          <w:color w:val="auto"/>
        </w:rPr>
      </w:pPr>
      <w:r>
        <w:rPr>
          <w:rFonts w:ascii="Arial" w:cs="Arial" w:eastAsia="Arial" w:hAnsi="Arial"/>
          <w:sz w:val="18"/>
          <w:szCs w:val="18"/>
          <w:color w:val="auto"/>
        </w:rPr>
        <w:t>In connection with the Series C Financing, we entered into a right of first refusal and co-sale agreement with certain holders of our common stock and each holder of our preferred stock, which includes each holder of more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619"/>
        <w:spacing w:after="0" w:line="275" w:lineRule="auto"/>
        <w:rPr>
          <w:sz w:val="20"/>
          <w:szCs w:val="20"/>
          <w:color w:val="auto"/>
        </w:rPr>
      </w:pPr>
      <w:r>
        <w:rPr>
          <w:rFonts w:ascii="Arial" w:cs="Arial" w:eastAsia="Arial" w:hAnsi="Arial"/>
          <w:sz w:val="18"/>
          <w:szCs w:val="18"/>
          <w:color w:val="auto"/>
        </w:rPr>
        <w:t>than 5% of our capital stock. The right of first refusal and co-sale agreement, including all rights thereunder, will automatically terminate immediately prior to the closing of this offering.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Executive officer and director compensation</w:t>
      </w:r>
    </w:p>
    <w:p>
      <w:pPr>
        <w:spacing w:after="0" w:line="155" w:lineRule="exact"/>
        <w:rPr>
          <w:sz w:val="20"/>
          <w:szCs w:val="20"/>
          <w:color w:val="auto"/>
        </w:rPr>
      </w:pPr>
    </w:p>
    <w:p>
      <w:pPr>
        <w:ind w:left="1260" w:right="499"/>
        <w:spacing w:after="0" w:line="275" w:lineRule="auto"/>
        <w:rPr>
          <w:sz w:val="20"/>
          <w:szCs w:val="20"/>
          <w:color w:val="auto"/>
        </w:rPr>
      </w:pPr>
      <w:r>
        <w:rPr>
          <w:rFonts w:ascii="Arial" w:cs="Arial" w:eastAsia="Arial" w:hAnsi="Arial"/>
          <w:sz w:val="18"/>
          <w:szCs w:val="18"/>
          <w:color w:val="auto"/>
        </w:rPr>
        <w:t>Please see “Executive compensation” and “Management—Non-employee director compensation” for information regarding the compensation of our directors and executive officers.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Employment agreements</w:t>
      </w:r>
    </w:p>
    <w:p>
      <w:pPr>
        <w:spacing w:after="0" w:line="169"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that, among other things, provide for certain compensatory and change in control benefits, as well as severance benefits. We plan to enter into employment agreements with each of our NEOs prior to the closing of this offering. For a description of these agreements with our NEOs, see the section titled “Executive compensation—Employment Arrangements with our NEOs.”</w:t>
      </w: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Indemnification agreements</w:t>
      </w:r>
    </w:p>
    <w:p>
      <w:pPr>
        <w:spacing w:after="0" w:line="169"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We have entered and intend to continue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For more information regarding these indemnification agreements, see “Management—Limitation on liability and indemnification matters.”</w:t>
      </w:r>
    </w:p>
    <w:p>
      <w:pPr>
        <w:spacing w:after="0" w:line="38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55"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Our board of directors will adopt a written related party transaction policy, which will become effective upon the closing of this offering, setting forth the policies and procedures for the review and approval or ratification of related-party transactions. This policy will cover any transaction, arrangement or relationship, or any series of similar transactions, arrangements or relationships, in which we were or are to be a participant and a related party had or will have a direct or indirect material interest, as determined by the audit committee of our board of directors, including, without limitation, purchases of goods or services by or from the related party or entities in which the related party has a material interest, and indebtedness, guarantees of indebtedness or employment by us of a related party.</w:t>
      </w:r>
    </w:p>
    <w:p>
      <w:pPr>
        <w:spacing w:after="0" w:line="371" w:lineRule="exact"/>
        <w:rPr>
          <w:sz w:val="20"/>
          <w:szCs w:val="20"/>
          <w:color w:val="auto"/>
        </w:rPr>
      </w:pPr>
    </w:p>
    <w:p>
      <w:pPr>
        <w:ind w:left="1260" w:right="439"/>
        <w:spacing w:after="0" w:line="270" w:lineRule="auto"/>
        <w:rPr>
          <w:sz w:val="20"/>
          <w:szCs w:val="20"/>
          <w:color w:val="auto"/>
        </w:rPr>
      </w:pPr>
      <w:r>
        <w:rPr>
          <w:rFonts w:ascii="Arial" w:cs="Arial" w:eastAsia="Arial" w:hAnsi="Arial"/>
          <w:sz w:val="18"/>
          <w:szCs w:val="18"/>
          <w:color w:val="auto"/>
        </w:rPr>
        <w:t>All related party transactions described in this section occurred prior to adoption of this policy and as such, these transactions were not subject to the approval and review procedures set forth in the policy. However, these transactions were reviewed and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Principal stockholders</w:t>
      </w:r>
    </w:p>
    <w:p>
      <w:pPr>
        <w:spacing w:after="0" w:line="163" w:lineRule="exact"/>
        <w:rPr>
          <w:sz w:val="20"/>
          <w:szCs w:val="20"/>
          <w:color w:val="auto"/>
        </w:rPr>
      </w:pPr>
    </w:p>
    <w:p>
      <w:pPr>
        <w:ind w:left="1260" w:right="539"/>
        <w:spacing w:after="0" w:line="291" w:lineRule="auto"/>
        <w:rPr>
          <w:sz w:val="20"/>
          <w:szCs w:val="20"/>
          <w:color w:val="auto"/>
        </w:rPr>
      </w:pPr>
      <w:r>
        <w:rPr>
          <w:rFonts w:ascii="Arial" w:cs="Arial" w:eastAsia="Arial" w:hAnsi="Arial"/>
          <w:sz w:val="18"/>
          <w:szCs w:val="18"/>
          <w:color w:val="auto"/>
        </w:rPr>
        <w:t>The following table sets forth, as of March 1, 2021, information regarding beneficial ownership of our capital stock by:</w:t>
      </w:r>
    </w:p>
    <w:p>
      <w:pPr>
        <w:spacing w:after="0" w:line="117" w:lineRule="exact"/>
        <w:rPr>
          <w:sz w:val="20"/>
          <w:szCs w:val="20"/>
          <w:color w:val="auto"/>
        </w:rPr>
      </w:pPr>
    </w:p>
    <w:p>
      <w:pPr>
        <w:ind w:left="1400" w:right="719" w:hanging="145"/>
        <w:spacing w:after="0" w:line="275" w:lineRule="auto"/>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04" w:lineRule="exact"/>
        <w:rPr>
          <w:rFonts w:ascii="Arial" w:cs="Arial" w:eastAsia="Arial" w:hAnsi="Arial"/>
          <w:sz w:val="18"/>
          <w:szCs w:val="18"/>
          <w:color w:val="auto"/>
        </w:rPr>
      </w:pPr>
    </w:p>
    <w:p>
      <w:pPr>
        <w:ind w:left="1400" w:hanging="145"/>
        <w:spacing w:after="0"/>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NEOs;</w:t>
      </w:r>
    </w:p>
    <w:p>
      <w:pPr>
        <w:spacing w:after="0" w:line="156" w:lineRule="exact"/>
        <w:rPr>
          <w:rFonts w:ascii="Arial" w:cs="Arial" w:eastAsia="Arial" w:hAnsi="Arial"/>
          <w:sz w:val="18"/>
          <w:szCs w:val="18"/>
          <w:color w:val="auto"/>
        </w:rPr>
      </w:pPr>
    </w:p>
    <w:p>
      <w:pPr>
        <w:ind w:left="1400" w:hanging="145"/>
        <w:spacing w:after="0"/>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56" w:lineRule="exact"/>
        <w:rPr>
          <w:rFonts w:ascii="Arial" w:cs="Arial" w:eastAsia="Arial" w:hAnsi="Arial"/>
          <w:sz w:val="18"/>
          <w:szCs w:val="18"/>
          <w:color w:val="auto"/>
        </w:rPr>
      </w:pPr>
    </w:p>
    <w:p>
      <w:pPr>
        <w:ind w:left="1400" w:hanging="145"/>
        <w:spacing w:after="0"/>
        <w:tabs>
          <w:tab w:leader="none" w:pos="1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6" w:lineRule="exact"/>
        <w:rPr>
          <w:sz w:val="20"/>
          <w:szCs w:val="20"/>
          <w:color w:val="auto"/>
        </w:rPr>
      </w:pPr>
    </w:p>
    <w:p>
      <w:pPr>
        <w:ind w:left="1260" w:right="559"/>
        <w:spacing w:after="0" w:line="280" w:lineRule="auto"/>
        <w:rPr>
          <w:sz w:val="20"/>
          <w:szCs w:val="20"/>
          <w:color w:val="auto"/>
        </w:rPr>
      </w:pPr>
      <w:r>
        <w:rPr>
          <w:rFonts w:ascii="Arial" w:cs="Arial" w:eastAsia="Arial" w:hAnsi="Arial"/>
          <w:sz w:val="18"/>
          <w:szCs w:val="18"/>
          <w:color w:val="auto"/>
        </w:rPr>
        <w:t>The percentage ownership information under the column titled “Beneficial ownership prior to this offering” is based on 110,341,863 shares of common stock outstanding as of March 1, 2021, assuming the automatic conversion of all outstanding shares of our convertible preferred stock into an aggregate of 85,865,789 shares of common stock upon the closing of this offering.</w:t>
      </w:r>
    </w:p>
    <w:p>
      <w:pPr>
        <w:spacing w:after="0" w:line="3" w:lineRule="exact"/>
        <w:rPr>
          <w:sz w:val="20"/>
          <w:szCs w:val="20"/>
          <w:color w:val="auto"/>
        </w:rPr>
      </w:pPr>
    </w:p>
    <w:p>
      <w:pPr>
        <w:ind w:left="1260" w:right="639"/>
        <w:spacing w:after="0" w:line="280" w:lineRule="auto"/>
        <w:rPr>
          <w:sz w:val="20"/>
          <w:szCs w:val="20"/>
          <w:color w:val="auto"/>
        </w:rPr>
      </w:pPr>
      <w:r>
        <w:rPr>
          <w:rFonts w:ascii="Arial" w:cs="Arial" w:eastAsia="Arial" w:hAnsi="Arial"/>
          <w:sz w:val="18"/>
          <w:szCs w:val="18"/>
          <w:color w:val="auto"/>
        </w:rPr>
        <w:t>The percentage ownership information under the column titled “After Offering” is based on the sale of shares of common stock in this offering (assuming an initial public offering price of $ per share, the midpoint of the price range set forth on the cover page of this prospectus).</w:t>
      </w:r>
    </w:p>
    <w:p>
      <w:pPr>
        <w:spacing w:after="0" w:line="2" w:lineRule="exact"/>
        <w:rPr>
          <w:sz w:val="20"/>
          <w:szCs w:val="20"/>
          <w:color w:val="auto"/>
        </w:rPr>
      </w:pPr>
    </w:p>
    <w:p>
      <w:pPr>
        <w:ind w:left="1260" w:right="1119"/>
        <w:spacing w:after="0" w:line="291" w:lineRule="auto"/>
        <w:rPr>
          <w:sz w:val="20"/>
          <w:szCs w:val="20"/>
          <w:color w:val="auto"/>
        </w:rPr>
      </w:pPr>
      <w:r>
        <w:rPr>
          <w:rFonts w:ascii="Arial" w:cs="Arial" w:eastAsia="Arial" w:hAnsi="Arial"/>
          <w:sz w:val="18"/>
          <w:szCs w:val="18"/>
          <w:color w:val="auto"/>
        </w:rPr>
        <w:t>The percentage ownership information assumes no exercise of the underwriters’ option to purchase additional shares.</w:t>
      </w:r>
    </w:p>
    <w:p>
      <w:pPr>
        <w:spacing w:after="0" w:line="130" w:lineRule="exact"/>
        <w:rPr>
          <w:sz w:val="20"/>
          <w:szCs w:val="20"/>
          <w:color w:val="auto"/>
        </w:rPr>
      </w:pPr>
    </w:p>
    <w:p>
      <w:pPr>
        <w:ind w:left="1260" w:right="519"/>
        <w:spacing w:after="0" w:line="282"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March 1, 2021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378" w:lineRule="exact"/>
        <w:rPr>
          <w:sz w:val="20"/>
          <w:szCs w:val="20"/>
          <w:color w:val="auto"/>
        </w:rPr>
      </w:pPr>
    </w:p>
    <w:p>
      <w:pPr>
        <w:ind w:left="1260" w:right="639"/>
        <w:spacing w:after="0" w:line="291" w:lineRule="auto"/>
        <w:rPr>
          <w:sz w:val="20"/>
          <w:szCs w:val="20"/>
          <w:color w:val="auto"/>
        </w:rPr>
      </w:pPr>
      <w:r>
        <w:rPr>
          <w:rFonts w:ascii="Arial" w:cs="Arial" w:eastAsia="Arial" w:hAnsi="Arial"/>
          <w:sz w:val="18"/>
          <w:szCs w:val="18"/>
          <w:color w:val="auto"/>
        </w:rPr>
        <w:t>Unless otherwise noted below, the address for each beneficial owner listed in the table below is c/o Century Therapeutics, Inc., 3675 Market Street, Philadelphia, Pennsylvania, 19104.</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Beneficial ownership prior to Beneficial ownership after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this offering</w:t>
            </w: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this offering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40" w:type="dxa"/>
            <w:vAlign w:val="bottom"/>
          </w:tcPr>
          <w:p>
            <w:pPr>
              <w:jc w:val="right"/>
              <w:ind w:right="133"/>
              <w:spacing w:after="0" w:line="171" w:lineRule="exact"/>
              <w:rPr>
                <w:sz w:val="20"/>
                <w:szCs w:val="20"/>
                <w:color w:val="auto"/>
              </w:rPr>
            </w:pPr>
            <w:r>
              <w:rPr>
                <w:rFonts w:ascii="Arial" w:cs="Arial" w:eastAsia="Arial" w:hAnsi="Arial"/>
                <w:sz w:val="16"/>
                <w:szCs w:val="16"/>
                <w:b w:val="1"/>
                <w:bCs w:val="1"/>
                <w:color w:val="auto"/>
              </w:rPr>
              <w:t>Number of</w:t>
            </w:r>
          </w:p>
        </w:tc>
        <w:tc>
          <w:tcPr>
            <w:tcW w:w="11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Percentage</w:t>
            </w:r>
          </w:p>
        </w:tc>
        <w:tc>
          <w:tcPr>
            <w:tcW w:w="1080" w:type="dxa"/>
            <w:vAlign w:val="bottom"/>
          </w:tcPr>
          <w:p>
            <w:pPr>
              <w:jc w:val="right"/>
              <w:ind w:right="79"/>
              <w:spacing w:after="0" w:line="171" w:lineRule="exact"/>
              <w:rPr>
                <w:sz w:val="20"/>
                <w:szCs w:val="20"/>
                <w:color w:val="auto"/>
              </w:rPr>
            </w:pPr>
            <w:r>
              <w:rPr>
                <w:rFonts w:ascii="Arial" w:cs="Arial" w:eastAsia="Arial" w:hAnsi="Arial"/>
                <w:sz w:val="16"/>
                <w:szCs w:val="16"/>
                <w:b w:val="1"/>
                <w:bCs w:val="1"/>
                <w:color w:val="auto"/>
              </w:rPr>
              <w:t>Number of</w:t>
            </w:r>
          </w:p>
        </w:tc>
        <w:tc>
          <w:tcPr>
            <w:tcW w:w="112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40" w:type="dxa"/>
            <w:vAlign w:val="bottom"/>
          </w:tcPr>
          <w:p>
            <w:pPr>
              <w:jc w:val="right"/>
              <w:ind w:right="133"/>
              <w:spacing w:after="0"/>
              <w:rPr>
                <w:sz w:val="20"/>
                <w:szCs w:val="20"/>
                <w:color w:val="auto"/>
              </w:rPr>
            </w:pPr>
            <w:r>
              <w:rPr>
                <w:rFonts w:ascii="Arial" w:cs="Arial" w:eastAsia="Arial" w:hAnsi="Arial"/>
                <w:sz w:val="16"/>
                <w:szCs w:val="16"/>
                <w:b w:val="1"/>
                <w:bCs w:val="1"/>
                <w:color w:val="auto"/>
              </w:rPr>
              <w:t>shares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of</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40" w:type="dxa"/>
            <w:vAlign w:val="bottom"/>
          </w:tcPr>
          <w:p>
            <w:pPr>
              <w:jc w:val="right"/>
              <w:ind w:right="133"/>
              <w:spacing w:after="0"/>
              <w:rPr>
                <w:sz w:val="20"/>
                <w:szCs w:val="20"/>
                <w:color w:val="auto"/>
              </w:rPr>
            </w:pPr>
            <w:r>
              <w:rPr>
                <w:rFonts w:ascii="Arial" w:cs="Arial" w:eastAsia="Arial" w:hAnsi="Arial"/>
                <w:sz w:val="16"/>
                <w:szCs w:val="16"/>
                <w:b w:val="1"/>
                <w:bCs w:val="1"/>
                <w:color w:val="auto"/>
              </w:rPr>
              <w:t>beneficially</w:t>
            </w:r>
          </w:p>
        </w:tc>
        <w:tc>
          <w:tcPr>
            <w:tcW w:w="22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beneficial beneficially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beneficial</w:t>
            </w:r>
          </w:p>
        </w:tc>
        <w:tc>
          <w:tcPr>
            <w:tcW w:w="0" w:type="dxa"/>
            <w:vAlign w:val="bottom"/>
          </w:tcPr>
          <w:p>
            <w:pPr>
              <w:spacing w:after="0"/>
              <w:rPr>
                <w:sz w:val="1"/>
                <w:szCs w:val="1"/>
                <w:color w:val="auto"/>
              </w:rPr>
            </w:pPr>
          </w:p>
        </w:tc>
      </w:tr>
      <w:tr>
        <w:trPr>
          <w:trHeight w:val="227"/>
        </w:trPr>
        <w:tc>
          <w:tcPr>
            <w:tcW w:w="3660" w:type="dxa"/>
            <w:vAlign w:val="bottom"/>
            <w:gridSpan w:val="2"/>
          </w:tcPr>
          <w:p>
            <w:pPr>
              <w:spacing w:after="0"/>
              <w:rPr>
                <w:sz w:val="20"/>
                <w:szCs w:val="20"/>
                <w:color w:val="auto"/>
              </w:rPr>
            </w:pPr>
            <w:r>
              <w:rPr>
                <w:rFonts w:ascii="Arial" w:cs="Arial" w:eastAsia="Arial" w:hAnsi="Arial"/>
                <w:sz w:val="16"/>
                <w:szCs w:val="16"/>
                <w:b w:val="1"/>
                <w:bCs w:val="1"/>
                <w:color w:val="auto"/>
              </w:rPr>
              <w:t>Name of Beneficial Owner</w:t>
            </w:r>
          </w:p>
        </w:tc>
        <w:tc>
          <w:tcPr>
            <w:tcW w:w="1240" w:type="dxa"/>
            <w:vAlign w:val="bottom"/>
          </w:tcPr>
          <w:p>
            <w:pPr>
              <w:jc w:val="right"/>
              <w:ind w:right="73"/>
              <w:spacing w:after="0"/>
              <w:rPr>
                <w:sz w:val="20"/>
                <w:szCs w:val="20"/>
                <w:color w:val="auto"/>
              </w:rPr>
            </w:pPr>
            <w:r>
              <w:rPr>
                <w:rFonts w:ascii="Arial" w:cs="Arial" w:eastAsia="Arial" w:hAnsi="Arial"/>
                <w:sz w:val="16"/>
                <w:szCs w:val="16"/>
                <w:b w:val="1"/>
                <w:bCs w:val="1"/>
                <w:color w:val="auto"/>
              </w:rPr>
              <w:t>owned</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ownership</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owned</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ownership</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and Greater Stockholders:</w:t>
            </w:r>
          </w:p>
        </w:tc>
        <w:tc>
          <w:tcPr>
            <w:tcW w:w="12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Versant Entities(1)</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34,045,125</w:t>
            </w:r>
          </w:p>
        </w:tc>
        <w:tc>
          <w:tcPr>
            <w:tcW w:w="2240" w:type="dxa"/>
            <w:vAlign w:val="bottom"/>
            <w:gridSpan w:val="2"/>
          </w:tcPr>
          <w:p>
            <w:pPr>
              <w:jc w:val="right"/>
              <w:ind w:right="839"/>
              <w:spacing w:after="0"/>
              <w:rPr>
                <w:sz w:val="20"/>
                <w:szCs w:val="20"/>
                <w:color w:val="auto"/>
              </w:rPr>
            </w:pPr>
            <w:r>
              <w:rPr>
                <w:rFonts w:ascii="Arial" w:cs="Arial" w:eastAsia="Arial" w:hAnsi="Arial"/>
                <w:sz w:val="18"/>
                <w:szCs w:val="18"/>
                <w:color w:val="auto"/>
              </w:rPr>
              <w:t>30.9%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FUJIFILM Cellular Dynamics, Inc.(2)</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17,500,000</w:t>
            </w:r>
          </w:p>
        </w:tc>
        <w:tc>
          <w:tcPr>
            <w:tcW w:w="2240" w:type="dxa"/>
            <w:vAlign w:val="bottom"/>
            <w:tcBorders>
              <w:bottom w:val="single" w:sz="8" w:color="CCEEFF"/>
            </w:tcBorders>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15.9%</w:t>
            </w: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Bayer HealthCare LLC(3)</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30,006,603</w:t>
            </w:r>
          </w:p>
        </w:tc>
        <w:tc>
          <w:tcPr>
            <w:tcW w:w="2240" w:type="dxa"/>
            <w:vAlign w:val="bottom"/>
            <w:gridSpan w:val="2"/>
          </w:tcPr>
          <w:p>
            <w:pPr>
              <w:jc w:val="right"/>
              <w:ind w:right="839"/>
              <w:spacing w:after="0"/>
              <w:rPr>
                <w:sz w:val="20"/>
                <w:szCs w:val="20"/>
                <w:color w:val="auto"/>
              </w:rPr>
            </w:pPr>
            <w:r>
              <w:rPr>
                <w:rFonts w:ascii="Arial" w:cs="Arial" w:eastAsia="Arial" w:hAnsi="Arial"/>
                <w:sz w:val="18"/>
                <w:szCs w:val="18"/>
                <w:color w:val="auto"/>
              </w:rPr>
              <w:t>27.2%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Casdin Entities(4)</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6,180,500</w:t>
            </w:r>
          </w:p>
        </w:tc>
        <w:tc>
          <w:tcPr>
            <w:tcW w:w="2240" w:type="dxa"/>
            <w:vAlign w:val="bottom"/>
            <w:tcBorders>
              <w:bottom w:val="single" w:sz="8" w:color="CCEEFF"/>
            </w:tcBorders>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5.6%</w:t>
            </w: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Osvaldo Flores, Ph.D.(5)</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3,863,080</w:t>
            </w:r>
          </w:p>
        </w:tc>
        <w:tc>
          <w:tcPr>
            <w:tcW w:w="2240" w:type="dxa"/>
            <w:vAlign w:val="bottom"/>
            <w:tcBorders>
              <w:bottom w:val="single" w:sz="8" w:color="CCEEFF"/>
            </w:tcBorders>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3.5%</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Michael Diem, M.D.(6)</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933,707</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Douglas Carr, CPA</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466,853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Hyam Levitsky, M.D.(7)</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1,350,000</w:t>
            </w:r>
          </w:p>
        </w:tc>
        <w:tc>
          <w:tcPr>
            <w:tcW w:w="2240" w:type="dxa"/>
            <w:vAlign w:val="bottom"/>
            <w:gridSpan w:val="2"/>
          </w:tcPr>
          <w:p>
            <w:pPr>
              <w:jc w:val="right"/>
              <w:ind w:right="839"/>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Carlo Rizzuto, Ph.D.</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Toshikazu Ban</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Joseph Jimenez</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560,224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Juergen Eckhart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Eli Casdin(4)</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6,180,500</w:t>
            </w:r>
          </w:p>
        </w:tc>
        <w:tc>
          <w:tcPr>
            <w:tcW w:w="2240" w:type="dxa"/>
            <w:vAlign w:val="bottom"/>
            <w:tcBorders>
              <w:bottom w:val="single" w:sz="8" w:color="CCEEFF"/>
            </w:tcBorders>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5.6%</w:t>
            </w: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Cynthia Butitta</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w:t>
            </w: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a group (10 persons)</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13,354,364</w:t>
            </w:r>
          </w:p>
        </w:tc>
        <w:tc>
          <w:tcPr>
            <w:tcW w:w="224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12.0%</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64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60" w:right="459" w:hanging="5"/>
        <w:spacing w:after="0" w:line="260" w:lineRule="auto"/>
        <w:tabs>
          <w:tab w:leader="none" w:pos="1557"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(i) 25,000,000 shares of common stock issuable upon conversion of 25,000,000 shares of Series A preferred stock upon the closing of this offering held by Versant Venture Capital VI, L.P., or Versant VI, (ii) 7,500,000 shares of common stock held by Versant VI and (iii) 1,545,125 shares of common stock issuable upon conversion of 1,545,125 shares of Series C preferred stock upon the closing of this offering held by Versant Vantage II, L.P.,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pacing w:after="0" w:line="233" w:lineRule="exact"/>
        <w:rPr>
          <w:rFonts w:ascii="Arial" w:cs="Arial" w:eastAsia="Arial" w:hAnsi="Arial"/>
          <w:sz w:val="13"/>
          <w:szCs w:val="13"/>
          <w:color w:val="auto"/>
        </w:rPr>
      </w:pPr>
    </w:p>
    <w:p>
      <w:pPr>
        <w:ind w:left="1260" w:right="439" w:hanging="5"/>
        <w:spacing w:after="0" w:line="259" w:lineRule="auto"/>
        <w:tabs>
          <w:tab w:leader="none" w:pos="1557"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(i) 10,000,000 shares of common stock issuable upon the conversion of 10,000,000 shares of Series A preferred stock upon the closing of this offering held by FUJIFILM Cellular Dynamics, Inc., or FUJIFILM, and (ii) 7,500,000 shares of common stock held by FUJIFILM. FUJIFILM’s board of directors has sole voting and investment power over the Century shares held by FUJIFILM. FUJIFILM’s board of directors currently has five members who are: (1) Masataka Akiyama; (2) Tetsuya Iwasaki;</w:t>
      </w:r>
    </w:p>
    <w:p>
      <w:pPr>
        <w:ind w:left="1260" w:right="879" w:hanging="5"/>
        <w:spacing w:after="0" w:line="278" w:lineRule="auto"/>
        <w:tabs>
          <w:tab w:leader="none" w:pos="1475" w:val="left"/>
        </w:tabs>
        <w:numPr>
          <w:ilvl w:val="0"/>
          <w:numId w:val="97"/>
        </w:numPr>
        <w:rPr>
          <w:rFonts w:ascii="Arial" w:cs="Arial" w:eastAsia="Arial" w:hAnsi="Arial"/>
          <w:sz w:val="13"/>
          <w:szCs w:val="13"/>
          <w:color w:val="auto"/>
        </w:rPr>
      </w:pPr>
      <w:r>
        <w:rPr>
          <w:rFonts w:ascii="Arial" w:cs="Arial" w:eastAsia="Arial" w:hAnsi="Arial"/>
          <w:sz w:val="13"/>
          <w:szCs w:val="13"/>
          <w:color w:val="auto"/>
        </w:rPr>
        <w:t>Junji Okada; (4) Yutaka Yamaguchi; and (5) Takeshi Yamamoto (CEO). The address for FUJIFILM is 525 Science Drive, Madison, WI 53711.</w:t>
      </w:r>
    </w:p>
    <w:p>
      <w:pPr>
        <w:spacing w:after="0" w:line="44" w:lineRule="exact"/>
        <w:rPr>
          <w:sz w:val="20"/>
          <w:szCs w:val="20"/>
          <w:color w:val="auto"/>
        </w:rPr>
      </w:pPr>
    </w:p>
    <w:p>
      <w:pPr>
        <w:ind w:left="1260" w:right="479" w:hanging="5"/>
        <w:spacing w:after="0" w:line="259" w:lineRule="auto"/>
        <w:tabs>
          <w:tab w:leader="none" w:pos="1557"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(i) 26,143,790 shares of common stock issuable upon the conversion of 26,143,790 shares of Series B preferred stock upon the closing of this offering held by Bayer, and (ii) 3,862,813 shares of common stock issuable upon the conversion of 3,862,813 shares of Series C preferred stock upon the closing of this offering held by Bayer. Voting and investment decisions with respect to these shares are made by Bayer’s Board of Management, which consists of Werner Baumann, Liam Condom, Serena Lin, Wolfgang Nickl, Stefan Oelrich, and Heiko Schipper. Each of Messrs. Baumann, Condon, Nickl, Oelrich, Schipper, and</w:t>
      </w:r>
    </w:p>
    <w:p>
      <w:pPr>
        <w:ind w:left="1260" w:right="519"/>
        <w:spacing w:after="0" w:line="278" w:lineRule="auto"/>
        <w:rPr>
          <w:rFonts w:ascii="Arial" w:cs="Arial" w:eastAsia="Arial" w:hAnsi="Arial"/>
          <w:sz w:val="13"/>
          <w:szCs w:val="13"/>
          <w:color w:val="auto"/>
        </w:rPr>
      </w:pPr>
      <w:r>
        <w:rPr>
          <w:rFonts w:ascii="Arial" w:cs="Arial" w:eastAsia="Arial" w:hAnsi="Arial"/>
          <w:sz w:val="13"/>
          <w:szCs w:val="13"/>
          <w:color w:val="auto"/>
        </w:rPr>
        <w:t>Ms. Lin disclaim beneficial ownership over the shares held by Bayer. The address for Bayer is Bayer AG, Kaiser-Wilhelm-Allee 3, 51373 Leverkusen, Germany.</w:t>
      </w:r>
    </w:p>
    <w:p>
      <w:pPr>
        <w:spacing w:after="0" w:line="43" w:lineRule="exact"/>
        <w:rPr>
          <w:rFonts w:ascii="Arial" w:cs="Arial" w:eastAsia="Arial" w:hAnsi="Arial"/>
          <w:sz w:val="13"/>
          <w:szCs w:val="13"/>
          <w:color w:val="auto"/>
        </w:rPr>
      </w:pPr>
    </w:p>
    <w:p>
      <w:pPr>
        <w:ind w:left="1260" w:right="439" w:hanging="5"/>
        <w:spacing w:after="0" w:line="261" w:lineRule="auto"/>
        <w:tabs>
          <w:tab w:leader="none" w:pos="1557"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(i) 3,090,250 shares of common stock issuable upon the conversion of 3,090,250 shares of Series C preferred stock upon the closing of this offering held by Casdin Partners Master Fund, L.P., or Casdin PMF, and (ii) 3,090,250 shares of common stock issuable upon the conversion of 3,090,250 shares of Series C preferred stock upon the closing of this offering held by Casdin Private Growth Equity Fund, L.P., or Casdin PGEF. Casdin Capital, LLC is the investment adviser to each of Casdin PMF and Casdin PGEF. Casdin Partners GP, LLC, or Casdin GP, is the general partner of Casdin PMF and Casdin Private Growth Equity Fund GP, LLC, or Casdin PGEF GP, is the general partner of Casdin PGEF. Mr. Casdin is the managing member of Casdin Capital, LLC and Casdin Partners GP, LLC. As such, each of Casdin Capital, LLC, Casdin Partners GP, LLC, and Mr. Casdin may be deemed to beneficially own the securities held by Casdin PMF by virtue of their shared voting and investment control over Casdin PMF and each of Casdin Capital, LLC, Casdin PGEF GP, and Mr. Casdin may be deemed to beneficially own the securities held by Casdin PGEF by virtue of their shared voting and investment control over Casdin PGEF. Each of Casdin Capital, LLC, Casdin Partners GP, Casdin PGEF GP, and Mr. Casdin disclaims beneficial ownership of such</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60" w:right="559"/>
        <w:spacing w:after="0" w:line="278" w:lineRule="auto"/>
        <w:rPr>
          <w:sz w:val="20"/>
          <w:szCs w:val="20"/>
          <w:color w:val="auto"/>
        </w:rPr>
      </w:pPr>
      <w:r>
        <w:rPr>
          <w:rFonts w:ascii="Arial" w:cs="Arial" w:eastAsia="Arial" w:hAnsi="Arial"/>
          <w:sz w:val="13"/>
          <w:szCs w:val="13"/>
          <w:color w:val="auto"/>
        </w:rPr>
        <w:t>securities except to the extent of their respective pecuniary interest therein. The address of each of Casdin PMF, Casdin PGEF, Casdin Capital, LLC, Casdin GP, Casdin PGEF GP, and Mr. Casdin is 1350 Avenue of the Americas, Suite 2600, New York, New York 10019.</w:t>
      </w:r>
    </w:p>
    <w:p>
      <w:pPr>
        <w:spacing w:after="0" w:line="205" w:lineRule="exact"/>
        <w:rPr>
          <w:sz w:val="20"/>
          <w:szCs w:val="20"/>
          <w:color w:val="auto"/>
        </w:rPr>
      </w:pPr>
    </w:p>
    <w:p>
      <w:pPr>
        <w:ind w:left="1260" w:right="459" w:hanging="5"/>
        <w:spacing w:after="0" w:line="264" w:lineRule="auto"/>
        <w:tabs>
          <w:tab w:leader="none" w:pos="1557" w:val="left"/>
        </w:tabs>
        <w:numPr>
          <w:ilvl w:val="0"/>
          <w:numId w:val="99"/>
        </w:numPr>
        <w:rPr>
          <w:rFonts w:ascii="Arial" w:cs="Arial" w:eastAsia="Arial" w:hAnsi="Arial"/>
          <w:sz w:val="13"/>
          <w:szCs w:val="13"/>
          <w:color w:val="auto"/>
        </w:rPr>
      </w:pPr>
      <w:r>
        <w:rPr>
          <w:rFonts w:ascii="Arial" w:cs="Arial" w:eastAsia="Arial" w:hAnsi="Arial"/>
          <w:sz w:val="13"/>
          <w:szCs w:val="13"/>
          <w:color w:val="auto"/>
        </w:rPr>
        <w:t>Consists of (i) 1,325,580 shares of common stock; and (ii) 537,500 shares of common stock issuable pursuant to options that are exercisable within 60 days of March 1, 2021 assuming the achievement of the milestones applicable to the Performance Option by virtue of this offering held by Dr. Flores, 1,000,000 shares of common stock held by Nancy Stone, Dr. Flores’ wife, and 1,000,000 shares of common stock held by the Flores Family Trust for Gabriel O Flores dated October 27, 2016, or the Flores Trust. Ms. Stone is trustee of the Flores Trust. Dr. Flores disclaims beneficial ownership of the shares held by each of Ms. Stone and the Flores Trust.</w:t>
      </w:r>
    </w:p>
    <w:p>
      <w:pPr>
        <w:spacing w:after="0" w:line="213" w:lineRule="exact"/>
        <w:rPr>
          <w:rFonts w:ascii="Arial" w:cs="Arial" w:eastAsia="Arial" w:hAnsi="Arial"/>
          <w:sz w:val="13"/>
          <w:szCs w:val="13"/>
          <w:color w:val="auto"/>
        </w:rPr>
      </w:pPr>
    </w:p>
    <w:p>
      <w:pPr>
        <w:ind w:left="1260" w:right="779" w:hanging="5"/>
        <w:spacing w:after="0" w:line="278" w:lineRule="auto"/>
        <w:tabs>
          <w:tab w:leader="none" w:pos="1557" w:val="left"/>
        </w:tabs>
        <w:numPr>
          <w:ilvl w:val="0"/>
          <w:numId w:val="99"/>
        </w:numPr>
        <w:rPr>
          <w:rFonts w:ascii="Arial" w:cs="Arial" w:eastAsia="Arial" w:hAnsi="Arial"/>
          <w:sz w:val="13"/>
          <w:szCs w:val="13"/>
          <w:color w:val="auto"/>
        </w:rPr>
      </w:pPr>
      <w:r>
        <w:rPr>
          <w:rFonts w:ascii="Arial" w:cs="Arial" w:eastAsia="Arial" w:hAnsi="Arial"/>
          <w:sz w:val="13"/>
          <w:szCs w:val="13"/>
          <w:color w:val="auto"/>
        </w:rPr>
        <w:t>Consists of (i) 200,000 shares of common stock; and (ii) 733,707 shares of common stock that are issuable as shares of restricted stock pursuant to options that are exercisable within 60 days of March 1, 2021.</w:t>
      </w:r>
    </w:p>
    <w:p>
      <w:pPr>
        <w:spacing w:after="0" w:line="57" w:lineRule="exact"/>
        <w:rPr>
          <w:rFonts w:ascii="Arial" w:cs="Arial" w:eastAsia="Arial" w:hAnsi="Arial"/>
          <w:sz w:val="13"/>
          <w:szCs w:val="13"/>
          <w:color w:val="auto"/>
        </w:rPr>
      </w:pPr>
    </w:p>
    <w:p>
      <w:pPr>
        <w:ind w:left="1260" w:right="599" w:hanging="5"/>
        <w:spacing w:after="0" w:line="268" w:lineRule="auto"/>
        <w:tabs>
          <w:tab w:leader="none" w:pos="1557" w:val="left"/>
        </w:tabs>
        <w:numPr>
          <w:ilvl w:val="0"/>
          <w:numId w:val="99"/>
        </w:numPr>
        <w:rPr>
          <w:rFonts w:ascii="Arial" w:cs="Arial" w:eastAsia="Arial" w:hAnsi="Arial"/>
          <w:sz w:val="13"/>
          <w:szCs w:val="13"/>
          <w:color w:val="auto"/>
        </w:rPr>
      </w:pPr>
      <w:r>
        <w:rPr>
          <w:rFonts w:ascii="Arial" w:cs="Arial" w:eastAsia="Arial" w:hAnsi="Arial"/>
          <w:sz w:val="13"/>
          <w:szCs w:val="13"/>
          <w:color w:val="auto"/>
        </w:rPr>
        <w:t>Consists of 1,350,000 shares of common stock held by the Irrevocable Spousal Trust for Rhonda L. Zuckerman dated December 22, 2020, or the Trust. Dr. Levitsky’s daughter, Abby Miller, serves as Trustee of the Trust and the shares are held by the Trust for the benefit of Dr. Levitsky’s family. Dr. Levitsky disclaims beneficial ownership over the shares held by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Description of capital stock</w:t>
      </w:r>
    </w:p>
    <w:p>
      <w:pPr>
        <w:spacing w:after="0" w:line="164" w:lineRule="exact"/>
        <w:rPr>
          <w:sz w:val="20"/>
          <w:szCs w:val="20"/>
          <w:color w:val="auto"/>
        </w:rPr>
      </w:pPr>
    </w:p>
    <w:p>
      <w:pPr>
        <w:ind w:left="1260" w:right="519"/>
        <w:spacing w:after="0" w:line="225" w:lineRule="auto"/>
        <w:rPr>
          <w:sz w:val="20"/>
          <w:szCs w:val="20"/>
          <w:color w:val="auto"/>
        </w:rPr>
      </w:pPr>
      <w:r>
        <w:rPr>
          <w:rFonts w:ascii="Arial" w:cs="Arial" w:eastAsia="Arial" w:hAnsi="Arial"/>
          <w:sz w:val="18"/>
          <w:szCs w:val="18"/>
          <w:i w:val="1"/>
          <w:iCs w:val="1"/>
          <w:color w:val="auto"/>
        </w:rPr>
        <w:t>The following descriptions are summaries of the material terms of our second amended and restated certificate of incorporation, amended and restated bylaws, the investor rights agreement to which we and certain of our stockholders are parties and of the DGCL. Because the following is only a summary, it does not contain all of the information that may be important to you. For a complete description, you should refer to our form of second amended and restated certificate of incorporation, form of amended and restated bylaws, and investors’ rights agreement, copies of which have been filed as exhibits to the registration statement of which this prospectus is part.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General</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Upon the closing of this offering and the filing of our second amended and restated certificate of</w:t>
      </w:r>
    </w:p>
    <w:p>
      <w:pPr>
        <w:spacing w:after="0" w:line="8" w:lineRule="exact"/>
        <w:rPr>
          <w:sz w:val="20"/>
          <w:szCs w:val="20"/>
          <w:color w:val="auto"/>
        </w:rPr>
      </w:pPr>
    </w:p>
    <w:p>
      <w:pPr>
        <w:ind w:left="1260"/>
        <w:spacing w:after="0"/>
        <w:tabs>
          <w:tab w:leader="none" w:pos="7020" w:val="left"/>
        </w:tabs>
        <w:rPr>
          <w:sz w:val="20"/>
          <w:szCs w:val="20"/>
          <w:color w:val="auto"/>
        </w:rPr>
      </w:pPr>
      <w:r>
        <w:rPr>
          <w:rFonts w:ascii="Arial" w:cs="Arial" w:eastAsia="Arial" w:hAnsi="Arial"/>
          <w:sz w:val="18"/>
          <w:szCs w:val="18"/>
          <w:color w:val="auto"/>
        </w:rPr>
        <w:t>incorporation, our authorized capital stock will consist of</w:t>
      </w:r>
      <w:r>
        <w:rPr>
          <w:sz w:val="20"/>
          <w:szCs w:val="20"/>
          <w:color w:val="auto"/>
        </w:rPr>
        <w:tab/>
      </w:r>
      <w:r>
        <w:rPr>
          <w:rFonts w:ascii="Arial" w:cs="Arial" w:eastAsia="Arial" w:hAnsi="Arial"/>
          <w:sz w:val="18"/>
          <w:szCs w:val="18"/>
          <w:color w:val="auto"/>
        </w:rPr>
        <w:t>shares of common stock,</w:t>
      </w:r>
    </w:p>
    <w:p>
      <w:pPr>
        <w:spacing w:after="0" w:line="8" w:lineRule="exact"/>
        <w:rPr>
          <w:sz w:val="20"/>
          <w:szCs w:val="20"/>
          <w:color w:val="auto"/>
        </w:rPr>
      </w:pPr>
    </w:p>
    <w:p>
      <w:pPr>
        <w:ind w:left="1260"/>
        <w:spacing w:after="0"/>
        <w:tabs>
          <w:tab w:leader="none" w:pos="5120" w:val="left"/>
        </w:tabs>
        <w:rPr>
          <w:sz w:val="20"/>
          <w:szCs w:val="20"/>
          <w:color w:val="auto"/>
        </w:rPr>
      </w:pPr>
      <w:r>
        <w:rPr>
          <w:rFonts w:ascii="Arial" w:cs="Arial" w:eastAsia="Arial" w:hAnsi="Arial"/>
          <w:sz w:val="18"/>
          <w:szCs w:val="18"/>
          <w:color w:val="auto"/>
        </w:rPr>
        <w:t>par value $0.0001 per share, and</w:t>
      </w:r>
      <w:r>
        <w:rPr>
          <w:sz w:val="20"/>
          <w:szCs w:val="20"/>
          <w:color w:val="auto"/>
        </w:rPr>
        <w:tab/>
      </w:r>
      <w:r>
        <w:rPr>
          <w:rFonts w:ascii="Arial" w:cs="Arial" w:eastAsia="Arial" w:hAnsi="Arial"/>
          <w:sz w:val="18"/>
          <w:szCs w:val="18"/>
          <w:color w:val="auto"/>
        </w:rPr>
        <w:t>shares of preferred stock, par value $0.0001 per</w:t>
      </w:r>
    </w:p>
    <w:p>
      <w:pPr>
        <w:spacing w:after="0" w:line="8"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share. All of our outstanding shares of common stock are, and the shares of common stock to be issued in this offering will be, fully paid and nonassessable.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Common stock</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51"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As of March 1, 2020, there would have been 110,341,863 shares of common stock outstanding, held by stockholders of record, after giving effect to the automatic conversion of all our preferred stock outstanding into an aggregate of 85,865,789 shares of our common stock immediately upon the closing of this offering.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51" w:lineRule="exact"/>
        <w:rPr>
          <w:sz w:val="20"/>
          <w:szCs w:val="20"/>
          <w:color w:val="auto"/>
        </w:rPr>
      </w:pPr>
    </w:p>
    <w:p>
      <w:pPr>
        <w:ind w:left="1260" w:right="619"/>
        <w:spacing w:after="0" w:line="239"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w:t>
      </w:r>
      <w:r>
        <w:rPr>
          <w:rFonts w:ascii="Arial" w:cs="Arial" w:eastAsia="Arial" w:hAnsi="Arial"/>
          <w:sz w:val="26"/>
          <w:szCs w:val="26"/>
          <w:color w:val="auto"/>
          <w:vertAlign w:val="superscript"/>
        </w:rPr>
        <w:t>2</w:t>
      </w:r>
      <w:r>
        <w:rPr>
          <w:rFonts w:ascii="Arial" w:cs="Arial" w:eastAsia="Arial" w:hAnsi="Arial"/>
          <w:sz w:val="18"/>
          <w:szCs w:val="18"/>
          <w:color w:val="auto"/>
        </w:rPr>
        <w:t>/3% of the voting power of all of the then outstanding voting stock will be required to take certain actions, including amending certain provisions of our second amended and restated certificate of incorporation, such as the provisions relating to amending our amended and restated bylaws, procedures for our stockholder meetings, the classified board, director liability, and exclusive forum for proceedings.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w:t>
      </w:r>
    </w:p>
    <w:p>
      <w:pPr>
        <w:spacing w:after="0" w:line="138" w:lineRule="exact"/>
        <w:rPr>
          <w:sz w:val="20"/>
          <w:szCs w:val="20"/>
          <w:color w:val="auto"/>
        </w:rPr>
      </w:pPr>
    </w:p>
    <w:p>
      <w:pPr>
        <w:jc w:val="both"/>
        <w:ind w:left="1260" w:right="499"/>
        <w:spacing w:after="0" w:line="254"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w:t>
      </w:r>
    </w:p>
    <w:p>
      <w:pPr>
        <w:spacing w:after="0" w:line="151"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51" w:lineRule="exact"/>
        <w:rPr>
          <w:sz w:val="20"/>
          <w:szCs w:val="20"/>
          <w:color w:val="auto"/>
        </w:rPr>
      </w:pPr>
    </w:p>
    <w:p>
      <w:pPr>
        <w:ind w:left="1260" w:right="599"/>
        <w:spacing w:after="0" w:line="252"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Preferred stock</w:t>
      </w:r>
    </w:p>
    <w:p>
      <w:pPr>
        <w:spacing w:after="0" w:line="142" w:lineRule="exact"/>
        <w:rPr>
          <w:sz w:val="20"/>
          <w:szCs w:val="20"/>
          <w:color w:val="auto"/>
        </w:rPr>
      </w:pPr>
    </w:p>
    <w:p>
      <w:pPr>
        <w:ind w:left="1260" w:right="859"/>
        <w:spacing w:after="0" w:line="254" w:lineRule="auto"/>
        <w:rPr>
          <w:sz w:val="20"/>
          <w:szCs w:val="20"/>
          <w:color w:val="auto"/>
        </w:rPr>
      </w:pPr>
      <w:r>
        <w:rPr>
          <w:rFonts w:ascii="Arial" w:cs="Arial" w:eastAsia="Arial" w:hAnsi="Arial"/>
          <w:sz w:val="18"/>
          <w:szCs w:val="18"/>
          <w:color w:val="auto"/>
        </w:rPr>
        <w:t>Upon the closing of this offering, all outstanding shares of our preferred stock will be automatically converted into an aggregate of 85,865,789 shares of common stock. Under the terms of our second amended and restated</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79" w:name="page180"/>
    <w:bookmarkEnd w:id="1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339"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39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Warrants</w:t>
      </w:r>
    </w:p>
    <w:p>
      <w:pPr>
        <w:spacing w:after="0" w:line="155"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Pursuant to our warrant agreement between us and Hercules Technology Management Co II, Inc., or Hercules, as of March 1, 2021, Hercules held warrants to purchase an aggregate of 40,450 shares of our common stock at an exercise price of $5.55 per share, subject to customary adjustments provided in the warrant agreement. These warrants may be exercised at any time and from time to time, in whole or in part, prior to September 14, 2030.</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Stock options and grant plan shares</w:t>
      </w:r>
    </w:p>
    <w:p>
      <w:pPr>
        <w:spacing w:after="0" w:line="155"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As of March 1, 2021, 7,600,008 shares of common stock were issuable upon the exercise of outstanding stock options, at a weighted average exercise price of $0.42 per share. For additional information regarding terms of our equity incentive plans, see the section titled “Executive compensation—Equity incentive plans.”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Registration rights</w:t>
      </w:r>
    </w:p>
    <w:p>
      <w:pPr>
        <w:spacing w:after="0" w:line="142" w:lineRule="exact"/>
        <w:rPr>
          <w:sz w:val="20"/>
          <w:szCs w:val="20"/>
          <w:color w:val="auto"/>
        </w:rPr>
      </w:pPr>
    </w:p>
    <w:p>
      <w:pPr>
        <w:ind w:left="1260" w:right="439"/>
        <w:spacing w:after="0" w:line="249" w:lineRule="auto"/>
        <w:rPr>
          <w:sz w:val="20"/>
          <w:szCs w:val="20"/>
          <w:color w:val="auto"/>
        </w:rPr>
      </w:pPr>
      <w:r>
        <w:rPr>
          <w:rFonts w:ascii="Arial" w:cs="Arial" w:eastAsia="Arial" w:hAnsi="Arial"/>
          <w:sz w:val="18"/>
          <w:szCs w:val="18"/>
          <w:color w:val="auto"/>
        </w:rPr>
        <w:t>The investors’ rights agreement grants certain of the holders of our capital stock party thereto certain registration rights in respect of the “registrable securities” held by them, which securities include (1) the shares of our common stock issued upon the conversion of shares of our preferred stock, (2) the shares of common stock issued upon the conversion of any other security,</w:t>
      </w:r>
    </w:p>
    <w:p>
      <w:pPr>
        <w:spacing w:after="0" w:line="2" w:lineRule="exact"/>
        <w:rPr>
          <w:sz w:val="20"/>
          <w:szCs w:val="20"/>
          <w:color w:val="auto"/>
        </w:rPr>
      </w:pPr>
    </w:p>
    <w:p>
      <w:pPr>
        <w:jc w:val="both"/>
        <w:ind w:left="1260" w:right="559" w:hanging="5"/>
        <w:spacing w:after="0" w:line="249" w:lineRule="auto"/>
        <w:tabs>
          <w:tab w:leader="none" w:pos="15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of common stock held by certain of the holders of our capital stock party thereto as of the date of the investors’ rights agreement, and (4) any shares of our common stock issued as a dividend or other distribution with respect to the shares described in the foregoing clause (1),</w:t>
      </w:r>
    </w:p>
    <w:p>
      <w:pPr>
        <w:spacing w:after="0" w:line="1" w:lineRule="exact"/>
        <w:rPr>
          <w:rFonts w:ascii="Arial" w:cs="Arial" w:eastAsia="Arial" w:hAnsi="Arial"/>
          <w:sz w:val="18"/>
          <w:szCs w:val="18"/>
          <w:color w:val="auto"/>
        </w:rPr>
      </w:pPr>
    </w:p>
    <w:p>
      <w:pPr>
        <w:ind w:left="1260" w:right="659" w:hanging="5"/>
        <w:spacing w:after="0" w:line="254" w:lineRule="auto"/>
        <w:tabs>
          <w:tab w:leader="none" w:pos="149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and (3). The registration of shares of our common stock pursuant to the exercise of these registration rights would enable the holders thereof to sell such shares without restriction under the Securities Act when the applicable registration statement is declared effective.</w:t>
      </w:r>
    </w:p>
    <w:p>
      <w:pPr>
        <w:spacing w:after="0" w:line="137" w:lineRule="exact"/>
        <w:rPr>
          <w:sz w:val="20"/>
          <w:szCs w:val="20"/>
          <w:color w:val="auto"/>
        </w:rPr>
      </w:pPr>
    </w:p>
    <w:p>
      <w:pPr>
        <w:jc w:val="both"/>
        <w:ind w:left="1260" w:right="1259"/>
        <w:spacing w:after="0" w:line="254" w:lineRule="auto"/>
        <w:rPr>
          <w:sz w:val="20"/>
          <w:szCs w:val="20"/>
          <w:color w:val="auto"/>
        </w:rPr>
      </w:pPr>
      <w:r>
        <w:rPr>
          <w:rFonts w:ascii="Arial" w:cs="Arial" w:eastAsia="Arial" w:hAnsi="Arial"/>
          <w:sz w:val="18"/>
          <w:szCs w:val="18"/>
          <w:color w:val="auto"/>
        </w:rPr>
        <w:t>Holders of shares of our common stock (including shares issuable upon the conversion of our preferred stock) are entitled to such registration rights pursuant to the investors’ rights agreement.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65"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Subject to specified conditions and limitations, we are required to pay all expenses, other than underwriting discounts and commissions and stock transfer taxes incurred in connection with any exercise of these registration rights.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51"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These registration rights will expire on the earlier to occur of (1) such time after the consummation of this offering in which all of such holders registrable shares can be sold without limitation during a three-month period without registration, and (2) the third anniversary of the closing of this offering.</w:t>
      </w:r>
    </w:p>
    <w:p>
      <w:pPr>
        <w:spacing w:after="0" w:line="3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65"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At any time beginning six months after the closing of this offering, the holders of a majority of the common stock issued or issuable upon conversion of our preferred stock then outstanding may, on not more than two occasions,</w:t>
      </w:r>
    </w:p>
    <w:p>
      <w:pPr>
        <w:sectPr>
          <w:pgSz w:w="11900" w:h="16838" w:orient="portrait"/>
          <w:cols w:equalWidth="0" w:num="1">
            <w:col w:w="9859"/>
          </w:cols>
          <w:pgMar w:left="600" w:top="132" w:right="1440" w:bottom="928"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928" w:gutter="0" w:footer="0" w:header="0"/>
          <w:type w:val="continuous"/>
        </w:sectPr>
      </w:pPr>
    </w:p>
    <w:bookmarkStart w:id="180" w:name="page181"/>
    <w:bookmarkEnd w:id="1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request that we prepare, file, and maintain a registration statement on Form S-1 to register the sale of their registrable securities, provided such registrable securities represent at least 40% of all registrable securities then outstanding. Once we are eligible to use a registration statement on Form S-3, the stockholders party to the investors’ rights agreement representing at least 30% of the registrable securities then outstanding may, not more than twice in any twelve-month period, request that we prepare, file, and maintain a registration statement on Form S-3 covering the sale of their registrable securities, but only if the anticipated offering price, net of underwriting discounts and commissions, would exceed $5.0 million.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65"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the stockholders party to the investors’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S-8, these holders will be entitled to notice of the registration and will have the right to include their registrable securities in the registration subject to certain limitations.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8"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holders of registrable securities in the event of either material misstatements or omissions in the applicable registration statement attributable to us or our violation of the Securities Act, and the selling stockholders are obligated to indemnify us for material misstatements or omission in the registration statement attributable to them, subject to certain limitations.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Anti-Takeover Provisions of Delaware law and our charter documents</w:t>
      </w:r>
    </w:p>
    <w:p>
      <w:pPr>
        <w:spacing w:after="0" w:line="169"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Some provisions of Delaware law and our second amended and restated certificate of incorporation and our amended and restated bylaws that will become effective immediately prior to the closing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29"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3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78" w:lineRule="exact"/>
        <w:rPr>
          <w:sz w:val="20"/>
          <w:szCs w:val="20"/>
          <w:color w:val="auto"/>
        </w:rPr>
      </w:pPr>
    </w:p>
    <w:p>
      <w:pPr>
        <w:ind w:left="1260" w:right="559"/>
        <w:spacing w:after="0" w:line="266" w:lineRule="auto"/>
        <w:rPr>
          <w:sz w:val="20"/>
          <w:szCs w:val="20"/>
          <w:color w:val="auto"/>
        </w:rPr>
      </w:pPr>
      <w:r>
        <w:rPr>
          <w:rFonts w:ascii="Arial" w:cs="Arial" w:eastAsia="Arial" w:hAnsi="Arial"/>
          <w:sz w:val="18"/>
          <w:szCs w:val="18"/>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260" w:right="479"/>
        <w:spacing w:after="0" w:line="270" w:lineRule="auto"/>
        <w:rPr>
          <w:sz w:val="20"/>
          <w:szCs w:val="20"/>
          <w:color w:val="auto"/>
        </w:rPr>
      </w:pPr>
      <w:r>
        <w:rPr>
          <w:rFonts w:ascii="Arial" w:cs="Arial" w:eastAsia="Arial" w:hAnsi="Arial"/>
          <w:sz w:val="18"/>
          <w:szCs w:val="18"/>
          <w:color w:val="auto"/>
        </w:rPr>
        <w:t>have an anti-takeover effect with respect to transactions not approved in advance by the board of directors, such as discouraging takeover attempts that might result in a premium over the market price of our common stock.</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65"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Our second amended and restated certificate of incorporation, which will be in effect immediately prior to the closing of this offering, will provide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78" w:lineRule="exact"/>
        <w:rPr>
          <w:sz w:val="20"/>
          <w:szCs w:val="20"/>
          <w:color w:val="auto"/>
        </w:rPr>
      </w:pPr>
    </w:p>
    <w:p>
      <w:pPr>
        <w:ind w:left="1260" w:right="559"/>
        <w:spacing w:after="0" w:line="268"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78"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Our second amended and restated certificate of incorporation will further provide that the affirmative vote of holders of at least 66</w:t>
      </w:r>
      <w:r>
        <w:rPr>
          <w:rFonts w:ascii="Arial" w:cs="Arial" w:eastAsia="Arial" w:hAnsi="Arial"/>
          <w:sz w:val="26"/>
          <w:szCs w:val="26"/>
          <w:color w:val="auto"/>
          <w:vertAlign w:val="superscript"/>
        </w:rPr>
        <w:t>2</w:t>
      </w:r>
      <w:r>
        <w:rPr>
          <w:rFonts w:ascii="Arial" w:cs="Arial" w:eastAsia="Arial" w:hAnsi="Arial"/>
          <w:sz w:val="18"/>
          <w:szCs w:val="18"/>
          <w:color w:val="auto"/>
        </w:rPr>
        <w:t>/3% of the voting power of all of the then outstanding shares of voting stock, voting as a single class, will be required to amend certain provisions of our second amended and restated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26"/>
          <w:szCs w:val="26"/>
          <w:color w:val="auto"/>
          <w:vertAlign w:val="superscript"/>
        </w:rPr>
        <w:t>2</w:t>
      </w:r>
      <w:r>
        <w:rPr>
          <w:rFonts w:ascii="Arial" w:cs="Arial" w:eastAsia="Arial" w:hAnsi="Arial"/>
          <w:sz w:val="18"/>
          <w:szCs w:val="18"/>
          <w:color w:val="auto"/>
        </w:rPr>
        <w:t>/3% of the voting power of all of the then outstanding shares of voting stock, voting as a single class, will be required to amend or repeal our amended and restated bylaws, although our amended and restated bylaws may be amended by a simple majority vote of our board of directors.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election and removal of directors</w:t>
      </w:r>
    </w:p>
    <w:p>
      <w:pPr>
        <w:spacing w:after="0" w:line="165"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Our second amended and restated certificate of incorporation will further provide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78"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Our second amended and restated certificate of incorporation will provide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second amended and restated certificate of incorporation or our amended and restated bylaws (in each case, as may be amended from time to time), (iv) any action asserting a claim governed by the internal affairs doctrine of the State of Delaware, or</w:t>
      </w:r>
    </w:p>
    <w:p>
      <w:pPr>
        <w:spacing w:after="0" w:line="2" w:lineRule="exact"/>
        <w:rPr>
          <w:sz w:val="20"/>
          <w:szCs w:val="20"/>
          <w:color w:val="auto"/>
        </w:rPr>
      </w:pPr>
    </w:p>
    <w:p>
      <w:pPr>
        <w:ind w:left="1260" w:right="539" w:hanging="5"/>
        <w:spacing w:after="0" w:line="270" w:lineRule="auto"/>
        <w:tabs>
          <w:tab w:leader="none" w:pos="153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other action asserting an “internal corporate claim,” as defined in Section 115 of the DGCL, in all cases subject to the court having personal jurisdiction over all indispensable parties named as defendants.</w:t>
      </w:r>
    </w:p>
    <w:p>
      <w:pPr>
        <w:spacing w:after="0" w:line="135"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In addition, our second amended and restated certificate of incorporation will further provide that, unless we consent in writing to the selection of an alternative forum (which consent may be given at any time, including during the pendency of litigation), the federal district courts of the United States of America shall be the sole and exclusive forum for the resolution of any complaint asserting a cause of action arising under the Securities Act.</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right="1019"/>
        <w:spacing w:after="0" w:line="275"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will be deemed to have notice of and consented to this provision.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Limitation on liability and indemnification matters</w:t>
      </w:r>
    </w:p>
    <w:p>
      <w:pPr>
        <w:spacing w:after="0" w:line="155" w:lineRule="exact"/>
        <w:rPr>
          <w:sz w:val="20"/>
          <w:szCs w:val="20"/>
          <w:color w:val="auto"/>
        </w:rPr>
      </w:pPr>
    </w:p>
    <w:p>
      <w:pPr>
        <w:ind w:left="1260" w:right="759"/>
        <w:spacing w:after="0" w:line="275" w:lineRule="auto"/>
        <w:rPr>
          <w:sz w:val="20"/>
          <w:szCs w:val="20"/>
          <w:color w:val="auto"/>
        </w:rPr>
      </w:pPr>
      <w:r>
        <w:rPr>
          <w:rFonts w:ascii="Arial" w:cs="Arial" w:eastAsia="Arial" w:hAnsi="Arial"/>
          <w:sz w:val="18"/>
          <w:szCs w:val="18"/>
          <w:color w:val="auto"/>
        </w:rPr>
        <w:t>For a discussion of liability and indemnification, see “Management—Limitation on Liability and Indemnification Matters.”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Listing</w:t>
      </w:r>
    </w:p>
    <w:p>
      <w:pPr>
        <w:spacing w:after="0" w:line="169" w:lineRule="exact"/>
        <w:rPr>
          <w:sz w:val="20"/>
          <w:szCs w:val="20"/>
          <w:color w:val="auto"/>
        </w:rPr>
      </w:pPr>
    </w:p>
    <w:p>
      <w:pPr>
        <w:ind w:left="1260" w:right="899"/>
        <w:spacing w:after="0" w:line="275" w:lineRule="auto"/>
        <w:rPr>
          <w:sz w:val="20"/>
          <w:szCs w:val="20"/>
          <w:color w:val="auto"/>
        </w:rPr>
      </w:pPr>
      <w:r>
        <w:rPr>
          <w:rFonts w:ascii="Arial" w:cs="Arial" w:eastAsia="Arial" w:hAnsi="Arial"/>
          <w:sz w:val="18"/>
          <w:szCs w:val="18"/>
          <w:color w:val="auto"/>
        </w:rPr>
        <w:t>We intend to apply to list our common stock on The Nasdaq Global Market under the trading symbol “IPSC.”</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Transfer agent and registrar</w:t>
      </w:r>
    </w:p>
    <w:p>
      <w:pPr>
        <w:spacing w:after="0" w:line="169" w:lineRule="exact"/>
        <w:rPr>
          <w:sz w:val="20"/>
          <w:szCs w:val="20"/>
          <w:color w:val="auto"/>
        </w:rPr>
      </w:pPr>
    </w:p>
    <w:p>
      <w:pPr>
        <w:ind w:left="1260"/>
        <w:spacing w:after="0"/>
        <w:tabs>
          <w:tab w:leader="none" w:pos="706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Shares eligible for future sale</w:t>
      </w:r>
    </w:p>
    <w:p>
      <w:pPr>
        <w:spacing w:after="0" w:line="150" w:lineRule="exact"/>
        <w:rPr>
          <w:sz w:val="20"/>
          <w:szCs w:val="20"/>
          <w:color w:val="auto"/>
        </w:rPr>
      </w:pPr>
    </w:p>
    <w:p>
      <w:pPr>
        <w:ind w:left="1260" w:right="660"/>
        <w:spacing w:after="0" w:line="251" w:lineRule="auto"/>
        <w:rPr>
          <w:sz w:val="20"/>
          <w:szCs w:val="20"/>
          <w:color w:val="auto"/>
        </w:rPr>
      </w:pPr>
      <w:r>
        <w:rPr>
          <w:rFonts w:ascii="Arial" w:cs="Arial" w:eastAsia="Arial" w:hAnsi="Arial"/>
          <w:sz w:val="18"/>
          <w:szCs w:val="18"/>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in the public market after the closing of this offering, or the perception that those sales may occur, could adversely affect the prevailing market price for our common stock from time to time or impair our ability to raise equity capital in the future.</w:t>
      </w:r>
    </w:p>
    <w:p>
      <w:pPr>
        <w:spacing w:after="0" w:line="141" w:lineRule="exact"/>
        <w:rPr>
          <w:sz w:val="20"/>
          <w:szCs w:val="20"/>
          <w:color w:val="auto"/>
        </w:rPr>
      </w:pPr>
    </w:p>
    <w:p>
      <w:pPr>
        <w:ind w:left="1260" w:right="680"/>
        <w:spacing w:after="0" w:line="249" w:lineRule="auto"/>
        <w:rPr>
          <w:sz w:val="20"/>
          <w:szCs w:val="20"/>
          <w:color w:val="auto"/>
        </w:rPr>
      </w:pPr>
      <w:r>
        <w:rPr>
          <w:rFonts w:ascii="Arial" w:cs="Arial" w:eastAsia="Arial" w:hAnsi="Arial"/>
          <w:sz w:val="18"/>
          <w:szCs w:val="18"/>
          <w:color w:val="auto"/>
        </w:rPr>
        <w:t>Based on the number of shares of common stock outstanding as of December 31, 2020, upon the closing of this offering and assuming (i) the completion of the 2021 Reorganization,</w:t>
      </w:r>
    </w:p>
    <w:p>
      <w:pPr>
        <w:spacing w:after="0" w:line="1" w:lineRule="exact"/>
        <w:rPr>
          <w:sz w:val="20"/>
          <w:szCs w:val="20"/>
          <w:color w:val="auto"/>
        </w:rPr>
      </w:pPr>
    </w:p>
    <w:p>
      <w:pPr>
        <w:ind w:left="1260" w:right="660" w:hanging="5"/>
        <w:spacing w:after="0" w:line="250" w:lineRule="auto"/>
        <w:tabs>
          <w:tab w:leader="none" w:pos="15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completion of the Series C Financing, (iii) the automatic conversion of all our preferred stock outstanding as of March 1, 2021 into an aggregate of 85,865,789 shares of our common stock upon the closing of this offering, (iv) no exercise of the underwriters’ option to purchase additional shares of common stock, and (v) no exercise of outstanding options or warrants, we will have outstanding an aggregate of approximately 110,341,863 shares of common stock. All of the shares sold in this offering will be freely tradable unless purchased by our “affiliates” as such term is defined in Rule 144 or purchased by existing stockholders and their affiliated entities that are subject to lock-up agreements. All remaining shares of common stock held by existing stockholders immediately prior to the consummation of this offering will be “restricted securities,” as such term is defined in Rule 144. These restricted securities were issued and sold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a result of the lock-up agreements referred to below and the provisions of Rule 144 and</w:t>
      </w:r>
    </w:p>
    <w:p>
      <w:pPr>
        <w:spacing w:after="0" w:line="22" w:lineRule="exact"/>
        <w:rPr>
          <w:sz w:val="20"/>
          <w:szCs w:val="20"/>
          <w:color w:val="auto"/>
        </w:rPr>
      </w:pPr>
    </w:p>
    <w:p>
      <w:pPr>
        <w:ind w:left="1260" w:right="900"/>
        <w:spacing w:after="0" w:line="270" w:lineRule="auto"/>
        <w:rPr>
          <w:sz w:val="20"/>
          <w:szCs w:val="20"/>
          <w:color w:val="auto"/>
        </w:rPr>
      </w:pPr>
      <w:r>
        <w:rPr>
          <w:rFonts w:ascii="Arial" w:cs="Arial" w:eastAsia="Arial" w:hAnsi="Arial"/>
          <w:sz w:val="18"/>
          <w:szCs w:val="18"/>
          <w:color w:val="auto"/>
        </w:rPr>
        <w:t>Rule 701, based on the number of shares of our common stock outstanding as of , 2021, the remaining shares of our common stock will generally become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103505</wp:posOffset>
            </wp:positionV>
            <wp:extent cx="560387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03875" cy="17145"/>
                    </a:xfrm>
                    <a:prstGeom prst="rect">
                      <a:avLst/>
                    </a:prstGeom>
                    <a:noFill/>
                  </pic:spPr>
                </pic:pic>
              </a:graphicData>
            </a:graphic>
          </wp:anchor>
        </w:drawing>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Approximate number of sharesFirst date available for sale on the public markets</w:t>
      </w:r>
    </w:p>
    <w:p>
      <w:pPr>
        <w:spacing w:after="0" w:line="3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shares</w:t>
            </w:r>
          </w:p>
        </w:tc>
        <w:tc>
          <w:tcPr>
            <w:tcW w:w="6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181 days after the date of this prospectus, upon expiration of the lock-up</w:t>
            </w:r>
          </w:p>
        </w:tc>
      </w:tr>
      <w:tr>
        <w:trPr>
          <w:trHeight w:val="215"/>
        </w:trPr>
        <w:tc>
          <w:tcPr>
            <w:tcW w:w="1860" w:type="dxa"/>
            <w:vAlign w:val="bottom"/>
            <w:shd w:val="clear" w:color="auto" w:fill="CCEEFF"/>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agreements referred to below, subject in some cases to applicable volume,</w:t>
            </w:r>
          </w:p>
        </w:tc>
      </w:tr>
      <w:tr>
        <w:trPr>
          <w:trHeight w:val="216"/>
        </w:trPr>
        <w:tc>
          <w:tcPr>
            <w:tcW w:w="1860" w:type="dxa"/>
            <w:vAlign w:val="bottom"/>
            <w:shd w:val="clear" w:color="auto" w:fill="CCEEFF"/>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manner of sale and other limitations under Rule 144 and Rule 701.</w:t>
            </w:r>
          </w:p>
        </w:tc>
      </w:tr>
      <w:tr>
        <w:trPr>
          <w:trHeight w:val="67"/>
        </w:trPr>
        <w:tc>
          <w:tcPr>
            <w:tcW w:w="1860" w:type="dxa"/>
            <w:vAlign w:val="bottom"/>
            <w:tcBorders>
              <w:bottom w:val="single" w:sz="8" w:color="auto"/>
            </w:tcBorders>
            <w:shd w:val="clear" w:color="auto" w:fill="CCEEFF"/>
          </w:tcPr>
          <w:p>
            <w:pPr>
              <w:spacing w:after="0"/>
              <w:rPr>
                <w:sz w:val="5"/>
                <w:szCs w:val="5"/>
                <w:color w:val="auto"/>
              </w:rPr>
            </w:pPr>
          </w:p>
        </w:tc>
        <w:tc>
          <w:tcPr>
            <w:tcW w:w="6960" w:type="dxa"/>
            <w:vAlign w:val="bottom"/>
            <w:tcBorders>
              <w:bottom w:val="single" w:sz="8" w:color="auto"/>
            </w:tcBorders>
            <w:shd w:val="clear" w:color="auto" w:fill="CCEEFF"/>
          </w:tcPr>
          <w:p>
            <w:pPr>
              <w:spacing w:after="0"/>
              <w:rPr>
                <w:sz w:val="5"/>
                <w:szCs w:val="5"/>
                <w:color w:val="auto"/>
              </w:rPr>
            </w:pPr>
          </w:p>
        </w:tc>
      </w:tr>
    </w:tbl>
    <w:p>
      <w:pPr>
        <w:spacing w:after="0" w:line="147" w:lineRule="exact"/>
        <w:rPr>
          <w:sz w:val="20"/>
          <w:szCs w:val="20"/>
          <w:color w:val="auto"/>
        </w:rPr>
      </w:pPr>
    </w:p>
    <w:p>
      <w:pPr>
        <w:ind w:left="1260" w:right="740"/>
        <w:spacing w:after="0" w:line="275"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w:t>
      </w:r>
    </w:p>
    <w:p>
      <w:pPr>
        <w:spacing w:after="0" w:line="131" w:lineRule="exact"/>
        <w:rPr>
          <w:sz w:val="20"/>
          <w:szCs w:val="20"/>
          <w:color w:val="auto"/>
        </w:rPr>
      </w:pPr>
    </w:p>
    <w:p>
      <w:pPr>
        <w:ind w:left="1260" w:right="800"/>
        <w:spacing w:after="0" w:line="268" w:lineRule="auto"/>
        <w:rPr>
          <w:sz w:val="20"/>
          <w:szCs w:val="20"/>
          <w:color w:val="auto"/>
        </w:rPr>
      </w:pPr>
      <w:r>
        <w:rPr>
          <w:rFonts w:ascii="Arial" w:cs="Arial" w:eastAsia="Arial" w:hAnsi="Arial"/>
          <w:sz w:val="18"/>
          <w:szCs w:val="18"/>
          <w:color w:val="auto"/>
        </w:rPr>
        <w:t>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38" w:lineRule="exact"/>
        <w:rPr>
          <w:sz w:val="20"/>
          <w:szCs w:val="20"/>
          <w:color w:val="auto"/>
        </w:rPr>
      </w:pPr>
    </w:p>
    <w:p>
      <w:pPr>
        <w:ind w:left="1260" w:right="840"/>
        <w:spacing w:after="0" w:line="268" w:lineRule="auto"/>
        <w:rPr>
          <w:sz w:val="20"/>
          <w:szCs w:val="20"/>
          <w:color w:val="auto"/>
        </w:rPr>
      </w:pPr>
      <w:r>
        <w:rPr>
          <w:rFonts w:ascii="Arial" w:cs="Arial" w:eastAsia="Arial" w:hAnsi="Arial"/>
          <w:sz w:val="18"/>
          <w:szCs w:val="18"/>
          <w:color w:val="auto"/>
        </w:rPr>
        <w:t>In addition, the shares of common stock reserved for future issuance under the 2018 Plan and 2021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Rule 144</w:t>
      </w:r>
    </w:p>
    <w:p>
      <w:pPr>
        <w:spacing w:after="0" w:line="155" w:lineRule="exact"/>
        <w:rPr>
          <w:sz w:val="20"/>
          <w:szCs w:val="20"/>
          <w:color w:val="auto"/>
        </w:rPr>
      </w:pPr>
    </w:p>
    <w:p>
      <w:pPr>
        <w:ind w:left="1260" w:right="660"/>
        <w:spacing w:after="0" w:line="266"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w:t>
      </w:r>
    </w:p>
    <w:p>
      <w:pPr>
        <w:sectPr>
          <w:pgSz w:w="11900" w:h="16838" w:orient="portrait"/>
          <w:cols w:equalWidth="0" w:num="1">
            <w:col w:w="10080"/>
          </w:cols>
          <w:pgMar w:left="600" w:top="132" w:right="12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080"/>
          </w:cols>
          <w:pgMar w:left="600" w:top="132" w:right="1219"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including the holding period of any prior owner other than “affiliates,” then such person is entitled to sell such shares in the public market without complying with any of the requirements of Rule 144 (subject to the lock-up agreement referred to below, if applicable).</w:t>
      </w:r>
    </w:p>
    <w:p>
      <w:pPr>
        <w:spacing w:after="0" w:line="123"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 -up agreements and within any three -month period, a number of those shares of our common stock that does not exceed the greater of:</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1% of the number of shares of common stock then outstanding, which will equal approximately</w:t>
      </w:r>
    </w:p>
    <w:p>
      <w:pPr>
        <w:spacing w:after="0" w:line="2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shares of common stock immediately upon the closing of this offering (calculated as</w:t>
      </w:r>
    </w:p>
    <w:p>
      <w:pPr>
        <w:spacing w:after="0" w:line="22" w:lineRule="exact"/>
        <w:rPr>
          <w:sz w:val="20"/>
          <w:szCs w:val="20"/>
          <w:color w:val="auto"/>
        </w:rPr>
      </w:pPr>
    </w:p>
    <w:p>
      <w:pPr>
        <w:ind w:left="1400"/>
        <w:spacing w:after="0"/>
        <w:tabs>
          <w:tab w:leader="none" w:pos="26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2021 on the basis of the assumptions described above and assuming no</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exercise of the underwriter’s option to purchase additional shares and no exercise of</w:t>
      </w:r>
    </w:p>
    <w:p>
      <w:pPr>
        <w:spacing w:after="0" w:line="22" w:lineRule="exact"/>
        <w:rPr>
          <w:sz w:val="20"/>
          <w:szCs w:val="20"/>
          <w:color w:val="auto"/>
        </w:rPr>
      </w:pPr>
    </w:p>
    <w:p>
      <w:pPr>
        <w:ind w:left="1400"/>
        <w:spacing w:after="0"/>
        <w:tabs>
          <w:tab w:leader="none" w:pos="6360" w:val="left"/>
        </w:tabs>
        <w:rPr>
          <w:sz w:val="20"/>
          <w:szCs w:val="20"/>
          <w:color w:val="auto"/>
        </w:rPr>
      </w:pPr>
      <w:r>
        <w:rPr>
          <w:rFonts w:ascii="Arial" w:cs="Arial" w:eastAsia="Arial" w:hAnsi="Arial"/>
          <w:sz w:val="18"/>
          <w:szCs w:val="18"/>
          <w:color w:val="auto"/>
        </w:rPr>
        <w:t>outstanding options or warrants subsequent to</w:t>
      </w:r>
      <w:r>
        <w:rPr>
          <w:sz w:val="20"/>
          <w:szCs w:val="20"/>
          <w:color w:val="auto"/>
        </w:rPr>
        <w:tab/>
      </w:r>
      <w:r>
        <w:rPr>
          <w:rFonts w:ascii="Arial" w:cs="Arial" w:eastAsia="Arial" w:hAnsi="Arial"/>
          <w:sz w:val="18"/>
          <w:szCs w:val="18"/>
          <w:color w:val="auto"/>
        </w:rPr>
        <w:t>, 2021); or</w:t>
      </w:r>
    </w:p>
    <w:p>
      <w:pPr>
        <w:spacing w:after="0" w:line="129" w:lineRule="exact"/>
        <w:rPr>
          <w:sz w:val="20"/>
          <w:szCs w:val="20"/>
          <w:color w:val="auto"/>
        </w:rPr>
      </w:pPr>
    </w:p>
    <w:p>
      <w:pPr>
        <w:ind w:left="1400" w:right="1099" w:hanging="145"/>
        <w:spacing w:after="0" w:line="275" w:lineRule="auto"/>
        <w:tabs>
          <w:tab w:leader="none" w:pos="14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04"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Rule 701</w:t>
      </w:r>
    </w:p>
    <w:p>
      <w:pPr>
        <w:spacing w:after="0" w:line="155" w:lineRule="exact"/>
        <w:rPr>
          <w:sz w:val="20"/>
          <w:szCs w:val="20"/>
          <w:color w:val="auto"/>
        </w:rPr>
      </w:pPr>
    </w:p>
    <w:p>
      <w:pPr>
        <w:ind w:left="1260" w:right="499"/>
        <w:spacing w:after="0" w:line="249" w:lineRule="auto"/>
        <w:rPr>
          <w:sz w:val="20"/>
          <w:szCs w:val="20"/>
          <w:color w:val="auto"/>
        </w:rPr>
      </w:pPr>
      <w:r>
        <w:rPr>
          <w:rFonts w:ascii="Arial" w:cs="Arial" w:eastAsia="Arial" w:hAnsi="Arial"/>
          <w:sz w:val="18"/>
          <w:szCs w:val="18"/>
          <w:color w:val="auto"/>
        </w:rPr>
        <w:t>In general, under Rule 701,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w:t>
      </w:r>
    </w:p>
    <w:p>
      <w:pPr>
        <w:spacing w:after="0" w:line="3" w:lineRule="exact"/>
        <w:rPr>
          <w:sz w:val="20"/>
          <w:szCs w:val="20"/>
          <w:color w:val="auto"/>
        </w:rPr>
      </w:pPr>
    </w:p>
    <w:p>
      <w:pPr>
        <w:ind w:left="1260" w:right="619"/>
        <w:spacing w:after="0" w:line="252" w:lineRule="auto"/>
        <w:rPr>
          <w:sz w:val="20"/>
          <w:szCs w:val="20"/>
          <w:color w:val="auto"/>
        </w:rPr>
      </w:pPr>
      <w:r>
        <w:rPr>
          <w:rFonts w:ascii="Arial" w:cs="Arial" w:eastAsia="Arial" w:hAnsi="Arial"/>
          <w:sz w:val="18"/>
          <w:szCs w:val="18"/>
          <w:color w:val="auto"/>
        </w:rPr>
        <w:t>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Lock-up agreements</w:t>
      </w:r>
    </w:p>
    <w:p>
      <w:pPr>
        <w:spacing w:after="0" w:line="155"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In connection with this offering, we, our directors, our executive officers, and the holders of substantially all of our common stock, stock options, and other securities convertible into, exercisable or exchangeable for our common stock, have agreed, subject to certain exceptions, with the underwriters not to directly or indirectly offer, pledge, sell, contract to sell, sell any option or contract to purchase, purchase any option or contract to sell, grant any option, right or warrant to purchase, lend, or otherwise transfer or dispose of, directly or indirectly, or enter into any hedging, swap or other agreement or transaction that transfers any of the economic consequences of ownership of shares of our common stock, or any options to purchase shares of our common stock, or any securities convertible into or exchangeable for shares of common stock, during the period from the date of this prospectus continuing through the date 180 days after the date of this prospectus, except with the prior written consent of the representatives of the underwriters, and certain other limited exceptions. These agreements are described in the section titled “Underwriting.”</w:t>
      </w:r>
    </w:p>
    <w:p>
      <w:pPr>
        <w:spacing w:after="0" w:line="345" w:lineRule="exact"/>
        <w:rPr>
          <w:sz w:val="20"/>
          <w:szCs w:val="20"/>
          <w:color w:val="auto"/>
        </w:rPr>
      </w:pPr>
    </w:p>
    <w:p>
      <w:pPr>
        <w:ind w:left="1260" w:right="879"/>
        <w:spacing w:after="0" w:line="253"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the amended and restated investors’ rights agreement, our standard form of option agreement, our standard form of restricted stock agreement and our standard form of</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249555</wp:posOffset>
            </wp:positionV>
            <wp:extent cx="679958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85" w:name="page186"/>
    <w:bookmarkEnd w:id="1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color w:val="auto"/>
        </w:rPr>
        <w:t>restricted stock purchase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125"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Registration rights</w:t>
      </w:r>
    </w:p>
    <w:p>
      <w:pPr>
        <w:spacing w:after="0" w:line="169"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Upon the closing of this offering, the holders of up to approximately million shares of our common stock (which includes all of the shares of common stock issuable upon the automatic conversion of our preferred stock upon the closing of this offering), or their transferees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immediately upon the effectiveness of the registration statement registering such shares, except for shares purchased by affiliates.</w:t>
      </w:r>
    </w:p>
    <w:p>
      <w:pPr>
        <w:spacing w:after="0" w:line="142" w:lineRule="exact"/>
        <w:rPr>
          <w:sz w:val="20"/>
          <w:szCs w:val="20"/>
          <w:color w:val="auto"/>
        </w:rPr>
      </w:pPr>
    </w:p>
    <w:p>
      <w:pPr>
        <w:ind w:left="1260" w:right="599"/>
        <w:spacing w:after="0" w:line="267" w:lineRule="auto"/>
        <w:rPr>
          <w:sz w:val="20"/>
          <w:szCs w:val="20"/>
          <w:color w:val="auto"/>
        </w:rPr>
      </w:pPr>
      <w:r>
        <w:rPr>
          <w:rFonts w:ascii="Arial" w:cs="Arial" w:eastAsia="Arial" w:hAnsi="Arial"/>
          <w:sz w:val="18"/>
          <w:szCs w:val="18"/>
          <w:color w:val="auto"/>
        </w:rPr>
        <w:t>Following the closing of our initial public offering, we intend to enter into a registration rights agreement with Hercules Capital, Inc. granting Hercules Capital, Inc. rights with respect to the registration of their shares under the Securities Act in connection with the common stock issued in connection with the exercise of warrants to purchase shares of our common stock held by Hercules Capital, Inc.</w:t>
      </w:r>
    </w:p>
    <w:p>
      <w:pPr>
        <w:spacing w:after="0" w:line="127" w:lineRule="exact"/>
        <w:rPr>
          <w:sz w:val="20"/>
          <w:szCs w:val="20"/>
          <w:color w:val="auto"/>
        </w:rPr>
      </w:pPr>
    </w:p>
    <w:p>
      <w:pPr>
        <w:jc w:val="both"/>
        <w:ind w:left="1260" w:right="479"/>
        <w:spacing w:after="0" w:line="268" w:lineRule="auto"/>
        <w:rPr>
          <w:sz w:val="20"/>
          <w:szCs w:val="20"/>
          <w:color w:val="auto"/>
        </w:rPr>
      </w:pPr>
      <w:r>
        <w:rPr>
          <w:rFonts w:ascii="Arial" w:cs="Arial" w:eastAsia="Arial" w:hAnsi="Arial"/>
          <w:sz w:val="18"/>
          <w:szCs w:val="18"/>
          <w:color w:val="auto"/>
        </w:rPr>
        <w:t>Any sales of securities by these stockholders could have a material adverse effect on the trading price of our common stock. The requisite percentage of these stockholders have waived all such stockholders’ rights to notice of this offering and to include their shares of registrable securities in this offering.</w:t>
      </w:r>
    </w:p>
    <w:p>
      <w:pPr>
        <w:spacing w:after="0" w:line="138" w:lineRule="exact"/>
        <w:rPr>
          <w:sz w:val="20"/>
          <w:szCs w:val="20"/>
          <w:color w:val="auto"/>
        </w:rPr>
      </w:pPr>
    </w:p>
    <w:p>
      <w:pPr>
        <w:jc w:val="both"/>
        <w:ind w:left="1260" w:right="499"/>
        <w:spacing w:after="0" w:line="270" w:lineRule="auto"/>
        <w:rPr>
          <w:sz w:val="20"/>
          <w:szCs w:val="20"/>
          <w:color w:val="auto"/>
        </w:rPr>
      </w:pPr>
      <w:r>
        <w:rPr>
          <w:rFonts w:ascii="Arial" w:cs="Arial" w:eastAsia="Arial" w:hAnsi="Arial"/>
          <w:sz w:val="18"/>
          <w:szCs w:val="18"/>
          <w:color w:val="auto"/>
        </w:rPr>
        <w:t>See the section titled “Description of capital stock—Registration rights” for additional information. Shares covered by a registration statement will be eligible for sale on the public market upon the expiration or release from the terms of any applicable lock-up agreement.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Equity incentive plans</w:t>
      </w:r>
    </w:p>
    <w:p>
      <w:pPr>
        <w:spacing w:after="0" w:line="169"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We intend to file with the SEC a registration statement on Form S-8 under the Securities Act covering the shares of common stock reserved for issuance under the 2018 Plan, the 2021 Plan, and the ESPP. Such registration statement is expected to be filed and become effective as soon as practicable after the closing of this offering. Accordingly, shares registered under such registration statement will be available for sale in the open market following its effective date, subject to Rule 144 volume limitations and the lock-up agreements described above, if applicable.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right="759"/>
        <w:spacing w:after="0" w:line="247" w:lineRule="auto"/>
        <w:rPr>
          <w:sz w:val="20"/>
          <w:szCs w:val="20"/>
          <w:color w:val="auto"/>
        </w:rPr>
      </w:pPr>
      <w:r>
        <w:rPr>
          <w:rFonts w:ascii="Arial" w:cs="Arial" w:eastAsia="Arial" w:hAnsi="Arial"/>
          <w:sz w:val="29"/>
          <w:szCs w:val="29"/>
          <w:b w:val="1"/>
          <w:bCs w:val="1"/>
          <w:color w:val="auto"/>
        </w:rPr>
        <w:t>Material U.S. federal income tax consequences to Non-U.S. holders</w:t>
      </w:r>
    </w:p>
    <w:p>
      <w:pPr>
        <w:spacing w:after="0" w:line="93" w:lineRule="exact"/>
        <w:rPr>
          <w:sz w:val="20"/>
          <w:szCs w:val="20"/>
          <w:color w:val="auto"/>
        </w:rPr>
      </w:pPr>
    </w:p>
    <w:p>
      <w:pPr>
        <w:ind w:left="1260" w:right="519"/>
        <w:spacing w:after="0" w:line="250"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 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358" w:lineRule="exact"/>
        <w:rPr>
          <w:sz w:val="20"/>
          <w:szCs w:val="20"/>
          <w:color w:val="auto"/>
        </w:rPr>
      </w:pPr>
    </w:p>
    <w:p>
      <w:pPr>
        <w:ind w:left="1260" w:right="599"/>
        <w:spacing w:after="0" w:line="251"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 U.S. Holder’s particular circumstances, including the impact of the Medicare contribution tax on net investment income. In addition, it does not address consequences relevant to Non-U.S. Holders subject to special rules, including, without limitation:</w:t>
      </w:r>
    </w:p>
    <w:p>
      <w:pPr>
        <w:spacing w:after="0" w:line="114" w:lineRule="exact"/>
        <w:rPr>
          <w:sz w:val="20"/>
          <w:szCs w:val="20"/>
          <w:color w:val="auto"/>
        </w:rPr>
      </w:pPr>
    </w:p>
    <w:p>
      <w:pPr>
        <w:ind w:left="1400" w:hanging="145"/>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5" w:lineRule="exact"/>
        <w:rPr>
          <w:rFonts w:ascii="Arial" w:cs="Arial" w:eastAsia="Arial" w:hAnsi="Arial"/>
          <w:sz w:val="18"/>
          <w:szCs w:val="18"/>
          <w:color w:val="auto"/>
        </w:rPr>
      </w:pPr>
    </w:p>
    <w:p>
      <w:pPr>
        <w:ind w:left="1400" w:hanging="145"/>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29" w:lineRule="exact"/>
        <w:rPr>
          <w:rFonts w:ascii="Arial" w:cs="Arial" w:eastAsia="Arial" w:hAnsi="Arial"/>
          <w:sz w:val="18"/>
          <w:szCs w:val="18"/>
          <w:color w:val="auto"/>
        </w:rPr>
      </w:pPr>
    </w:p>
    <w:p>
      <w:pPr>
        <w:ind w:left="1400" w:right="559" w:hanging="145"/>
        <w:spacing w:after="0" w:line="275" w:lineRule="auto"/>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5" w:lineRule="exact"/>
        <w:rPr>
          <w:rFonts w:ascii="Arial" w:cs="Arial" w:eastAsia="Arial" w:hAnsi="Arial"/>
          <w:sz w:val="18"/>
          <w:szCs w:val="18"/>
          <w:color w:val="auto"/>
        </w:rPr>
      </w:pPr>
    </w:p>
    <w:p>
      <w:pPr>
        <w:ind w:left="1400" w:right="459" w:hanging="145"/>
        <w:spacing w:after="0" w:line="275" w:lineRule="auto"/>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90" w:lineRule="exact"/>
        <w:rPr>
          <w:rFonts w:ascii="Arial" w:cs="Arial" w:eastAsia="Arial" w:hAnsi="Arial"/>
          <w:sz w:val="18"/>
          <w:szCs w:val="18"/>
          <w:color w:val="auto"/>
        </w:rPr>
      </w:pPr>
    </w:p>
    <w:p>
      <w:pPr>
        <w:ind w:left="1400" w:right="439" w:hanging="145"/>
        <w:spacing w:after="0" w:line="275" w:lineRule="auto"/>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partnerships, other entities, or arrangements treated as partnerships for U.S. federal income tax purposes (and investors therein);</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5" w:lineRule="exact"/>
        <w:rPr>
          <w:rFonts w:ascii="Arial" w:cs="Arial" w:eastAsia="Arial" w:hAnsi="Arial"/>
          <w:sz w:val="18"/>
          <w:szCs w:val="18"/>
          <w:color w:val="auto"/>
        </w:rPr>
      </w:pPr>
    </w:p>
    <w:p>
      <w:pPr>
        <w:ind w:left="1400" w:hanging="145"/>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29" w:lineRule="exact"/>
        <w:rPr>
          <w:rFonts w:ascii="Arial" w:cs="Arial" w:eastAsia="Arial" w:hAnsi="Arial"/>
          <w:sz w:val="18"/>
          <w:szCs w:val="18"/>
          <w:color w:val="auto"/>
        </w:rPr>
      </w:pPr>
    </w:p>
    <w:p>
      <w:pPr>
        <w:ind w:left="1400" w:right="499" w:hanging="145"/>
        <w:spacing w:after="0" w:line="275" w:lineRule="auto"/>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29" w:lineRule="exact"/>
        <w:rPr>
          <w:rFonts w:ascii="Arial" w:cs="Arial" w:eastAsia="Arial" w:hAnsi="Arial"/>
          <w:sz w:val="18"/>
          <w:szCs w:val="18"/>
          <w:color w:val="auto"/>
        </w:rPr>
      </w:pPr>
    </w:p>
    <w:p>
      <w:pPr>
        <w:ind w:left="1400" w:right="639" w:hanging="145"/>
        <w:spacing w:after="0" w:line="275" w:lineRule="auto"/>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“qualified foreign pension funds” and entities, all of the interests of which are held by qualified foreign pension funds; and</w:t>
      </w:r>
    </w:p>
    <w:p>
      <w:pPr>
        <w:spacing w:after="0" w:line="90" w:lineRule="exact"/>
        <w:rPr>
          <w:rFonts w:ascii="Arial" w:cs="Arial" w:eastAsia="Arial" w:hAnsi="Arial"/>
          <w:sz w:val="18"/>
          <w:szCs w:val="18"/>
          <w:color w:val="auto"/>
        </w:rPr>
      </w:pPr>
    </w:p>
    <w:p>
      <w:pPr>
        <w:jc w:val="both"/>
        <w:ind w:left="1400" w:right="859" w:hanging="145"/>
        <w:spacing w:after="0" w:line="275" w:lineRule="auto"/>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11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02" w:lineRule="exact"/>
        <w:rPr>
          <w:sz w:val="20"/>
          <w:szCs w:val="20"/>
          <w:color w:val="auto"/>
        </w:rPr>
      </w:pPr>
    </w:p>
    <w:p>
      <w:pPr>
        <w:ind w:left="1260" w:right="679"/>
        <w:spacing w:after="0" w:line="267"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60" w:right="619"/>
        <w:spacing w:after="0" w:line="289" w:lineRule="auto"/>
        <w:rPr>
          <w:sz w:val="20"/>
          <w:szCs w:val="20"/>
          <w:color w:val="auto"/>
        </w:rPr>
      </w:pPr>
      <w:r>
        <w:rPr>
          <w:rFonts w:ascii="Arial" w:cs="Arial" w:eastAsia="Arial" w:hAnsi="Arial"/>
          <w:sz w:val="18"/>
          <w:szCs w:val="18"/>
          <w:b w:val="1"/>
          <w:bCs w:val="1"/>
          <w:color w:val="auto"/>
        </w:rPr>
        <w:t>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Definition of a Non-U.S. holder</w:t>
      </w:r>
    </w:p>
    <w:p>
      <w:pPr>
        <w:spacing w:after="0" w:line="155" w:lineRule="exact"/>
        <w:rPr>
          <w:sz w:val="20"/>
          <w:szCs w:val="20"/>
          <w:color w:val="auto"/>
        </w:rPr>
      </w:pPr>
    </w:p>
    <w:p>
      <w:pPr>
        <w:ind w:left="1260" w:right="439"/>
        <w:spacing w:after="0" w:line="28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10" w:lineRule="exact"/>
        <w:rPr>
          <w:sz w:val="20"/>
          <w:szCs w:val="20"/>
          <w:color w:val="auto"/>
        </w:rPr>
      </w:pPr>
    </w:p>
    <w:p>
      <w:pPr>
        <w:ind w:left="1400" w:hanging="145"/>
        <w:spacing w:after="0"/>
        <w:tabs>
          <w:tab w:leader="none" w:pos="14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42" w:lineRule="exact"/>
        <w:rPr>
          <w:rFonts w:ascii="Arial" w:cs="Arial" w:eastAsia="Arial" w:hAnsi="Arial"/>
          <w:sz w:val="18"/>
          <w:szCs w:val="18"/>
          <w:color w:val="auto"/>
        </w:rPr>
      </w:pPr>
    </w:p>
    <w:p>
      <w:pPr>
        <w:ind w:left="1400" w:right="719" w:hanging="145"/>
        <w:spacing w:after="0" w:line="275" w:lineRule="auto"/>
        <w:tabs>
          <w:tab w:leader="none" w:pos="14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corporation or entity treated as a corporation that is created or organized under the laws of the United States, any state thereof, or the District of Columbia;</w:t>
      </w:r>
    </w:p>
    <w:p>
      <w:pPr>
        <w:spacing w:after="0" w:line="90" w:lineRule="exact"/>
        <w:rPr>
          <w:rFonts w:ascii="Arial" w:cs="Arial" w:eastAsia="Arial" w:hAnsi="Arial"/>
          <w:sz w:val="18"/>
          <w:szCs w:val="18"/>
          <w:color w:val="auto"/>
        </w:rPr>
      </w:pPr>
    </w:p>
    <w:p>
      <w:pPr>
        <w:ind w:left="1400" w:hanging="145"/>
        <w:spacing w:after="0"/>
        <w:tabs>
          <w:tab w:leader="none" w:pos="14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42" w:lineRule="exact"/>
        <w:rPr>
          <w:rFonts w:ascii="Arial" w:cs="Arial" w:eastAsia="Arial" w:hAnsi="Arial"/>
          <w:sz w:val="18"/>
          <w:szCs w:val="18"/>
          <w:color w:val="auto"/>
        </w:rPr>
      </w:pPr>
    </w:p>
    <w:p>
      <w:pPr>
        <w:ind w:left="1400" w:right="899" w:hanging="145"/>
        <w:spacing w:after="0" w:line="265" w:lineRule="auto"/>
        <w:tabs>
          <w:tab w:leader="none" w:pos="14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Code), or</w:t>
      </w:r>
    </w:p>
    <w:p>
      <w:pPr>
        <w:ind w:left="1400" w:right="519"/>
        <w:spacing w:after="0" w:line="275" w:lineRule="auto"/>
        <w:rPr>
          <w:rFonts w:ascii="Arial" w:cs="Arial" w:eastAsia="Arial" w:hAnsi="Arial"/>
          <w:sz w:val="18"/>
          <w:szCs w:val="18"/>
          <w:color w:val="auto"/>
        </w:rPr>
      </w:pPr>
      <w:r>
        <w:rPr>
          <w:rFonts w:ascii="Arial" w:cs="Arial" w:eastAsia="Arial" w:hAnsi="Arial"/>
          <w:sz w:val="18"/>
          <w:szCs w:val="18"/>
          <w:color w:val="auto"/>
        </w:rPr>
        <w:t>(ii) has a valid election in effect to be treated as a United States person for U.S. federal income tax purposes.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Distributions</w:t>
      </w:r>
    </w:p>
    <w:p>
      <w:pPr>
        <w:spacing w:after="0" w:line="169" w:lineRule="exact"/>
        <w:rPr>
          <w:sz w:val="20"/>
          <w:szCs w:val="20"/>
          <w:color w:val="auto"/>
        </w:rPr>
      </w:pPr>
    </w:p>
    <w:p>
      <w:pPr>
        <w:ind w:left="1260" w:right="439"/>
        <w:spacing w:after="0" w:line="282" w:lineRule="auto"/>
        <w:rPr>
          <w:sz w:val="20"/>
          <w:szCs w:val="20"/>
          <w:color w:val="auto"/>
        </w:rPr>
      </w:pPr>
      <w:r>
        <w:rPr>
          <w:rFonts w:ascii="Arial" w:cs="Arial" w:eastAsia="Arial" w:hAnsi="Arial"/>
          <w:sz w:val="18"/>
          <w:szCs w:val="18"/>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368"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Subject to the discussions below on effectively connected income, backup withholding and the Foreign Account Tax Compliance Act, or FATCA,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1"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366"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Any such effectively connected dividends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ectPr>
          <w:pgSz w:w="11900" w:h="16838" w:orient="portrait"/>
          <w:cols w:equalWidth="0" w:num="1">
            <w:col w:w="9859"/>
          </w:cols>
          <w:pgMar w:left="600" w:top="132" w:right="1440" w:bottom="767" w:gutter="0" w:footer="0" w:header="0"/>
        </w:sectPr>
      </w:pP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767" w:gutter="0" w:footer="0" w:header="0"/>
          <w:type w:val="continuous"/>
        </w:sectPr>
      </w:pPr>
    </w:p>
    <w:bookmarkStart w:id="188" w:name="page189"/>
    <w:bookmarkEnd w:id="1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Sale or other taxable disposition</w:t>
      </w:r>
    </w:p>
    <w:p>
      <w:pPr>
        <w:spacing w:after="0" w:line="155" w:lineRule="exact"/>
        <w:rPr>
          <w:sz w:val="20"/>
          <w:szCs w:val="20"/>
          <w:color w:val="auto"/>
        </w:rPr>
      </w:pPr>
    </w:p>
    <w:p>
      <w:pPr>
        <w:ind w:left="1260" w:right="559"/>
        <w:spacing w:after="0" w:line="270" w:lineRule="auto"/>
        <w:rPr>
          <w:sz w:val="20"/>
          <w:szCs w:val="20"/>
          <w:color w:val="auto"/>
        </w:rPr>
      </w:pPr>
      <w:r>
        <w:rPr>
          <w:rFonts w:ascii="Arial" w:cs="Arial" w:eastAsia="Arial" w:hAnsi="Arial"/>
          <w:sz w:val="18"/>
          <w:szCs w:val="18"/>
          <w:color w:val="auto"/>
        </w:rPr>
        <w:t>Subject to the discussions below regarding backup withholding and FATCA, a Non-U.S. Holder will not be subject to U.S. federal income tax on any gain realized upon the sale or other taxable disposition of our common stock unless:</w:t>
      </w:r>
    </w:p>
    <w:p>
      <w:pPr>
        <w:spacing w:after="0" w:line="95" w:lineRule="exact"/>
        <w:rPr>
          <w:sz w:val="20"/>
          <w:szCs w:val="20"/>
          <w:color w:val="auto"/>
        </w:rPr>
      </w:pPr>
    </w:p>
    <w:p>
      <w:pPr>
        <w:ind w:left="1400" w:right="679" w:hanging="145"/>
        <w:spacing w:after="0" w:line="268" w:lineRule="auto"/>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111" w:lineRule="exact"/>
        <w:rPr>
          <w:rFonts w:ascii="Arial" w:cs="Arial" w:eastAsia="Arial" w:hAnsi="Arial"/>
          <w:sz w:val="18"/>
          <w:szCs w:val="18"/>
          <w:color w:val="auto"/>
        </w:rPr>
      </w:pPr>
    </w:p>
    <w:p>
      <w:pPr>
        <w:ind w:left="1400" w:right="579" w:hanging="145"/>
        <w:spacing w:after="0" w:line="275" w:lineRule="auto"/>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90" w:lineRule="exact"/>
        <w:rPr>
          <w:rFonts w:ascii="Arial" w:cs="Arial" w:eastAsia="Arial" w:hAnsi="Arial"/>
          <w:sz w:val="18"/>
          <w:szCs w:val="18"/>
          <w:color w:val="auto"/>
        </w:rPr>
      </w:pPr>
    </w:p>
    <w:p>
      <w:pPr>
        <w:ind w:left="1400" w:right="559" w:hanging="145"/>
        <w:spacing w:after="0" w:line="275" w:lineRule="auto"/>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18"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140"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0"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352" w:lineRule="exact"/>
        <w:rPr>
          <w:sz w:val="20"/>
          <w:szCs w:val="20"/>
          <w:color w:val="auto"/>
        </w:rPr>
      </w:pPr>
    </w:p>
    <w:p>
      <w:pPr>
        <w:ind w:left="1260" w:right="619"/>
        <w:spacing w:after="0" w:line="275" w:lineRule="auto"/>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69" w:lineRule="exact"/>
        <w:rPr>
          <w:sz w:val="20"/>
          <w:szCs w:val="20"/>
          <w:color w:val="auto"/>
        </w:rPr>
      </w:pPr>
    </w:p>
    <w:p>
      <w:pPr>
        <w:ind w:left="1260" w:right="519"/>
        <w:spacing w:after="0" w:line="266" w:lineRule="auto"/>
        <w:rPr>
          <w:sz w:val="20"/>
          <w:szCs w:val="20"/>
          <w:color w:val="auto"/>
        </w:rPr>
      </w:pPr>
      <w:r>
        <w:rPr>
          <w:rFonts w:ascii="Arial" w:cs="Arial" w:eastAsia="Arial" w:hAnsi="Arial"/>
          <w:sz w:val="18"/>
          <w:szCs w:val="18"/>
          <w:color w:val="auto"/>
        </w:rPr>
        <w:t>Payments of dividends on our common stock will not be subject to backup withholding, provided the holder either certifies its non-U.S. status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ectPr>
          <w:pgSz w:w="11900" w:h="16838" w:orient="portrait"/>
          <w:cols w:equalWidth="0" w:num="1">
            <w:col w:w="9859"/>
          </w:cols>
          <w:pgMar w:left="600" w:top="132" w:right="1440" w:bottom="9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996"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639"/>
        <w:spacing w:after="0" w:line="270" w:lineRule="auto"/>
        <w:rPr>
          <w:sz w:val="20"/>
          <w:szCs w:val="20"/>
          <w:color w:val="auto"/>
        </w:rPr>
      </w:pPr>
      <w:r>
        <w:rPr>
          <w:rFonts w:ascii="Arial" w:cs="Arial" w:eastAsia="Arial" w:hAnsi="Arial"/>
          <w:sz w:val="18"/>
          <w:szCs w:val="18"/>
          <w:color w:val="auto"/>
        </w:rPr>
        <w:t>Copies of information returns that are filed with the IRS also may be made available under the provisions of an applicable treaty or agreement to the tax authorities of the country in which the Non-U.S. Holder resides or is established.</w:t>
      </w:r>
    </w:p>
    <w:p>
      <w:pPr>
        <w:spacing w:after="0" w:line="122" w:lineRule="exact"/>
        <w:rPr>
          <w:sz w:val="20"/>
          <w:szCs w:val="20"/>
          <w:color w:val="auto"/>
        </w:rPr>
      </w:pPr>
    </w:p>
    <w:p>
      <w:pPr>
        <w:jc w:val="both"/>
        <w:ind w:left="1260" w:right="519"/>
        <w:spacing w:after="0" w:line="270"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69"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color w:val="auto"/>
        </w:rPr>
        <w:t>Withholding taxes may be imposed under Sections 1471 to 1474 of the Code (commonly referred to as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1" w:lineRule="exact"/>
        <w:rPr>
          <w:sz w:val="20"/>
          <w:szCs w:val="20"/>
          <w:color w:val="auto"/>
        </w:rPr>
      </w:pPr>
    </w:p>
    <w:p>
      <w:pPr>
        <w:ind w:left="1260" w:right="639"/>
        <w:spacing w:after="0" w:line="267"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currently to payments of dividends on our common stock. While withholding under FATCA would have applied also to payments of gross proceeds from the sale or other disposition of our common stock on or after January 1, 2021, proposed Treasury Regulations eliminate FATCA withholding on payments of gross proceeds entirely. Taxpayers generally may rely on these proposed Treasury Regulations until final Treasury Regulations are issued.</w:t>
      </w:r>
    </w:p>
    <w:p>
      <w:pPr>
        <w:spacing w:after="0" w:line="354" w:lineRule="exact"/>
        <w:rPr>
          <w:sz w:val="20"/>
          <w:szCs w:val="20"/>
          <w:color w:val="auto"/>
        </w:rPr>
      </w:pPr>
    </w:p>
    <w:p>
      <w:pPr>
        <w:ind w:left="1260" w:right="939"/>
        <w:spacing w:after="0" w:line="275"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Underwriting</w:t>
      </w:r>
    </w:p>
    <w:p>
      <w:pPr>
        <w:spacing w:after="0" w:line="150"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BofA Securities, Inc., SVB Leerink LLC, and Piper Sandler &amp; Co. are acting as joint book-running managers of the offering and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3720" w:type="dxa"/>
            <w:vAlign w:val="bottom"/>
            <w:tcBorders>
              <w:top w:val="single" w:sz="8" w:color="auto"/>
            </w:tcBorders>
          </w:tcPr>
          <w:p>
            <w:pPr>
              <w:spacing w:after="0"/>
              <w:rPr>
                <w:sz w:val="18"/>
                <w:szCs w:val="18"/>
                <w:color w:val="auto"/>
              </w:rPr>
            </w:pPr>
          </w:p>
        </w:tc>
        <w:tc>
          <w:tcPr>
            <w:tcW w:w="4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188"/>
        </w:trPr>
        <w:tc>
          <w:tcPr>
            <w:tcW w:w="3720" w:type="dxa"/>
            <w:vAlign w:val="bottom"/>
          </w:tcPr>
          <w:p>
            <w:pPr>
              <w:spacing w:after="0"/>
              <w:rPr>
                <w:sz w:val="16"/>
                <w:szCs w:val="16"/>
                <w:color w:val="auto"/>
              </w:rPr>
            </w:pPr>
          </w:p>
        </w:tc>
        <w:tc>
          <w:tcPr>
            <w:tcW w:w="4460" w:type="dxa"/>
            <w:vAlign w:val="bottom"/>
          </w:tcPr>
          <w:p>
            <w:pPr>
              <w:jc w:val="right"/>
              <w:spacing w:after="0"/>
              <w:rPr>
                <w:sz w:val="20"/>
                <w:szCs w:val="20"/>
                <w:color w:val="auto"/>
              </w:rPr>
            </w:pPr>
            <w:r>
              <w:rPr>
                <w:rFonts w:ascii="Arial" w:cs="Arial" w:eastAsia="Arial" w:hAnsi="Arial"/>
                <w:sz w:val="16"/>
                <w:szCs w:val="16"/>
                <w:b w:val="1"/>
                <w:bCs w:val="1"/>
                <w:color w:val="auto"/>
              </w:rPr>
              <w:t>shares of</w:t>
            </w:r>
          </w:p>
        </w:tc>
      </w:tr>
      <w:tr>
        <w:trPr>
          <w:trHeight w:val="214"/>
        </w:trPr>
        <w:tc>
          <w:tcPr>
            <w:tcW w:w="37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4460" w:type="dxa"/>
            <w:vAlign w:val="bottom"/>
          </w:tcPr>
          <w:p>
            <w:pPr>
              <w:jc w:val="right"/>
              <w:spacing w:after="0"/>
              <w:rPr>
                <w:sz w:val="20"/>
                <w:szCs w:val="20"/>
                <w:color w:val="auto"/>
              </w:rPr>
            </w:pPr>
            <w:r>
              <w:rPr>
                <w:rFonts w:ascii="Arial" w:cs="Arial" w:eastAsia="Arial" w:hAnsi="Arial"/>
                <w:sz w:val="16"/>
                <w:szCs w:val="16"/>
                <w:b w:val="1"/>
                <w:bCs w:val="1"/>
                <w:color w:val="auto"/>
              </w:rPr>
              <w:t>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12065</wp:posOffset>
            </wp:positionV>
            <wp:extent cx="5193665"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93665" cy="162560"/>
                    </a:xfrm>
                    <a:prstGeom prst="rect">
                      <a:avLst/>
                    </a:prstGeom>
                    <a:noFill/>
                  </pic:spPr>
                </pic:pic>
              </a:graphicData>
            </a:graphic>
          </wp:anchor>
        </w:drawing>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J.P. Morgan Securities LLC</w:t>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22860</wp:posOffset>
            </wp:positionV>
            <wp:extent cx="5193665"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93665" cy="162560"/>
                    </a:xfrm>
                    <a:prstGeom prst="rect">
                      <a:avLst/>
                    </a:prstGeom>
                    <a:noFill/>
                  </pic:spPr>
                </pic:pic>
              </a:graphicData>
            </a:graphic>
          </wp:anchor>
        </w:drawing>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SVB Leerink LLC</w:t>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14605</wp:posOffset>
            </wp:positionV>
            <wp:extent cx="5193665" cy="1708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93665" cy="170815"/>
                    </a:xfrm>
                    <a:prstGeom prst="rect">
                      <a:avLst/>
                    </a:prstGeom>
                    <a:noFill/>
                  </pic:spPr>
                </pic:pic>
              </a:graphicData>
            </a:graphic>
          </wp:anchor>
        </w:drawing>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31115</wp:posOffset>
            </wp:positionV>
            <wp:extent cx="51936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77"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of common stock. The underwriting agreement also provides that if an underwriter defaults, the purchase commitments of non-defaulting underwriters may also be increased or the offering may be terminated.</w:t>
      </w:r>
    </w:p>
    <w:p>
      <w:pPr>
        <w:spacing w:after="0" w:line="123" w:lineRule="exact"/>
        <w:rPr>
          <w:sz w:val="20"/>
          <w:szCs w:val="20"/>
          <w:color w:val="auto"/>
        </w:rPr>
      </w:pPr>
    </w:p>
    <w:p>
      <w:pPr>
        <w:ind w:left="1260" w:right="639"/>
        <w:spacing w:after="0" w:line="249" w:lineRule="auto"/>
        <w:rPr>
          <w:sz w:val="20"/>
          <w:szCs w:val="20"/>
          <w:color w:val="auto"/>
        </w:rPr>
      </w:pPr>
      <w:r>
        <w:rPr>
          <w:rFonts w:ascii="Arial" w:cs="Arial" w:eastAsia="Arial" w:hAnsi="Arial"/>
          <w:sz w:val="18"/>
          <w:szCs w:val="18"/>
          <w:color w:val="auto"/>
        </w:rPr>
        <w:t>The underwriters propose to offer the shares of common stock directly to the public at the initial public offering price set forth on the cover page of this prospectus and to certain dealers at that</w:t>
      </w:r>
    </w:p>
    <w:p>
      <w:pPr>
        <w:spacing w:after="0" w:line="1"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price less a concession not in excess of $ per share. After the initial offering of the shares of common stock to the public, if all of the shares of common stock are not sold at the initial public offering price, the underwriters may change the offering price and the other selling terms. Sales of any shares of common stock made outside of the United States may be made by affiliates of the underwriters.</w:t>
      </w:r>
    </w:p>
    <w:p>
      <w:pPr>
        <w:spacing w:after="0" w:line="351"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of common stock by the underwriters which exceed the number of shares of common stock specified in the table above. The underwriters have 30 days from the date of this prospectus to exercise this option to purchase additional shares of common stock. If any shares of common stock are purchased with this option to purchase additional shares of common stock, the underwriters will purchase shares of common stock in approximately the same proportion as shown in the table above. If any additional shares of common stock are purchased, the underwriters will offer the additional shares of common stock on the same terms as those on which the shares of common stock are being offered.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underwriting fee is equal to the public offering price per common share less the amount paid</w:t>
      </w:r>
    </w:p>
    <w:p>
      <w:pPr>
        <w:spacing w:after="0" w:line="22"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by the underwriters to us per common share. The underwriting fee is $ per share. The following table shows the per share and total underwriting discounts and commissions to be paid to the underwriters assuming both no exercise and full exercise of the underwriters’ option to purchase additional shares of common stock.</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7"/>
        </w:trPr>
        <w:tc>
          <w:tcPr>
            <w:tcW w:w="53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Without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With full</w:t>
            </w:r>
          </w:p>
        </w:tc>
      </w:tr>
      <w:tr>
        <w:trPr>
          <w:trHeight w:val="188"/>
        </w:trPr>
        <w:tc>
          <w:tcPr>
            <w:tcW w:w="5360" w:type="dxa"/>
            <w:vAlign w:val="bottom"/>
          </w:tcPr>
          <w:p>
            <w:pPr>
              <w:spacing w:after="0"/>
              <w:rPr>
                <w:sz w:val="16"/>
                <w:szCs w:val="16"/>
                <w:color w:val="auto"/>
              </w:rPr>
            </w:pPr>
          </w:p>
        </w:tc>
        <w:tc>
          <w:tcPr>
            <w:tcW w:w="1460" w:type="dxa"/>
            <w:vAlign w:val="bottom"/>
          </w:tcPr>
          <w:p>
            <w:pPr>
              <w:jc w:val="right"/>
              <w:ind w:right="77"/>
              <w:spacing w:after="0"/>
              <w:rPr>
                <w:sz w:val="20"/>
                <w:szCs w:val="20"/>
                <w:color w:val="auto"/>
              </w:rPr>
            </w:pPr>
            <w:r>
              <w:rPr>
                <w:rFonts w:ascii="Arial" w:cs="Arial" w:eastAsia="Arial" w:hAnsi="Arial"/>
                <w:sz w:val="16"/>
                <w:szCs w:val="16"/>
                <w:b w:val="1"/>
                <w:bCs w:val="1"/>
                <w:color w:val="auto"/>
              </w:rPr>
              <w:t>option to</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option to</w:t>
            </w:r>
          </w:p>
        </w:tc>
      </w:tr>
      <w:tr>
        <w:trPr>
          <w:trHeight w:val="188"/>
        </w:trPr>
        <w:tc>
          <w:tcPr>
            <w:tcW w:w="5360" w:type="dxa"/>
            <w:vAlign w:val="bottom"/>
          </w:tcPr>
          <w:p>
            <w:pPr>
              <w:spacing w:after="0"/>
              <w:rPr>
                <w:sz w:val="16"/>
                <w:szCs w:val="16"/>
                <w:color w:val="auto"/>
              </w:rPr>
            </w:pPr>
          </w:p>
        </w:tc>
        <w:tc>
          <w:tcPr>
            <w:tcW w:w="1460" w:type="dxa"/>
            <w:vAlign w:val="bottom"/>
          </w:tcPr>
          <w:p>
            <w:pPr>
              <w:jc w:val="right"/>
              <w:ind w:right="97"/>
              <w:spacing w:after="0"/>
              <w:rPr>
                <w:sz w:val="20"/>
                <w:szCs w:val="20"/>
                <w:color w:val="auto"/>
              </w:rPr>
            </w:pPr>
            <w:r>
              <w:rPr>
                <w:rFonts w:ascii="Arial" w:cs="Arial" w:eastAsia="Arial" w:hAnsi="Arial"/>
                <w:sz w:val="16"/>
                <w:szCs w:val="16"/>
                <w:b w:val="1"/>
                <w:bCs w:val="1"/>
                <w:color w:val="auto"/>
              </w:rPr>
              <w:t>purchase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r>
      <w:tr>
        <w:trPr>
          <w:trHeight w:val="188"/>
        </w:trPr>
        <w:tc>
          <w:tcPr>
            <w:tcW w:w="5360" w:type="dxa"/>
            <w:vAlign w:val="bottom"/>
          </w:tcPr>
          <w:p>
            <w:pPr>
              <w:spacing w:after="0"/>
              <w:rPr>
                <w:sz w:val="16"/>
                <w:szCs w:val="16"/>
                <w:color w:val="auto"/>
              </w:rPr>
            </w:pPr>
          </w:p>
        </w:tc>
        <w:tc>
          <w:tcPr>
            <w:tcW w:w="1460" w:type="dxa"/>
            <w:vAlign w:val="bottom"/>
          </w:tcPr>
          <w:p>
            <w:pPr>
              <w:jc w:val="right"/>
              <w:ind w:right="77"/>
              <w:spacing w:after="0"/>
              <w:rPr>
                <w:sz w:val="20"/>
                <w:szCs w:val="20"/>
                <w:color w:val="auto"/>
              </w:rPr>
            </w:pPr>
            <w:r>
              <w:rPr>
                <w:rFonts w:ascii="Arial" w:cs="Arial" w:eastAsia="Arial" w:hAnsi="Arial"/>
                <w:sz w:val="16"/>
                <w:szCs w:val="16"/>
                <w:b w:val="1"/>
                <w:bCs w:val="1"/>
                <w:color w:val="auto"/>
              </w:rPr>
              <w:t>additional</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additional</w:t>
            </w:r>
          </w:p>
        </w:tc>
      </w:tr>
      <w:tr>
        <w:trPr>
          <w:trHeight w:val="188"/>
        </w:trPr>
        <w:tc>
          <w:tcPr>
            <w:tcW w:w="5360" w:type="dxa"/>
            <w:vAlign w:val="bottom"/>
          </w:tcPr>
          <w:p>
            <w:pPr>
              <w:spacing w:after="0"/>
              <w:rPr>
                <w:sz w:val="16"/>
                <w:szCs w:val="16"/>
                <w:color w:val="auto"/>
              </w:rPr>
            </w:pPr>
          </w:p>
        </w:tc>
        <w:tc>
          <w:tcPr>
            <w:tcW w:w="1460" w:type="dxa"/>
            <w:vAlign w:val="bottom"/>
          </w:tcPr>
          <w:p>
            <w:pPr>
              <w:jc w:val="right"/>
              <w:ind w:right="77"/>
              <w:spacing w:after="0"/>
              <w:rPr>
                <w:sz w:val="20"/>
                <w:szCs w:val="20"/>
                <w:color w:val="auto"/>
              </w:rPr>
            </w:pPr>
            <w:r>
              <w:rPr>
                <w:rFonts w:ascii="Arial" w:cs="Arial" w:eastAsia="Arial" w:hAnsi="Arial"/>
                <w:sz w:val="16"/>
                <w:szCs w:val="16"/>
                <w:b w:val="1"/>
                <w:bCs w:val="1"/>
                <w:color w:val="auto"/>
              </w:rPr>
              <w:t>shares of</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shares of</w:t>
            </w:r>
          </w:p>
        </w:tc>
      </w:tr>
      <w:tr>
        <w:trPr>
          <w:trHeight w:val="188"/>
        </w:trPr>
        <w:tc>
          <w:tcPr>
            <w:tcW w:w="5360" w:type="dxa"/>
            <w:vAlign w:val="bottom"/>
          </w:tcPr>
          <w:p>
            <w:pPr>
              <w:spacing w:after="0"/>
              <w:rPr>
                <w:sz w:val="16"/>
                <w:szCs w:val="16"/>
                <w:color w:val="auto"/>
              </w:rPr>
            </w:pPr>
          </w:p>
        </w:tc>
        <w:tc>
          <w:tcPr>
            <w:tcW w:w="1460" w:type="dxa"/>
            <w:vAlign w:val="bottom"/>
          </w:tcPr>
          <w:p>
            <w:pPr>
              <w:jc w:val="right"/>
              <w:ind w:right="97"/>
              <w:spacing w:after="0"/>
              <w:rPr>
                <w:sz w:val="20"/>
                <w:szCs w:val="20"/>
                <w:color w:val="auto"/>
              </w:rPr>
            </w:pPr>
            <w:r>
              <w:rPr>
                <w:rFonts w:ascii="Arial" w:cs="Arial" w:eastAsia="Arial" w:hAnsi="Arial"/>
                <w:sz w:val="16"/>
                <w:szCs w:val="16"/>
                <w:b w:val="1"/>
                <w:bCs w:val="1"/>
                <w:color w:val="auto"/>
              </w:rPr>
              <w:t>common stock</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common stock</w:t>
            </w:r>
          </w:p>
        </w:tc>
      </w:tr>
      <w:tr>
        <w:trPr>
          <w:trHeight w:val="227"/>
        </w:trPr>
        <w:tc>
          <w:tcPr>
            <w:tcW w:w="53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exercise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exercise</w:t>
            </w:r>
          </w:p>
        </w:tc>
      </w:tr>
      <w:tr>
        <w:trPr>
          <w:trHeight w:val="229"/>
        </w:trPr>
        <w:tc>
          <w:tcPr>
            <w:tcW w:w="5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Per Common Share</w:t>
            </w:r>
          </w:p>
        </w:tc>
        <w:tc>
          <w:tcPr>
            <w:tcW w:w="146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ind w:right="1057"/>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7"/>
              <w:spacing w:after="0"/>
              <w:rPr>
                <w:sz w:val="20"/>
                <w:szCs w:val="20"/>
                <w:color w:val="auto"/>
              </w:rPr>
            </w:pPr>
            <w:r>
              <w:rPr>
                <w:rFonts w:ascii="Arial" w:cs="Arial" w:eastAsia="Arial" w:hAnsi="Arial"/>
                <w:sz w:val="18"/>
                <w:szCs w:val="18"/>
                <w:color w:val="auto"/>
              </w:rPr>
              <w:t>$</w:t>
            </w:r>
          </w:p>
        </w:tc>
      </w:tr>
      <w:tr>
        <w:trPr>
          <w:trHeight w:val="26"/>
        </w:trPr>
        <w:tc>
          <w:tcPr>
            <w:tcW w:w="5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-315595</wp:posOffset>
            </wp:positionV>
            <wp:extent cx="34086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08680" cy="825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249555</wp:posOffset>
            </wp:positionV>
            <wp:extent cx="679958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1" w:name="page192"/>
    <w:bookmarkEnd w:id="1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19"/>
        <w:spacing w:after="0" w:line="24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w:t>
      </w:r>
    </w:p>
    <w:p>
      <w:pPr>
        <w:spacing w:after="0" w:line="1" w:lineRule="exact"/>
        <w:rPr>
          <w:sz w:val="20"/>
          <w:szCs w:val="20"/>
          <w:color w:val="auto"/>
        </w:rPr>
      </w:pPr>
    </w:p>
    <w:p>
      <w:pPr>
        <w:ind w:left="1260"/>
        <w:spacing w:after="0"/>
        <w:tabs>
          <w:tab w:leader="none" w:pos="5120" w:val="left"/>
        </w:tabs>
        <w:rPr>
          <w:sz w:val="20"/>
          <w:szCs w:val="20"/>
          <w:color w:val="auto"/>
        </w:rPr>
      </w:pPr>
      <w:r>
        <w:rPr>
          <w:rFonts w:ascii="Arial" w:cs="Arial" w:eastAsia="Arial" w:hAnsi="Arial"/>
          <w:sz w:val="18"/>
          <w:szCs w:val="18"/>
          <w:color w:val="auto"/>
        </w:rPr>
        <w:t>commissions, will be approximately $</w:t>
      </w:r>
      <w:r>
        <w:rPr>
          <w:sz w:val="20"/>
          <w:szCs w:val="20"/>
          <w:color w:val="auto"/>
        </w:rPr>
        <w:tab/>
      </w:r>
      <w:r>
        <w:rPr>
          <w:rFonts w:ascii="Arial" w:cs="Arial" w:eastAsia="Arial" w:hAnsi="Arial"/>
          <w:sz w:val="18"/>
          <w:szCs w:val="18"/>
          <w:color w:val="auto"/>
        </w:rPr>
        <w:t>million.</w:t>
      </w:r>
    </w:p>
    <w:p>
      <w:pPr>
        <w:spacing w:after="0" w:line="143" w:lineRule="exact"/>
        <w:rPr>
          <w:sz w:val="20"/>
          <w:szCs w:val="20"/>
          <w:color w:val="auto"/>
        </w:rPr>
      </w:pPr>
    </w:p>
    <w:p>
      <w:pPr>
        <w:ind w:left="1260" w:right="439"/>
        <w:spacing w:after="0" w:line="24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of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 We have also agreed to reimburse the</w:t>
      </w:r>
    </w:p>
    <w:p>
      <w:pPr>
        <w:spacing w:after="0" w:line="3" w:lineRule="exact"/>
        <w:rPr>
          <w:sz w:val="20"/>
          <w:szCs w:val="20"/>
          <w:color w:val="auto"/>
        </w:rPr>
      </w:pPr>
    </w:p>
    <w:p>
      <w:pPr>
        <w:ind w:left="1260"/>
        <w:spacing w:after="0"/>
        <w:tabs>
          <w:tab w:leader="none" w:pos="7280" w:val="left"/>
        </w:tabs>
        <w:rPr>
          <w:sz w:val="20"/>
          <w:szCs w:val="20"/>
          <w:color w:val="auto"/>
        </w:rPr>
      </w:pPr>
      <w:r>
        <w:rPr>
          <w:rFonts w:ascii="Arial" w:cs="Arial" w:eastAsia="Arial" w:hAnsi="Arial"/>
          <w:sz w:val="18"/>
          <w:szCs w:val="18"/>
          <w:color w:val="auto"/>
        </w:rPr>
        <w:t>underwriters for certain of their expenses in an amount of up to $</w:t>
      </w:r>
      <w:r>
        <w:rPr>
          <w:sz w:val="20"/>
          <w:szCs w:val="20"/>
          <w:color w:val="auto"/>
        </w:rPr>
        <w:tab/>
      </w:r>
      <w:r>
        <w:rPr>
          <w:rFonts w:ascii="Arial" w:cs="Arial" w:eastAsia="Arial" w:hAnsi="Arial"/>
          <w:sz w:val="18"/>
          <w:szCs w:val="18"/>
          <w:color w:val="auto"/>
        </w:rPr>
        <w:t>.</w:t>
      </w:r>
    </w:p>
    <w:p>
      <w:pPr>
        <w:spacing w:after="0" w:line="156" w:lineRule="exact"/>
        <w:rPr>
          <w:sz w:val="20"/>
          <w:szCs w:val="20"/>
          <w:color w:val="auto"/>
        </w:rPr>
      </w:pPr>
    </w:p>
    <w:p>
      <w:pPr>
        <w:ind w:left="1260" w:right="459"/>
        <w:spacing w:after="0" w:line="249" w:lineRule="auto"/>
        <w:rPr>
          <w:sz w:val="20"/>
          <w:szCs w:val="20"/>
          <w:color w:val="auto"/>
        </w:rPr>
      </w:pPr>
      <w:r>
        <w:rPr>
          <w:rFonts w:ascii="Arial" w:cs="Arial" w:eastAsia="Arial" w:hAnsi="Arial"/>
          <w:sz w:val="18"/>
          <w:szCs w:val="18"/>
          <w:color w:val="auto"/>
        </w:rPr>
        <w:t>Our directors and executive officers, and substantially all of our stockholders (such persons, “lock-up parties”) will enter into lock-up agreements with the underwriters prior to the commencement of this offering pursuant to which each lock -up party, with limited exceptions, for a period of 180 days after the date of this prospectus (such period, the “Restricted Period”), may not (and may not cause any of their direct or indirect affiliates to), without the prior written consent of J.P. Morgan Securities, BofA Securities, Inc., SVB Leerink LLC, and Piper Sandler &amp; Co., (i) offer, pledge, sell, contract to sell, sell any option, or contract to purchase, purchase any option or contract to sell, grant any option, right or warrant to purchase, lend, or otherwise transfer or dispose of, directly or indirectly, any shares of common stock of the Company or any securities convertible into or exercisable or exchangeable for common stock (including without limitation,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 Up Securities, or (iv) publicly disclose the intention to do any of the foregoing (and, for the avoidance of doubt, the lock-up party has waived any and all notice requirements and rights with respect to the registration of any securities pursuant to any agreement, instrument, understanding or otherwise, including any stockholders or registration rights agreement or similar agreement, to which the lock-up party is a party or under which the lock-up party is entitled to any right or benefit; provided, however, that such waiver shall apply only to this offering). Each lock-up party has further acknowledged that the foregoing precludes the lock-up party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 up party or any other person) of any economic consequences of ownership, in whole or in part, directly or indirectly, of any Lock-Up Securities, whether any such transaction or arrangement (or instrument provided for thereunder) would be settled by delivery of Lock -Up Securities, in cash or otherwise. Each lock-up party will further confirm that it will furnish the representatives with the details of any transaction the lock-up party, or any of its affiliates, is a party to as of the date hereof, which transaction would have been restricted by the lock-up agreement if it had been entered into by the lock-up party during the Restricted Period.</w:t>
      </w:r>
    </w:p>
    <w:p>
      <w:pPr>
        <w:spacing w:after="0" w:line="200" w:lineRule="exact"/>
        <w:rPr>
          <w:sz w:val="20"/>
          <w:szCs w:val="20"/>
          <w:color w:val="auto"/>
        </w:rPr>
      </w:pPr>
    </w:p>
    <w:p>
      <w:pPr>
        <w:spacing w:after="0" w:line="395" w:lineRule="exact"/>
        <w:rPr>
          <w:sz w:val="20"/>
          <w:szCs w:val="20"/>
          <w:color w:val="auto"/>
        </w:rPr>
      </w:pPr>
    </w:p>
    <w:p>
      <w:pPr>
        <w:ind w:left="1260" w:right="439"/>
        <w:spacing w:after="0" w:line="249"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to be entered into between the underwriters and the lock-up parties do not apply, subject in certain cases to various conditions, to certain transactions, including (a) transfer the lock-up party’s Lock- Up Securities: (i) as a bona fide gift or gifts, or for bona fide estate planning purposes, (ii) by will, other testamentary document or intestacy, (iii) to an immediate family member (as defined in the lock-up agreement) of the lock-up party or any trust for the direct or indirect benefit of the lock- up party or the immediate family of the lock- up party, or if the lock -up party is a trust, to a trustor or beneficiary of the trust or to the estate of a beneficiary of such trust,</w:t>
      </w:r>
    </w:p>
    <w:p>
      <w:pPr>
        <w:spacing w:after="0" w:line="4" w:lineRule="exact"/>
        <w:rPr>
          <w:sz w:val="20"/>
          <w:szCs w:val="20"/>
          <w:color w:val="auto"/>
        </w:rPr>
      </w:pPr>
    </w:p>
    <w:p>
      <w:pPr>
        <w:ind w:left="1260" w:right="439" w:hanging="5"/>
        <w:spacing w:after="0" w:line="253" w:lineRule="auto"/>
        <w:tabs>
          <w:tab w:leader="none" w:pos="15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the lock-up party and/or the immediate family of the lock-up party are the legal and beneficial owner of all of the outstanding equity securities or similar interests, (v) to a nominee or custodian of a person or entity to whom a disposition or transfer would be permissible under clauses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59" w:hanging="5"/>
        <w:spacing w:after="0" w:line="250" w:lineRule="auto"/>
        <w:tabs>
          <w:tab w:leader="none" w:pos="148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through (iv) above, (vi) 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partners, stockholders, or other equity holders of the lock-up party, (vii) by operation of law, such as pursuant to a qualified domestic order, divorce settlement, divorce decree, separation agreement, or other court order, (viii) to the Company from an employee or other service provider of the Company upon death, disability or termination of employment or service, in each case, of such employee or service provider, (ix) in connection with a sale of the lock-up party’s Lock-Up Securities after the closing date of this offering acquired (A) in open market transactions after the closing date of this offering or (B) from the underwriters in this offering; (x) to the Company in connection with the vesting, settlement, or exercise of restricted stock units, options, warrants, or other rights to purchase shares of common stock (including, in each case, by way of “net” or “cashless” exercise), including for the payment of exercise price and tax withholdings and remittance payments due as a result of the vesting, settlement, or exercise of such restricted stock units, options, warrants, or rights, provided that any such shares of common stock received upon such exercise, vesting, or settlement shall be subject to the terms of the lock-up agreement, and provided further that any such restricted stock units, options, warrants, or rights are held by the lock-up party pursuant to an agreement or equity awards granted under a stock incentive plan or other equity award plan, each such agreement or plan which is described in this prospectus, or</w:t>
      </w:r>
    </w:p>
    <w:p>
      <w:pPr>
        <w:spacing w:after="0" w:line="206" w:lineRule="exact"/>
        <w:rPr>
          <w:rFonts w:ascii="Arial" w:cs="Arial" w:eastAsia="Arial" w:hAnsi="Arial"/>
          <w:sz w:val="18"/>
          <w:szCs w:val="18"/>
          <w:color w:val="auto"/>
        </w:rPr>
      </w:pPr>
    </w:p>
    <w:p>
      <w:pPr>
        <w:ind w:left="1260" w:right="459" w:hanging="5"/>
        <w:spacing w:after="0" w:line="249" w:lineRule="auto"/>
        <w:tabs>
          <w:tab w:leader="none" w:pos="158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party’s Lock-Up Securities shall remain subject to the provisions of the lock-up agreement; provided that (A) in the case of any transfer, distribution, or other distribution pursuant to clause (a)(i), (ii), (iii), (iv), (v), (vi) , and (vii), such transfer shall not involve a disposition for value and each donee, devisee, transferee, or distributee shall execute and deliver to the representatives a lock-up letter in the form of the lock-up agreement, (B) in the case of any transfer or distribution pursuant to clause (a) (i), (ii), (iii), (iv), (v), and (vi),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(viii), (ix) ,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(b) exercise options, settled restricted stock units, or other equity awards or exercise warrants pursuant to plans described in this prospectus; provided that any Lock-Up Securities received upon such exercise, vesting, or settlement shall be subject to the terms of the lock-up agreement; (c) 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the lock-up agreement; and</w:t>
      </w:r>
    </w:p>
    <w:p>
      <w:pPr>
        <w:spacing w:after="0" w:line="200" w:lineRule="exact"/>
        <w:rPr>
          <w:sz w:val="20"/>
          <w:szCs w:val="20"/>
          <w:color w:val="auto"/>
        </w:rPr>
      </w:pPr>
    </w:p>
    <w:p>
      <w:pPr>
        <w:spacing w:after="0" w:line="380" w:lineRule="exact"/>
        <w:rPr>
          <w:sz w:val="20"/>
          <w:szCs w:val="20"/>
          <w:color w:val="auto"/>
        </w:rPr>
      </w:pPr>
    </w:p>
    <w:p>
      <w:pPr>
        <w:ind w:left="1260" w:right="719" w:hanging="5"/>
        <w:spacing w:after="0" w:line="252" w:lineRule="auto"/>
        <w:tabs>
          <w:tab w:leader="none" w:pos="15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establish trading plans pursuant to Rule 10b5-1 under the Exchange Act for the transfer or disposition of shares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 during the Restricted Period.</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60" w:right="499"/>
        <w:spacing w:after="0" w:line="254" w:lineRule="auto"/>
        <w:rPr>
          <w:sz w:val="20"/>
          <w:szCs w:val="20"/>
          <w:color w:val="auto"/>
        </w:rPr>
      </w:pPr>
      <w:r>
        <w:rPr>
          <w:rFonts w:ascii="Arial" w:cs="Arial" w:eastAsia="Arial" w:hAnsi="Arial"/>
          <w:sz w:val="18"/>
          <w:szCs w:val="18"/>
          <w:color w:val="auto"/>
        </w:rPr>
        <w:t>J.P. Morgan Securities LLC, BofA Securities, Inc., SVB Leerink LLC, and Piper Sandler &amp; Co., in their sole discretion, may release the securities subject to any of the lock-up agreements with the underwriters described above, in whole or in part at any time.</w:t>
      </w:r>
    </w:p>
    <w:p>
      <w:pPr>
        <w:spacing w:after="0" w:line="123" w:lineRule="exact"/>
        <w:rPr>
          <w:sz w:val="20"/>
          <w:szCs w:val="20"/>
          <w:color w:val="auto"/>
        </w:rPr>
      </w:pPr>
    </w:p>
    <w:p>
      <w:pPr>
        <w:jc w:val="both"/>
        <w:ind w:left="1260" w:right="499"/>
        <w:spacing w:after="0" w:line="260"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43" w:lineRule="exact"/>
        <w:rPr>
          <w:sz w:val="20"/>
          <w:szCs w:val="20"/>
          <w:color w:val="auto"/>
        </w:rPr>
      </w:pPr>
    </w:p>
    <w:p>
      <w:pPr>
        <w:ind w:left="1260" w:right="479"/>
        <w:spacing w:after="0" w:line="275" w:lineRule="auto"/>
        <w:rPr>
          <w:sz w:val="20"/>
          <w:szCs w:val="20"/>
          <w:color w:val="auto"/>
        </w:rPr>
      </w:pPr>
      <w:r>
        <w:rPr>
          <w:rFonts w:ascii="Arial" w:cs="Arial" w:eastAsia="Arial" w:hAnsi="Arial"/>
          <w:sz w:val="18"/>
          <w:szCs w:val="18"/>
          <w:color w:val="auto"/>
        </w:rPr>
        <w:t>We intend to apply to have our shares of common stock approved for listing on Nasdaq under the symbol “IPSC”.</w:t>
      </w:r>
    </w:p>
    <w:p>
      <w:pPr>
        <w:spacing w:after="0" w:line="11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shares of common stock while this offering is in progress. These stabilizing transactions may include making short sales of shares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common stock referred to above, or may be “naked” shorts, which are short positions in excess of that amount. The underwriters may close out any covered short position either by exercising their option to purchase additional shares of common stock, in whole or in part, or by purchasing shares of common stock in the open market. In making this determination, the underwriters will consider, among other things, the price of shares of common stock available for purchase in the open market compared to the price at which the underwriters may purchase shares of common stock through the option to purchase additional shares of common stock. A naked short position is more likely to be created if the underwriters are concerned that there may be downward pressure on the price of the shares of common stock in the open market that could adversely affect investors who purchase in this offering. To the extent that the underwriters create a naked short position, they will purchase shares of common stock in the open market to cover the position.</w:t>
      </w:r>
    </w:p>
    <w:p>
      <w:pPr>
        <w:spacing w:after="0" w:line="343"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shares of common stock, including the imposition of penalty bids. This means that if the representatives of the underwriters purchase shares of common stock in the open market in stabilizing transactions or to cover short sales, the representatives can require the underwriters that sold those shares of common stock as part of this offering to repay the underwriting discount received by them.</w:t>
      </w:r>
    </w:p>
    <w:p>
      <w:pPr>
        <w:spacing w:after="0" w:line="356"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These activities may have the effect of raising or maintaining the market price of the shares of common stock or preventing or retarding a decline in the market price of the shares of common stock, and, as a result, the price of the shares of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41"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Prior to this offering, there has been no public market for our shares of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96" w:lineRule="exact"/>
        <w:rPr>
          <w:sz w:val="20"/>
          <w:szCs w:val="20"/>
          <w:color w:val="auto"/>
        </w:rPr>
      </w:pPr>
    </w:p>
    <w:p>
      <w:pPr>
        <w:ind w:left="1400" w:hanging="145"/>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5" w:lineRule="exact"/>
        <w:rPr>
          <w:rFonts w:ascii="Arial" w:cs="Arial" w:eastAsia="Arial" w:hAnsi="Arial"/>
          <w:sz w:val="18"/>
          <w:szCs w:val="18"/>
          <w:color w:val="auto"/>
        </w:rPr>
      </w:pPr>
    </w:p>
    <w:p>
      <w:pPr>
        <w:ind w:left="1400" w:hanging="145"/>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29" w:lineRule="exact"/>
        <w:rPr>
          <w:rFonts w:ascii="Arial" w:cs="Arial" w:eastAsia="Arial" w:hAnsi="Arial"/>
          <w:sz w:val="18"/>
          <w:szCs w:val="18"/>
          <w:color w:val="auto"/>
        </w:rPr>
      </w:pPr>
    </w:p>
    <w:p>
      <w:pPr>
        <w:ind w:left="1400" w:hanging="145"/>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5" w:lineRule="exact"/>
        <w:rPr>
          <w:rFonts w:ascii="Arial" w:cs="Arial" w:eastAsia="Arial" w:hAnsi="Arial"/>
          <w:sz w:val="18"/>
          <w:szCs w:val="18"/>
          <w:color w:val="auto"/>
        </w:rPr>
      </w:pPr>
    </w:p>
    <w:p>
      <w:pPr>
        <w:ind w:left="1400" w:hanging="145"/>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5" w:lineRule="exact"/>
        <w:rPr>
          <w:rFonts w:ascii="Arial" w:cs="Arial" w:eastAsia="Arial" w:hAnsi="Arial"/>
          <w:sz w:val="18"/>
          <w:szCs w:val="18"/>
          <w:color w:val="auto"/>
        </w:rPr>
      </w:pPr>
    </w:p>
    <w:p>
      <w:pPr>
        <w:ind w:left="1400" w:hanging="145"/>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29" w:lineRule="exact"/>
        <w:rPr>
          <w:rFonts w:ascii="Arial" w:cs="Arial" w:eastAsia="Arial" w:hAnsi="Arial"/>
          <w:sz w:val="18"/>
          <w:szCs w:val="18"/>
          <w:color w:val="auto"/>
        </w:rPr>
      </w:pPr>
    </w:p>
    <w:p>
      <w:pPr>
        <w:ind w:left="1400" w:right="1179" w:hanging="145"/>
        <w:spacing w:after="0" w:line="275" w:lineRule="auto"/>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699"/>
        <w:spacing w:after="0" w:line="270"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shares of common stock, or that the shares of common stock will trade in the public market at or above the initial public offering price.</w:t>
      </w:r>
    </w:p>
    <w:p>
      <w:pPr>
        <w:spacing w:after="0" w:line="122"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70" w:lineRule="exact"/>
        <w:rPr>
          <w:sz w:val="20"/>
          <w:szCs w:val="20"/>
          <w:color w:val="auto"/>
        </w:rPr>
      </w:pPr>
    </w:p>
    <w:p>
      <w:pPr>
        <w:ind w:left="1260" w:right="719"/>
        <w:spacing w:after="0" w:line="266"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69"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29" w:lineRule="exact"/>
        <w:rPr>
          <w:sz w:val="20"/>
          <w:szCs w:val="20"/>
          <w:color w:val="auto"/>
        </w:rPr>
      </w:pPr>
    </w:p>
    <w:p>
      <w:pPr>
        <w:ind w:left="1480" w:hanging="225"/>
        <w:spacing w:after="0"/>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69" w:lineRule="exact"/>
        <w:rPr>
          <w:rFonts w:ascii="Arial" w:cs="Arial" w:eastAsia="Arial" w:hAnsi="Arial"/>
          <w:sz w:val="18"/>
          <w:szCs w:val="18"/>
          <w:color w:val="auto"/>
        </w:rPr>
      </w:pPr>
    </w:p>
    <w:p>
      <w:pPr>
        <w:ind w:left="1260" w:right="559" w:hanging="5"/>
        <w:spacing w:after="0" w:line="270" w:lineRule="auto"/>
        <w:tabs>
          <w:tab w:leader="none" w:pos="148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35" w:lineRule="exact"/>
        <w:rPr>
          <w:rFonts w:ascii="Arial" w:cs="Arial" w:eastAsia="Arial" w:hAnsi="Arial"/>
          <w:sz w:val="18"/>
          <w:szCs w:val="18"/>
          <w:color w:val="auto"/>
        </w:rPr>
      </w:pPr>
    </w:p>
    <w:p>
      <w:pPr>
        <w:ind w:left="1460" w:hanging="205"/>
        <w:spacing w:after="0"/>
        <w:tabs>
          <w:tab w:leader="none" w:pos="1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6" w:lineRule="exact"/>
        <w:rPr>
          <w:sz w:val="20"/>
          <w:szCs w:val="20"/>
          <w:color w:val="auto"/>
        </w:rPr>
      </w:pPr>
    </w:p>
    <w:p>
      <w:pPr>
        <w:ind w:left="1260" w:right="499"/>
        <w:spacing w:after="0" w:line="270" w:lineRule="auto"/>
        <w:rPr>
          <w:sz w:val="20"/>
          <w:szCs w:val="20"/>
          <w:color w:val="auto"/>
        </w:rPr>
      </w:pPr>
      <w:r>
        <w:rPr>
          <w:rFonts w:ascii="Arial" w:cs="Arial" w:eastAsia="Arial" w:hAnsi="Arial"/>
          <w:sz w:val="18"/>
          <w:szCs w:val="18"/>
          <w:color w:val="auto"/>
        </w:rPr>
        <w:t>provided that no such offer of shares of common stock shall require the Issuer or any underwriter to publish a prospectus pursuant to Article 3 of the Prospectus Regulation or supplement a prospectus pursuant to Article 23 of the Prospectus Regulation.</w:t>
      </w:r>
    </w:p>
    <w:p>
      <w:pPr>
        <w:spacing w:after="0" w:line="135"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Each person in a Relevant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138" w:lineRule="exact"/>
        <w:rPr>
          <w:sz w:val="20"/>
          <w:szCs w:val="20"/>
          <w:color w:val="auto"/>
        </w:rPr>
      </w:pPr>
    </w:p>
    <w:p>
      <w:pPr>
        <w:ind w:left="1260" w:right="579"/>
        <w:spacing w:after="0" w:line="267" w:lineRule="auto"/>
        <w:rPr>
          <w:sz w:val="20"/>
          <w:szCs w:val="20"/>
          <w:color w:val="auto"/>
        </w:rPr>
      </w:pPr>
      <w:r>
        <w:rPr>
          <w:rFonts w:ascii="Arial" w:cs="Arial" w:eastAsia="Arial" w:hAnsi="Arial"/>
          <w:sz w:val="18"/>
          <w:szCs w:val="18"/>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5" w:name="page196"/>
    <w:bookmarkEnd w:id="1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819"/>
        <w:spacing w:after="0" w:line="260"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17"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55" w:lineRule="exact"/>
        <w:rPr>
          <w:sz w:val="20"/>
          <w:szCs w:val="20"/>
          <w:color w:val="auto"/>
        </w:rPr>
      </w:pPr>
    </w:p>
    <w:p>
      <w:pPr>
        <w:ind w:left="1260" w:right="599"/>
        <w:spacing w:after="0" w:line="251" w:lineRule="auto"/>
        <w:rPr>
          <w:sz w:val="20"/>
          <w:szCs w:val="20"/>
          <w:color w:val="auto"/>
        </w:rPr>
      </w:pPr>
      <w:r>
        <w:rPr>
          <w:rFonts w:ascii="Arial" w:cs="Arial" w:eastAsia="Arial" w:hAnsi="Arial"/>
          <w:sz w:val="18"/>
          <w:szCs w:val="18"/>
          <w:color w:val="auto"/>
        </w:rPr>
        <w:t>In relation to the United Kingdom (“UK”), no shares of our common stock have been offered or will be offered pursuant to the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154" w:lineRule="exact"/>
        <w:rPr>
          <w:sz w:val="20"/>
          <w:szCs w:val="20"/>
          <w:color w:val="auto"/>
        </w:rPr>
      </w:pPr>
    </w:p>
    <w:p>
      <w:pPr>
        <w:ind w:left="1480" w:hanging="225"/>
        <w:spacing w:after="0"/>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42" w:lineRule="exact"/>
        <w:rPr>
          <w:rFonts w:ascii="Arial" w:cs="Arial" w:eastAsia="Arial" w:hAnsi="Arial"/>
          <w:sz w:val="18"/>
          <w:szCs w:val="18"/>
          <w:color w:val="auto"/>
        </w:rPr>
      </w:pPr>
    </w:p>
    <w:p>
      <w:pPr>
        <w:ind w:left="1260" w:right="559" w:hanging="5"/>
        <w:spacing w:after="0" w:line="254" w:lineRule="auto"/>
        <w:tabs>
          <w:tab w:leader="none" w:pos="148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149" w:lineRule="exact"/>
        <w:rPr>
          <w:rFonts w:ascii="Arial" w:cs="Arial" w:eastAsia="Arial" w:hAnsi="Arial"/>
          <w:sz w:val="18"/>
          <w:szCs w:val="18"/>
          <w:color w:val="auto"/>
        </w:rPr>
      </w:pPr>
    </w:p>
    <w:p>
      <w:pPr>
        <w:ind w:left="1460" w:hanging="205"/>
        <w:spacing w:after="0"/>
        <w:tabs>
          <w:tab w:leader="none" w:pos="1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156"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provided that no such offer of shares of common stock shall require the Issuer or any underwriter to publish a prospectus pursuant to Section 85 of the FSMA or Article 3 of the UK Prospectus Regulation or supplement a prospectus pursuant to Article 23 of the UK Prospectus Regulation.</w:t>
      </w:r>
    </w:p>
    <w:p>
      <w:pPr>
        <w:spacing w:after="0" w:line="123"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Each person in the UK who initially acquires any shares of common stock or to whom any offer is made will be deemed to have represented, acknowledged and agreed to and with the Company and the underwriters that it is a qualified investor within the meaning of the UK Prospectus Regulation.</w:t>
      </w:r>
    </w:p>
    <w:p>
      <w:pPr>
        <w:spacing w:after="0" w:line="352"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355" w:lineRule="exact"/>
        <w:rPr>
          <w:sz w:val="20"/>
          <w:szCs w:val="20"/>
          <w:color w:val="auto"/>
        </w:rPr>
      </w:pPr>
    </w:p>
    <w:p>
      <w:pPr>
        <w:ind w:left="1260" w:right="819"/>
        <w:spacing w:after="0" w:line="260"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17"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139" w:lineRule="exact"/>
        <w:rPr>
          <w:sz w:val="20"/>
          <w:szCs w:val="20"/>
          <w:color w:val="auto"/>
        </w:rPr>
      </w:pPr>
    </w:p>
    <w:p>
      <w:pPr>
        <w:ind w:left="1260" w:right="579"/>
        <w:spacing w:after="0" w:line="249"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w:t>
      </w:r>
    </w:p>
    <w:p>
      <w:pPr>
        <w:spacing w:after="0" w:line="2" w:lineRule="exact"/>
        <w:rPr>
          <w:sz w:val="20"/>
          <w:szCs w:val="20"/>
          <w:color w:val="auto"/>
        </w:rPr>
      </w:pPr>
    </w:p>
    <w:p>
      <w:pPr>
        <w:ind w:left="1260" w:right="739" w:hanging="5"/>
        <w:spacing w:after="0" w:line="252" w:lineRule="auto"/>
        <w:tabs>
          <w:tab w:leader="none" w:pos="15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42"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39"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56"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42"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The shares of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58"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69"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the Laws of Hong Kong), or SFO, of Hong Kong and any rules made thereunder; or (b) in other circumstances which do not result in the document being a “prospectus” as defined in the Companies (Winding Up and Miscellaneous Provisions) Ordinance (Cap. 32) of Hong Kong), or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739"/>
        <w:spacing w:after="0" w:line="268" w:lineRule="auto"/>
        <w:rPr>
          <w:sz w:val="20"/>
          <w:szCs w:val="20"/>
          <w:color w:val="auto"/>
        </w:rPr>
      </w:pPr>
      <w:r>
        <w:rPr>
          <w:rFonts w:ascii="Arial" w:cs="Arial" w:eastAsia="Arial" w:hAnsi="Arial"/>
          <w:sz w:val="18"/>
          <w:szCs w:val="18"/>
          <w:color w:val="auto"/>
        </w:rPr>
        <w:t>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55"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Each joint book-running manager has acknowledged that this prospectus has not been registered as a prospectus with the Monetary Authority of Singapore. Accordingly, each joint book-running manager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common stock, whether directly or indirectly, to any person in Singapore other than:</w:t>
      </w:r>
    </w:p>
    <w:p>
      <w:pPr>
        <w:spacing w:after="0" w:line="142" w:lineRule="exact"/>
        <w:rPr>
          <w:sz w:val="20"/>
          <w:szCs w:val="20"/>
          <w:color w:val="auto"/>
        </w:rPr>
      </w:pPr>
    </w:p>
    <w:p>
      <w:pPr>
        <w:ind w:left="1260" w:right="659" w:hanging="5"/>
        <w:spacing w:after="0" w:line="270" w:lineRule="auto"/>
        <w:tabs>
          <w:tab w:leader="none" w:pos="15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35" w:lineRule="exact"/>
        <w:rPr>
          <w:rFonts w:ascii="Arial" w:cs="Arial" w:eastAsia="Arial" w:hAnsi="Arial"/>
          <w:sz w:val="18"/>
          <w:szCs w:val="18"/>
          <w:color w:val="auto"/>
        </w:rPr>
      </w:pPr>
    </w:p>
    <w:p>
      <w:pPr>
        <w:ind w:left="1260" w:right="679" w:hanging="5"/>
        <w:spacing w:after="0" w:line="270" w:lineRule="auto"/>
        <w:tabs>
          <w:tab w:leader="none" w:pos="15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22" w:lineRule="exact"/>
        <w:rPr>
          <w:rFonts w:ascii="Arial" w:cs="Arial" w:eastAsia="Arial" w:hAnsi="Arial"/>
          <w:sz w:val="18"/>
          <w:szCs w:val="18"/>
          <w:color w:val="auto"/>
        </w:rPr>
      </w:pPr>
    </w:p>
    <w:p>
      <w:pPr>
        <w:ind w:left="1260" w:right="439" w:hanging="5"/>
        <w:spacing w:after="0" w:line="275" w:lineRule="auto"/>
        <w:tabs>
          <w:tab w:leader="none" w:pos="153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31" w:lineRule="exact"/>
        <w:rPr>
          <w:sz w:val="20"/>
          <w:szCs w:val="20"/>
          <w:color w:val="auto"/>
        </w:rPr>
      </w:pPr>
    </w:p>
    <w:p>
      <w:pPr>
        <w:ind w:left="1260" w:right="679"/>
        <w:spacing w:after="0" w:line="275"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jc w:val="both"/>
        <w:ind w:left="1260" w:right="659" w:hanging="5"/>
        <w:spacing w:after="0" w:line="270" w:lineRule="auto"/>
        <w:tabs>
          <w:tab w:leader="none" w:pos="15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22" w:lineRule="exact"/>
        <w:rPr>
          <w:rFonts w:ascii="Arial" w:cs="Arial" w:eastAsia="Arial" w:hAnsi="Arial"/>
          <w:sz w:val="18"/>
          <w:szCs w:val="18"/>
          <w:color w:val="auto"/>
        </w:rPr>
      </w:pPr>
    </w:p>
    <w:p>
      <w:pPr>
        <w:ind w:left="1260" w:right="459" w:hanging="5"/>
        <w:spacing w:after="0" w:line="267" w:lineRule="auto"/>
        <w:tabs>
          <w:tab w:leader="none" w:pos="15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38" w:lineRule="exact"/>
        <w:rPr>
          <w:rFonts w:ascii="Arial" w:cs="Arial" w:eastAsia="Arial" w:hAnsi="Arial"/>
          <w:sz w:val="18"/>
          <w:szCs w:val="18"/>
          <w:color w:val="auto"/>
        </w:rPr>
      </w:pPr>
    </w:p>
    <w:p>
      <w:pPr>
        <w:ind w:left="1580" w:right="739" w:hanging="2"/>
        <w:spacing w:after="0" w:line="275" w:lineRule="auto"/>
        <w:tabs>
          <w:tab w:leader="none" w:pos="180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31" w:lineRule="exact"/>
        <w:rPr>
          <w:rFonts w:ascii="Arial" w:cs="Arial" w:eastAsia="Arial" w:hAnsi="Arial"/>
          <w:sz w:val="18"/>
          <w:szCs w:val="18"/>
          <w:color w:val="auto"/>
        </w:rPr>
      </w:pPr>
    </w:p>
    <w:p>
      <w:pPr>
        <w:ind w:left="1840" w:hanging="262"/>
        <w:spacing w:after="0"/>
        <w:tabs>
          <w:tab w:leader="none" w:pos="18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6" w:lineRule="exact"/>
        <w:rPr>
          <w:rFonts w:ascii="Arial" w:cs="Arial" w:eastAsia="Arial" w:hAnsi="Arial"/>
          <w:sz w:val="18"/>
          <w:szCs w:val="18"/>
          <w:color w:val="auto"/>
        </w:rPr>
      </w:pPr>
    </w:p>
    <w:p>
      <w:pPr>
        <w:ind w:left="1900" w:hanging="322"/>
        <w:spacing w:after="0"/>
        <w:tabs>
          <w:tab w:leader="none" w:pos="1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69" w:lineRule="exact"/>
        <w:rPr>
          <w:rFonts w:ascii="Arial" w:cs="Arial" w:eastAsia="Arial" w:hAnsi="Arial"/>
          <w:sz w:val="18"/>
          <w:szCs w:val="18"/>
          <w:color w:val="auto"/>
        </w:rPr>
      </w:pPr>
    </w:p>
    <w:p>
      <w:pPr>
        <w:ind w:left="1900" w:hanging="322"/>
        <w:spacing w:after="0"/>
        <w:tabs>
          <w:tab w:leader="none" w:pos="1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69" w:lineRule="exact"/>
        <w:rPr>
          <w:rFonts w:ascii="Arial" w:cs="Arial" w:eastAsia="Arial" w:hAnsi="Arial"/>
          <w:sz w:val="18"/>
          <w:szCs w:val="18"/>
          <w:color w:val="auto"/>
        </w:rPr>
      </w:pPr>
    </w:p>
    <w:p>
      <w:pPr>
        <w:ind w:left="1580" w:right="999" w:hanging="2"/>
        <w:spacing w:after="0" w:line="275" w:lineRule="auto"/>
        <w:tabs>
          <w:tab w:leader="none" w:pos="185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8"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8" w:name="page199"/>
    <w:bookmarkEnd w:id="1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42"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55"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55" w:lineRule="exact"/>
        <w:rPr>
          <w:sz w:val="20"/>
          <w:szCs w:val="20"/>
          <w:color w:val="auto"/>
        </w:rPr>
      </w:pPr>
    </w:p>
    <w:p>
      <w:pPr>
        <w:ind w:left="1260" w:right="659"/>
        <w:spacing w:after="0" w:line="249" w:lineRule="auto"/>
        <w:rPr>
          <w:sz w:val="20"/>
          <w:szCs w:val="20"/>
          <w:color w:val="auto"/>
        </w:rPr>
      </w:pPr>
      <w:r>
        <w:rPr>
          <w:rFonts w:ascii="Arial" w:cs="Arial" w:eastAsia="Arial" w:hAnsi="Arial"/>
          <w:sz w:val="18"/>
          <w:szCs w:val="18"/>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w:t>
      </w:r>
    </w:p>
    <w:p>
      <w:pPr>
        <w:spacing w:after="0" w:line="2" w:lineRule="exact"/>
        <w:rPr>
          <w:sz w:val="20"/>
          <w:szCs w:val="20"/>
          <w:color w:val="auto"/>
        </w:rPr>
      </w:pPr>
    </w:p>
    <w:p>
      <w:pPr>
        <w:ind w:left="1260" w:right="459" w:hanging="5"/>
        <w:spacing w:after="0" w:line="250" w:lineRule="auto"/>
        <w:tabs>
          <w:tab w:leader="none" w:pos="14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131"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 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This prospectus: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99" w:name="page200"/>
    <w:bookmarkEnd w:id="1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1259" w:hanging="5"/>
        <w:spacing w:after="0" w:line="260" w:lineRule="auto"/>
        <w:tabs>
          <w:tab w:leader="none" w:pos="148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or the Corporations Act;</w:t>
      </w:r>
    </w:p>
    <w:p>
      <w:pPr>
        <w:spacing w:after="0" w:line="116" w:lineRule="exact"/>
        <w:rPr>
          <w:rFonts w:ascii="Arial" w:cs="Arial" w:eastAsia="Arial" w:hAnsi="Arial"/>
          <w:sz w:val="18"/>
          <w:szCs w:val="18"/>
          <w:color w:val="auto"/>
        </w:rPr>
      </w:pPr>
    </w:p>
    <w:p>
      <w:pPr>
        <w:ind w:left="1260" w:right="519" w:hanging="5"/>
        <w:spacing w:after="0" w:line="253" w:lineRule="auto"/>
        <w:tabs>
          <w:tab w:leader="none" w:pos="148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36" w:lineRule="exact"/>
        <w:rPr>
          <w:rFonts w:ascii="Arial" w:cs="Arial" w:eastAsia="Arial" w:hAnsi="Arial"/>
          <w:sz w:val="18"/>
          <w:szCs w:val="18"/>
          <w:color w:val="auto"/>
        </w:rPr>
      </w:pPr>
    </w:p>
    <w:p>
      <w:pPr>
        <w:jc w:val="both"/>
        <w:ind w:left="1260" w:right="439" w:hanging="5"/>
        <w:spacing w:after="0" w:line="254" w:lineRule="auto"/>
        <w:tabs>
          <w:tab w:leader="none" w:pos="15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137"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26" w:lineRule="exact"/>
        <w:rPr>
          <w:sz w:val="20"/>
          <w:szCs w:val="20"/>
          <w:color w:val="auto"/>
        </w:rPr>
      </w:pPr>
    </w:p>
    <w:p>
      <w:pPr>
        <w:ind w:left="1260" w:right="579"/>
        <w:spacing w:after="0" w:line="250"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55" w:lineRule="exact"/>
        <w:rPr>
          <w:sz w:val="20"/>
          <w:szCs w:val="20"/>
          <w:color w:val="auto"/>
        </w:rPr>
      </w:pPr>
    </w:p>
    <w:p>
      <w:pPr>
        <w:ind w:left="1260" w:right="599"/>
        <w:spacing w:after="0" w:line="251" w:lineRule="auto"/>
        <w:rPr>
          <w:sz w:val="20"/>
          <w:szCs w:val="20"/>
          <w:color w:val="auto"/>
        </w:rPr>
      </w:pPr>
      <w:r>
        <w:rPr>
          <w:rFonts w:ascii="Arial" w:cs="Arial" w:eastAsia="Arial" w:hAnsi="Arial"/>
          <w:sz w:val="18"/>
          <w:szCs w:val="18"/>
          <w:color w:val="auto"/>
        </w:rPr>
        <w:t>This prospectus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5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42"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60" w:lineRule="exact"/>
        <w:rPr>
          <w:sz w:val="20"/>
          <w:szCs w:val="20"/>
          <w:color w:val="auto"/>
        </w:rPr>
      </w:pPr>
    </w:p>
    <w:p>
      <w:pPr>
        <w:ind w:left="1260" w:right="619"/>
        <w:spacing w:after="0" w:line="247" w:lineRule="auto"/>
        <w:rPr>
          <w:sz w:val="20"/>
          <w:szCs w:val="20"/>
          <w:color w:val="auto"/>
        </w:rPr>
      </w:pPr>
      <w:r>
        <w:rPr>
          <w:rFonts w:ascii="Arial" w:cs="Arial" w:eastAsia="Arial" w:hAnsi="Arial"/>
          <w:sz w:val="22"/>
          <w:szCs w:val="22"/>
          <w:b w:val="1"/>
          <w:bCs w:val="1"/>
          <w:color w:val="auto"/>
        </w:rPr>
        <w:t>Notice to prospective investors in the Dubai International Financial Centre (DIFC)</w:t>
      </w:r>
    </w:p>
    <w:p>
      <w:pPr>
        <w:spacing w:after="0" w:line="116"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w:t>
      </w:r>
    </w:p>
    <w:p>
      <w:pPr>
        <w:spacing w:after="0" w:line="139"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38"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55"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Legal matters</w:t>
      </w:r>
    </w:p>
    <w:p>
      <w:pPr>
        <w:spacing w:after="0" w:line="163" w:lineRule="exact"/>
        <w:rPr>
          <w:sz w:val="20"/>
          <w:szCs w:val="20"/>
          <w:color w:val="auto"/>
        </w:rPr>
      </w:pPr>
    </w:p>
    <w:p>
      <w:pPr>
        <w:jc w:val="both"/>
        <w:ind w:left="1260" w:right="639"/>
        <w:spacing w:after="0" w:line="270" w:lineRule="auto"/>
        <w:rPr>
          <w:sz w:val="20"/>
          <w:szCs w:val="20"/>
          <w:color w:val="auto"/>
        </w:rPr>
      </w:pPr>
      <w:r>
        <w:rPr>
          <w:rFonts w:ascii="Arial" w:cs="Arial" w:eastAsia="Arial" w:hAnsi="Arial"/>
          <w:sz w:val="18"/>
          <w:szCs w:val="18"/>
          <w:color w:val="auto"/>
        </w:rPr>
        <w:t>The validity of the issuance of our common stock offered in this prospectus will be passed upon for us by Troutman Pepper Hamilton Sanders LLP. Certain legal matters in connection with this offering will be passed upon for the underwriters by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Experts</w:t>
      </w:r>
    </w:p>
    <w:p>
      <w:pPr>
        <w:spacing w:after="0" w:line="163"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The consolidated financial statements of Century Therapeutics, LLC and subsidiary at December 31, 2020 and 2019 (Successor), and for the year ended December 31, 2020 (Successor), the period June 21, 2019 through December 31, 2019 (Predecessor), and January 1, 2019 through June 20, 2019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Where you can find additional information</w:t>
      </w:r>
    </w:p>
    <w:p>
      <w:pPr>
        <w:spacing w:after="0" w:line="163"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42"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You may read our SEC filings, including this registration statement, over the Internet at the SEC’s website at www.sec.gov. Upon the closing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www.centurytx.com,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forms a part, and the inclusion of our website address in this prospectus is an inactive textual reference only. You should not consider the contents of our website in making an investment decision with respect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right="2840"/>
        <w:spacing w:after="0" w:line="225" w:lineRule="auto"/>
        <w:rPr>
          <w:sz w:val="20"/>
          <w:szCs w:val="20"/>
          <w:color w:val="auto"/>
        </w:rPr>
      </w:pPr>
      <w:r>
        <w:rPr>
          <w:rFonts w:ascii="Arial" w:cs="Arial" w:eastAsia="Arial" w:hAnsi="Arial"/>
          <w:sz w:val="29"/>
          <w:szCs w:val="29"/>
          <w:b w:val="1"/>
          <w:bCs w:val="1"/>
          <w:color w:val="auto"/>
        </w:rPr>
        <w:t>Century Therapeutics, LLC and Subsidiary Table of Contents</w:t>
      </w:r>
    </w:p>
    <w:p>
      <w:pPr>
        <w:spacing w:after="0" w:line="3" w:lineRule="exact"/>
        <w:rPr>
          <w:sz w:val="20"/>
          <w:szCs w:val="20"/>
          <w:color w:val="auto"/>
        </w:rPr>
      </w:pPr>
    </w:p>
    <w:p>
      <w:pPr>
        <w:ind w:left="1260" w:right="1280"/>
        <w:spacing w:after="0" w:line="230" w:lineRule="auto"/>
        <w:rPr>
          <w:sz w:val="20"/>
          <w:szCs w:val="20"/>
          <w:color w:val="auto"/>
        </w:rPr>
      </w:pPr>
      <w:r>
        <w:rPr>
          <w:rFonts w:ascii="Arial" w:cs="Arial" w:eastAsia="Arial" w:hAnsi="Arial"/>
          <w:sz w:val="29"/>
          <w:szCs w:val="29"/>
          <w:b w:val="1"/>
          <w:bCs w:val="1"/>
          <w:color w:val="auto"/>
        </w:rPr>
        <w:t>As of and for the years ended December 31, 2020 and 2019</w:t>
      </w:r>
    </w:p>
    <w:p>
      <w:pPr>
        <w:spacing w:after="0" w:line="131" w:lineRule="exact"/>
        <w:rPr>
          <w:sz w:val="20"/>
          <w:szCs w:val="20"/>
          <w:color w:val="auto"/>
        </w:rPr>
      </w:pPr>
    </w:p>
    <w:p>
      <w:pPr>
        <w:ind w:left="1440" w:right="200" w:hanging="178"/>
        <w:spacing w:after="0" w:line="249" w:lineRule="auto"/>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Report of Independent Registered Public Accounting Firm on consolidated financial statements as of</w:t>
        </w:r>
      </w:hyperlink>
      <w:r>
        <w:rPr>
          <w:rFonts w:ascii="Arial" w:cs="Arial" w:eastAsia="Arial" w:hAnsi="Arial"/>
          <w:sz w:val="18"/>
          <w:szCs w:val="18"/>
          <w:u w:val="single" w:color="auto"/>
          <w:color w:val="0000EE"/>
        </w:rPr>
        <w:t xml:space="preserve"> </w:t>
      </w:r>
      <w:hyperlink w:anchor="page205">
        <w:r>
          <w:rPr>
            <w:rFonts w:ascii="Arial" w:cs="Arial" w:eastAsia="Arial" w:hAnsi="Arial"/>
            <w:sz w:val="18"/>
            <w:szCs w:val="18"/>
            <w:u w:val="single" w:color="auto"/>
            <w:color w:val="0000EE"/>
          </w:rPr>
          <w:t>December 31, 2020 and 2019 (successor), for the year ended December 31, 2020 (successor), for the</w:t>
        </w:r>
      </w:hyperlink>
      <w:r>
        <w:rPr>
          <w:rFonts w:ascii="Arial" w:cs="Arial" w:eastAsia="Arial" w:hAnsi="Arial"/>
          <w:sz w:val="18"/>
          <w:szCs w:val="18"/>
          <w:u w:val="single" w:color="auto"/>
          <w:color w:val="0000EE"/>
        </w:rPr>
        <w:t xml:space="preserve"> </w:t>
      </w:r>
      <w:hyperlink w:anchor="page205">
        <w:r>
          <w:rPr>
            <w:rFonts w:ascii="Arial" w:cs="Arial" w:eastAsia="Arial" w:hAnsi="Arial"/>
            <w:sz w:val="18"/>
            <w:szCs w:val="18"/>
            <w:u w:val="single" w:color="auto"/>
            <w:color w:val="0000EE"/>
          </w:rPr>
          <w:t>period from June 21, 2019 through December 31, 2019 (successor) and for the period from January 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800735</wp:posOffset>
            </wp:positionH>
            <wp:positionV relativeFrom="paragraph">
              <wp:posOffset>-407670</wp:posOffset>
            </wp:positionV>
            <wp:extent cx="5663565" cy="546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63565" cy="54673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77"/>
        </w:trPr>
        <w:tc>
          <w:tcPr>
            <w:tcW w:w="180" w:type="dxa"/>
            <w:vAlign w:val="bottom"/>
          </w:tcPr>
          <w:p>
            <w:pPr>
              <w:spacing w:after="0"/>
              <w:rPr>
                <w:sz w:val="15"/>
                <w:szCs w:val="15"/>
                <w:color w:val="auto"/>
              </w:rPr>
            </w:pPr>
          </w:p>
        </w:tc>
        <w:tc>
          <w:tcPr>
            <w:tcW w:w="3580" w:type="dxa"/>
            <w:vAlign w:val="bottom"/>
            <w:tcBorders>
              <w:bottom w:val="single" w:sz="8" w:color="0000EE"/>
            </w:tcBorders>
            <w:gridSpan w:val="4"/>
          </w:tcPr>
          <w:p>
            <w:pPr>
              <w:spacing w:after="0" w:line="177" w:lineRule="exact"/>
              <w:rPr>
                <w:rFonts w:ascii="Arial" w:cs="Arial" w:eastAsia="Arial" w:hAnsi="Arial"/>
                <w:sz w:val="18"/>
                <w:szCs w:val="18"/>
                <w:color w:val="0000EE"/>
              </w:rPr>
            </w:pPr>
            <w:hyperlink w:anchor="page205">
              <w:r>
                <w:rPr>
                  <w:rFonts w:ascii="Arial" w:cs="Arial" w:eastAsia="Arial" w:hAnsi="Arial"/>
                  <w:sz w:val="18"/>
                  <w:szCs w:val="18"/>
                  <w:color w:val="0000EE"/>
                </w:rPr>
                <w:t>2019 through June 20, 2019 (predecessor)</w:t>
              </w:r>
            </w:hyperlink>
          </w:p>
        </w:tc>
        <w:tc>
          <w:tcPr>
            <w:tcW w:w="4880" w:type="dxa"/>
            <w:vAlign w:val="bottom"/>
            <w:gridSpan w:val="9"/>
          </w:tcPr>
          <w:p>
            <w:pPr>
              <w:spacing w:after="0"/>
              <w:rPr>
                <w:sz w:val="15"/>
                <w:szCs w:val="15"/>
                <w:color w:val="auto"/>
              </w:rPr>
            </w:pPr>
          </w:p>
        </w:tc>
        <w:tc>
          <w:tcPr>
            <w:tcW w:w="280" w:type="dxa"/>
            <w:vAlign w:val="bottom"/>
            <w:tcBorders>
              <w:bottom w:val="single" w:sz="8" w:color="0000EE"/>
            </w:tcBorders>
          </w:tcPr>
          <w:p>
            <w:pPr>
              <w:spacing w:after="0" w:line="177" w:lineRule="exact"/>
              <w:rPr>
                <w:rFonts w:ascii="Arial" w:cs="Arial" w:eastAsia="Arial" w:hAnsi="Arial"/>
                <w:sz w:val="18"/>
                <w:szCs w:val="18"/>
                <w:color w:val="0000EE"/>
                <w:w w:val="96"/>
              </w:rPr>
            </w:pPr>
            <w:hyperlink w:anchor="page205">
              <w:r>
                <w:rPr>
                  <w:rFonts w:ascii="Arial" w:cs="Arial" w:eastAsia="Arial" w:hAnsi="Arial"/>
                  <w:sz w:val="18"/>
                  <w:szCs w:val="18"/>
                  <w:color w:val="0000EE"/>
                  <w:w w:val="96"/>
                </w:rPr>
                <w:t>F-2</w:t>
              </w:r>
            </w:hyperlink>
          </w:p>
        </w:tc>
      </w:tr>
      <w:tr>
        <w:trPr>
          <w:trHeight w:val="289"/>
        </w:trPr>
        <w:tc>
          <w:tcPr>
            <w:tcW w:w="8640" w:type="dxa"/>
            <w:vAlign w:val="bottom"/>
            <w:gridSpan w:val="14"/>
          </w:tcPr>
          <w:p>
            <w:pPr>
              <w:spacing w:after="0"/>
              <w:rPr>
                <w:sz w:val="20"/>
                <w:szCs w:val="20"/>
                <w:color w:val="auto"/>
              </w:rPr>
            </w:pPr>
            <w:r>
              <w:rPr>
                <w:rFonts w:ascii="Arial" w:cs="Arial" w:eastAsia="Arial" w:hAnsi="Arial"/>
                <w:sz w:val="22"/>
                <w:szCs w:val="22"/>
                <w:b w:val="1"/>
                <w:bCs w:val="1"/>
                <w:color w:val="auto"/>
              </w:rPr>
              <w:t>Consolidated financial statements</w:t>
            </w:r>
          </w:p>
        </w:tc>
        <w:tc>
          <w:tcPr>
            <w:tcW w:w="280" w:type="dxa"/>
            <w:vAlign w:val="bottom"/>
          </w:tcPr>
          <w:p>
            <w:pPr>
              <w:spacing w:after="0"/>
              <w:rPr>
                <w:sz w:val="24"/>
                <w:szCs w:val="24"/>
                <w:color w:val="auto"/>
              </w:rPr>
            </w:pPr>
          </w:p>
        </w:tc>
      </w:tr>
      <w:tr>
        <w:trPr>
          <w:trHeight w:val="202"/>
        </w:trPr>
        <w:tc>
          <w:tcPr>
            <w:tcW w:w="7740" w:type="dxa"/>
            <w:vAlign w:val="bottom"/>
            <w:tcBorders>
              <w:bottom w:val="single" w:sz="8" w:color="0000EE"/>
            </w:tcBorders>
            <w:gridSpan w:val="8"/>
            <w:shd w:val="clear" w:color="auto" w:fill="CCEEFF"/>
          </w:tcPr>
          <w:p>
            <w:pPr>
              <w:spacing w:after="0" w:line="201" w:lineRule="exact"/>
              <w:rPr>
                <w:rFonts w:ascii="Arial" w:cs="Arial" w:eastAsia="Arial" w:hAnsi="Arial"/>
                <w:sz w:val="18"/>
                <w:szCs w:val="18"/>
                <w:color w:val="0000EE"/>
              </w:rPr>
            </w:pPr>
            <w:hyperlink w:anchor="page206">
              <w:r>
                <w:rPr>
                  <w:rFonts w:ascii="Arial" w:cs="Arial" w:eastAsia="Arial" w:hAnsi="Arial"/>
                  <w:sz w:val="18"/>
                  <w:szCs w:val="18"/>
                  <w:color w:val="0000EE"/>
                </w:rPr>
                <w:t>Consolidated balance sheets as of December 31, 2020 (successor) and December 31, 2019</w:t>
              </w:r>
            </w:hyperlink>
          </w:p>
        </w:tc>
        <w:tc>
          <w:tcPr>
            <w:tcW w:w="900" w:type="dxa"/>
            <w:vAlign w:val="bottom"/>
            <w:tcBorders>
              <w:bottom w:val="single" w:sz="8" w:color="CCEEFF"/>
            </w:tcBorders>
            <w:gridSpan w:val="6"/>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r>
      <w:tr>
        <w:trPr>
          <w:trHeight w:val="195"/>
        </w:trPr>
        <w:tc>
          <w:tcPr>
            <w:tcW w:w="180" w:type="dxa"/>
            <w:vAlign w:val="bottom"/>
            <w:shd w:val="clear" w:color="auto" w:fill="CCEEFF"/>
          </w:tcPr>
          <w:p>
            <w:pPr>
              <w:spacing w:after="0"/>
              <w:rPr>
                <w:sz w:val="16"/>
                <w:szCs w:val="16"/>
                <w:color w:val="auto"/>
              </w:rPr>
            </w:pPr>
          </w:p>
        </w:tc>
        <w:tc>
          <w:tcPr>
            <w:tcW w:w="8460" w:type="dxa"/>
            <w:vAlign w:val="bottom"/>
            <w:gridSpan w:val="13"/>
            <w:shd w:val="clear" w:color="auto" w:fill="CCEEFF"/>
          </w:tcPr>
          <w:p>
            <w:pPr>
              <w:spacing w:after="0" w:line="195" w:lineRule="exact"/>
              <w:rPr>
                <w:rFonts w:ascii="Arial" w:cs="Arial" w:eastAsia="Arial" w:hAnsi="Arial"/>
                <w:sz w:val="18"/>
                <w:szCs w:val="18"/>
                <w:color w:val="0000EE"/>
              </w:rPr>
            </w:pPr>
            <w:hyperlink w:anchor="page206">
              <w:r>
                <w:rPr>
                  <w:rFonts w:ascii="Arial" w:cs="Arial" w:eastAsia="Arial" w:hAnsi="Arial"/>
                  <w:sz w:val="18"/>
                  <w:szCs w:val="18"/>
                  <w:color w:val="0000EE"/>
                </w:rPr>
                <w:t>(successor)</w:t>
              </w:r>
            </w:hyperlink>
          </w:p>
        </w:tc>
        <w:tc>
          <w:tcPr>
            <w:tcW w:w="280" w:type="dxa"/>
            <w:vAlign w:val="bottom"/>
            <w:shd w:val="clear" w:color="auto" w:fill="CCEEFF"/>
          </w:tcPr>
          <w:p>
            <w:pPr>
              <w:spacing w:after="0" w:line="195" w:lineRule="exact"/>
              <w:rPr>
                <w:rFonts w:ascii="Arial" w:cs="Arial" w:eastAsia="Arial" w:hAnsi="Arial"/>
                <w:sz w:val="18"/>
                <w:szCs w:val="18"/>
                <w:color w:val="0000EE"/>
                <w:w w:val="96"/>
              </w:rPr>
            </w:pPr>
            <w:hyperlink w:anchor="page206">
              <w:r>
                <w:rPr>
                  <w:rFonts w:ascii="Arial" w:cs="Arial" w:eastAsia="Arial" w:hAnsi="Arial"/>
                  <w:sz w:val="18"/>
                  <w:szCs w:val="18"/>
                  <w:color w:val="0000EE"/>
                  <w:w w:val="96"/>
                </w:rPr>
                <w:t>F-3</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r>
      <w:tr>
        <w:trPr>
          <w:trHeight w:val="215"/>
        </w:trPr>
        <w:tc>
          <w:tcPr>
            <w:tcW w:w="8620" w:type="dxa"/>
            <w:vAlign w:val="bottom"/>
            <w:tcBorders>
              <w:bottom w:val="single" w:sz="8" w:color="0000EE"/>
            </w:tcBorders>
            <w:gridSpan w:val="13"/>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Consolidated statements of operations and comprehensive loss for the year ended December 31, 2020</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5"/>
        </w:trPr>
        <w:tc>
          <w:tcPr>
            <w:tcW w:w="180" w:type="dxa"/>
            <w:vAlign w:val="bottom"/>
          </w:tcPr>
          <w:p>
            <w:pPr>
              <w:spacing w:after="0"/>
              <w:rPr>
                <w:sz w:val="16"/>
                <w:szCs w:val="16"/>
                <w:color w:val="auto"/>
              </w:rPr>
            </w:pPr>
          </w:p>
        </w:tc>
        <w:tc>
          <w:tcPr>
            <w:tcW w:w="8360" w:type="dxa"/>
            <w:vAlign w:val="bottom"/>
            <w:tcBorders>
              <w:bottom w:val="single" w:sz="8" w:color="0000EE"/>
            </w:tcBorders>
            <w:gridSpan w:val="10"/>
          </w:tcPr>
          <w:p>
            <w:pPr>
              <w:spacing w:after="0" w:line="195" w:lineRule="exact"/>
              <w:rPr>
                <w:rFonts w:ascii="Arial" w:cs="Arial" w:eastAsia="Arial" w:hAnsi="Arial"/>
                <w:sz w:val="18"/>
                <w:szCs w:val="18"/>
                <w:color w:val="0000EE"/>
              </w:rPr>
            </w:pPr>
            <w:hyperlink w:anchor="page207">
              <w:r>
                <w:rPr>
                  <w:rFonts w:ascii="Arial" w:cs="Arial" w:eastAsia="Arial" w:hAnsi="Arial"/>
                  <w:sz w:val="18"/>
                  <w:szCs w:val="18"/>
                  <w:color w:val="0000EE"/>
                </w:rPr>
                <w:t>(successor), and the periods June 21, 2019 through December 31, 2019 (successor) and January 1,</w:t>
              </w:r>
            </w:hyperlink>
          </w:p>
        </w:tc>
        <w:tc>
          <w:tcPr>
            <w:tcW w:w="10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r>
      <w:tr>
        <w:trPr>
          <w:trHeight w:val="195"/>
        </w:trPr>
        <w:tc>
          <w:tcPr>
            <w:tcW w:w="180" w:type="dxa"/>
            <w:vAlign w:val="bottom"/>
          </w:tcPr>
          <w:p>
            <w:pPr>
              <w:spacing w:after="0"/>
              <w:rPr>
                <w:sz w:val="16"/>
                <w:szCs w:val="16"/>
                <w:color w:val="auto"/>
              </w:rPr>
            </w:pPr>
          </w:p>
        </w:tc>
        <w:tc>
          <w:tcPr>
            <w:tcW w:w="8460" w:type="dxa"/>
            <w:vAlign w:val="bottom"/>
            <w:gridSpan w:val="13"/>
          </w:tcPr>
          <w:p>
            <w:pPr>
              <w:spacing w:after="0" w:line="195" w:lineRule="exact"/>
              <w:rPr>
                <w:rFonts w:ascii="Arial" w:cs="Arial" w:eastAsia="Arial" w:hAnsi="Arial"/>
                <w:sz w:val="18"/>
                <w:szCs w:val="18"/>
                <w:color w:val="0000EE"/>
              </w:rPr>
            </w:pPr>
            <w:hyperlink w:anchor="page207">
              <w:r>
                <w:rPr>
                  <w:rFonts w:ascii="Arial" w:cs="Arial" w:eastAsia="Arial" w:hAnsi="Arial"/>
                  <w:sz w:val="18"/>
                  <w:szCs w:val="18"/>
                  <w:color w:val="0000EE"/>
                </w:rPr>
                <w:t>2019 through June 20, 2019 (predecessor)</w:t>
              </w:r>
            </w:hyperlink>
          </w:p>
        </w:tc>
        <w:tc>
          <w:tcPr>
            <w:tcW w:w="280" w:type="dxa"/>
            <w:vAlign w:val="bottom"/>
          </w:tcPr>
          <w:p>
            <w:pPr>
              <w:spacing w:after="0" w:line="195" w:lineRule="exact"/>
              <w:rPr>
                <w:rFonts w:ascii="Arial" w:cs="Arial" w:eastAsia="Arial" w:hAnsi="Arial"/>
                <w:sz w:val="18"/>
                <w:szCs w:val="18"/>
                <w:color w:val="0000EE"/>
                <w:w w:val="96"/>
              </w:rPr>
            </w:pPr>
            <w:hyperlink w:anchor="page207">
              <w:r>
                <w:rPr>
                  <w:rFonts w:ascii="Arial" w:cs="Arial" w:eastAsia="Arial" w:hAnsi="Arial"/>
                  <w:sz w:val="18"/>
                  <w:szCs w:val="18"/>
                  <w:color w:val="0000EE"/>
                  <w:w w:val="96"/>
                </w:rPr>
                <w:t>F-4</w:t>
              </w:r>
            </w:hyperlink>
          </w:p>
        </w:tc>
      </w:tr>
      <w:tr>
        <w:trPr>
          <w:trHeight w:val="34"/>
        </w:trPr>
        <w:tc>
          <w:tcPr>
            <w:tcW w:w="180" w:type="dxa"/>
            <w:vAlign w:val="bottom"/>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215"/>
        </w:trPr>
        <w:tc>
          <w:tcPr>
            <w:tcW w:w="8200" w:type="dxa"/>
            <w:vAlign w:val="bottom"/>
            <w:tcBorders>
              <w:bottom w:val="single" w:sz="8" w:color="0000EE"/>
            </w:tcBorders>
            <w:gridSpan w:val="9"/>
            <w:shd w:val="clear" w:color="auto" w:fill="CCEEFF"/>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Consolidated statements of changes in members’ equity (deficit) for the year ended December 31,</w:t>
              </w:r>
            </w:hyperlink>
          </w:p>
        </w:tc>
        <w:tc>
          <w:tcPr>
            <w:tcW w:w="440" w:type="dxa"/>
            <w:vAlign w:val="bottom"/>
            <w:tcBorders>
              <w:bottom w:val="single" w:sz="8" w:color="CCEEFF"/>
            </w:tcBorders>
            <w:gridSpan w:val="5"/>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r>
      <w:tr>
        <w:trPr>
          <w:trHeight w:val="195"/>
        </w:trPr>
        <w:tc>
          <w:tcPr>
            <w:tcW w:w="180" w:type="dxa"/>
            <w:vAlign w:val="bottom"/>
            <w:tcBorders>
              <w:bottom w:val="single" w:sz="8" w:color="CCEEFF"/>
            </w:tcBorders>
            <w:shd w:val="clear" w:color="auto" w:fill="CCEEFF"/>
          </w:tcPr>
          <w:p>
            <w:pPr>
              <w:spacing w:after="0"/>
              <w:rPr>
                <w:sz w:val="16"/>
                <w:szCs w:val="16"/>
                <w:color w:val="auto"/>
              </w:rPr>
            </w:pPr>
          </w:p>
        </w:tc>
        <w:tc>
          <w:tcPr>
            <w:tcW w:w="7540" w:type="dxa"/>
            <w:vAlign w:val="bottom"/>
            <w:tcBorders>
              <w:bottom w:val="single" w:sz="8" w:color="0000EE"/>
            </w:tcBorders>
            <w:gridSpan w:val="6"/>
            <w:shd w:val="clear" w:color="auto" w:fill="CCEEFF"/>
          </w:tcPr>
          <w:p>
            <w:pPr>
              <w:spacing w:after="0" w:line="195" w:lineRule="exact"/>
              <w:rPr>
                <w:rFonts w:ascii="Arial" w:cs="Arial" w:eastAsia="Arial" w:hAnsi="Arial"/>
                <w:sz w:val="18"/>
                <w:szCs w:val="18"/>
                <w:color w:val="0000EE"/>
              </w:rPr>
            </w:pPr>
            <w:hyperlink w:anchor="page208">
              <w:r>
                <w:rPr>
                  <w:rFonts w:ascii="Arial" w:cs="Arial" w:eastAsia="Arial" w:hAnsi="Arial"/>
                  <w:sz w:val="18"/>
                  <w:szCs w:val="18"/>
                  <w:color w:val="0000EE"/>
                </w:rPr>
                <w:t>2020 (successor), the periods June 21, 2019 through December 31, 2019 (successor) and</w:t>
              </w:r>
            </w:hyperlink>
          </w:p>
        </w:tc>
        <w:tc>
          <w:tcPr>
            <w:tcW w:w="920" w:type="dxa"/>
            <w:vAlign w:val="bottom"/>
            <w:tcBorders>
              <w:bottom w:val="single" w:sz="8" w:color="CCEEFF"/>
            </w:tcBorders>
            <w:gridSpan w:val="7"/>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r>
      <w:tr>
        <w:trPr>
          <w:trHeight w:val="195"/>
        </w:trPr>
        <w:tc>
          <w:tcPr>
            <w:tcW w:w="180" w:type="dxa"/>
            <w:vAlign w:val="bottom"/>
            <w:shd w:val="clear" w:color="auto" w:fill="CCEEFF"/>
          </w:tcPr>
          <w:p>
            <w:pPr>
              <w:spacing w:after="0"/>
              <w:rPr>
                <w:sz w:val="16"/>
                <w:szCs w:val="16"/>
                <w:color w:val="auto"/>
              </w:rPr>
            </w:pPr>
          </w:p>
        </w:tc>
        <w:tc>
          <w:tcPr>
            <w:tcW w:w="8460" w:type="dxa"/>
            <w:vAlign w:val="bottom"/>
            <w:gridSpan w:val="13"/>
            <w:shd w:val="clear" w:color="auto" w:fill="CCEEFF"/>
          </w:tcPr>
          <w:p>
            <w:pPr>
              <w:spacing w:after="0" w:line="195" w:lineRule="exact"/>
              <w:rPr>
                <w:rFonts w:ascii="Arial" w:cs="Arial" w:eastAsia="Arial" w:hAnsi="Arial"/>
                <w:sz w:val="18"/>
                <w:szCs w:val="18"/>
                <w:color w:val="0000EE"/>
              </w:rPr>
            </w:pPr>
            <w:hyperlink w:anchor="page208">
              <w:r>
                <w:rPr>
                  <w:rFonts w:ascii="Arial" w:cs="Arial" w:eastAsia="Arial" w:hAnsi="Arial"/>
                  <w:sz w:val="18"/>
                  <w:szCs w:val="18"/>
                  <w:color w:val="0000EE"/>
                </w:rPr>
                <w:t>January 1, 2019 through June 20, 2019 (predecessor)</w:t>
              </w:r>
            </w:hyperlink>
          </w:p>
        </w:tc>
        <w:tc>
          <w:tcPr>
            <w:tcW w:w="280" w:type="dxa"/>
            <w:vAlign w:val="bottom"/>
            <w:shd w:val="clear" w:color="auto" w:fill="CCEEFF"/>
          </w:tcPr>
          <w:p>
            <w:pPr>
              <w:spacing w:after="0" w:line="195" w:lineRule="exact"/>
              <w:rPr>
                <w:rFonts w:ascii="Arial" w:cs="Arial" w:eastAsia="Arial" w:hAnsi="Arial"/>
                <w:sz w:val="18"/>
                <w:szCs w:val="18"/>
                <w:color w:val="0000EE"/>
                <w:w w:val="96"/>
              </w:rPr>
            </w:pPr>
            <w:hyperlink w:anchor="page208">
              <w:r>
                <w:rPr>
                  <w:rFonts w:ascii="Arial" w:cs="Arial" w:eastAsia="Arial" w:hAnsi="Arial"/>
                  <w:sz w:val="18"/>
                  <w:szCs w:val="18"/>
                  <w:color w:val="0000EE"/>
                  <w:w w:val="96"/>
                </w:rPr>
                <w:t>F-5</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r>
      <w:tr>
        <w:trPr>
          <w:trHeight w:val="215"/>
        </w:trPr>
        <w:tc>
          <w:tcPr>
            <w:tcW w:w="8600" w:type="dxa"/>
            <w:vAlign w:val="bottom"/>
            <w:tcBorders>
              <w:bottom w:val="single" w:sz="8" w:color="0000EE"/>
            </w:tcBorders>
            <w:gridSpan w:val="12"/>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Consolidated statements of cash flows for the year ended December 31, 2020 (successor), the periods</w:t>
              </w:r>
            </w:hyperlink>
          </w:p>
        </w:tc>
        <w:tc>
          <w:tcPr>
            <w:tcW w:w="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r>
      <w:tr>
        <w:trPr>
          <w:trHeight w:val="195"/>
        </w:trPr>
        <w:tc>
          <w:tcPr>
            <w:tcW w:w="180" w:type="dxa"/>
            <w:vAlign w:val="bottom"/>
          </w:tcPr>
          <w:p>
            <w:pPr>
              <w:spacing w:after="0"/>
              <w:rPr>
                <w:sz w:val="16"/>
                <w:szCs w:val="16"/>
                <w:color w:val="auto"/>
              </w:rPr>
            </w:pPr>
          </w:p>
        </w:tc>
        <w:tc>
          <w:tcPr>
            <w:tcW w:w="8340" w:type="dxa"/>
            <w:vAlign w:val="bottom"/>
            <w:tcBorders>
              <w:bottom w:val="single" w:sz="8" w:color="0000EE"/>
            </w:tcBorders>
            <w:gridSpan w:val="9"/>
          </w:tcPr>
          <w:p>
            <w:pPr>
              <w:spacing w:after="0" w:line="195" w:lineRule="exact"/>
              <w:rPr>
                <w:rFonts w:ascii="Arial" w:cs="Arial" w:eastAsia="Arial" w:hAnsi="Arial"/>
                <w:sz w:val="18"/>
                <w:szCs w:val="18"/>
                <w:color w:val="0000EE"/>
              </w:rPr>
            </w:pPr>
            <w:hyperlink w:anchor="page209">
              <w:r>
                <w:rPr>
                  <w:rFonts w:ascii="Arial" w:cs="Arial" w:eastAsia="Arial" w:hAnsi="Arial"/>
                  <w:sz w:val="18"/>
                  <w:szCs w:val="18"/>
                  <w:color w:val="0000EE"/>
                </w:rPr>
                <w:t>June 21, 2019 through December 31, 2019 (successor) and January 1, 2019 through June 20, 2019</w:t>
              </w:r>
            </w:hyperlink>
          </w:p>
        </w:tc>
        <w:tc>
          <w:tcPr>
            <w:tcW w:w="120" w:type="dxa"/>
            <w:vAlign w:val="bottom"/>
            <w:gridSpan w:val="4"/>
          </w:tcPr>
          <w:p>
            <w:pPr>
              <w:spacing w:after="0"/>
              <w:rPr>
                <w:sz w:val="16"/>
                <w:szCs w:val="16"/>
                <w:color w:val="auto"/>
              </w:rPr>
            </w:pPr>
          </w:p>
        </w:tc>
        <w:tc>
          <w:tcPr>
            <w:tcW w:w="280" w:type="dxa"/>
            <w:vAlign w:val="bottom"/>
          </w:tcPr>
          <w:p>
            <w:pPr>
              <w:spacing w:after="0"/>
              <w:rPr>
                <w:sz w:val="16"/>
                <w:szCs w:val="16"/>
                <w:color w:val="auto"/>
              </w:rPr>
            </w:pPr>
          </w:p>
        </w:tc>
      </w:tr>
      <w:tr>
        <w:trPr>
          <w:trHeight w:val="195"/>
        </w:trPr>
        <w:tc>
          <w:tcPr>
            <w:tcW w:w="180" w:type="dxa"/>
            <w:vAlign w:val="bottom"/>
          </w:tcPr>
          <w:p>
            <w:pPr>
              <w:spacing w:after="0"/>
              <w:rPr>
                <w:sz w:val="16"/>
                <w:szCs w:val="16"/>
                <w:color w:val="auto"/>
              </w:rPr>
            </w:pPr>
          </w:p>
        </w:tc>
        <w:tc>
          <w:tcPr>
            <w:tcW w:w="8460" w:type="dxa"/>
            <w:vAlign w:val="bottom"/>
            <w:gridSpan w:val="13"/>
          </w:tcPr>
          <w:p>
            <w:pPr>
              <w:spacing w:after="0" w:line="195" w:lineRule="exact"/>
              <w:rPr>
                <w:rFonts w:ascii="Arial" w:cs="Arial" w:eastAsia="Arial" w:hAnsi="Arial"/>
                <w:sz w:val="18"/>
                <w:szCs w:val="18"/>
                <w:color w:val="0000EE"/>
              </w:rPr>
            </w:pPr>
            <w:hyperlink w:anchor="page209">
              <w:r>
                <w:rPr>
                  <w:rFonts w:ascii="Arial" w:cs="Arial" w:eastAsia="Arial" w:hAnsi="Arial"/>
                  <w:sz w:val="18"/>
                  <w:szCs w:val="18"/>
                  <w:color w:val="0000EE"/>
                </w:rPr>
                <w:t>(predecessor)</w:t>
              </w:r>
            </w:hyperlink>
          </w:p>
        </w:tc>
        <w:tc>
          <w:tcPr>
            <w:tcW w:w="280" w:type="dxa"/>
            <w:vAlign w:val="bottom"/>
          </w:tcPr>
          <w:p>
            <w:pPr>
              <w:spacing w:after="0" w:line="195" w:lineRule="exact"/>
              <w:rPr>
                <w:rFonts w:ascii="Arial" w:cs="Arial" w:eastAsia="Arial" w:hAnsi="Arial"/>
                <w:sz w:val="18"/>
                <w:szCs w:val="18"/>
                <w:color w:val="0000EE"/>
                <w:w w:val="96"/>
              </w:rPr>
            </w:pPr>
            <w:hyperlink w:anchor="page209">
              <w:r>
                <w:rPr>
                  <w:rFonts w:ascii="Arial" w:cs="Arial" w:eastAsia="Arial" w:hAnsi="Arial"/>
                  <w:sz w:val="18"/>
                  <w:szCs w:val="18"/>
                  <w:color w:val="0000EE"/>
                  <w:w w:val="96"/>
                </w:rPr>
                <w:t>F-6</w:t>
              </w:r>
            </w:hyperlink>
          </w:p>
        </w:tc>
      </w:tr>
      <w:tr>
        <w:trPr>
          <w:trHeight w:val="34"/>
        </w:trPr>
        <w:tc>
          <w:tcPr>
            <w:tcW w:w="180" w:type="dxa"/>
            <w:vAlign w:val="bottom"/>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r>
      <w:tr>
        <w:trPr>
          <w:trHeight w:val="236"/>
        </w:trPr>
        <w:tc>
          <w:tcPr>
            <w:tcW w:w="3540" w:type="dxa"/>
            <w:vAlign w:val="bottom"/>
            <w:tcBorders>
              <w:bottom w:val="single" w:sz="8" w:color="0000EE"/>
            </w:tcBorders>
            <w:gridSpan w:val="4"/>
            <w:shd w:val="clear" w:color="auto" w:fill="CCEEFF"/>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Notes to consolidated financial statements</w:t>
              </w:r>
            </w:hyperlink>
          </w:p>
        </w:tc>
        <w:tc>
          <w:tcPr>
            <w:tcW w:w="5100" w:type="dxa"/>
            <w:vAlign w:val="bottom"/>
            <w:tcBorders>
              <w:bottom w:val="single" w:sz="8" w:color="CCEEFF"/>
            </w:tcBorders>
            <w:gridSpan w:val="10"/>
            <w:shd w:val="clear" w:color="auto" w:fill="CCEEFF"/>
          </w:tcPr>
          <w:p>
            <w:pPr>
              <w:spacing w:after="0"/>
              <w:rPr>
                <w:sz w:val="20"/>
                <w:szCs w:val="20"/>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w w:val="96"/>
              </w:rPr>
            </w:pPr>
            <w:hyperlink w:anchor="page210">
              <w:r>
                <w:rPr>
                  <w:rFonts w:ascii="Arial" w:cs="Arial" w:eastAsia="Arial" w:hAnsi="Arial"/>
                  <w:sz w:val="18"/>
                  <w:szCs w:val="18"/>
                  <w:color w:val="0000EE"/>
                  <w:w w:val="96"/>
                </w:rPr>
                <w:t>F-7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180"/>
          </w:cols>
          <w:pgMar w:left="600" w:top="132" w:right="1119" w:bottom="1440" w:gutter="0" w:footer="0" w:header="0"/>
        </w:sectPr>
      </w:pPr>
    </w:p>
    <w:bookmarkStart w:id="205" w:name="page206"/>
    <w:bookmarkEnd w:id="205"/>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Stockholders and the Board of Directors of</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Century Therapeutics, Inc. (formerly Century Therapeutics, LLC)</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69"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We have audited the accompanying consolidated balance sheets of Century Therapeutics, LLC and subsidiary (the Company) as of December 31, 2020 and 2019 (Successor), the related consolidated statements of operations and comprehensive loss, changes in members’ equity (deficit) and cash flows for the year ended December 31, 2020 (Successor), the period June 21, 2019 through December 31, 2019 (Successor) and the period January 1, 2019 through June 20, 2019 (Predecessor), and the related notes (collectively referred to as the “consolidated financial statements”). In our opinion, the consolidated financial statements present fairly, in all material respects, the financial position of the Company at December 31, 2020 and 2019 (Successor), and the results of its operations and its cash flows for the year ended December 31, 2020 (Successor), the period June 21, 2019 through December 31, 2019 (Successor) and the period January 1, 2019 through June 20, 2019 (Predecessor), in conformity with U.S. generally accepted accounting principles.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Adoption of new accounting standard</w:t>
      </w:r>
    </w:p>
    <w:p>
      <w:pPr>
        <w:spacing w:after="0" w:line="169" w:lineRule="exact"/>
        <w:rPr>
          <w:sz w:val="20"/>
          <w:szCs w:val="20"/>
          <w:color w:val="auto"/>
        </w:rPr>
      </w:pPr>
    </w:p>
    <w:p>
      <w:pPr>
        <w:ind w:left="1260" w:right="819"/>
        <w:spacing w:after="0" w:line="270"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2020 due to the adoption of Accounting Standards Update (ASU) No. 2016-02, Leases (Topic 842), and related amendments.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Basis for opinion</w:t>
      </w:r>
    </w:p>
    <w:p>
      <w:pPr>
        <w:spacing w:after="0" w:line="155"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2"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Ernst &amp; Young LLP</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2019.</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Philadelphia, Pennsylvania</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26, 2021</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06" w:name="page207"/>
    <w:bookmarkEnd w:id="206"/>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right="2519"/>
        <w:spacing w:after="0" w:line="233" w:lineRule="auto"/>
        <w:rPr>
          <w:sz w:val="20"/>
          <w:szCs w:val="20"/>
          <w:color w:val="auto"/>
        </w:rPr>
      </w:pPr>
      <w:r>
        <w:rPr>
          <w:rFonts w:ascii="Arial" w:cs="Arial" w:eastAsia="Arial" w:hAnsi="Arial"/>
          <w:sz w:val="29"/>
          <w:szCs w:val="29"/>
          <w:b w:val="1"/>
          <w:bCs w:val="1"/>
          <w:color w:val="auto"/>
        </w:rPr>
        <w:t>Century Therapeutics, LLC and Subsidiary Consolidated balance sheets (In thousands, except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83820</wp:posOffset>
            </wp:positionV>
            <wp:extent cx="51936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6"/>
                <w:szCs w:val="16"/>
                <w:b w:val="1"/>
                <w:bCs w:val="1"/>
                <w:color w:val="auto"/>
              </w:rPr>
              <w:t>Successor</w:t>
            </w: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6"/>
                <w:szCs w:val="16"/>
                <w:b w:val="1"/>
                <w:bCs w:val="1"/>
                <w:color w:val="auto"/>
              </w:rPr>
              <w:t>December 31, 2020</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27,211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8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48,542</w:t>
            </w: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Escrow deposits, current</w:t>
            </w:r>
          </w:p>
        </w:tc>
        <w:tc>
          <w:tcPr>
            <w:tcW w:w="8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w:t>
            </w:r>
          </w:p>
        </w:tc>
        <w:tc>
          <w:tcPr>
            <w:tcW w:w="8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2,261</w:t>
            </w:r>
          </w:p>
        </w:tc>
        <w:tc>
          <w:tcPr>
            <w:tcW w:w="8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78,797</w:t>
            </w:r>
          </w:p>
        </w:tc>
        <w:tc>
          <w:tcPr>
            <w:tcW w:w="8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15,385</w:t>
            </w: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 net</w:t>
            </w:r>
          </w:p>
        </w:tc>
        <w:tc>
          <w:tcPr>
            <w:tcW w:w="8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9,392</w:t>
            </w:r>
          </w:p>
        </w:tc>
        <w:tc>
          <w:tcPr>
            <w:tcW w:w="8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8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517</w:t>
            </w:r>
          </w:p>
        </w:tc>
        <w:tc>
          <w:tcPr>
            <w:tcW w:w="8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Escrow deposits, non-current</w:t>
            </w:r>
          </w:p>
        </w:tc>
        <w:tc>
          <w:tcPr>
            <w:tcW w:w="8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w:t>
            </w:r>
          </w:p>
        </w:tc>
        <w:tc>
          <w:tcPr>
            <w:tcW w:w="8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8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1,053</w:t>
            </w: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8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909</w:t>
            </w:r>
          </w:p>
        </w:tc>
        <w:tc>
          <w:tcPr>
            <w:tcW w:w="8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106,776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8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4,030</w:t>
            </w:r>
          </w:p>
        </w:tc>
        <w:tc>
          <w:tcPr>
            <w:tcW w:w="8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12,112</w:t>
            </w:r>
          </w:p>
        </w:tc>
        <w:tc>
          <w:tcPr>
            <w:tcW w:w="8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8"/>
                <w:szCs w:val="18"/>
                <w:color w:val="auto"/>
              </w:rPr>
              <w:t>Operating lease liability, long-term</w:t>
            </w:r>
          </w:p>
        </w:tc>
        <w:tc>
          <w:tcPr>
            <w:tcW w:w="8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11,679</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8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9,636</w:t>
            </w:r>
          </w:p>
        </w:tc>
        <w:tc>
          <w:tcPr>
            <w:tcW w:w="8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33,427</w:t>
            </w: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8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Common units; 108,968,867 common units authorized,</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93,370,681 common units issued and outstanding</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at December 31, 2020 and 2019</w:t>
            </w:r>
          </w:p>
        </w:tc>
        <w:tc>
          <w:tcPr>
            <w:tcW w:w="8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396,539</w:t>
            </w:r>
          </w:p>
        </w:tc>
        <w:tc>
          <w:tcPr>
            <w:tcW w:w="8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1,055</w:t>
            </w: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8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8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Members’ deficit</w:t>
            </w:r>
          </w:p>
        </w:tc>
        <w:tc>
          <w:tcPr>
            <w:tcW w:w="8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(292,342)</w:t>
            </w:r>
          </w:p>
        </w:tc>
        <w:tc>
          <w:tcPr>
            <w:tcW w:w="8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(238,767)</w:t>
            </w:r>
          </w:p>
        </w:tc>
        <w:tc>
          <w:tcPr>
            <w:tcW w:w="0" w:type="dxa"/>
            <w:vAlign w:val="bottom"/>
          </w:tcPr>
          <w:p>
            <w:pPr>
              <w:spacing w:after="0"/>
              <w:rPr>
                <w:sz w:val="1"/>
                <w:szCs w:val="1"/>
                <w:color w:val="auto"/>
              </w:rPr>
            </w:pPr>
          </w:p>
        </w:tc>
      </w:tr>
      <w:tr>
        <w:trPr>
          <w:trHeight w:val="27"/>
        </w:trPr>
        <w:tc>
          <w:tcPr>
            <w:tcW w:w="48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members’ equity</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73,349</w:t>
            </w: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106,776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30664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-1733550</wp:posOffset>
            </wp:positionV>
            <wp:extent cx="30664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-2365375</wp:posOffset>
            </wp:positionV>
            <wp:extent cx="30664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-3006090</wp:posOffset>
            </wp:positionV>
            <wp:extent cx="30664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06641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-4287520</wp:posOffset>
            </wp:positionV>
            <wp:extent cx="30664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accompanying notes to the consolidated financial statements.</w:t>
      </w:r>
    </w:p>
    <w:p>
      <w:pPr>
        <w:spacing w:after="0" w:line="16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Century Therapeutics, LLC and Subsidiary</w:t>
      </w:r>
    </w:p>
    <w:p>
      <w:pPr>
        <w:ind w:left="1260"/>
        <w:spacing w:after="0" w:line="212" w:lineRule="auto"/>
        <w:rPr>
          <w:sz w:val="20"/>
          <w:szCs w:val="20"/>
          <w:color w:val="auto"/>
        </w:rPr>
      </w:pPr>
      <w:r>
        <w:rPr>
          <w:rFonts w:ascii="Arial" w:cs="Arial" w:eastAsia="Arial" w:hAnsi="Arial"/>
          <w:sz w:val="29"/>
          <w:szCs w:val="29"/>
          <w:b w:val="1"/>
          <w:bCs w:val="1"/>
          <w:color w:val="auto"/>
        </w:rPr>
        <w:t>Consolidated statements of operations and</w:t>
      </w:r>
    </w:p>
    <w:p>
      <w:pPr>
        <w:ind w:left="1260"/>
        <w:spacing w:after="0" w:line="213" w:lineRule="auto"/>
        <w:rPr>
          <w:sz w:val="20"/>
          <w:szCs w:val="20"/>
          <w:color w:val="auto"/>
        </w:rPr>
      </w:pPr>
      <w:r>
        <w:rPr>
          <w:rFonts w:ascii="Arial" w:cs="Arial" w:eastAsia="Arial" w:hAnsi="Arial"/>
          <w:sz w:val="29"/>
          <w:szCs w:val="29"/>
          <w:b w:val="1"/>
          <w:bCs w:val="1"/>
          <w:color w:val="auto"/>
        </w:rPr>
        <w:t>comprehensive loss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63"/>
        </w:trPr>
        <w:tc>
          <w:tcPr>
            <w:tcW w:w="20" w:type="dxa"/>
            <w:vAlign w:val="bottom"/>
          </w:tcPr>
          <w:p>
            <w:pPr>
              <w:spacing w:after="0"/>
              <w:rPr>
                <w:sz w:val="22"/>
                <w:szCs w:val="22"/>
                <w:color w:val="auto"/>
              </w:rPr>
            </w:pPr>
          </w:p>
        </w:tc>
        <w:tc>
          <w:tcPr>
            <w:tcW w:w="3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gridSpan w:val="2"/>
          </w:tcPr>
          <w:p>
            <w:pPr>
              <w:jc w:val="right"/>
              <w:ind w:right="492"/>
              <w:spacing w:after="0"/>
              <w:rPr>
                <w:sz w:val="20"/>
                <w:szCs w:val="20"/>
                <w:color w:val="auto"/>
              </w:rPr>
            </w:pPr>
            <w:r>
              <w:rPr>
                <w:rFonts w:ascii="Arial" w:cs="Arial" w:eastAsia="Arial" w:hAnsi="Arial"/>
                <w:sz w:val="16"/>
                <w:szCs w:val="16"/>
                <w:b w:val="1"/>
                <w:bCs w:val="1"/>
                <w:color w:val="auto"/>
              </w:rPr>
              <w:t>Successor</w:t>
            </w:r>
          </w:p>
        </w:tc>
        <w:tc>
          <w:tcPr>
            <w:tcW w:w="800" w:type="dxa"/>
            <w:vAlign w:val="bottom"/>
            <w:tcBorders>
              <w:top w:val="single" w:sz="8" w:color="auto"/>
              <w:bottom w:val="single" w:sz="8" w:color="auto"/>
              <w:right w:val="single" w:sz="8" w:color="auto"/>
            </w:tcBorders>
          </w:tcPr>
          <w:p>
            <w:pPr>
              <w:spacing w:after="0"/>
              <w:rPr>
                <w:sz w:val="22"/>
                <w:szCs w:val="22"/>
                <w:color w:val="auto"/>
              </w:rPr>
            </w:pPr>
          </w:p>
        </w:tc>
        <w:tc>
          <w:tcPr>
            <w:tcW w:w="2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tcBorders>
              <w:right w:val="single" w:sz="8" w:color="auto"/>
            </w:tcBorders>
            <w:gridSpan w:val="2"/>
          </w:tcPr>
          <w:p>
            <w:pPr>
              <w:jc w:val="right"/>
              <w:spacing w:after="0" w:line="171" w:lineRule="exact"/>
              <w:rPr>
                <w:sz w:val="20"/>
                <w:szCs w:val="20"/>
                <w:color w:val="auto"/>
              </w:rPr>
            </w:pPr>
            <w:r>
              <w:rPr>
                <w:rFonts w:ascii="Arial" w:cs="Arial" w:eastAsia="Arial" w:hAnsi="Arial"/>
                <w:sz w:val="16"/>
                <w:szCs w:val="16"/>
                <w:b w:val="1"/>
                <w:bCs w:val="1"/>
                <w:color w:val="auto"/>
              </w:rPr>
              <w:t>For the period June 21,</w:t>
            </w:r>
          </w:p>
        </w:tc>
        <w:tc>
          <w:tcPr>
            <w:tcW w:w="2040" w:type="dxa"/>
            <w:vAlign w:val="bottom"/>
            <w:gridSpan w:val="2"/>
          </w:tcPr>
          <w:p>
            <w:pPr>
              <w:jc w:val="right"/>
              <w:spacing w:after="0" w:line="171" w:lineRule="exact"/>
              <w:rPr>
                <w:sz w:val="20"/>
                <w:szCs w:val="20"/>
                <w:color w:val="auto"/>
              </w:rPr>
            </w:pPr>
            <w:r>
              <w:rPr>
                <w:rFonts w:ascii="Arial" w:cs="Arial" w:eastAsia="Arial" w:hAnsi="Arial"/>
                <w:sz w:val="16"/>
                <w:szCs w:val="16"/>
                <w:b w:val="1"/>
                <w:bCs w:val="1"/>
                <w:color w:val="auto"/>
              </w:rPr>
              <w:t>For the period January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620" w:type="dxa"/>
            <w:vAlign w:val="bottom"/>
            <w:tcBorders>
              <w:right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year ended 2019 through December</w:t>
            </w:r>
          </w:p>
        </w:tc>
        <w:tc>
          <w:tcPr>
            <w:tcW w:w="21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1, 2019 through June 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2020</w:t>
            </w:r>
          </w:p>
        </w:tc>
        <w:tc>
          <w:tcPr>
            <w:tcW w:w="11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31, 2019</w:t>
            </w:r>
          </w:p>
        </w:tc>
        <w:tc>
          <w:tcPr>
            <w:tcW w:w="1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0" w:type="dxa"/>
            <w:vAlign w:val="bottom"/>
            <w:tcBorders>
              <w:right w:val="single" w:sz="8" w:color="auto"/>
            </w:tcBorders>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tcPr>
          <w:p>
            <w:pPr>
              <w:jc w:val="center"/>
              <w:ind w:left="63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39,681</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4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Write off of in-process research and</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development asset</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4,722</w:t>
            </w:r>
          </w:p>
        </w:tc>
        <w:tc>
          <w:tcPr>
            <w:tcW w:w="116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225,946</w:t>
            </w:r>
          </w:p>
        </w:tc>
        <w:tc>
          <w:tcPr>
            <w:tcW w:w="1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53,898</w:t>
            </w:r>
          </w:p>
        </w:tc>
        <w:tc>
          <w:tcPr>
            <w:tcW w:w="1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239,675</w:t>
            </w:r>
          </w:p>
        </w:tc>
        <w:tc>
          <w:tcPr>
            <w:tcW w:w="14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(53,898)</w:t>
            </w:r>
          </w:p>
        </w:tc>
        <w:tc>
          <w:tcPr>
            <w:tcW w:w="1160" w:type="dxa"/>
            <w:vAlign w:val="bottom"/>
          </w:tcPr>
          <w:p>
            <w:pPr>
              <w:spacing w:after="0"/>
              <w:rPr>
                <w:sz w:val="20"/>
                <w:szCs w:val="20"/>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(239,675)</w:t>
            </w:r>
          </w:p>
        </w:tc>
        <w:tc>
          <w:tcPr>
            <w:tcW w:w="1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(6,304)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w:t>
            </w:r>
          </w:p>
        </w:tc>
        <w:tc>
          <w:tcPr>
            <w:tcW w:w="1160" w:type="dxa"/>
            <w:vAlign w:val="bottom"/>
          </w:tcPr>
          <w:p>
            <w:pPr>
              <w:spacing w:after="0"/>
              <w:rPr>
                <w:sz w:val="20"/>
                <w:szCs w:val="20"/>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1"/>
                <w:szCs w:val="21"/>
                <w:color w:val="auto"/>
              </w:rPr>
            </w:pPr>
          </w:p>
        </w:tc>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center"/>
              <w:ind w:left="593"/>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(53,575)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(238,767)</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(6,002)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8"/>
                <w:szCs w:val="18"/>
                <w:color w:val="auto"/>
              </w:rPr>
              <w:t>Other comprehensive loss</w:t>
            </w: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CEEFF"/>
            </w:tcBorders>
            <w:gridSpan w:val="2"/>
            <w:shd w:val="clear" w:color="auto" w:fill="CCEEFF"/>
          </w:tcPr>
          <w:p>
            <w:pPr>
              <w:jc w:val="center"/>
              <w:ind w:left="63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(238,767)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Unrealized gain (loss) on short-term</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jc w:val="center"/>
              <w:ind w:left="59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(53,575)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8"/>
              </w:rPr>
              <w:t>(238,770)</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-1255395</wp:posOffset>
            </wp:positionV>
            <wp:extent cx="20669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06692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-1887220</wp:posOffset>
            </wp:positionV>
            <wp:extent cx="20669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06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accompanying notes to the consolidated financial statements.</w:t>
      </w:r>
    </w:p>
    <w:p>
      <w:pPr>
        <w:spacing w:after="0" w:line="17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200"/>
          </w:cols>
          <w:pgMar w:left="600" w:top="132" w:right="1099" w:bottom="1440" w:gutter="0" w:footer="0" w:header="0"/>
        </w:sectPr>
      </w:pPr>
    </w:p>
    <w:bookmarkStart w:id="208" w:name="page209"/>
    <w:bookmarkEnd w:id="208"/>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auto"/>
        </w:rPr>
        <w:t>Century Therapeutics, LLC and Subsidiary</w:t>
      </w:r>
    </w:p>
    <w:p>
      <w:pPr>
        <w:ind w:left="500" w:right="980"/>
        <w:spacing w:after="0" w:line="220" w:lineRule="auto"/>
        <w:rPr>
          <w:sz w:val="20"/>
          <w:szCs w:val="20"/>
          <w:color w:val="auto"/>
        </w:rPr>
      </w:pPr>
      <w:r>
        <w:rPr>
          <w:rFonts w:ascii="Arial" w:cs="Arial" w:eastAsia="Arial" w:hAnsi="Arial"/>
          <w:sz w:val="29"/>
          <w:szCs w:val="29"/>
          <w:b w:val="1"/>
          <w:bCs w:val="1"/>
          <w:color w:val="auto"/>
        </w:rPr>
        <w:t>Consolidated statements of changes in members’ equity (deficit) For the year ended December 31, 2020 (Successor), the periods June 21, 2019 through December 31, 2019 (Successor) and January 1, 2019 through June 20, 2019 (Predecessor) (In thousands, except unit and share amounts)</w:t>
      </w:r>
    </w:p>
    <w:p>
      <w:pPr>
        <w:spacing w:after="0" w:line="110" w:lineRule="exact"/>
        <w:rPr>
          <w:sz w:val="20"/>
          <w:szCs w:val="20"/>
          <w:color w:val="auto"/>
        </w:rPr>
      </w:pPr>
    </w:p>
    <w:tbl>
      <w:tblPr>
        <w:tblLayout w:type="fixed"/>
        <w:tblInd w:w="500" w:type="dxa"/>
        <w:tblCellMar>
          <w:top w:w="0" w:type="dxa"/>
          <w:left w:w="0" w:type="dxa"/>
          <w:bottom w:w="0" w:type="dxa"/>
          <w:right w:w="0" w:type="dxa"/>
        </w:tblCellMar>
      </w:tblPr>
      <w:tr>
        <w:trPr>
          <w:trHeight w:val="166"/>
        </w:trPr>
        <w:tc>
          <w:tcPr>
            <w:tcW w:w="1900" w:type="dxa"/>
            <w:vAlign w:val="bottom"/>
            <w:tcBorders>
              <w:top w:val="single" w:sz="8" w:color="auto"/>
            </w:tcBorders>
          </w:tcPr>
          <w:p>
            <w:pPr>
              <w:spacing w:after="0"/>
              <w:rPr>
                <w:sz w:val="14"/>
                <w:szCs w:val="14"/>
                <w:color w:val="auto"/>
              </w:rPr>
            </w:pPr>
          </w:p>
        </w:tc>
        <w:tc>
          <w:tcPr>
            <w:tcW w:w="1160" w:type="dxa"/>
            <w:vAlign w:val="bottom"/>
            <w:tcBorders>
              <w:top w:val="single" w:sz="8" w:color="auto"/>
              <w:right w:val="single" w:sz="8" w:color="auto"/>
            </w:tcBorders>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116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1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Successor</w:t>
            </w:r>
          </w:p>
        </w:tc>
        <w:tc>
          <w:tcPr>
            <w:tcW w:w="3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Accumulated</w:t>
            </w: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00" w:type="dxa"/>
            <w:vAlign w:val="bottom"/>
          </w:tcPr>
          <w:p>
            <w:pPr>
              <w:spacing w:after="0"/>
              <w:rPr>
                <w:sz w:val="11"/>
                <w:szCs w:val="11"/>
                <w:color w:val="auto"/>
              </w:rPr>
            </w:pPr>
          </w:p>
        </w:tc>
        <w:tc>
          <w:tcPr>
            <w:tcW w:w="1160" w:type="dxa"/>
            <w:vAlign w:val="bottom"/>
            <w:tcBorders>
              <w:right w:val="single" w:sz="8" w:color="auto"/>
            </w:tcBorders>
            <w:gridSpan w:val="3"/>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117"/>
              <w:spacing w:after="0" w:line="130" w:lineRule="exact"/>
              <w:rPr>
                <w:sz w:val="20"/>
                <w:szCs w:val="20"/>
                <w:color w:val="auto"/>
              </w:rPr>
            </w:pPr>
            <w:r>
              <w:rPr>
                <w:rFonts w:ascii="Arial" w:cs="Arial" w:eastAsia="Arial" w:hAnsi="Arial"/>
                <w:sz w:val="13"/>
                <w:szCs w:val="13"/>
                <w:b w:val="1"/>
                <w:bCs w:val="1"/>
                <w:color w:val="auto"/>
              </w:rPr>
              <w:t>other</w:t>
            </w:r>
          </w:p>
        </w:tc>
        <w:tc>
          <w:tcPr>
            <w:tcW w:w="580" w:type="dxa"/>
            <w:vAlign w:val="bottom"/>
          </w:tcPr>
          <w:p>
            <w:pPr>
              <w:jc w:val="right"/>
              <w:ind w:right="17"/>
              <w:spacing w:after="0" w:line="13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preferred stock</w:t>
            </w: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000" w:type="dxa"/>
            <w:vAlign w:val="bottom"/>
            <w:gridSpan w:val="4"/>
          </w:tcPr>
          <w:p>
            <w:pPr>
              <w:jc w:val="right"/>
              <w:ind w:right="97"/>
              <w:spacing w:after="0" w:line="162" w:lineRule="exact"/>
              <w:rPr>
                <w:sz w:val="20"/>
                <w:szCs w:val="20"/>
                <w:color w:val="auto"/>
              </w:rPr>
            </w:pPr>
            <w:r>
              <w:rPr>
                <w:rFonts w:ascii="Arial" w:cs="Arial" w:eastAsia="Arial" w:hAnsi="Arial"/>
                <w:sz w:val="10"/>
                <w:szCs w:val="10"/>
                <w:b w:val="1"/>
                <w:bCs w:val="1"/>
                <w:color w:val="auto"/>
              </w:rPr>
              <w:t xml:space="preserve">common units </w:t>
            </w:r>
            <w:r>
              <w:rPr>
                <w:rFonts w:ascii="Arial" w:cs="Arial" w:eastAsia="Arial" w:hAnsi="Arial"/>
                <w:sz w:val="18"/>
                <w:szCs w:val="18"/>
                <w:b w:val="1"/>
                <w:bCs w:val="1"/>
                <w:color w:val="auto"/>
                <w:vertAlign w:val="subscript"/>
              </w:rPr>
              <w:t>Additional</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6"/>
          </w:tcPr>
          <w:p>
            <w:pPr>
              <w:jc w:val="right"/>
              <w:ind w:right="17"/>
              <w:spacing w:after="0" w:line="162" w:lineRule="exact"/>
              <w:rPr>
                <w:sz w:val="20"/>
                <w:szCs w:val="20"/>
                <w:color w:val="auto"/>
              </w:rPr>
            </w:pPr>
            <w:r>
              <w:rPr>
                <w:rFonts w:ascii="Arial" w:cs="Arial" w:eastAsia="Arial" w:hAnsi="Arial"/>
                <w:sz w:val="18"/>
                <w:szCs w:val="18"/>
                <w:b w:val="1"/>
                <w:bCs w:val="1"/>
                <w:color w:val="auto"/>
                <w:vertAlign w:val="superscript"/>
              </w:rPr>
              <w:t>PredecessorSuccessor</w:t>
            </w:r>
            <w:r>
              <w:rPr>
                <w:rFonts w:ascii="Arial" w:cs="Arial" w:eastAsia="Arial" w:hAnsi="Arial"/>
                <w:sz w:val="10"/>
                <w:szCs w:val="10"/>
                <w:b w:val="1"/>
                <w:bCs w:val="1"/>
                <w:color w:val="auto"/>
              </w:rPr>
              <w:t>comprehensive members’</w:t>
            </w: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560" w:type="dxa"/>
            <w:vAlign w:val="bottom"/>
            <w:gridSpan w:val="4"/>
          </w:tcPr>
          <w:p>
            <w:pPr>
              <w:ind w:left="200"/>
              <w:spacing w:after="0" w:line="133" w:lineRule="exact"/>
              <w:rPr>
                <w:sz w:val="20"/>
                <w:szCs w:val="20"/>
                <w:color w:val="auto"/>
              </w:rPr>
            </w:pPr>
            <w:r>
              <w:rPr>
                <w:rFonts w:ascii="Arial" w:cs="Arial" w:eastAsia="Arial" w:hAnsi="Arial"/>
                <w:sz w:val="13"/>
                <w:szCs w:val="13"/>
                <w:b w:val="1"/>
                <w:bCs w:val="1"/>
                <w:color w:val="auto"/>
              </w:rPr>
              <w:t>Paid-in Subscription</w:t>
            </w:r>
          </w:p>
        </w:tc>
        <w:tc>
          <w:tcPr>
            <w:tcW w:w="154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3"/>
                <w:szCs w:val="13"/>
                <w:b w:val="1"/>
                <w:bCs w:val="1"/>
                <w:color w:val="auto"/>
              </w:rPr>
              <w:t>Accumulated Members’</w:t>
            </w:r>
          </w:p>
        </w:tc>
        <w:tc>
          <w:tcPr>
            <w:tcW w:w="100" w:type="dxa"/>
            <w:vAlign w:val="bottom"/>
          </w:tcPr>
          <w:p>
            <w:pPr>
              <w:spacing w:after="0"/>
              <w:rPr>
                <w:sz w:val="11"/>
                <w:szCs w:val="11"/>
                <w:color w:val="auto"/>
              </w:rPr>
            </w:pPr>
          </w:p>
        </w:tc>
        <w:tc>
          <w:tcPr>
            <w:tcW w:w="1040" w:type="dxa"/>
            <w:vAlign w:val="bottom"/>
          </w:tcPr>
          <w:p>
            <w:pPr>
              <w:jc w:val="right"/>
              <w:ind w:right="117"/>
              <w:spacing w:after="0" w:line="133" w:lineRule="exact"/>
              <w:rPr>
                <w:sz w:val="20"/>
                <w:szCs w:val="20"/>
                <w:color w:val="auto"/>
              </w:rPr>
            </w:pPr>
            <w:r>
              <w:rPr>
                <w:rFonts w:ascii="Arial" w:cs="Arial" w:eastAsia="Arial" w:hAnsi="Arial"/>
                <w:sz w:val="13"/>
                <w:szCs w:val="13"/>
                <w:b w:val="1"/>
                <w:bCs w:val="1"/>
                <w:color w:val="auto"/>
              </w:rPr>
              <w:t>income</w:t>
            </w:r>
          </w:p>
        </w:tc>
        <w:tc>
          <w:tcPr>
            <w:tcW w:w="580" w:type="dxa"/>
            <w:vAlign w:val="bottom"/>
          </w:tcPr>
          <w:p>
            <w:pPr>
              <w:jc w:val="right"/>
              <w:ind w:right="17"/>
              <w:spacing w:after="0" w:line="13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9"/>
        </w:trPr>
        <w:tc>
          <w:tcPr>
            <w:tcW w:w="1900" w:type="dxa"/>
            <w:vAlign w:val="bottom"/>
          </w:tcPr>
          <w:p>
            <w:pPr>
              <w:spacing w:after="0"/>
              <w:rPr>
                <w:sz w:val="15"/>
                <w:szCs w:val="15"/>
                <w:color w:val="auto"/>
              </w:rPr>
            </w:pP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Shares Amount</w:t>
            </w: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Shares Amount</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Units Amount</w:t>
            </w:r>
          </w:p>
        </w:tc>
        <w:tc>
          <w:tcPr>
            <w:tcW w:w="80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capital</w:t>
            </w:r>
          </w:p>
        </w:tc>
        <w:tc>
          <w:tcPr>
            <w:tcW w:w="82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receivable</w:t>
            </w:r>
          </w:p>
        </w:tc>
        <w:tc>
          <w:tcPr>
            <w:tcW w:w="38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rPr>
              <w:t>deficit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deficit</w:t>
            </w: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auto"/>
              </w:rPr>
              <w:t>(loss)</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24"/>
        </w:trPr>
        <w:tc>
          <w:tcPr>
            <w:tcW w:w="190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Balance, December 31, 2018,</w:t>
            </w: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right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Predecessor</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35,000,000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34,992</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95"/>
              </w:rPr>
              <w:t>19,288,080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153</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(1,894)$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 —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(1,739)</w:t>
            </w:r>
          </w:p>
        </w:tc>
        <w:tc>
          <w:tcPr>
            <w:tcW w:w="0" w:type="dxa"/>
            <w:vAlign w:val="bottom"/>
          </w:tcPr>
          <w:p>
            <w:pPr>
              <w:spacing w:after="0"/>
              <w:rPr>
                <w:sz w:val="1"/>
                <w:szCs w:val="1"/>
                <w:color w:val="auto"/>
              </w:rPr>
            </w:pP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3"/>
                <w:szCs w:val="13"/>
                <w:color w:val="auto"/>
              </w:rPr>
              <w:t>Issuance of common stock</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line="148" w:lineRule="exact"/>
              <w:rPr>
                <w:sz w:val="20"/>
                <w:szCs w:val="20"/>
                <w:color w:val="auto"/>
              </w:rPr>
            </w:pPr>
            <w:r>
              <w:rPr>
                <w:rFonts w:ascii="Arial" w:cs="Arial" w:eastAsia="Arial" w:hAnsi="Arial"/>
                <w:sz w:val="13"/>
                <w:szCs w:val="13"/>
                <w:color w:val="auto"/>
              </w:rPr>
              <w:t>701,754</w:t>
            </w:r>
          </w:p>
        </w:tc>
        <w:tc>
          <w:tcPr>
            <w:tcW w:w="22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91"/>
              </w:rPr>
              <w:t>—</w:t>
            </w:r>
          </w:p>
        </w:tc>
        <w:tc>
          <w:tcPr>
            <w:tcW w:w="740" w:type="dxa"/>
            <w:vAlign w:val="bottom"/>
          </w:tcPr>
          <w:p>
            <w:pPr>
              <w:jc w:val="right"/>
              <w:ind w:right="38"/>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4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560" w:type="dxa"/>
            <w:vAlign w:val="bottom"/>
          </w:tcPr>
          <w:p>
            <w:pPr>
              <w:jc w:val="right"/>
              <w:ind w:right="77"/>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Stock-based compensation</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w:t>
            </w: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2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97"/>
              <w:spacing w:after="0" w:line="148"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1"/>
              </w:rPr>
              <w:t>—</w:t>
            </w:r>
          </w:p>
        </w:tc>
        <w:tc>
          <w:tcPr>
            <w:tcW w:w="740" w:type="dxa"/>
            <w:vAlign w:val="bottom"/>
          </w:tcPr>
          <w:p>
            <w:pPr>
              <w:jc w:val="right"/>
              <w:ind w:right="38"/>
              <w:spacing w:after="0" w:line="148" w:lineRule="exact"/>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2"/>
                <w:szCs w:val="12"/>
                <w:color w:val="auto"/>
              </w:rPr>
            </w:pPr>
          </w:p>
        </w:tc>
        <w:tc>
          <w:tcPr>
            <w:tcW w:w="460" w:type="dxa"/>
            <w:vAlign w:val="bottom"/>
          </w:tcPr>
          <w:p>
            <w:pPr>
              <w:jc w:val="right"/>
              <w:ind w:right="37"/>
              <w:spacing w:after="0" w:line="148"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2"/>
                <w:szCs w:val="12"/>
                <w:color w:val="auto"/>
              </w:rPr>
            </w:pPr>
          </w:p>
        </w:tc>
        <w:tc>
          <w:tcPr>
            <w:tcW w:w="560" w:type="dxa"/>
            <w:vAlign w:val="bottom"/>
          </w:tcPr>
          <w:p>
            <w:pPr>
              <w:jc w:val="right"/>
              <w:ind w:right="17"/>
              <w:spacing w:after="0" w:line="148" w:lineRule="exact"/>
              <w:rPr>
                <w:sz w:val="20"/>
                <w:szCs w:val="20"/>
                <w:color w:val="auto"/>
              </w:rPr>
            </w:pPr>
            <w:r>
              <w:rPr>
                <w:rFonts w:ascii="Arial" w:cs="Arial" w:eastAsia="Arial" w:hAnsi="Arial"/>
                <w:sz w:val="13"/>
                <w:szCs w:val="13"/>
                <w:b w:val="1"/>
                <w:bCs w:val="1"/>
                <w:color w:val="auto"/>
              </w:rPr>
              <w:t>(6,002)</w:t>
            </w: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(6,002)</w:t>
            </w: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Balance, June 20, 2019,</w:t>
            </w: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900" w:type="dxa"/>
            <w:vAlign w:val="bottom"/>
            <w:vMerge w:val="continue"/>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35,000,000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34,992</w:t>
            </w:r>
          </w:p>
        </w:tc>
        <w:tc>
          <w:tcPr>
            <w:tcW w:w="8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95"/>
              </w:rPr>
              <w:t>19,989,834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7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167</w:t>
            </w:r>
          </w:p>
        </w:tc>
        <w:tc>
          <w:tcPr>
            <w:tcW w:w="2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(7,896)$</w:t>
            </w: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 $</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(7,727)</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Predecessor</w:t>
            </w:r>
          </w:p>
        </w:tc>
        <w:tc>
          <w:tcPr>
            <w:tcW w:w="64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20" w:type="dxa"/>
            <w:vAlign w:val="bottom"/>
            <w:tcBorders>
              <w:right w:val="single" w:sz="8" w:color="auto"/>
            </w:tcBorders>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58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900" w:type="dxa"/>
            <w:vAlign w:val="bottom"/>
            <w:tcBorders>
              <w:top w:val="single" w:sz="8" w:color="CCEEFF"/>
            </w:tcBorders>
          </w:tcPr>
          <w:p>
            <w:pPr>
              <w:spacing w:after="0" w:line="119" w:lineRule="exact"/>
              <w:rPr>
                <w:sz w:val="20"/>
                <w:szCs w:val="20"/>
                <w:color w:val="auto"/>
              </w:rPr>
            </w:pPr>
            <w:r>
              <w:rPr>
                <w:rFonts w:ascii="Arial" w:cs="Arial" w:eastAsia="Arial" w:hAnsi="Arial"/>
                <w:sz w:val="13"/>
                <w:szCs w:val="13"/>
                <w:b w:val="1"/>
                <w:bCs w:val="1"/>
                <w:color w:val="auto"/>
              </w:rPr>
              <w:t>Balance, June 21, 2019,</w:t>
            </w: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00" w:type="dxa"/>
            <w:vAlign w:val="bottom"/>
          </w:tcPr>
          <w:p>
            <w:pPr>
              <w:ind w:left="120"/>
              <w:spacing w:after="0"/>
              <w:rPr>
                <w:sz w:val="20"/>
                <w:szCs w:val="20"/>
                <w:color w:val="auto"/>
              </w:rPr>
            </w:pPr>
            <w:r>
              <w:rPr>
                <w:rFonts w:ascii="Arial" w:cs="Arial" w:eastAsia="Arial" w:hAnsi="Arial"/>
                <w:sz w:val="13"/>
                <w:szCs w:val="13"/>
                <w:b w:val="1"/>
                <w:bCs w:val="1"/>
                <w:color w:val="auto"/>
              </w:rPr>
              <w:t>Successor</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 $</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91"/>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 — $</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6"/>
        </w:trPr>
        <w:tc>
          <w:tcPr>
            <w:tcW w:w="19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Issuance of common units for</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cash, net of equity issuance</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74,839</w:t>
            </w: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5"/>
              </w:rPr>
              <w:t>26,143,790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144,839</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line="142" w:lineRule="exact"/>
              <w:rPr>
                <w:sz w:val="20"/>
                <w:szCs w:val="20"/>
                <w:color w:val="auto"/>
              </w:rPr>
            </w:pPr>
            <w:r>
              <w:rPr>
                <w:rFonts w:ascii="Arial" w:cs="Arial" w:eastAsia="Arial" w:hAnsi="Arial"/>
                <w:sz w:val="13"/>
                <w:szCs w:val="13"/>
                <w:color w:val="auto"/>
              </w:rPr>
              <w:t>Issuance of common units for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120"/>
              <w:spacing w:after="0" w:line="148" w:lineRule="exact"/>
              <w:rPr>
                <w:sz w:val="20"/>
                <w:szCs w:val="20"/>
                <w:color w:val="auto"/>
              </w:rPr>
            </w:pPr>
            <w:r>
              <w:rPr>
                <w:rFonts w:ascii="Arial" w:cs="Arial" w:eastAsia="Arial" w:hAnsi="Arial"/>
                <w:sz w:val="13"/>
                <w:szCs w:val="13"/>
                <w:color w:val="auto"/>
              </w:rPr>
              <w:t>acquired assets, net of equity</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251,700</w:t>
            </w:r>
          </w:p>
        </w:tc>
        <w:tc>
          <w:tcPr>
            <w:tcW w:w="0" w:type="dxa"/>
            <w:vAlign w:val="bottom"/>
          </w:tcPr>
          <w:p>
            <w:pPr>
              <w:spacing w:after="0"/>
              <w:rPr>
                <w:sz w:val="1"/>
                <w:szCs w:val="1"/>
                <w:color w:val="auto"/>
              </w:rPr>
            </w:pPr>
          </w:p>
        </w:tc>
      </w:tr>
      <w:tr>
        <w:trPr>
          <w:trHeight w:val="150"/>
        </w:trPr>
        <w:tc>
          <w:tcPr>
            <w:tcW w:w="1900" w:type="dxa"/>
            <w:vAlign w:val="bottom"/>
          </w:tcPr>
          <w:p>
            <w:pPr>
              <w:ind w:left="120"/>
              <w:spacing w:after="0"/>
              <w:rPr>
                <w:sz w:val="20"/>
                <w:szCs w:val="20"/>
                <w:color w:val="auto"/>
              </w:rPr>
            </w:pPr>
            <w:r>
              <w:rPr>
                <w:rFonts w:ascii="Arial" w:cs="Arial" w:eastAsia="Arial" w:hAnsi="Arial"/>
                <w:sz w:val="13"/>
                <w:szCs w:val="13"/>
                <w:color w:val="auto"/>
              </w:rPr>
              <w:t>issuance costs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w w:val="95"/>
              </w:rPr>
              <w:t>67,226,891</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251,700</w:t>
            </w:r>
          </w:p>
        </w:tc>
        <w:tc>
          <w:tcPr>
            <w:tcW w:w="34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Unrealized loss on short-term</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58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0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133</w:t>
            </w: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133</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7"/>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1"/>
              </w:rPr>
              <w:t>—</w:t>
            </w:r>
          </w:p>
        </w:tc>
        <w:tc>
          <w:tcPr>
            <w:tcW w:w="74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(238,767)</w:t>
            </w:r>
          </w:p>
        </w:tc>
        <w:tc>
          <w:tcPr>
            <w:tcW w:w="10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(238,767)</w:t>
            </w:r>
          </w:p>
        </w:tc>
        <w:tc>
          <w:tcPr>
            <w:tcW w:w="0" w:type="dxa"/>
            <w:vAlign w:val="bottom"/>
          </w:tcPr>
          <w:p>
            <w:pPr>
              <w:spacing w:after="0"/>
              <w:rPr>
                <w:sz w:val="1"/>
                <w:szCs w:val="1"/>
                <w:color w:val="auto"/>
              </w:rPr>
            </w:pPr>
          </w:p>
        </w:tc>
      </w:tr>
      <w:tr>
        <w:trPr>
          <w:trHeight w:val="128"/>
        </w:trPr>
        <w:tc>
          <w:tcPr>
            <w:tcW w:w="1900" w:type="dxa"/>
            <w:vAlign w:val="bottom"/>
            <w:tcBorders>
              <w:top w:val="single" w:sz="8" w:color="CCEEFF"/>
            </w:tcBorders>
          </w:tcPr>
          <w:p>
            <w:pPr>
              <w:spacing w:after="0" w:line="128" w:lineRule="exact"/>
              <w:rPr>
                <w:sz w:val="20"/>
                <w:szCs w:val="20"/>
                <w:color w:val="auto"/>
              </w:rPr>
            </w:pPr>
            <w:r>
              <w:rPr>
                <w:rFonts w:ascii="Arial" w:cs="Arial" w:eastAsia="Arial" w:hAnsi="Arial"/>
                <w:sz w:val="13"/>
                <w:szCs w:val="13"/>
                <w:b w:val="1"/>
                <w:bCs w:val="1"/>
                <w:color w:val="auto"/>
              </w:rPr>
              <w:t>Balance, December 31, 2019</w:t>
            </w:r>
          </w:p>
        </w:tc>
        <w:tc>
          <w:tcPr>
            <w:tcW w:w="6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right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tcBorders>
          </w:tcPr>
          <w:p>
            <w:pPr>
              <w:jc w:val="right"/>
              <w:ind w:right="97"/>
              <w:spacing w:after="0" w:line="128"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w w:val="91"/>
              </w:rPr>
              <w:t>—</w:t>
            </w:r>
          </w:p>
        </w:tc>
        <w:tc>
          <w:tcPr>
            <w:tcW w:w="740" w:type="dxa"/>
            <w:vAlign w:val="bottom"/>
            <w:tcBorders>
              <w:top w:val="single" w:sz="8" w:color="auto"/>
            </w:tcBorders>
          </w:tcPr>
          <w:p>
            <w:pPr>
              <w:jc w:val="right"/>
              <w:ind w:right="38"/>
              <w:spacing w:after="0" w:line="128" w:lineRule="exact"/>
              <w:rPr>
                <w:sz w:val="20"/>
                <w:szCs w:val="20"/>
                <w:color w:val="auto"/>
              </w:rPr>
            </w:pPr>
            <w:r>
              <w:rPr>
                <w:rFonts w:ascii="Arial" w:cs="Arial" w:eastAsia="Arial" w:hAnsi="Arial"/>
                <w:sz w:val="13"/>
                <w:szCs w:val="13"/>
                <w:b w:val="1"/>
                <w:bCs w:val="1"/>
                <w:color w:val="auto"/>
                <w:w w:val="95"/>
              </w:rPr>
              <w:t>93,370,681</w:t>
            </w:r>
          </w:p>
        </w:tc>
        <w:tc>
          <w:tcPr>
            <w:tcW w:w="4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w w:val="93"/>
              </w:rPr>
              <w:t>396,539</w:t>
            </w:r>
          </w:p>
        </w:tc>
        <w:tc>
          <w:tcPr>
            <w:tcW w:w="3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37"/>
              <w:spacing w:after="0" w:line="128" w:lineRule="exact"/>
              <w:rPr>
                <w:sz w:val="20"/>
                <w:szCs w:val="20"/>
                <w:color w:val="auto"/>
              </w:rPr>
            </w:pPr>
            <w:r>
              <w:rPr>
                <w:rFonts w:ascii="Arial" w:cs="Arial" w:eastAsia="Arial" w:hAnsi="Arial"/>
                <w:sz w:val="13"/>
                <w:szCs w:val="13"/>
                <w:b w:val="1"/>
                <w:bCs w:val="1"/>
                <w:color w:val="auto"/>
              </w:rPr>
              <w:t>133</w:t>
            </w: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8" w:lineRule="exact"/>
              <w:rPr>
                <w:sz w:val="20"/>
                <w:szCs w:val="20"/>
                <w:color w:val="auto"/>
              </w:rPr>
            </w:pPr>
            <w:r>
              <w:rPr>
                <w:rFonts w:ascii="Arial" w:cs="Arial" w:eastAsia="Arial" w:hAnsi="Arial"/>
                <w:sz w:val="13"/>
                <w:szCs w:val="13"/>
                <w:b w:val="1"/>
                <w:bCs w:val="1"/>
                <w:color w:val="auto"/>
              </w:rPr>
              <w:t>(70,000)</w:t>
            </w:r>
          </w:p>
        </w:tc>
        <w:tc>
          <w:tcPr>
            <w:tcW w:w="3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7"/>
              <w:spacing w:after="0" w:line="128"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gridSpan w:val="2"/>
          </w:tcPr>
          <w:p>
            <w:pPr>
              <w:jc w:val="right"/>
              <w:ind w:right="60"/>
              <w:spacing w:after="0" w:line="128" w:lineRule="exact"/>
              <w:rPr>
                <w:sz w:val="20"/>
                <w:szCs w:val="20"/>
                <w:color w:val="auto"/>
              </w:rPr>
            </w:pPr>
            <w:r>
              <w:rPr>
                <w:rFonts w:ascii="Arial" w:cs="Arial" w:eastAsia="Arial" w:hAnsi="Arial"/>
                <w:sz w:val="13"/>
                <w:szCs w:val="13"/>
                <w:b w:val="1"/>
                <w:bCs w:val="1"/>
                <w:color w:val="auto"/>
              </w:rPr>
              <w:t>(238,767)</w:t>
            </w:r>
          </w:p>
        </w:tc>
        <w:tc>
          <w:tcPr>
            <w:tcW w:w="1040" w:type="dxa"/>
            <w:vAlign w:val="bottom"/>
            <w:tcBorders>
              <w:top w:val="single" w:sz="8" w:color="auto"/>
            </w:tcBorders>
          </w:tcPr>
          <w:p>
            <w:pPr>
              <w:jc w:val="right"/>
              <w:ind w:right="17"/>
              <w:spacing w:after="0" w:line="128" w:lineRule="exact"/>
              <w:rPr>
                <w:sz w:val="20"/>
                <w:szCs w:val="20"/>
                <w:color w:val="auto"/>
              </w:rPr>
            </w:pPr>
            <w:r>
              <w:rPr>
                <w:rFonts w:ascii="Arial" w:cs="Arial" w:eastAsia="Arial" w:hAnsi="Arial"/>
                <w:sz w:val="13"/>
                <w:szCs w:val="13"/>
                <w:b w:val="1"/>
                <w:bCs w:val="1"/>
                <w:color w:val="auto"/>
              </w:rPr>
              <w:t>(3)</w:t>
            </w:r>
          </w:p>
        </w:tc>
        <w:tc>
          <w:tcPr>
            <w:tcW w:w="5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87,902</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Receipt of subscription</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2"/>
                <w:szCs w:val="12"/>
                <w:color w:val="auto"/>
              </w:rPr>
            </w:pP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w:t>
            </w:r>
          </w:p>
        </w:tc>
        <w:tc>
          <w:tcPr>
            <w:tcW w:w="7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38,100</w:t>
            </w: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receivable</w:t>
            </w: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tcBorders>
              <w:right w:val="single" w:sz="8" w:color="auto"/>
            </w:tcBorders>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38,100</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line="142" w:lineRule="exact"/>
              <w:rPr>
                <w:sz w:val="20"/>
                <w:szCs w:val="20"/>
                <w:color w:val="auto"/>
              </w:rPr>
            </w:pPr>
            <w:r>
              <w:rPr>
                <w:rFonts w:ascii="Arial" w:cs="Arial" w:eastAsia="Arial" w:hAnsi="Arial"/>
                <w:sz w:val="13"/>
                <w:szCs w:val="13"/>
                <w:color w:val="auto"/>
              </w:rPr>
              <w:t>Unrealized gain on short-term</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w:t>
            </w:r>
          </w:p>
        </w:tc>
        <w:tc>
          <w:tcPr>
            <w:tcW w:w="740" w:type="dxa"/>
            <w:vAlign w:val="bottom"/>
            <w:vMerge w:val="restart"/>
          </w:tcPr>
          <w:p>
            <w:pPr>
              <w:jc w:val="right"/>
              <w:ind w:right="38"/>
              <w:spacing w:after="0"/>
              <w:rPr>
                <w:sz w:val="20"/>
                <w:szCs w:val="20"/>
                <w:color w:val="auto"/>
              </w:rPr>
            </w:pPr>
            <w:r>
              <w:rPr>
                <w:rFonts w:ascii="Arial" w:cs="Arial" w:eastAsia="Arial" w:hAnsi="Arial"/>
                <w:sz w:val="13"/>
                <w:szCs w:val="13"/>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50"/>
        </w:trPr>
        <w:tc>
          <w:tcPr>
            <w:tcW w:w="1900" w:type="dxa"/>
            <w:vAlign w:val="bottom"/>
          </w:tcPr>
          <w:p>
            <w:pPr>
              <w:ind w:left="120"/>
              <w:spacing w:after="0"/>
              <w:rPr>
                <w:sz w:val="20"/>
                <w:szCs w:val="20"/>
                <w:color w:val="auto"/>
              </w:rPr>
            </w:pPr>
            <w:r>
              <w:rPr>
                <w:rFonts w:ascii="Arial" w:cs="Arial" w:eastAsia="Arial" w:hAnsi="Arial"/>
                <w:sz w:val="13"/>
                <w:szCs w:val="13"/>
                <w:color w:val="auto"/>
              </w:rPr>
              <w:t>investments</w:t>
            </w: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Warrants on long term debt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91"/>
              </w:rPr>
              <w:t>—</w:t>
            </w: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61"/>
        </w:trPr>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876</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876</w:t>
            </w:r>
          </w:p>
        </w:tc>
        <w:tc>
          <w:tcPr>
            <w:tcW w:w="0" w:type="dxa"/>
            <w:vAlign w:val="bottom"/>
          </w:tcPr>
          <w:p>
            <w:pPr>
              <w:spacing w:after="0"/>
              <w:rPr>
                <w:sz w:val="1"/>
                <w:szCs w:val="1"/>
                <w:color w:val="auto"/>
              </w:rPr>
            </w:pP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97"/>
              <w:spacing w:after="0" w:line="148"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1"/>
              </w:rPr>
              <w:t>—</w:t>
            </w:r>
          </w:p>
        </w:tc>
        <w:tc>
          <w:tcPr>
            <w:tcW w:w="740" w:type="dxa"/>
            <w:vAlign w:val="bottom"/>
          </w:tcPr>
          <w:p>
            <w:pPr>
              <w:jc w:val="right"/>
              <w:ind w:right="38"/>
              <w:spacing w:after="0" w:line="148" w:lineRule="exact"/>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2"/>
                <w:szCs w:val="12"/>
                <w:color w:val="auto"/>
              </w:rPr>
            </w:pPr>
          </w:p>
        </w:tc>
        <w:tc>
          <w:tcPr>
            <w:tcW w:w="4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560" w:type="dxa"/>
            <w:vAlign w:val="bottom"/>
          </w:tcPr>
          <w:p>
            <w:pPr>
              <w:jc w:val="right"/>
              <w:ind w:right="77"/>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(53,575)</w:t>
            </w:r>
          </w:p>
        </w:tc>
        <w:tc>
          <w:tcPr>
            <w:tcW w:w="10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(53,575)</w:t>
            </w:r>
          </w:p>
        </w:tc>
        <w:tc>
          <w:tcPr>
            <w:tcW w:w="0" w:type="dxa"/>
            <w:vAlign w:val="bottom"/>
          </w:tcPr>
          <w:p>
            <w:pPr>
              <w:spacing w:after="0"/>
              <w:rPr>
                <w:sz w:val="1"/>
                <w:szCs w:val="1"/>
                <w:color w:val="auto"/>
              </w:rPr>
            </w:pPr>
          </w:p>
        </w:tc>
      </w:tr>
      <w:tr>
        <w:trPr>
          <w:trHeight w:val="119"/>
        </w:trPr>
        <w:tc>
          <w:tcPr>
            <w:tcW w:w="190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 December 31, 2020,</w:t>
            </w:r>
          </w:p>
        </w:tc>
        <w:tc>
          <w:tcPr>
            <w:tcW w:w="7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w:t>
            </w:r>
          </w:p>
        </w:tc>
        <w:tc>
          <w:tcPr>
            <w:tcW w:w="42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93,370,681 $</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396,539</w:t>
            </w:r>
          </w:p>
        </w:tc>
        <w:tc>
          <w:tcPr>
            <w:tcW w:w="340" w:type="dxa"/>
            <w:vAlign w:val="bottom"/>
            <w:tcBorders>
              <w:top w:val="single" w:sz="8" w:color="auto"/>
            </w:tcBorders>
            <w:vMerge w:val="restart"/>
            <w:shd w:val="clear" w:color="auto" w:fill="CCEEFF"/>
          </w:tcPr>
          <w:p>
            <w:pPr>
              <w:ind w:left="220"/>
              <w:spacing w:after="0"/>
              <w:rPr>
                <w:sz w:val="20"/>
                <w:szCs w:val="20"/>
                <w:color w:val="auto"/>
              </w:rPr>
            </w:pPr>
            <w:r>
              <w:rPr>
                <w:rFonts w:ascii="Arial" w:cs="Arial" w:eastAsia="Arial" w:hAnsi="Arial"/>
                <w:sz w:val="13"/>
                <w:szCs w:val="13"/>
                <w:b w:val="1"/>
                <w:bCs w:val="1"/>
                <w:color w:val="auto"/>
              </w:rPr>
              <w:t>$</w:t>
            </w:r>
          </w:p>
        </w:tc>
        <w:tc>
          <w:tcPr>
            <w:tcW w:w="46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1,055</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(31,900)</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w:t>
            </w:r>
          </w:p>
        </w:tc>
        <w:tc>
          <w:tcPr>
            <w:tcW w:w="64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(292,342)</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(3)$</w:t>
            </w:r>
          </w:p>
        </w:tc>
        <w:tc>
          <w:tcPr>
            <w:tcW w:w="58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73,349</w:t>
            </w:r>
          </w:p>
        </w:tc>
        <w:tc>
          <w:tcPr>
            <w:tcW w:w="0" w:type="dxa"/>
            <w:vAlign w:val="bottom"/>
          </w:tcPr>
          <w:p>
            <w:pPr>
              <w:spacing w:after="0"/>
              <w:rPr>
                <w:sz w:val="1"/>
                <w:szCs w:val="1"/>
                <w:color w:val="auto"/>
              </w:rPr>
            </w:pPr>
          </w:p>
        </w:tc>
      </w:tr>
      <w:tr>
        <w:trPr>
          <w:trHeight w:val="224"/>
        </w:trPr>
        <w:tc>
          <w:tcPr>
            <w:tcW w:w="1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Successor</w:t>
            </w:r>
          </w:p>
        </w:tc>
        <w:tc>
          <w:tcPr>
            <w:tcW w:w="740" w:type="dxa"/>
            <w:vAlign w:val="bottom"/>
            <w:tcBorders>
              <w:bottom w:val="single" w:sz="8" w:color="CCEEFF"/>
            </w:tcBorders>
            <w:gridSpan w:val="2"/>
            <w:vMerge w:val="continue"/>
            <w:shd w:val="clear" w:color="auto" w:fill="CCEEFF"/>
          </w:tcPr>
          <w:p>
            <w:pPr>
              <w:spacing w:after="0"/>
              <w:rPr>
                <w:sz w:val="19"/>
                <w:szCs w:val="19"/>
                <w:color w:val="auto"/>
              </w:rPr>
            </w:pPr>
          </w:p>
        </w:tc>
        <w:tc>
          <w:tcPr>
            <w:tcW w:w="420" w:type="dxa"/>
            <w:vAlign w:val="bottom"/>
            <w:tcBorders>
              <w:bottom w:val="single" w:sz="8" w:color="CCEEFF"/>
              <w:right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460" w:type="dxa"/>
            <w:vAlign w:val="bottom"/>
            <w:tcBorders>
              <w:bottom w:val="single" w:sz="8" w:color="CCEEFF"/>
            </w:tcBorders>
            <w:vMerge w:val="continue"/>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46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gridSpan w:val="2"/>
            <w:vMerge w:val="continue"/>
            <w:shd w:val="clear" w:color="auto" w:fill="CCEEFF"/>
          </w:tcPr>
          <w:p>
            <w:pPr>
              <w:spacing w:after="0"/>
              <w:rPr>
                <w:sz w:val="19"/>
                <w:szCs w:val="19"/>
                <w:color w:val="auto"/>
              </w:rPr>
            </w:pPr>
          </w:p>
        </w:tc>
        <w:tc>
          <w:tcPr>
            <w:tcW w:w="38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vMerge w:val="continue"/>
            <w:shd w:val="clear" w:color="auto" w:fill="CCEEFF"/>
          </w:tcPr>
          <w:p>
            <w:pPr>
              <w:spacing w:after="0"/>
              <w:rPr>
                <w:sz w:val="19"/>
                <w:szCs w:val="19"/>
                <w:color w:val="auto"/>
              </w:rPr>
            </w:pPr>
          </w:p>
        </w:tc>
        <w:tc>
          <w:tcPr>
            <w:tcW w:w="640" w:type="dxa"/>
            <w:vAlign w:val="bottom"/>
            <w:tcBorders>
              <w:bottom w:val="single" w:sz="8" w:color="CCEEFF"/>
            </w:tcBorders>
            <w:gridSpan w:val="2"/>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580" w:type="dxa"/>
            <w:vAlign w:val="bottom"/>
            <w:tcBorders>
              <w:bottom w:val="single" w:sz="8" w:color="CCEEFF"/>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-264160</wp:posOffset>
            </wp:positionV>
            <wp:extent cx="12045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0459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-2468245</wp:posOffset>
            </wp:positionV>
            <wp:extent cx="120459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accompanying notes to the consolidated financial statements.</w:t>
      </w:r>
    </w:p>
    <w:p>
      <w:pPr>
        <w:spacing w:after="0" w:line="17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740"/>
          </w:cols>
          <w:pgMar w:left="600" w:top="132" w:right="559" w:bottom="1440" w:gutter="0" w:footer="0" w:header="0"/>
        </w:sectPr>
      </w:pPr>
    </w:p>
    <w:bookmarkStart w:id="209" w:name="page210"/>
    <w:bookmarkEnd w:id="209"/>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right="3160"/>
        <w:spacing w:after="0" w:line="233" w:lineRule="auto"/>
        <w:rPr>
          <w:sz w:val="20"/>
          <w:szCs w:val="20"/>
          <w:color w:val="auto"/>
        </w:rPr>
      </w:pPr>
      <w:r>
        <w:rPr>
          <w:rFonts w:ascii="Arial" w:cs="Arial" w:eastAsia="Arial" w:hAnsi="Arial"/>
          <w:sz w:val="29"/>
          <w:szCs w:val="29"/>
          <w:b w:val="1"/>
          <w:bCs w:val="1"/>
          <w:color w:val="auto"/>
        </w:rPr>
        <w:t>Century Therapeutics, LLC and Subsidiary Consolidated statements of cash flows (In thousands)</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242"/>
        </w:trPr>
        <w:tc>
          <w:tcPr>
            <w:tcW w:w="41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Successor</w:t>
            </w:r>
          </w:p>
        </w:tc>
        <w:tc>
          <w:tcPr>
            <w:tcW w:w="740" w:type="dxa"/>
            <w:vAlign w:val="bottom"/>
            <w:tcBorders>
              <w:top w:val="single" w:sz="8" w:color="auto"/>
              <w:bottom w:val="single" w:sz="8" w:color="auto"/>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60" w:type="dxa"/>
            <w:vAlign w:val="bottom"/>
            <w:tcBorders>
              <w:right w:val="single" w:sz="8" w:color="auto"/>
            </w:tcBorders>
            <w:gridSpan w:val="3"/>
          </w:tcPr>
          <w:p>
            <w:pPr>
              <w:jc w:val="right"/>
              <w:spacing w:after="0" w:line="164" w:lineRule="exact"/>
              <w:rPr>
                <w:sz w:val="20"/>
                <w:szCs w:val="20"/>
                <w:color w:val="auto"/>
              </w:rPr>
            </w:pPr>
            <w:r>
              <w:rPr>
                <w:rFonts w:ascii="Arial" w:cs="Arial" w:eastAsia="Arial" w:hAnsi="Arial"/>
                <w:sz w:val="16"/>
                <w:szCs w:val="16"/>
                <w:b w:val="1"/>
                <w:bCs w:val="1"/>
                <w:color w:val="auto"/>
              </w:rPr>
              <w:t>For the period June 21,</w:t>
            </w:r>
          </w:p>
        </w:tc>
        <w:tc>
          <w:tcPr>
            <w:tcW w:w="180" w:type="dxa"/>
            <w:vAlign w:val="bottom"/>
          </w:tcPr>
          <w:p>
            <w:pPr>
              <w:spacing w:after="0"/>
              <w:rPr>
                <w:sz w:val="14"/>
                <w:szCs w:val="14"/>
                <w:color w:val="auto"/>
              </w:rPr>
            </w:pPr>
          </w:p>
        </w:tc>
        <w:tc>
          <w:tcPr>
            <w:tcW w:w="1340" w:type="dxa"/>
            <w:vAlign w:val="bottom"/>
            <w:gridSpan w:val="2"/>
          </w:tcPr>
          <w:p>
            <w:pPr>
              <w:jc w:val="right"/>
              <w:spacing w:after="0" w:line="164" w:lineRule="exact"/>
              <w:rPr>
                <w:sz w:val="20"/>
                <w:szCs w:val="20"/>
                <w:color w:val="auto"/>
              </w:rPr>
            </w:pPr>
            <w:r>
              <w:rPr>
                <w:rFonts w:ascii="Arial" w:cs="Arial" w:eastAsia="Arial" w:hAnsi="Arial"/>
                <w:sz w:val="16"/>
                <w:szCs w:val="16"/>
                <w:b w:val="1"/>
                <w:bCs w:val="1"/>
                <w:color w:val="auto"/>
              </w:rPr>
              <w:t>For the period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7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For the year ended</w:t>
            </w:r>
          </w:p>
        </w:tc>
        <w:tc>
          <w:tcPr>
            <w:tcW w:w="186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2019 to December 31,</w:t>
            </w:r>
          </w:p>
        </w:tc>
        <w:tc>
          <w:tcPr>
            <w:tcW w:w="15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January 1, 2019 to</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 2020</w:t>
            </w:r>
          </w:p>
        </w:tc>
        <w:tc>
          <w:tcPr>
            <w:tcW w:w="1120" w:type="dxa"/>
            <w:vAlign w:val="bottom"/>
          </w:tcPr>
          <w:p>
            <w:pPr>
              <w:spacing w:after="0"/>
              <w:rPr>
                <w:sz w:val="17"/>
                <w:szCs w:val="17"/>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June 20, 2019</w:t>
            </w:r>
          </w:p>
        </w:tc>
        <w:tc>
          <w:tcPr>
            <w:tcW w:w="0" w:type="dxa"/>
            <w:vAlign w:val="bottom"/>
          </w:tcPr>
          <w:p>
            <w:pPr>
              <w:spacing w:after="0"/>
              <w:rPr>
                <w:sz w:val="1"/>
                <w:szCs w:val="1"/>
                <w:color w:val="auto"/>
              </w:rPr>
            </w:pPr>
          </w:p>
        </w:tc>
      </w:tr>
      <w:tr>
        <w:trPr>
          <w:trHeight w:val="168"/>
        </w:trPr>
        <w:tc>
          <w:tcPr>
            <w:tcW w:w="410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Cash flows from operating activities</w:t>
            </w:r>
          </w:p>
        </w:tc>
        <w:tc>
          <w:tcPr>
            <w:tcW w:w="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00" w:type="dxa"/>
            <w:vAlign w:val="bottom"/>
          </w:tcPr>
          <w:p>
            <w:pPr>
              <w:ind w:left="160"/>
              <w:spacing w:after="0" w:line="161" w:lineRule="exact"/>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spacing w:after="0" w:line="161"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61" w:lineRule="exact"/>
              <w:rPr>
                <w:sz w:val="20"/>
                <w:szCs w:val="20"/>
                <w:color w:val="auto"/>
              </w:rPr>
            </w:pPr>
            <w:r>
              <w:rPr>
                <w:rFonts w:ascii="Arial" w:cs="Arial" w:eastAsia="Arial" w:hAnsi="Arial"/>
                <w:sz w:val="16"/>
                <w:szCs w:val="16"/>
                <w:color w:val="auto"/>
              </w:rPr>
              <w:t>(53,575)</w:t>
            </w:r>
          </w:p>
        </w:tc>
        <w:tc>
          <w:tcPr>
            <w:tcW w:w="1120" w:type="dxa"/>
            <w:vAlign w:val="bottom"/>
          </w:tcPr>
          <w:p>
            <w:pPr>
              <w:jc w:val="right"/>
              <w:ind w:right="19"/>
              <w:spacing w:after="0" w:line="161" w:lineRule="exact"/>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tcPr>
          <w:p>
            <w:pPr>
              <w:jc w:val="right"/>
              <w:spacing w:after="0" w:line="161" w:lineRule="exact"/>
              <w:rPr>
                <w:sz w:val="20"/>
                <w:szCs w:val="20"/>
                <w:color w:val="auto"/>
              </w:rPr>
            </w:pPr>
            <w:r>
              <w:rPr>
                <w:rFonts w:ascii="Arial" w:cs="Arial" w:eastAsia="Arial" w:hAnsi="Arial"/>
                <w:sz w:val="16"/>
                <w:szCs w:val="16"/>
                <w:color w:val="auto"/>
              </w:rPr>
              <w:t>(238,767)</w:t>
            </w:r>
          </w:p>
        </w:tc>
        <w:tc>
          <w:tcPr>
            <w:tcW w:w="180" w:type="dxa"/>
            <w:vAlign w:val="bottom"/>
          </w:tcPr>
          <w:p>
            <w:pPr>
              <w:spacing w:after="0"/>
              <w:rPr>
                <w:sz w:val="14"/>
                <w:szCs w:val="14"/>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61" w:lineRule="exact"/>
              <w:rPr>
                <w:sz w:val="20"/>
                <w:szCs w:val="20"/>
                <w:color w:val="auto"/>
              </w:rPr>
            </w:pPr>
            <w:r>
              <w:rPr>
                <w:rFonts w:ascii="Arial" w:cs="Arial" w:eastAsia="Arial" w:hAnsi="Arial"/>
                <w:sz w:val="16"/>
                <w:szCs w:val="16"/>
                <w:color w:val="auto"/>
              </w:rPr>
              <w:t>(6,002)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ind w:left="160"/>
              <w:spacing w:after="0" w:line="171" w:lineRule="exact"/>
              <w:rPr>
                <w:sz w:val="20"/>
                <w:szCs w:val="20"/>
                <w:color w:val="auto"/>
              </w:rPr>
            </w:pPr>
            <w:r>
              <w:rPr>
                <w:rFonts w:ascii="Arial" w:cs="Arial" w:eastAsia="Arial" w:hAnsi="Arial"/>
                <w:sz w:val="16"/>
                <w:szCs w:val="16"/>
                <w:b w:val="1"/>
                <w:bCs w:val="1"/>
                <w:color w:val="auto"/>
              </w:rPr>
              <w:t>Adjustments to reconcile net loss to net cash</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used in operating activities:</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00" w:type="dxa"/>
            <w:vAlign w:val="bottom"/>
          </w:tcPr>
          <w:p>
            <w:pPr>
              <w:ind w:left="320"/>
              <w:spacing w:after="0"/>
              <w:rPr>
                <w:sz w:val="20"/>
                <w:szCs w:val="20"/>
                <w:color w:val="auto"/>
              </w:rPr>
            </w:pPr>
            <w:r>
              <w:rPr>
                <w:rFonts w:ascii="Arial" w:cs="Arial" w:eastAsia="Arial" w:hAnsi="Arial"/>
                <w:sz w:val="16"/>
                <w:szCs w:val="16"/>
                <w:color w:val="auto"/>
              </w:rPr>
              <w:t>Write off of in-process research and development</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480"/>
              <w:spacing w:after="0"/>
              <w:rPr>
                <w:sz w:val="20"/>
                <w:szCs w:val="20"/>
                <w:color w:val="auto"/>
              </w:rPr>
            </w:pPr>
            <w:r>
              <w:rPr>
                <w:rFonts w:ascii="Arial" w:cs="Arial" w:eastAsia="Arial" w:hAnsi="Arial"/>
                <w:sz w:val="16"/>
                <w:szCs w:val="16"/>
                <w:color w:val="auto"/>
              </w:rPr>
              <w:t>asset</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4,722</w:t>
            </w:r>
          </w:p>
        </w:tc>
        <w:tc>
          <w:tcPr>
            <w:tcW w:w="112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225,946</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12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320"/>
              <w:spacing w:after="0"/>
              <w:rPr>
                <w:sz w:val="20"/>
                <w:szCs w:val="20"/>
                <w:color w:val="auto"/>
              </w:rPr>
            </w:pPr>
            <w:r>
              <w:rPr>
                <w:rFonts w:ascii="Arial" w:cs="Arial" w:eastAsia="Arial" w:hAnsi="Arial"/>
                <w:sz w:val="16"/>
                <w:szCs w:val="16"/>
                <w:color w:val="auto"/>
              </w:rPr>
              <w:t>Amortization of deferred financing cost</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w:t>
            </w:r>
          </w:p>
        </w:tc>
        <w:tc>
          <w:tcPr>
            <w:tcW w:w="112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operating lease expense</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12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320"/>
              <w:spacing w:after="0"/>
              <w:rPr>
                <w:sz w:val="20"/>
                <w:szCs w:val="20"/>
                <w:color w:val="auto"/>
              </w:rPr>
            </w:pPr>
            <w:r>
              <w:rPr>
                <w:rFonts w:ascii="Arial" w:cs="Arial" w:eastAsia="Arial" w:hAnsi="Arial"/>
                <w:sz w:val="16"/>
                <w:szCs w:val="16"/>
                <w:color w:val="auto"/>
              </w:rPr>
              <w:t>Stock based compensation</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876</w:t>
            </w:r>
          </w:p>
        </w:tc>
        <w:tc>
          <w:tcPr>
            <w:tcW w:w="112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Change in operating assets and liabilities:</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320"/>
              <w:spacing w:after="0"/>
              <w:rPr>
                <w:sz w:val="20"/>
                <w:szCs w:val="20"/>
                <w:color w:val="auto"/>
              </w:rPr>
            </w:pPr>
            <w:r>
              <w:rPr>
                <w:rFonts w:ascii="Arial" w:cs="Arial" w:eastAsia="Arial" w:hAnsi="Arial"/>
                <w:sz w:val="16"/>
                <w:szCs w:val="16"/>
                <w:color w:val="auto"/>
              </w:rPr>
              <w:t>Escrow deposit</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(1,506)</w:t>
            </w:r>
          </w:p>
        </w:tc>
        <w:tc>
          <w:tcPr>
            <w:tcW w:w="112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assets</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12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320"/>
              <w:spacing w:after="0"/>
              <w:rPr>
                <w:sz w:val="20"/>
                <w:szCs w:val="20"/>
                <w:color w:val="auto"/>
              </w:rPr>
            </w:pPr>
            <w:r>
              <w:rPr>
                <w:rFonts w:ascii="Arial" w:cs="Arial" w:eastAsia="Arial" w:hAnsi="Arial"/>
                <w:sz w:val="16"/>
                <w:szCs w:val="16"/>
                <w:color w:val="auto"/>
              </w:rPr>
              <w:t>Operating lease liability</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2,175</w:t>
            </w:r>
          </w:p>
        </w:tc>
        <w:tc>
          <w:tcPr>
            <w:tcW w:w="112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12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tcBorders>
              <w:bottom w:val="single" w:sz="8" w:color="CCEEFF"/>
            </w:tcBorders>
          </w:tcPr>
          <w:p>
            <w:pPr>
              <w:ind w:left="320"/>
              <w:spacing w:after="0" w:line="175" w:lineRule="exact"/>
              <w:rPr>
                <w:sz w:val="20"/>
                <w:szCs w:val="20"/>
                <w:color w:val="auto"/>
              </w:rPr>
            </w:pPr>
            <w:r>
              <w:rPr>
                <w:rFonts w:ascii="Arial" w:cs="Arial" w:eastAsia="Arial" w:hAnsi="Arial"/>
                <w:sz w:val="16"/>
                <w:szCs w:val="16"/>
                <w:color w:val="auto"/>
              </w:rPr>
              <w:t>Accrued expenses and other liabilities</w:t>
            </w:r>
          </w:p>
        </w:tc>
        <w:tc>
          <w:tcPr>
            <w:tcW w:w="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2,334</w:t>
            </w:r>
          </w:p>
        </w:tc>
        <w:tc>
          <w:tcPr>
            <w:tcW w:w="11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162</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00" w:type="dxa"/>
            <w:vAlign w:val="bottom"/>
            <w:tcBorders>
              <w:bottom w:val="single" w:sz="8" w:color="CCEEFF"/>
            </w:tcBorders>
            <w:shd w:val="clear" w:color="auto" w:fill="CCEEFF"/>
          </w:tcPr>
          <w:p>
            <w:pPr>
              <w:ind w:left="480"/>
              <w:spacing w:after="0" w:line="168" w:lineRule="exact"/>
              <w:rPr>
                <w:sz w:val="20"/>
                <w:szCs w:val="20"/>
                <w:color w:val="auto"/>
              </w:rPr>
            </w:pPr>
            <w:r>
              <w:rPr>
                <w:rFonts w:ascii="Arial" w:cs="Arial" w:eastAsia="Arial" w:hAnsi="Arial"/>
                <w:sz w:val="16"/>
                <w:szCs w:val="16"/>
                <w:b w:val="1"/>
                <w:bCs w:val="1"/>
                <w:color w:val="auto"/>
              </w:rPr>
              <w:t>Net cash used in operating activities</w:t>
            </w:r>
          </w:p>
        </w:tc>
        <w:tc>
          <w:tcPr>
            <w:tcW w:w="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b w:val="1"/>
                <w:bCs w:val="1"/>
                <w:color w:val="auto"/>
              </w:rPr>
              <w:t>(41,269)</w:t>
            </w:r>
          </w:p>
        </w:tc>
        <w:tc>
          <w:tcPr>
            <w:tcW w:w="1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b w:val="1"/>
                <w:bCs w:val="1"/>
                <w:color w:val="auto"/>
              </w:rPr>
              <w:t>(11,768)</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b w:val="1"/>
                <w:bCs w:val="1"/>
                <w:color w:val="auto"/>
              </w:rPr>
              <w:t>(4,400)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00" w:type="dxa"/>
            <w:vAlign w:val="bottom"/>
          </w:tcPr>
          <w:p>
            <w:pPr>
              <w:spacing w:after="0" w:line="168" w:lineRule="exact"/>
              <w:rPr>
                <w:sz w:val="20"/>
                <w:szCs w:val="20"/>
                <w:color w:val="auto"/>
              </w:rPr>
            </w:pPr>
            <w:r>
              <w:rPr>
                <w:rFonts w:ascii="Arial" w:cs="Arial" w:eastAsia="Arial" w:hAnsi="Arial"/>
                <w:sz w:val="16"/>
                <w:szCs w:val="16"/>
                <w:b w:val="1"/>
                <w:bCs w:val="1"/>
                <w:color w:val="auto"/>
              </w:rPr>
              <w:t>Cash flows from investing activities</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00" w:type="dxa"/>
            <w:vAlign w:val="bottom"/>
            <w:shd w:val="clear" w:color="auto" w:fill="CCEEFF"/>
          </w:tcPr>
          <w:p>
            <w:pPr>
              <w:ind w:left="160"/>
              <w:spacing w:after="0" w:line="161" w:lineRule="exact"/>
              <w:rPr>
                <w:sz w:val="20"/>
                <w:szCs w:val="20"/>
                <w:color w:val="auto"/>
              </w:rPr>
            </w:pPr>
            <w:r>
              <w:rPr>
                <w:rFonts w:ascii="Arial" w:cs="Arial" w:eastAsia="Arial" w:hAnsi="Arial"/>
                <w:sz w:val="16"/>
                <w:szCs w:val="16"/>
                <w:color w:val="auto"/>
              </w:rPr>
              <w:t>Acquisition of property and equipment</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(9,825)</w:t>
            </w:r>
          </w:p>
        </w:tc>
        <w:tc>
          <w:tcPr>
            <w:tcW w:w="112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(1,633)</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(827)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00" w:type="dxa"/>
            <w:vAlign w:val="bottom"/>
          </w:tcPr>
          <w:p>
            <w:pPr>
              <w:ind w:left="160"/>
              <w:spacing w:after="0"/>
              <w:rPr>
                <w:sz w:val="20"/>
                <w:szCs w:val="20"/>
                <w:color w:val="auto"/>
              </w:rPr>
            </w:pPr>
            <w:r>
              <w:rPr>
                <w:rFonts w:ascii="Arial" w:cs="Arial" w:eastAsia="Arial" w:hAnsi="Arial"/>
                <w:sz w:val="16"/>
                <w:szCs w:val="16"/>
                <w:color w:val="auto"/>
              </w:rPr>
              <w:t>Payments for purchase of fixed maturity securities,</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320"/>
              <w:spacing w:after="0"/>
              <w:rPr>
                <w:sz w:val="20"/>
                <w:szCs w:val="20"/>
                <w:color w:val="auto"/>
              </w:rPr>
            </w:pPr>
            <w:r>
              <w:rPr>
                <w:rFonts w:ascii="Arial" w:cs="Arial" w:eastAsia="Arial" w:hAnsi="Arial"/>
                <w:sz w:val="16"/>
                <w:szCs w:val="16"/>
                <w:color w:val="auto"/>
              </w:rPr>
              <w:t>available for sale</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(49,860)</w:t>
            </w:r>
          </w:p>
        </w:tc>
        <w:tc>
          <w:tcPr>
            <w:tcW w:w="112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(41,540)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4100" w:type="dxa"/>
            <w:vAlign w:val="bottom"/>
            <w:shd w:val="clear" w:color="auto" w:fill="CCEEFF"/>
          </w:tcPr>
          <w:p>
            <w:pPr>
              <w:ind w:left="160"/>
              <w:spacing w:after="0" w:line="161" w:lineRule="exact"/>
              <w:rPr>
                <w:sz w:val="20"/>
                <w:szCs w:val="20"/>
                <w:color w:val="auto"/>
              </w:rPr>
            </w:pPr>
            <w:r>
              <w:rPr>
                <w:rFonts w:ascii="Arial" w:cs="Arial" w:eastAsia="Arial" w:hAnsi="Arial"/>
                <w:sz w:val="16"/>
                <w:szCs w:val="16"/>
                <w:color w:val="auto"/>
              </w:rPr>
              <w:t>Asset acquisition, net of cash acquired</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(4,722)</w:t>
            </w:r>
          </w:p>
        </w:tc>
        <w:tc>
          <w:tcPr>
            <w:tcW w:w="1120" w:type="dxa"/>
            <w:vAlign w:val="bottom"/>
            <w:shd w:val="clear" w:color="auto" w:fill="CCEEFF"/>
          </w:tcPr>
          <w:p>
            <w:pPr>
              <w:spacing w:after="0"/>
              <w:rPr>
                <w:sz w:val="14"/>
                <w:szCs w:val="14"/>
                <w:color w:val="auto"/>
              </w:rPr>
            </w:pPr>
          </w:p>
        </w:tc>
        <w:tc>
          <w:tcPr>
            <w:tcW w:w="740" w:type="dxa"/>
            <w:vAlign w:val="bottom"/>
            <w:tcBorders>
              <w:right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24,166</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00" w:type="dxa"/>
            <w:vAlign w:val="bottom"/>
          </w:tcPr>
          <w:p>
            <w:pPr>
              <w:ind w:left="160"/>
              <w:spacing w:after="0"/>
              <w:rPr>
                <w:sz w:val="20"/>
                <w:szCs w:val="20"/>
                <w:color w:val="auto"/>
              </w:rPr>
            </w:pPr>
            <w:r>
              <w:rPr>
                <w:rFonts w:ascii="Arial" w:cs="Arial" w:eastAsia="Arial" w:hAnsi="Arial"/>
                <w:sz w:val="16"/>
                <w:szCs w:val="16"/>
                <w:color w:val="auto"/>
              </w:rPr>
              <w:t>Sale of fixed maturity securities, available for sale</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41,650</w:t>
            </w:r>
          </w:p>
        </w:tc>
        <w:tc>
          <w:tcPr>
            <w:tcW w:w="112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4100" w:type="dxa"/>
            <w:vAlign w:val="bottom"/>
            <w:tcBorders>
              <w:top w:val="single" w:sz="8" w:color="CCEEFF"/>
              <w:bottom w:val="single" w:sz="8" w:color="CCEEFF"/>
            </w:tcBorders>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Net cash used in investing activities</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b w:val="1"/>
                <w:bCs w:val="1"/>
                <w:color w:val="auto"/>
              </w:rPr>
              <w:t>(22,757)</w:t>
            </w:r>
          </w:p>
        </w:tc>
        <w:tc>
          <w:tcPr>
            <w:tcW w:w="112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right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b w:val="1"/>
                <w:bCs w:val="1"/>
                <w:color w:val="auto"/>
              </w:rPr>
              <w:t>(19,007)</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b w:val="1"/>
                <w:bCs w:val="1"/>
                <w:color w:val="auto"/>
              </w:rPr>
              <w:t>(827)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160"/>
              <w:spacing w:after="0" w:line="175" w:lineRule="exact"/>
              <w:rPr>
                <w:sz w:val="20"/>
                <w:szCs w:val="20"/>
                <w:color w:val="auto"/>
              </w:rPr>
            </w:pPr>
            <w:r>
              <w:rPr>
                <w:rFonts w:ascii="Arial" w:cs="Arial" w:eastAsia="Arial" w:hAnsi="Arial"/>
                <w:sz w:val="16"/>
                <w:szCs w:val="16"/>
                <w:color w:val="auto"/>
              </w:rPr>
              <w:t>Proceeds from long-term debt and warrants, net</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9,734</w:t>
            </w:r>
          </w:p>
        </w:tc>
        <w:tc>
          <w:tcPr>
            <w:tcW w:w="112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160"/>
              <w:spacing w:after="0" w:line="175" w:lineRule="exact"/>
              <w:rPr>
                <w:sz w:val="20"/>
                <w:szCs w:val="20"/>
                <w:color w:val="auto"/>
              </w:rPr>
            </w:pPr>
            <w:r>
              <w:rPr>
                <w:rFonts w:ascii="Arial" w:cs="Arial" w:eastAsia="Arial" w:hAnsi="Arial"/>
                <w:sz w:val="16"/>
                <w:szCs w:val="16"/>
                <w:color w:val="auto"/>
              </w:rPr>
              <w:t>Payments of deferred financing cost</w:t>
            </w: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(144)</w:t>
            </w:r>
          </w:p>
        </w:tc>
        <w:tc>
          <w:tcPr>
            <w:tcW w:w="11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160"/>
              <w:spacing w:after="0" w:line="175" w:lineRule="exact"/>
              <w:rPr>
                <w:sz w:val="20"/>
                <w:szCs w:val="20"/>
                <w:color w:val="auto"/>
              </w:rPr>
            </w:pPr>
            <w:r>
              <w:rPr>
                <w:rFonts w:ascii="Arial" w:cs="Arial" w:eastAsia="Arial" w:hAnsi="Arial"/>
                <w:sz w:val="16"/>
                <w:szCs w:val="16"/>
                <w:color w:val="auto"/>
              </w:rPr>
              <w:t>Proceeds from subscription receivable</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38,100</w:t>
            </w:r>
          </w:p>
        </w:tc>
        <w:tc>
          <w:tcPr>
            <w:tcW w:w="112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Borders>
              <w:bottom w:val="single" w:sz="8" w:color="CCEEFF"/>
            </w:tcBorders>
          </w:tcPr>
          <w:p>
            <w:pPr>
              <w:ind w:left="160"/>
              <w:spacing w:after="0" w:line="175" w:lineRule="exact"/>
              <w:rPr>
                <w:sz w:val="20"/>
                <w:szCs w:val="20"/>
                <w:color w:val="auto"/>
              </w:rPr>
            </w:pPr>
            <w:r>
              <w:rPr>
                <w:rFonts w:ascii="Arial" w:cs="Arial" w:eastAsia="Arial" w:hAnsi="Arial"/>
                <w:sz w:val="16"/>
                <w:szCs w:val="16"/>
                <w:color w:val="auto"/>
              </w:rPr>
              <w:t>Proceeds from issuance of common units</w:t>
            </w:r>
          </w:p>
        </w:tc>
        <w:tc>
          <w:tcPr>
            <w:tcW w:w="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74,839</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00" w:type="dxa"/>
            <w:vAlign w:val="bottom"/>
            <w:tcBorders>
              <w:bottom w:val="single" w:sz="8" w:color="CCEEFF"/>
            </w:tcBorders>
            <w:shd w:val="clear" w:color="auto" w:fill="CCEEFF"/>
          </w:tcPr>
          <w:p>
            <w:pPr>
              <w:ind w:left="160"/>
              <w:spacing w:after="0" w:line="168" w:lineRule="exact"/>
              <w:rPr>
                <w:sz w:val="20"/>
                <w:szCs w:val="20"/>
                <w:color w:val="auto"/>
              </w:rPr>
            </w:pPr>
            <w:r>
              <w:rPr>
                <w:rFonts w:ascii="Arial" w:cs="Arial" w:eastAsia="Arial" w:hAnsi="Arial"/>
                <w:sz w:val="16"/>
                <w:szCs w:val="16"/>
                <w:b w:val="1"/>
                <w:bCs w:val="1"/>
                <w:color w:val="auto"/>
              </w:rPr>
              <w:t>Net cash provided by financing activities</w:t>
            </w:r>
          </w:p>
        </w:tc>
        <w:tc>
          <w:tcPr>
            <w:tcW w:w="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b w:val="1"/>
                <w:bCs w:val="1"/>
                <w:color w:val="auto"/>
              </w:rPr>
              <w:t>47,690</w:t>
            </w:r>
          </w:p>
        </w:tc>
        <w:tc>
          <w:tcPr>
            <w:tcW w:w="1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b w:val="1"/>
                <w:bCs w:val="1"/>
                <w:color w:val="auto"/>
              </w:rPr>
              <w:t>74,839</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Pr>
          <w:p>
            <w:pPr>
              <w:ind w:left="320"/>
              <w:spacing w:after="0" w:line="164" w:lineRule="exact"/>
              <w:rPr>
                <w:sz w:val="20"/>
                <w:szCs w:val="20"/>
                <w:color w:val="auto"/>
              </w:rPr>
            </w:pPr>
            <w:r>
              <w:rPr>
                <w:rFonts w:ascii="Arial" w:cs="Arial" w:eastAsia="Arial" w:hAnsi="Arial"/>
                <w:sz w:val="16"/>
                <w:szCs w:val="16"/>
                <w:b w:val="1"/>
                <w:bCs w:val="1"/>
                <w:color w:val="auto"/>
              </w:rPr>
              <w:t>Net (decrease) increase in cash, cash</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480"/>
              <w:spacing w:after="0"/>
              <w:rPr>
                <w:sz w:val="20"/>
                <w:szCs w:val="20"/>
                <w:color w:val="auto"/>
              </w:rPr>
            </w:pPr>
            <w:r>
              <w:rPr>
                <w:rFonts w:ascii="Arial" w:cs="Arial" w:eastAsia="Arial" w:hAnsi="Arial"/>
                <w:sz w:val="16"/>
                <w:szCs w:val="16"/>
                <w:b w:val="1"/>
                <w:bCs w:val="1"/>
                <w:color w:val="auto"/>
              </w:rPr>
              <w:t>equivalents, and restricted cash</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(16,336)</w:t>
            </w:r>
          </w:p>
        </w:tc>
        <w:tc>
          <w:tcPr>
            <w:tcW w:w="1120" w:type="dxa"/>
            <w:vAlign w:val="bottom"/>
          </w:tcPr>
          <w:p>
            <w:pPr>
              <w:spacing w:after="0"/>
              <w:rPr>
                <w:sz w:val="17"/>
                <w:szCs w:val="17"/>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44,064</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rPr>
              <w:t>(5,227)</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44,064</w:t>
            </w:r>
          </w:p>
        </w:tc>
        <w:tc>
          <w:tcPr>
            <w:tcW w:w="1120" w:type="dxa"/>
            <w:vAlign w:val="bottom"/>
            <w:shd w:val="clear" w:color="auto" w:fill="CCEEFF"/>
          </w:tcPr>
          <w:p>
            <w:pPr>
              <w:spacing w:after="0"/>
              <w:rPr>
                <w:sz w:val="16"/>
                <w:szCs w:val="16"/>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31,424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00" w:type="dxa"/>
            <w:vAlign w:val="bottom"/>
            <w:tcBorders>
              <w:bottom w:val="single" w:sz="8" w:color="CCEEFF"/>
            </w:tcBorders>
            <w:shd w:val="clear" w:color="auto" w:fill="CCEEFF"/>
          </w:tcPr>
          <w:p>
            <w:pPr>
              <w:ind w:left="160"/>
              <w:spacing w:after="0" w:line="173" w:lineRule="exact"/>
              <w:rPr>
                <w:sz w:val="20"/>
                <w:szCs w:val="20"/>
                <w:color w:val="auto"/>
              </w:rPr>
            </w:pPr>
            <w:r>
              <w:rPr>
                <w:rFonts w:ascii="Arial" w:cs="Arial" w:eastAsia="Arial" w:hAnsi="Arial"/>
                <w:sz w:val="16"/>
                <w:szCs w:val="16"/>
                <w:color w:val="auto"/>
              </w:rPr>
              <w:t>of period</w:t>
            </w:r>
          </w:p>
        </w:tc>
        <w:tc>
          <w:tcPr>
            <w:tcW w:w="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100" w:type="dxa"/>
            <w:vAlign w:val="bottom"/>
          </w:tcPr>
          <w:p>
            <w:pPr>
              <w:spacing w:after="0" w:line="164" w:lineRule="exact"/>
              <w:rPr>
                <w:sz w:val="20"/>
                <w:szCs w:val="20"/>
                <w:color w:val="auto"/>
              </w:rPr>
            </w:pPr>
            <w:r>
              <w:rPr>
                <w:rFonts w:ascii="Arial" w:cs="Arial" w:eastAsia="Arial" w:hAnsi="Arial"/>
                <w:sz w:val="16"/>
                <w:szCs w:val="16"/>
                <w:b w:val="1"/>
                <w:bCs w:val="1"/>
                <w:color w:val="auto"/>
              </w:rPr>
              <w:t>Cash, cash equivalents and restricted cash, end of</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27,728</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44,064</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26,197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00" w:type="dxa"/>
            <w:vAlign w:val="bottom"/>
          </w:tcPr>
          <w:p>
            <w:pPr>
              <w:ind w:left="160"/>
              <w:spacing w:after="0"/>
              <w:rPr>
                <w:sz w:val="20"/>
                <w:szCs w:val="20"/>
                <w:color w:val="auto"/>
              </w:rPr>
            </w:pPr>
            <w:r>
              <w:rPr>
                <w:rFonts w:ascii="Arial" w:cs="Arial" w:eastAsia="Arial" w:hAnsi="Arial"/>
                <w:sz w:val="16"/>
                <w:szCs w:val="16"/>
                <w:b w:val="1"/>
                <w:bCs w:val="1"/>
                <w:color w:val="auto"/>
              </w:rPr>
              <w:t>period</w:t>
            </w:r>
          </w:p>
        </w:tc>
        <w:tc>
          <w:tcPr>
            <w:tcW w:w="10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10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Supplemental disclosure of cash and non-cash</w:t>
            </w:r>
          </w:p>
        </w:tc>
        <w:tc>
          <w:tcPr>
            <w:tcW w:w="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1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operating activities:</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160"/>
              <w:spacing w:after="0" w:line="175" w:lineRule="exact"/>
              <w:rPr>
                <w:sz w:val="20"/>
                <w:szCs w:val="20"/>
                <w:color w:val="auto"/>
              </w:rPr>
            </w:pPr>
            <w:r>
              <w:rPr>
                <w:rFonts w:ascii="Arial" w:cs="Arial" w:eastAsia="Arial" w:hAnsi="Arial"/>
                <w:sz w:val="16"/>
                <w:szCs w:val="16"/>
                <w:color w:val="auto"/>
              </w:rPr>
              <w:t>Cash paid for interest</w:t>
            </w:r>
          </w:p>
        </w:tc>
        <w:tc>
          <w:tcPr>
            <w:tcW w:w="100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207</w:t>
            </w:r>
          </w:p>
        </w:tc>
        <w:tc>
          <w:tcPr>
            <w:tcW w:w="1120" w:type="dxa"/>
            <w:vAlign w:val="bottom"/>
          </w:tcPr>
          <w:p>
            <w:pPr>
              <w:jc w:val="right"/>
              <w:ind w:right="19"/>
              <w:spacing w:after="0" w:line="175" w:lineRule="exact"/>
              <w:rPr>
                <w:sz w:val="20"/>
                <w:szCs w:val="20"/>
                <w:color w:val="auto"/>
              </w:rPr>
            </w:pPr>
            <w:r>
              <w:rPr>
                <w:rFonts w:ascii="Arial" w:cs="Arial" w:eastAsia="Arial" w:hAnsi="Arial"/>
                <w:sz w:val="16"/>
                <w:szCs w:val="16"/>
                <w:b w:val="1"/>
                <w:bCs w:val="1"/>
                <w:color w:val="auto"/>
              </w:rPr>
              <w:t>$</w:t>
            </w:r>
          </w:p>
        </w:tc>
        <w:tc>
          <w:tcPr>
            <w:tcW w:w="74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10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Supplemental disclosure of non-cash investing</w:t>
            </w:r>
          </w:p>
        </w:tc>
        <w:tc>
          <w:tcPr>
            <w:tcW w:w="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1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and financing activities:</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00" w:type="dxa"/>
            <w:vAlign w:val="bottom"/>
          </w:tcPr>
          <w:p>
            <w:pPr>
              <w:ind w:left="160"/>
              <w:spacing w:after="0"/>
              <w:rPr>
                <w:sz w:val="20"/>
                <w:szCs w:val="20"/>
                <w:color w:val="auto"/>
              </w:rPr>
            </w:pPr>
            <w:r>
              <w:rPr>
                <w:rFonts w:ascii="Arial" w:cs="Arial" w:eastAsia="Arial" w:hAnsi="Arial"/>
                <w:sz w:val="16"/>
                <w:szCs w:val="16"/>
                <w:color w:val="auto"/>
              </w:rPr>
              <w:t>Issuance of common units in exchange for asset</w:t>
            </w:r>
          </w:p>
        </w:tc>
        <w:tc>
          <w:tcPr>
            <w:tcW w:w="40" w:type="dxa"/>
            <w:vAlign w:val="bottom"/>
            <w:vMerge w:val="restart"/>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251,700</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3"/>
        </w:trPr>
        <w:tc>
          <w:tcPr>
            <w:tcW w:w="4100" w:type="dxa"/>
            <w:vAlign w:val="bottom"/>
          </w:tcPr>
          <w:p>
            <w:pPr>
              <w:ind w:left="320"/>
              <w:spacing w:after="0" w:line="173" w:lineRule="exact"/>
              <w:rPr>
                <w:sz w:val="20"/>
                <w:szCs w:val="20"/>
                <w:color w:val="auto"/>
              </w:rPr>
            </w:pPr>
            <w:r>
              <w:rPr>
                <w:rFonts w:ascii="Arial" w:cs="Arial" w:eastAsia="Arial" w:hAnsi="Arial"/>
                <w:sz w:val="16"/>
                <w:szCs w:val="16"/>
                <w:color w:val="auto"/>
              </w:rPr>
              <w:t>acquisition</w:t>
            </w:r>
          </w:p>
        </w:tc>
        <w:tc>
          <w:tcPr>
            <w:tcW w:w="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74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 of property and equipment, accrued and</w:t>
            </w:r>
          </w:p>
        </w:tc>
        <w:tc>
          <w:tcPr>
            <w:tcW w:w="40" w:type="dxa"/>
            <w:vAlign w:val="bottom"/>
            <w:tcBorders>
              <w:top w:val="single" w:sz="8" w:color="CCEEFF"/>
            </w:tcBorders>
            <w:vMerge w:val="restart"/>
            <w:shd w:val="clear" w:color="auto" w:fill="CCEEFF"/>
          </w:tcPr>
          <w:p>
            <w:pPr>
              <w:spacing w:after="0"/>
              <w:rPr>
                <w:sz w:val="15"/>
                <w:szCs w:val="15"/>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4,472</w:t>
            </w:r>
          </w:p>
        </w:tc>
        <w:tc>
          <w:tcPr>
            <w:tcW w:w="112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unpaid</w:t>
            </w:r>
          </w:p>
        </w:tc>
        <w:tc>
          <w:tcPr>
            <w:tcW w:w="40" w:type="dxa"/>
            <w:vAlign w:val="bottom"/>
            <w:tcBorders>
              <w:bottom w:val="single" w:sz="8" w:color="CCEEFF"/>
            </w:tcBorders>
            <w:vMerge w:val="continue"/>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740" w:type="dxa"/>
            <w:vAlign w:val="bottom"/>
            <w:tcBorders>
              <w:bottom w:val="single" w:sz="8" w:color="CCEEFF"/>
              <w:right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-298450</wp:posOffset>
            </wp:positionV>
            <wp:extent cx="26308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3080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-776605</wp:posOffset>
            </wp:positionV>
            <wp:extent cx="263080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3080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-1135380</wp:posOffset>
            </wp:positionV>
            <wp:extent cx="26308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3080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-1972945</wp:posOffset>
            </wp:positionV>
            <wp:extent cx="26308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3080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-2673350</wp:posOffset>
            </wp:positionV>
            <wp:extent cx="26308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3080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-3475990</wp:posOffset>
            </wp:positionV>
            <wp:extent cx="26308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30805" cy="8255"/>
                    </a:xfrm>
                    <a:prstGeom prst="rect">
                      <a:avLst/>
                    </a:prstGeom>
                    <a:noFill/>
                  </pic:spPr>
                </pic:pic>
              </a:graphicData>
            </a:graphic>
          </wp:anchor>
        </w:drawing>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accompanying notes to the consolidated financial statements.</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500"/>
          </w:cols>
          <w:pgMar w:left="600" w:top="132" w:right="799" w:bottom="1440" w:gutter="0" w:footer="0" w:header="0"/>
        </w:sectPr>
      </w:pPr>
    </w:p>
    <w:bookmarkStart w:id="210" w:name="page211"/>
    <w:bookmarkEnd w:id="210"/>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right="1939"/>
        <w:spacing w:after="0" w:line="221" w:lineRule="auto"/>
        <w:rPr>
          <w:sz w:val="20"/>
          <w:szCs w:val="20"/>
          <w:color w:val="auto"/>
        </w:rPr>
      </w:pPr>
      <w:r>
        <w:rPr>
          <w:rFonts w:ascii="Arial" w:cs="Arial" w:eastAsia="Arial" w:hAnsi="Arial"/>
          <w:sz w:val="29"/>
          <w:szCs w:val="29"/>
          <w:b w:val="1"/>
          <w:bCs w:val="1"/>
          <w:color w:val="auto"/>
        </w:rPr>
        <w:t>Century Therapeutics, LLC and Subsidiary Notes to the consolidated financial statements December 31, 2020 and 2019</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(In thousands, except unit and share amounts)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1—Organization and description of the business</w:t>
      </w:r>
    </w:p>
    <w:p>
      <w:pPr>
        <w:spacing w:after="0" w:line="142" w:lineRule="exact"/>
        <w:rPr>
          <w:sz w:val="20"/>
          <w:szCs w:val="20"/>
          <w:color w:val="auto"/>
        </w:rPr>
      </w:pPr>
    </w:p>
    <w:p>
      <w:pPr>
        <w:jc w:val="both"/>
        <w:ind w:left="1260" w:right="759"/>
        <w:spacing w:after="0" w:line="254" w:lineRule="auto"/>
        <w:rPr>
          <w:sz w:val="20"/>
          <w:szCs w:val="20"/>
          <w:color w:val="auto"/>
        </w:rPr>
      </w:pPr>
      <w:r>
        <w:rPr>
          <w:rFonts w:ascii="Arial" w:cs="Arial" w:eastAsia="Arial" w:hAnsi="Arial"/>
          <w:sz w:val="18"/>
          <w:szCs w:val="18"/>
          <w:color w:val="auto"/>
        </w:rPr>
        <w:t>Century Therapeutics, Inc. (“Prior Century” or “Predecessor”), was incorporated in the state of Delaware on March 5, 2018. Since inception, Prior Century has devoted substantially all of its time and efforts to performing research and development activities and raising capital.</w:t>
      </w:r>
    </w:p>
    <w:p>
      <w:pPr>
        <w:spacing w:after="0" w:line="137"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On June 5, 2019, Century Therapeutics, LLC (the “Company” or “Successor”)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has no significant operations and accounts for its interest in the Company under the equity method of accounting.</w:t>
      </w:r>
    </w:p>
    <w:p>
      <w:pPr>
        <w:spacing w:after="0" w:line="359" w:lineRule="exact"/>
        <w:rPr>
          <w:sz w:val="20"/>
          <w:szCs w:val="20"/>
          <w:color w:val="auto"/>
        </w:rPr>
      </w:pPr>
    </w:p>
    <w:p>
      <w:pPr>
        <w:ind w:left="1260" w:right="779"/>
        <w:spacing w:after="0" w:line="251" w:lineRule="auto"/>
        <w:rPr>
          <w:sz w:val="20"/>
          <w:szCs w:val="20"/>
          <w:color w:val="auto"/>
        </w:rPr>
      </w:pPr>
      <w:r>
        <w:rPr>
          <w:rFonts w:ascii="Arial" w:cs="Arial" w:eastAsia="Arial" w:hAnsi="Arial"/>
          <w:sz w:val="18"/>
          <w:szCs w:val="18"/>
          <w:color w:val="auto"/>
        </w:rPr>
        <w:t>As discussed in Note 16, Subsequent Events, 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27" w:lineRule="exact"/>
        <w:rPr>
          <w:sz w:val="20"/>
          <w:szCs w:val="20"/>
          <w:color w:val="auto"/>
        </w:rPr>
      </w:pPr>
    </w:p>
    <w:p>
      <w:pPr>
        <w:ind w:left="1260" w:right="759"/>
        <w:spacing w:after="0" w:line="260" w:lineRule="auto"/>
        <w:rPr>
          <w:sz w:val="20"/>
          <w:szCs w:val="20"/>
          <w:color w:val="auto"/>
        </w:rPr>
      </w:pPr>
      <w:r>
        <w:rPr>
          <w:rFonts w:ascii="Arial" w:cs="Arial" w:eastAsia="Arial" w:hAnsi="Arial"/>
          <w:sz w:val="18"/>
          <w:szCs w:val="18"/>
          <w:color w:val="auto"/>
        </w:rPr>
        <w:t>In June 2020, the Company formed Century Therapeutics Canada ULC (“Century Canada”), a wholly owned subsidiary, to acquire the assets of Empirica Therapeutics, Inc. (“Empirica”).</w:t>
      </w:r>
    </w:p>
    <w:p>
      <w:pPr>
        <w:spacing w:after="0" w:line="130" w:lineRule="exact"/>
        <w:rPr>
          <w:sz w:val="20"/>
          <w:szCs w:val="20"/>
          <w:color w:val="auto"/>
        </w:rPr>
      </w:pPr>
    </w:p>
    <w:p>
      <w:pPr>
        <w:ind w:left="1260" w:right="599"/>
        <w:spacing w:after="0" w:line="253" w:lineRule="auto"/>
        <w:rPr>
          <w:sz w:val="20"/>
          <w:szCs w:val="20"/>
          <w:color w:val="auto"/>
        </w:rPr>
      </w:pPr>
      <w:r>
        <w:rPr>
          <w:rFonts w:ascii="Arial" w:cs="Arial" w:eastAsia="Arial" w:hAnsi="Arial"/>
          <w:sz w:val="18"/>
          <w:szCs w:val="18"/>
          <w:color w:val="auto"/>
        </w:rPr>
        <w:t>The Company’s headquarters are located in Philadelphia, Pennsylvania. The Company’s capital structure is comprised of common limited liability membership interests, issued in the form of a single class of common units, with no stated limit to a members’ liability or a finite life to the Company.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5" w:lineRule="exact"/>
        <w:rPr>
          <w:sz w:val="20"/>
          <w:szCs w:val="20"/>
          <w:color w:val="auto"/>
        </w:rPr>
      </w:pPr>
    </w:p>
    <w:p>
      <w:pPr>
        <w:ind w:left="1260" w:right="1099"/>
        <w:spacing w:after="0" w:line="254"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151"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138"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Since inception, both the Company and Prior Century have incurred net losses and negative cash flows from operations. During the Successor year ended December 31, 2020, the Company incurred a net loss of $53,575 and used $41,269 of cash for operations. During the Successor period June 21, 2019 through December 31, 2019, the Company incurred a net loss of $238,767 and used $11,768 of cash for operations. During the Predecessor period January 1, 2019 through June 20, 2019, Prior Century incurred a net loss of $6,002 and used $4,400 of</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cash for operations. Management expects to incur additional losses in the future to fund its operations and conduct product research and development and recognizes the need to raise additional capital to fully implement its business plan. As further described in Note 3, the Company obtained a cash capital commitment from Bayer totaling $215,000, from which net proceeds of $ 74,839 were received in June 2019, $ 38,100 were received in November 2020 and $31,900 were received in January 2021. Bayer has no continuing obligation to invest any additional amounts under its commitment, which terminated on February 25, 2021. As further described in Note 9, the Company entered into a Loan Agreement pursuant to which it received net proceeds of $9,734 in September 2020. As described in Note 16,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394" w:lineRule="exact"/>
        <w:rPr>
          <w:sz w:val="20"/>
          <w:szCs w:val="20"/>
          <w:color w:val="auto"/>
        </w:rPr>
      </w:pPr>
    </w:p>
    <w:p>
      <w:pPr>
        <w:ind w:left="1260" w:right="1639"/>
        <w:spacing w:after="0" w:line="247" w:lineRule="auto"/>
        <w:rPr>
          <w:sz w:val="20"/>
          <w:szCs w:val="20"/>
          <w:color w:val="auto"/>
        </w:rPr>
      </w:pPr>
      <w:r>
        <w:rPr>
          <w:rFonts w:ascii="Arial" w:cs="Arial" w:eastAsia="Arial" w:hAnsi="Arial"/>
          <w:sz w:val="22"/>
          <w:szCs w:val="22"/>
          <w:b w:val="1"/>
          <w:bCs w:val="1"/>
          <w:color w:val="auto"/>
        </w:rPr>
        <w:t>Note 2—Summary of significant accounting policies and basis of presentation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1"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5"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5" w:lineRule="exact"/>
        <w:rPr>
          <w:sz w:val="20"/>
          <w:szCs w:val="20"/>
          <w:color w:val="auto"/>
        </w:rPr>
      </w:pPr>
    </w:p>
    <w:p>
      <w:pPr>
        <w:ind w:left="1260" w:right="539"/>
        <w:spacing w:after="0" w:line="250"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51"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 term investments include a checking account and asset management accounts held by a limited number of financial institutions. At times, such deposits may be in excess of insured limits. As of December 31, 2020 and 2019, the Company has not experienced any losses on its deposits of cash and cash equivalents.</w:t>
      </w:r>
    </w:p>
    <w:p>
      <w:pPr>
        <w:spacing w:after="0" w:line="356" w:lineRule="exact"/>
        <w:rPr>
          <w:sz w:val="20"/>
          <w:szCs w:val="20"/>
          <w:color w:val="auto"/>
        </w:rPr>
      </w:pPr>
    </w:p>
    <w:p>
      <w:pPr>
        <w:ind w:left="1260" w:right="539"/>
        <w:spacing w:after="0" w:line="252"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353"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Products developed by the Company require clearances from the U.S. Food and Drug Administration or other international regulatory agencies prior to commercial sales. There can be no assurance the Company’s future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12" w:name="page213"/>
    <w:bookmarkEnd w:id="212"/>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color w:val="auto"/>
        </w:rPr>
        <w:t>products will receive the necessary clearances. If the Company was denied clearance, clearance was delayed, or if the Company was unable to maintain clearance, it could have a material adverse impact on the Company.</w:t>
      </w:r>
    </w:p>
    <w:p>
      <w:pPr>
        <w:spacing w:after="0" w:line="122"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78"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8"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29" w:lineRule="exact"/>
        <w:rPr>
          <w:sz w:val="20"/>
          <w:szCs w:val="20"/>
          <w:color w:val="auto"/>
        </w:rPr>
      </w:pPr>
    </w:p>
    <w:p>
      <w:pPr>
        <w:ind w:left="2120" w:right="799" w:hanging="860"/>
        <w:spacing w:after="0" w:line="275" w:lineRule="auto"/>
        <w:tabs>
          <w:tab w:leader="none" w:pos="2100" w:val="left"/>
        </w:tabs>
        <w:rPr>
          <w:sz w:val="20"/>
          <w:szCs w:val="20"/>
          <w:color w:val="auto"/>
        </w:rPr>
      </w:pPr>
      <w:r>
        <w:rPr>
          <w:rFonts w:ascii="Arial" w:cs="Arial" w:eastAsia="Arial" w:hAnsi="Arial"/>
          <w:sz w:val="18"/>
          <w:szCs w:val="18"/>
          <w:color w:val="auto"/>
        </w:rPr>
        <w:t>Level 1</w:t>
        <w:tab/>
        <w:t>Inputs that reflect unadjusted quoted prices in active markets for identical assets or liabilities that the Company has the ability to access at the measurement date;</w:t>
      </w:r>
    </w:p>
    <w:p>
      <w:pPr>
        <w:spacing w:after="0" w:line="131" w:lineRule="exact"/>
        <w:rPr>
          <w:sz w:val="20"/>
          <w:szCs w:val="20"/>
          <w:color w:val="auto"/>
        </w:rPr>
      </w:pPr>
    </w:p>
    <w:p>
      <w:pPr>
        <w:ind w:left="2120" w:right="719" w:hanging="860"/>
        <w:spacing w:after="0" w:line="275" w:lineRule="auto"/>
        <w:tabs>
          <w:tab w:leader="none" w:pos="2100" w:val="left"/>
        </w:tabs>
        <w:rPr>
          <w:sz w:val="20"/>
          <w:szCs w:val="20"/>
          <w:color w:val="auto"/>
        </w:rPr>
      </w:pPr>
      <w:r>
        <w:rPr>
          <w:rFonts w:ascii="Arial" w:cs="Arial" w:eastAsia="Arial" w:hAnsi="Arial"/>
          <w:sz w:val="18"/>
          <w:szCs w:val="18"/>
          <w:color w:val="auto"/>
        </w:rPr>
        <w:t>Level 2</w:t>
        <w:tab/>
        <w:t>Inputs other than quoted prices that are observable for the asset or liability either directly or indirectly, including inputs in markets that are not considered to be active;</w:t>
      </w:r>
    </w:p>
    <w:p>
      <w:pPr>
        <w:spacing w:after="0" w:line="131" w:lineRule="exact"/>
        <w:rPr>
          <w:sz w:val="20"/>
          <w:szCs w:val="20"/>
          <w:color w:val="auto"/>
        </w:rPr>
      </w:pPr>
    </w:p>
    <w:p>
      <w:pPr>
        <w:ind w:left="2120" w:right="919" w:hanging="860"/>
        <w:spacing w:after="0" w:line="275" w:lineRule="auto"/>
        <w:tabs>
          <w:tab w:leader="none" w:pos="2100" w:val="left"/>
        </w:tabs>
        <w:rPr>
          <w:sz w:val="20"/>
          <w:szCs w:val="20"/>
          <w:color w:val="auto"/>
        </w:rPr>
      </w:pPr>
      <w:r>
        <w:rPr>
          <w:rFonts w:ascii="Arial" w:cs="Arial" w:eastAsia="Arial" w:hAnsi="Arial"/>
          <w:sz w:val="18"/>
          <w:szCs w:val="18"/>
          <w:color w:val="auto"/>
        </w:rPr>
        <w:t>Level 3</w:t>
        <w:tab/>
        <w:t>Inputs are unobservable in which there is little or no market data available, which require the reporting entity to develop its own assumptions that are unobservable.</w:t>
      </w:r>
    </w:p>
    <w:p>
      <w:pPr>
        <w:spacing w:after="0" w:line="118"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8" w:lineRule="exact"/>
        <w:rPr>
          <w:sz w:val="20"/>
          <w:szCs w:val="20"/>
          <w:color w:val="auto"/>
        </w:rPr>
      </w:pPr>
    </w:p>
    <w:p>
      <w:pPr>
        <w:jc w:val="both"/>
        <w:ind w:left="1260" w:right="819"/>
        <w:spacing w:after="0" w:line="275"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8" w:lineRule="exact"/>
        <w:rPr>
          <w:sz w:val="20"/>
          <w:szCs w:val="20"/>
          <w:color w:val="auto"/>
        </w:rPr>
      </w:pPr>
    </w:p>
    <w:p>
      <w:pPr>
        <w:jc w:val="both"/>
        <w:ind w:left="1260" w:right="819"/>
        <w:spacing w:after="0" w:line="270" w:lineRule="auto"/>
        <w:rPr>
          <w:sz w:val="20"/>
          <w:szCs w:val="20"/>
          <w:color w:val="auto"/>
        </w:rPr>
      </w:pPr>
      <w:r>
        <w:rPr>
          <w:rFonts w:ascii="Arial" w:cs="Arial" w:eastAsia="Arial" w:hAnsi="Arial"/>
          <w:sz w:val="18"/>
          <w:szCs w:val="18"/>
          <w:color w:val="auto"/>
        </w:rPr>
        <w:t>As of December 31, 2020, the Company has $517 in cash on deposit to secure certain lease commitments. Restricted cash is recorded separately in the Company’s consolidated balance sheets.</w:t>
      </w:r>
    </w:p>
    <w:p>
      <w:pPr>
        <w:spacing w:after="0" w:line="122" w:lineRule="exact"/>
        <w:rPr>
          <w:sz w:val="20"/>
          <w:szCs w:val="20"/>
          <w:color w:val="auto"/>
        </w:rPr>
      </w:pPr>
    </w:p>
    <w:p>
      <w:pPr>
        <w:ind w:left="1260" w:right="539"/>
        <w:spacing w:after="0" w:line="270"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13" w:name="page214"/>
    <w:bookmarkEnd w:id="213"/>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526415</wp:posOffset>
            </wp:positionV>
            <wp:extent cx="51936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3340" w:type="dxa"/>
            <w:vAlign w:val="bottom"/>
            <w:tcBorders>
              <w:bottom w:val="single" w:sz="8" w:color="auto"/>
            </w:tcBorders>
            <w:gridSpan w:val="2"/>
          </w:tcPr>
          <w:p>
            <w:pPr>
              <w:jc w:val="right"/>
              <w:ind w:right="1133"/>
              <w:spacing w:after="0"/>
              <w:rPr>
                <w:sz w:val="20"/>
                <w:szCs w:val="20"/>
                <w:color w:val="auto"/>
              </w:rPr>
            </w:pPr>
            <w:r>
              <w:rPr>
                <w:rFonts w:ascii="Arial" w:cs="Arial" w:eastAsia="Arial" w:hAnsi="Arial"/>
                <w:sz w:val="16"/>
                <w:szCs w:val="16"/>
                <w:b w:val="1"/>
                <w:bCs w:val="1"/>
                <w:color w:val="auto"/>
              </w:rPr>
              <w:t>Successor</w:t>
            </w:r>
          </w:p>
        </w:tc>
      </w:tr>
      <w:tr>
        <w:trPr>
          <w:trHeight w:val="215"/>
        </w:trPr>
        <w:tc>
          <w:tcPr>
            <w:tcW w:w="48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December 31, 2020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16"/>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$ 27,211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$ 44,064</w:t>
            </w:r>
          </w:p>
        </w:tc>
      </w:tr>
      <w:tr>
        <w:trPr>
          <w:trHeight w:val="23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$ 27,728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$ 44,064</w:t>
            </w:r>
          </w:p>
        </w:tc>
      </w:tr>
      <w:tr>
        <w:trPr>
          <w:trHeight w:val="20"/>
        </w:trPr>
        <w:tc>
          <w:tcPr>
            <w:tcW w:w="48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30664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165"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 -for -sale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1"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136"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5" w:lineRule="exact"/>
        <w:rPr>
          <w:sz w:val="20"/>
          <w:szCs w:val="20"/>
          <w:color w:val="auto"/>
        </w:rPr>
      </w:pPr>
    </w:p>
    <w:p>
      <w:pPr>
        <w:ind w:left="1260" w:right="939"/>
        <w:spacing w:after="0" w:line="252"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and the cost of services provided by outside contractors. All costs associated with research and development are expensed as incurred.</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1"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Employees and members of the board of managers of the Company have received stock options and restricted stock of Prior Century. The Company recognizes the cost of the stock-based compensation incurred by Prior Century on its behalf as its employees and board members vest in the awards. Prior Century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Prior Century uses the Black-Scholes option-pricing model (“Black Scholes”) to determine the fair value of options granted. Prior Century’s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 based awards, the Company reassesses at each reporting date whether achievement of the performance condition is probable and accrues compensation expense if and when achievement of the performance condition is probable.</w:t>
      </w:r>
    </w:p>
    <w:p>
      <w:pPr>
        <w:spacing w:after="0" w:line="357"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Black -Scholes requires inputs based on certain subjective assumptions, including (i) the expected stock price volatility, (ii) the expected term of the award, (iii) the risk-free interest rate and (iv) expected dividends. Due to</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14" w:name="page215"/>
    <w:bookmarkEnd w:id="214"/>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the lack of a public market for Prior Century’s common stock and lack of company-specific historical and implied volatility data, Prior Century has based its computation of expected volatility on the historical volatility of a representative group of public companies with similar characteristics to Prior Century, including stage of product development and life science industry focus. The historical volatility is calculated based on a period of time commensurate with expected term assumption. Prior Century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 -free interest rate is based on U.S. Treasury securities with a maturity date commensurate with the expected term of the associated award. The expected dividend yield is assumed to be zero as Prior Century has never paid dividends and has no current plans to pay any dividends on its common stock. Forfeitures are recognized as they occur.</w:t>
      </w:r>
    </w:p>
    <w:p>
      <w:pPr>
        <w:spacing w:after="0" w:line="345" w:lineRule="exact"/>
        <w:rPr>
          <w:sz w:val="20"/>
          <w:szCs w:val="20"/>
          <w:color w:val="auto"/>
        </w:rPr>
      </w:pPr>
    </w:p>
    <w:p>
      <w:pPr>
        <w:ind w:left="1260" w:right="579"/>
        <w:spacing w:after="0" w:line="250" w:lineRule="auto"/>
        <w:rPr>
          <w:sz w:val="20"/>
          <w:szCs w:val="20"/>
          <w:color w:val="auto"/>
        </w:rPr>
      </w:pPr>
      <w:r>
        <w:rPr>
          <w:rFonts w:ascii="Arial" w:cs="Arial" w:eastAsia="Arial" w:hAnsi="Arial"/>
          <w:sz w:val="18"/>
          <w:szCs w:val="18"/>
          <w:color w:val="auto"/>
        </w:rPr>
        <w:t>Due to the absence of an active market for Prior Century’s common stock, Prior Century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Prior Century has considered the estimated fair value of the common stock as of the measurement date. The estimated fair value of the common stock has been determined at each grant date based upon a variety of factors, including the illiquid nature of the common stock, arm’s- length sales of the common stock, the effect of the rights and preferences of the preferred shareholders, and the prospects of a liquidity event. Among other factors are Prior Century’s financial position and historical financial performance, the status of technological developments within Prior Century’s research, the composition and ability of the current research and management team, an evaluation or benchmark of Prior Century’s competition, and the current business climate in the marketplace. Significant changes to the key assumptions underlying the factors used could result in different fair values of common stock at each valuation date.</w:t>
      </w:r>
    </w:p>
    <w:p>
      <w:pPr>
        <w:spacing w:after="0" w:line="3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Warrants</w:t>
      </w:r>
    </w:p>
    <w:p>
      <w:pPr>
        <w:spacing w:after="0" w:line="178"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 xml:space="preserve">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as either derivative liabilities or as equity instruments depending on the specific terms of the warrant agreement. The Company’s warrants issued in connection with its long-term debt are equity classified on the accompanying consolidated balance sheets. Equity classified warrants are accounted for at fair value on the issuance date, using Black Scholes, with no changes in fair value recognized after the issuance date.</w:t>
      </w:r>
    </w:p>
    <w:p>
      <w:pPr>
        <w:spacing w:after="0" w:line="3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8"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28"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78"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color w:val="auto"/>
        </w:rPr>
        <w:t>The Company is organized as a limited liability company, which is considered a passthrough entity for federal and state income tax purposes. As such, any taxable income or loss realized by the Company is allocated to the</w:t>
      </w:r>
    </w:p>
    <w:p>
      <w:pPr>
        <w:sectPr>
          <w:pgSz w:w="11900" w:h="16838" w:orient="portrait"/>
          <w:cols w:equalWidth="0" w:num="1">
            <w:col w:w="9859"/>
          </w:cols>
          <w:pgMar w:left="600" w:top="132" w:right="1440" w:bottom="847" w:gutter="0" w:footer="0" w:header="0"/>
        </w:sectPr>
      </w:pPr>
    </w:p>
    <w:p>
      <w:pPr>
        <w:spacing w:after="0" w:line="200" w:lineRule="exact"/>
        <w:rPr>
          <w:sz w:val="20"/>
          <w:szCs w:val="20"/>
          <w:color w:val="auto"/>
        </w:rPr>
      </w:pPr>
    </w:p>
    <w:p>
      <w:pPr>
        <w:spacing w:after="0" w:line="20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847" w:gutter="0" w:footer="0" w:header="0"/>
          <w:type w:val="continuous"/>
        </w:sectPr>
      </w:pPr>
    </w:p>
    <w:bookmarkStart w:id="215" w:name="page216"/>
    <w:bookmarkEnd w:id="215"/>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599"/>
        <w:spacing w:after="0" w:line="267" w:lineRule="auto"/>
        <w:rPr>
          <w:sz w:val="20"/>
          <w:szCs w:val="20"/>
          <w:color w:val="auto"/>
        </w:rPr>
      </w:pPr>
      <w:r>
        <w:rPr>
          <w:rFonts w:ascii="Arial" w:cs="Arial" w:eastAsia="Arial" w:hAnsi="Arial"/>
          <w:sz w:val="18"/>
          <w:szCs w:val="18"/>
          <w:color w:val="auto"/>
        </w:rPr>
        <w:t>Members’ in accordance with their respective membership interest and reported on their individual tax returns. Therefore, no provisions or liability for income taxes is necessary in the accompanying consolidated financial statements. Prior Century was a C-Corporation in the predecessor period and had losses of $6,002 and a full valuation allowance as realization of the related tax benefits was not more likely than not.</w:t>
      </w:r>
    </w:p>
    <w:p>
      <w:pPr>
        <w:spacing w:after="0" w:line="127"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color w:val="auto"/>
        </w:rPr>
        <w:t>The Company records uncertain tax positions as liabilities in accordance with ASC 740 and adjusts these liabilities when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2020 and 2019, the Company has not recorded any uncertain tax positions in its consolidated financial statements.</w:t>
      </w:r>
    </w:p>
    <w:p>
      <w:pPr>
        <w:spacing w:after="0" w:line="142"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statement of operations. As of December 31, 2020 and 2019, no accrued interest or penalties are recorded in the consolidated balance sheets.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4"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In March 2020, the Financial Accounting Standards Board (“FASB”) issued ASU 2020-03, “Codification Improvements to Financial Instruments” (“ASU 2020-03”). ASU 2020-03 improves and clarifies various financial instruments topics. ASU 2020-03 includes seven different issues that describe the areas of improvement and the related amendments to U.S. GAAP, intended to make the standards easier to understand and apply by eliminating inconsistencies and providing clarifications. The Company adopted ASU 2020-03, effective January 1, 2020, which did not have a material effect on the Company’s consolidated financial statements.</w:t>
      </w:r>
    </w:p>
    <w:p>
      <w:pPr>
        <w:spacing w:after="0" w:line="130"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In February 2016, the FASB issued ASU 2016-02 Leases (ASC 842). In July 2018, the FASB issued ASU No. 2018-10, “Codification Improvements to Topic 842, Leases” (ASU 2018-10), which provides narrow 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Topic 840, Leases. ASC 842 establishes a right-of-use model that requires a lessee to record a right-of-use (“ROU”) asset and a lease liability on the balance sheet for all leases. Under ASC 842, leases are classified as either finance or operating, with classification affecting the pattern of expense recognition in the income statement. The standard also requires disclosures to help investors and other financial statement users better understand the amount, timing and uncertainty of cash flows arising from leases. The Company adopted ASC 842 on January 1, 2020 using the modified retrospective transition method. Prior period results continue to be presented under ASC 840 based on the accounting standards originally in effect for such periods.</w:t>
      </w:r>
    </w:p>
    <w:p>
      <w:pPr>
        <w:spacing w:after="0" w:line="367"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The Company has elected certain practical expedients permitted under the transition guidance within ASC 842 to leases that commenced before January 1, 2020, including the package of practical expedients. The election of the package of practical expedients resulted in the Company not reassessing prior conclusions under ASC 840 related to lease identification, lease classification and initial direct costs for expired and existing leases prior to January 1, 2020. The Company also elected the practical expedient to not record short-term leases on its consolidated balance sheet and to combine lease and non-lease components into a single lease component when measuring its leases. The adoption of ASU 2016-02 did not have a significant impact on the Company’s consolidated results of operations or cash flows. Upon adoption, the Company did not recognize a ROU asset and lease liability as no leases with an original term greater than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12 months commenced prior to January 1, 2020. For the Successor period ended December 31,</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 the initial ROU asset and lease liability recognized was $9,735.</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16" w:name="page217"/>
    <w:bookmarkEnd w:id="216"/>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Recent Accounting Pronouncements</w:t>
      </w:r>
    </w:p>
    <w:p>
      <w:pPr>
        <w:spacing w:after="0" w:line="147"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is currently evaluating the impact that the adoption of this new standard will have on its consolidated financial statements.</w:t>
      </w:r>
    </w:p>
    <w:p>
      <w:pPr>
        <w:spacing w:after="0" w:line="141"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is currently evaluating the impact the adoption of ASU 2020-06 will have on the consolidated financial statements.</w:t>
      </w:r>
    </w:p>
    <w:p>
      <w:pPr>
        <w:spacing w:after="0" w:line="359"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In October 2020, the FASB issued ASU No. 2020- 08, Codification Improvements to Subtopic 310-20, Receivables—Nonrefundable Fees and Other Costs (“ASU 2020- 08”), and ASU No. 2020-10, Codification Improvements (“ASU 2020-10”). ASU 2020-08 and ASU 2020-10 provide changes to clarify or improve existing guidance. This guidance is effective for fiscal years beginning after December 15, 2021, including interim periods within those fiscal years. Early adoption is not permitted. The Company is currently evaluating the impact that ASU 2020-08 and ASU 2020-10 will have on our consolidated financial statements and disclosures.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3—Initial capitalization</w:t>
      </w:r>
    </w:p>
    <w:p>
      <w:pPr>
        <w:spacing w:after="0" w:line="142"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color w:val="auto"/>
        </w:rPr>
        <w:t>On June 21, 2019, Prior Century and Bayer entered into a Commitment Agreement to initially capitalize the Company. The Commitment Agreement called for capital contributions from Prior Century and Bayer as follows: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Century Capital Contributions</w:t>
      </w:r>
    </w:p>
    <w:p>
      <w:pPr>
        <w:spacing w:after="0" w:line="165" w:lineRule="exact"/>
        <w:rPr>
          <w:sz w:val="20"/>
          <w:szCs w:val="20"/>
          <w:color w:val="auto"/>
        </w:rPr>
      </w:pPr>
    </w:p>
    <w:p>
      <w:pPr>
        <w:ind w:left="1260" w:right="1079"/>
        <w:spacing w:after="0" w:line="254" w:lineRule="auto"/>
        <w:rPr>
          <w:sz w:val="20"/>
          <w:szCs w:val="20"/>
          <w:color w:val="auto"/>
        </w:rPr>
      </w:pPr>
      <w:r>
        <w:rPr>
          <w:rFonts w:ascii="Arial" w:cs="Arial" w:eastAsia="Arial" w:hAnsi="Arial"/>
          <w:sz w:val="18"/>
          <w:szCs w:val="18"/>
          <w:color w:val="auto"/>
        </w:rPr>
        <w:t>In exchange for issuing 67,226,891 common units to Prior Century, the Company acquired substantially all of Prior Century’s assets, assumed all of its liabilities and assumed the operations of Prior Century.</w:t>
      </w:r>
    </w:p>
    <w:p>
      <w:pPr>
        <w:spacing w:after="0" w:line="137" w:lineRule="exact"/>
        <w:rPr>
          <w:sz w:val="20"/>
          <w:szCs w:val="20"/>
          <w:color w:val="auto"/>
        </w:rPr>
      </w:pPr>
    </w:p>
    <w:p>
      <w:pPr>
        <w:ind w:left="1260" w:right="619"/>
        <w:spacing w:after="0" w:line="251" w:lineRule="auto"/>
        <w:rPr>
          <w:sz w:val="20"/>
          <w:szCs w:val="20"/>
          <w:color w:val="auto"/>
        </w:rPr>
      </w:pPr>
      <w:r>
        <w:rPr>
          <w:rFonts w:ascii="Arial" w:cs="Arial" w:eastAsia="Arial" w:hAnsi="Arial"/>
          <w:sz w:val="18"/>
          <w:szCs w:val="18"/>
          <w:color w:val="auto"/>
        </w:rPr>
        <w:t>The Company evaluated the acquisition under the guidance within ASU 2017- 01,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26"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121285</wp:posOffset>
            </wp:positionV>
            <wp:extent cx="51936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4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 June 21, 2019</w:t>
            </w:r>
          </w:p>
        </w:tc>
      </w:tr>
      <w:tr>
        <w:trPr>
          <w:trHeight w:val="22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25,163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IPR&amp;D</w:t>
            </w:r>
          </w:p>
        </w:tc>
        <w:tc>
          <w:tcPr>
            <w:tcW w:w="3760" w:type="dxa"/>
            <w:vAlign w:val="bottom"/>
          </w:tcPr>
          <w:p>
            <w:pPr>
              <w:jc w:val="right"/>
              <w:spacing w:after="0"/>
              <w:rPr>
                <w:sz w:val="20"/>
                <w:szCs w:val="20"/>
                <w:color w:val="auto"/>
              </w:rPr>
            </w:pPr>
            <w:r>
              <w:rPr>
                <w:rFonts w:ascii="Arial" w:cs="Arial" w:eastAsia="Arial" w:hAnsi="Arial"/>
                <w:sz w:val="18"/>
                <w:szCs w:val="18"/>
                <w:color w:val="auto"/>
              </w:rPr>
              <w:t>225,946</w:t>
            </w:r>
          </w:p>
        </w:tc>
      </w:tr>
      <w:tr>
        <w:trPr>
          <w:trHeight w:val="235"/>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0"/>
        </w:trPr>
        <w:tc>
          <w:tcPr>
            <w:tcW w:w="442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59"/>
          </w:cols>
          <w:pgMar w:left="600" w:top="132" w:right="1440" w:bottom="1440" w:gutter="0" w:footer="0" w:header="0"/>
        </w:sectPr>
      </w:pPr>
    </w:p>
    <w:p>
      <w:pPr>
        <w:spacing w:after="0" w:line="2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17" w:name="page218"/>
    <w:bookmarkEnd w:id="217"/>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526415</wp:posOffset>
            </wp:positionV>
            <wp:extent cx="51936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4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 June 21, 2019</w:t>
            </w:r>
          </w:p>
        </w:tc>
      </w:tr>
      <w:tr>
        <w:trPr>
          <w:trHeight w:val="222"/>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7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578</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700" w:type="dxa"/>
            <w:vAlign w:val="bottom"/>
          </w:tcPr>
          <w:p>
            <w:pPr>
              <w:jc w:val="right"/>
              <w:ind w:right="272"/>
              <w:spacing w:after="0"/>
              <w:rPr>
                <w:sz w:val="20"/>
                <w:szCs w:val="20"/>
                <w:color w:val="auto"/>
              </w:rPr>
            </w:pPr>
            <w:r>
              <w:rPr>
                <w:rFonts w:ascii="Arial" w:cs="Arial" w:eastAsia="Arial" w:hAnsi="Arial"/>
                <w:sz w:val="18"/>
                <w:szCs w:val="18"/>
                <w:color w:val="auto"/>
              </w:rPr>
              <w:t>669</w:t>
            </w:r>
          </w:p>
        </w:tc>
      </w:tr>
      <w:tr>
        <w:trPr>
          <w:trHeight w:val="27"/>
        </w:trPr>
        <w:tc>
          <w:tcPr>
            <w:tcW w:w="6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6"/>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(1,283)</w:t>
            </w:r>
          </w:p>
        </w:tc>
      </w:tr>
      <w:tr>
        <w:trPr>
          <w:trHeight w:val="249"/>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$ 252,107</w:t>
            </w:r>
          </w:p>
        </w:tc>
      </w:tr>
    </w:tbl>
    <w:p>
      <w:pPr>
        <w:spacing w:after="0" w:line="147"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As the IPR&amp;D assets have no alternative future use to the Company, the Company charged $225,946 to expense within its consolidated statements of operations.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Bayer Capital Contributions</w:t>
      </w:r>
    </w:p>
    <w:p>
      <w:pPr>
        <w:spacing w:after="0" w:line="165"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 not recorded as a subscription receivable as of December 31, 2020 or 2019. Tranche 2 was eliminated in connection with the Series C preferred financing. See Note 16.</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Bayer Rights</w:t>
      </w:r>
    </w:p>
    <w:p>
      <w:pPr>
        <w:spacing w:after="0" w:line="178" w:lineRule="exact"/>
        <w:rPr>
          <w:sz w:val="20"/>
          <w:szCs w:val="20"/>
          <w:color w:val="auto"/>
        </w:rPr>
      </w:pPr>
    </w:p>
    <w:p>
      <w:pPr>
        <w:jc w:val="both"/>
        <w:ind w:left="1260" w:right="459"/>
        <w:spacing w:after="0" w:line="270" w:lineRule="auto"/>
        <w:rPr>
          <w:sz w:val="20"/>
          <w:szCs w:val="20"/>
          <w:color w:val="auto"/>
        </w:rPr>
      </w:pPr>
      <w:r>
        <w:rPr>
          <w:rFonts w:ascii="Arial" w:cs="Arial" w:eastAsia="Arial" w:hAnsi="Arial"/>
          <w:sz w:val="18"/>
          <w:szCs w:val="18"/>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135" w:lineRule="exact"/>
        <w:rPr>
          <w:sz w:val="20"/>
          <w:szCs w:val="20"/>
          <w:color w:val="auto"/>
        </w:rPr>
      </w:pPr>
    </w:p>
    <w:p>
      <w:pPr>
        <w:ind w:left="1260" w:right="499"/>
        <w:spacing w:after="0" w:line="280" w:lineRule="auto"/>
        <w:rPr>
          <w:sz w:val="20"/>
          <w:szCs w:val="20"/>
          <w:color w:val="auto"/>
        </w:rPr>
      </w:pPr>
      <w:r>
        <w:rPr>
          <w:rFonts w:ascii="Arial" w:cs="Arial" w:eastAsia="Arial" w:hAnsi="Arial"/>
          <w:sz w:val="18"/>
          <w:szCs w:val="18"/>
          <w:color w:val="auto"/>
        </w:rPr>
        <w:t>Tranche 1 was funded in exchange for 26,143,790 common units, with $75,000 paid at closing and the remaining $70,000 due upon the Company meeting certain development milestones or in 3 years.</w:t>
      </w:r>
    </w:p>
    <w:p>
      <w:pPr>
        <w:spacing w:after="0" w:line="3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During 2019, the Company received $74,839 from Tranche 1, net of equity issuance costs of</w:t>
      </w:r>
    </w:p>
    <w:p>
      <w:pPr>
        <w:spacing w:after="0" w:line="22" w:lineRule="exact"/>
        <w:rPr>
          <w:sz w:val="20"/>
          <w:szCs w:val="20"/>
          <w:color w:val="auto"/>
        </w:rPr>
      </w:pPr>
    </w:p>
    <w:p>
      <w:pPr>
        <w:ind w:left="1260" w:right="539"/>
        <w:spacing w:after="0" w:line="275" w:lineRule="auto"/>
        <w:rPr>
          <w:sz w:val="20"/>
          <w:szCs w:val="20"/>
          <w:color w:val="auto"/>
        </w:rPr>
      </w:pPr>
      <w:r>
        <w:rPr>
          <w:rFonts w:ascii="Arial" w:cs="Arial" w:eastAsia="Arial" w:hAnsi="Arial"/>
          <w:sz w:val="18"/>
          <w:szCs w:val="18"/>
          <w:color w:val="auto"/>
        </w:rPr>
        <w:t>$161. The Company accounts for the $70,000 as a subscription receivable, which is recorded as contra-equity within its consolidated statements of members’ equity until received from Bayer.</w:t>
      </w:r>
    </w:p>
    <w:p>
      <w:pPr>
        <w:spacing w:after="0" w:line="131"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Bayer Option Agreement</w:t>
      </w:r>
    </w:p>
    <w:p>
      <w:pPr>
        <w:spacing w:after="0" w:line="178" w:lineRule="exact"/>
        <w:rPr>
          <w:sz w:val="20"/>
          <w:szCs w:val="20"/>
          <w:color w:val="auto"/>
        </w:rPr>
      </w:pPr>
    </w:p>
    <w:p>
      <w:pPr>
        <w:ind w:left="1260" w:right="679"/>
        <w:spacing w:after="0" w:line="270" w:lineRule="auto"/>
        <w:rPr>
          <w:sz w:val="20"/>
          <w:szCs w:val="20"/>
          <w:color w:val="auto"/>
        </w:rPr>
      </w:pPr>
      <w:r>
        <w:rPr>
          <w:rFonts w:ascii="Arial" w:cs="Arial" w:eastAsia="Arial" w:hAnsi="Arial"/>
          <w:sz w:val="18"/>
          <w:szCs w:val="18"/>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4—Asset purchase by Century Therapeutics Canada ULC</w:t>
      </w:r>
    </w:p>
    <w:p>
      <w:pPr>
        <w:spacing w:after="0" w:line="155"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249555</wp:posOffset>
            </wp:positionV>
            <wp:extent cx="679958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18" w:name="page219"/>
    <w:bookmarkEnd w:id="218"/>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right="459"/>
        <w:spacing w:after="0" w:line="270" w:lineRule="auto"/>
        <w:rPr>
          <w:sz w:val="20"/>
          <w:szCs w:val="20"/>
          <w:color w:val="auto"/>
        </w:rPr>
      </w:pPr>
      <w:r>
        <w:rPr>
          <w:rFonts w:ascii="Arial" w:cs="Arial" w:eastAsia="Arial" w:hAnsi="Arial"/>
          <w:sz w:val="18"/>
          <w:szCs w:val="18"/>
          <w:color w:val="auto"/>
        </w:rPr>
        <w:t>Company. As of December 31, 2020, accrued compensation expense on the promissory note was $282, which is presented within accrued expenses and other liabilities on the consolidated balance sheets.</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consideration of the asset acquisition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9, 2020</w:t>
            </w:r>
          </w:p>
        </w:tc>
      </w:tr>
      <w:tr>
        <w:trPr>
          <w:trHeight w:val="222"/>
        </w:trPr>
        <w:tc>
          <w:tcPr>
            <w:tcW w:w="20" w:type="dxa"/>
            <w:vAlign w:val="bottom"/>
          </w:tcPr>
          <w:p>
            <w:pPr>
              <w:spacing w:after="0"/>
              <w:rPr>
                <w:sz w:val="19"/>
                <w:szCs w:val="19"/>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to Sellers at close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$ 4,516</w:t>
            </w:r>
          </w:p>
        </w:tc>
      </w:tr>
      <w:tr>
        <w:trPr>
          <w:trHeight w:val="229"/>
        </w:trPr>
        <w:tc>
          <w:tcPr>
            <w:tcW w:w="7060" w:type="dxa"/>
            <w:vAlign w:val="bottom"/>
            <w:gridSpan w:val="2"/>
          </w:tcPr>
          <w:p>
            <w:pPr>
              <w:spacing w:after="0"/>
              <w:rPr>
                <w:sz w:val="20"/>
                <w:szCs w:val="20"/>
                <w:color w:val="auto"/>
              </w:rPr>
            </w:pPr>
            <w:r>
              <w:rPr>
                <w:rFonts w:ascii="Arial" w:cs="Arial" w:eastAsia="Arial" w:hAnsi="Arial"/>
                <w:sz w:val="18"/>
                <w:szCs w:val="18"/>
                <w:color w:val="auto"/>
              </w:rPr>
              <w:t>Seller expenses paid by the Company</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0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Buyer transaction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2"/>
        </w:trPr>
        <w:tc>
          <w:tcPr>
            <w:tcW w:w="20" w:type="dxa"/>
            <w:vAlign w:val="bottom"/>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consideration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$ 4,722</w:t>
            </w:r>
          </w:p>
        </w:tc>
      </w:tr>
      <w:tr>
        <w:trPr>
          <w:trHeight w:val="235"/>
        </w:trPr>
        <w:tc>
          <w:tcPr>
            <w:tcW w:w="20" w:type="dxa"/>
            <w:vAlign w:val="bottom"/>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IPR&amp;D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$ 4,722</w:t>
            </w:r>
          </w:p>
        </w:tc>
      </w:tr>
      <w:tr>
        <w:trPr>
          <w:trHeight w:val="20"/>
        </w:trPr>
        <w:tc>
          <w:tcPr>
            <w:tcW w:w="20" w:type="dxa"/>
            <w:vAlign w:val="bottom"/>
          </w:tcPr>
          <w:p>
            <w:pPr>
              <w:spacing w:after="0" w:line="20" w:lineRule="exact"/>
              <w:rPr>
                <w:sz w:val="1"/>
                <w:szCs w:val="1"/>
                <w:color w:val="auto"/>
              </w:rPr>
            </w:pPr>
          </w:p>
        </w:tc>
        <w:tc>
          <w:tcPr>
            <w:tcW w:w="7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44761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76115" cy="8255"/>
                    </a:xfrm>
                    <a:prstGeom prst="rect">
                      <a:avLst/>
                    </a:prstGeom>
                    <a:noFill/>
                  </pic:spPr>
                </pic:pic>
              </a:graphicData>
            </a:graphic>
          </wp:anchor>
        </w:drawing>
      </w:r>
    </w:p>
    <w:p>
      <w:pPr>
        <w:spacing w:after="0" w:line="127" w:lineRule="exact"/>
        <w:rPr>
          <w:sz w:val="20"/>
          <w:szCs w:val="20"/>
          <w:color w:val="auto"/>
        </w:rPr>
      </w:pPr>
    </w:p>
    <w:p>
      <w:pPr>
        <w:ind w:left="1260" w:right="619"/>
        <w:spacing w:after="0" w:line="267"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40" w:lineRule="exact"/>
        <w:rPr>
          <w:sz w:val="20"/>
          <w:szCs w:val="20"/>
          <w:color w:val="auto"/>
        </w:rPr>
      </w:pPr>
    </w:p>
    <w:p>
      <w:pPr>
        <w:ind w:left="1260" w:right="939"/>
        <w:spacing w:after="0" w:line="275" w:lineRule="auto"/>
        <w:rPr>
          <w:sz w:val="20"/>
          <w:szCs w:val="20"/>
          <w:color w:val="auto"/>
        </w:rPr>
      </w:pPr>
      <w:r>
        <w:rPr>
          <w:rFonts w:ascii="Arial" w:cs="Arial" w:eastAsia="Arial" w:hAnsi="Arial"/>
          <w:sz w:val="18"/>
          <w:szCs w:val="18"/>
          <w:color w:val="auto"/>
        </w:rPr>
        <w:t>As the IPR&amp;D asset has no alternative future use, the Company charged $4,722 to expense within its consolidated statements of operations for the year ended December 31. 2020.</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5—Financial instruments and fair value measurements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the Company’s assets that were measured at fair value as of</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Level 1</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Level 2</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Level 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2"/>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$24,284</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r>
      <w:tr>
        <w:trPr>
          <w:trHeight w:val="229"/>
        </w:trPr>
        <w:tc>
          <w:tcPr>
            <w:tcW w:w="482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9,525</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9,525</w:t>
            </w:r>
          </w:p>
        </w:tc>
      </w:tr>
      <w:tr>
        <w:trPr>
          <w:trHeight w:val="27"/>
        </w:trPr>
        <w:tc>
          <w:tcPr>
            <w:tcW w:w="48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40,070</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40,070</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$33,809</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$40,070</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$73,879</w:t>
            </w:r>
          </w:p>
        </w:tc>
      </w:tr>
      <w:tr>
        <w:trPr>
          <w:trHeight w:val="39"/>
        </w:trPr>
        <w:tc>
          <w:tcPr>
            <w:tcW w:w="2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the Company’s assets that were measured at fair value as of</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2019,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Level 1</w:t>
            </w:r>
          </w:p>
        </w:tc>
        <w:tc>
          <w:tcPr>
            <w:tcW w:w="9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6"/>
                <w:szCs w:val="16"/>
                <w:b w:val="1"/>
                <w:bCs w:val="1"/>
                <w:color w:val="auto"/>
              </w:rPr>
              <w:t>Level 2</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Level 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2"/>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$42,010</w:t>
            </w:r>
          </w:p>
        </w:tc>
      </w:tr>
      <w:tr>
        <w:trPr>
          <w:trHeight w:val="229"/>
        </w:trPr>
        <w:tc>
          <w:tcPr>
            <w:tcW w:w="482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7,612</w:t>
            </w:r>
          </w:p>
        </w:tc>
        <w:tc>
          <w:tcPr>
            <w:tcW w:w="2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7,612</w:t>
            </w:r>
          </w:p>
        </w:tc>
      </w:tr>
      <w:tr>
        <w:trPr>
          <w:trHeight w:val="27"/>
        </w:trPr>
        <w:tc>
          <w:tcPr>
            <w:tcW w:w="48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33,943</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33,943</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$49,622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33,943</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$83,565</w:t>
            </w:r>
          </w:p>
        </w:tc>
      </w:tr>
      <w:tr>
        <w:trPr>
          <w:trHeight w:val="39"/>
        </w:trPr>
        <w:tc>
          <w:tcPr>
            <w:tcW w:w="2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pacing w:after="0" w:line="147" w:lineRule="exact"/>
        <w:rPr>
          <w:sz w:val="20"/>
          <w:szCs w:val="20"/>
          <w:color w:val="auto"/>
        </w:rPr>
      </w:pPr>
    </w:p>
    <w:p>
      <w:pPr>
        <w:jc w:val="both"/>
        <w:ind w:left="1260" w:right="619"/>
        <w:spacing w:after="0" w:line="270" w:lineRule="auto"/>
        <w:rPr>
          <w:sz w:val="20"/>
          <w:szCs w:val="20"/>
          <w:color w:val="auto"/>
        </w:rPr>
      </w:pPr>
      <w:r>
        <w:rPr>
          <w:rFonts w:ascii="Arial" w:cs="Arial" w:eastAsia="Arial" w:hAnsi="Arial"/>
          <w:sz w:val="18"/>
          <w:szCs w:val="18"/>
          <w:color w:val="auto"/>
        </w:rPr>
        <w:t>There were no transfers between levels during the period ended December 31, 2020 and 2019. The Company uses the services of its investment manager, which uses widely accepted models for assumptions in valuing securities with inputs from major third-party data providers.</w:t>
      </w:r>
    </w:p>
    <w:p>
      <w:pPr>
        <w:spacing w:after="0" w:line="122" w:lineRule="exact"/>
        <w:rPr>
          <w:sz w:val="20"/>
          <w:szCs w:val="20"/>
          <w:color w:val="auto"/>
        </w:rPr>
      </w:pPr>
    </w:p>
    <w:p>
      <w:pPr>
        <w:ind w:left="1260" w:right="779"/>
        <w:spacing w:after="0" w:line="275"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859"/>
        <w:spacing w:after="0" w:line="29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2020:</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36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left="216"/>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Gross</w:t>
            </w: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188"/>
        </w:trPr>
        <w:tc>
          <w:tcPr>
            <w:tcW w:w="3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Unrealized</w:t>
            </w:r>
          </w:p>
        </w:tc>
        <w:tc>
          <w:tcPr>
            <w:tcW w:w="1140" w:type="dxa"/>
            <w:vAlign w:val="bottom"/>
          </w:tcPr>
          <w:p>
            <w:pPr>
              <w:jc w:val="right"/>
              <w:ind w:right="115"/>
              <w:spacing w:after="0"/>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7"/>
        </w:trPr>
        <w:tc>
          <w:tcPr>
            <w:tcW w:w="36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Amortized Cost</w:t>
            </w:r>
          </w:p>
        </w:tc>
        <w:tc>
          <w:tcPr>
            <w:tcW w:w="1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Gains</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Losses</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22"/>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9,518</w:t>
            </w:r>
          </w:p>
        </w:tc>
        <w:tc>
          <w:tcPr>
            <w:tcW w:w="780" w:type="dxa"/>
            <w:vAlign w:val="bottom"/>
            <w:tcBorders>
              <w:bottom w:val="single" w:sz="8" w:color="CCEEFF"/>
            </w:tcBorders>
            <w:shd w:val="clear" w:color="auto" w:fill="CCEEFF"/>
          </w:tcPr>
          <w:p>
            <w:pPr>
              <w:jc w:val="center"/>
              <w:ind w:left="5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r>
      <w:tr>
        <w:trPr>
          <w:trHeight w:val="23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bonds</w:t>
            </w:r>
          </w:p>
        </w:tc>
        <w:tc>
          <w:tcPr>
            <w:tcW w:w="7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40,069</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40,070</w:t>
            </w:r>
          </w:p>
        </w:tc>
      </w:tr>
      <w:tr>
        <w:trPr>
          <w:trHeight w:val="236"/>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49,587</w:t>
            </w:r>
          </w:p>
        </w:tc>
        <w:tc>
          <w:tcPr>
            <w:tcW w:w="780" w:type="dxa"/>
            <w:vAlign w:val="bottom"/>
            <w:tcBorders>
              <w:bottom w:val="single" w:sz="8" w:color="CCEEFF"/>
            </w:tcBorders>
            <w:shd w:val="clear" w:color="auto" w:fill="CCEEFF"/>
          </w:tcPr>
          <w:p>
            <w:pPr>
              <w:jc w:val="center"/>
              <w:ind w:left="5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49,595</w:t>
            </w:r>
          </w:p>
        </w:tc>
      </w:tr>
      <w:tr>
        <w:trPr>
          <w:trHeight w:val="20"/>
        </w:trPr>
        <w:tc>
          <w:tcPr>
            <w:tcW w:w="3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22891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54" w:lineRule="exact"/>
        <w:rPr>
          <w:sz w:val="20"/>
          <w:szCs w:val="20"/>
          <w:color w:val="auto"/>
        </w:rPr>
      </w:pPr>
    </w:p>
    <w:p>
      <w:pPr>
        <w:ind w:left="1260" w:right="859"/>
        <w:spacing w:after="0" w:line="29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2019:</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36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Gross</w:t>
            </w: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188"/>
        </w:trPr>
        <w:tc>
          <w:tcPr>
            <w:tcW w:w="3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jc w:val="right"/>
              <w:ind w:right="75"/>
              <w:spacing w:after="0"/>
              <w:rPr>
                <w:sz w:val="20"/>
                <w:szCs w:val="20"/>
                <w:color w:val="auto"/>
              </w:rPr>
            </w:pPr>
            <w:r>
              <w:rPr>
                <w:rFonts w:ascii="Arial" w:cs="Arial" w:eastAsia="Arial" w:hAnsi="Arial"/>
                <w:sz w:val="16"/>
                <w:szCs w:val="16"/>
                <w:b w:val="1"/>
                <w:bCs w:val="1"/>
                <w:color w:val="auto"/>
              </w:rPr>
              <w:t>Unrealized</w:t>
            </w:r>
          </w:p>
        </w:tc>
        <w:tc>
          <w:tcPr>
            <w:tcW w:w="1140" w:type="dxa"/>
            <w:vAlign w:val="bottom"/>
          </w:tcPr>
          <w:p>
            <w:pPr>
              <w:jc w:val="right"/>
              <w:ind w:right="115"/>
              <w:spacing w:after="0"/>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7"/>
        </w:trPr>
        <w:tc>
          <w:tcPr>
            <w:tcW w:w="36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Amortized Cost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Gains</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Losses</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22"/>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7,612</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7,612</w:t>
            </w:r>
          </w:p>
        </w:tc>
      </w:tr>
      <w:tr>
        <w:trPr>
          <w:trHeight w:val="23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bonds</w:t>
            </w:r>
          </w:p>
        </w:tc>
        <w:tc>
          <w:tcPr>
            <w:tcW w:w="7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33,946</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33,943</w:t>
            </w:r>
          </w:p>
        </w:tc>
      </w:tr>
      <w:tr>
        <w:trPr>
          <w:trHeight w:val="236"/>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41,558</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41,555</w:t>
            </w:r>
          </w:p>
        </w:tc>
      </w:tr>
      <w:tr>
        <w:trPr>
          <w:trHeight w:val="20"/>
        </w:trPr>
        <w:tc>
          <w:tcPr>
            <w:tcW w:w="3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22891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800" w:type="dxa"/>
            <w:vAlign w:val="bottom"/>
          </w:tcPr>
          <w:p>
            <w:pPr>
              <w:spacing w:after="0"/>
              <w:rPr>
                <w:sz w:val="19"/>
                <w:szCs w:val="19"/>
                <w:color w:val="auto"/>
              </w:rPr>
            </w:pPr>
          </w:p>
        </w:tc>
        <w:tc>
          <w:tcPr>
            <w:tcW w:w="3380" w:type="dxa"/>
            <w:vAlign w:val="bottom"/>
            <w:tcBorders>
              <w:bottom w:val="single" w:sz="8" w:color="auto"/>
            </w:tcBorders>
            <w:gridSpan w:val="2"/>
          </w:tcPr>
          <w:p>
            <w:pPr>
              <w:jc w:val="right"/>
              <w:ind w:right="1133"/>
              <w:spacing w:after="0"/>
              <w:rPr>
                <w:sz w:val="20"/>
                <w:szCs w:val="20"/>
                <w:color w:val="auto"/>
              </w:rPr>
            </w:pPr>
            <w:r>
              <w:rPr>
                <w:rFonts w:ascii="Arial" w:cs="Arial" w:eastAsia="Arial" w:hAnsi="Arial"/>
                <w:sz w:val="16"/>
                <w:szCs w:val="16"/>
                <w:b w:val="1"/>
                <w:bCs w:val="1"/>
                <w:color w:val="auto"/>
              </w:rPr>
              <w:t>Successor</w:t>
            </w:r>
          </w:p>
        </w:tc>
      </w:tr>
      <w:tr>
        <w:trPr>
          <w:trHeight w:val="215"/>
        </w:trPr>
        <w:tc>
          <w:tcPr>
            <w:tcW w:w="48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December 31, 2020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16"/>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$ 48,542</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$ 37,475</w:t>
            </w:r>
          </w:p>
        </w:tc>
      </w:tr>
      <w:tr>
        <w:trPr>
          <w:trHeight w:val="23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One to five years</w:t>
            </w:r>
          </w:p>
        </w:tc>
        <w:tc>
          <w:tcPr>
            <w:tcW w:w="1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1,053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r>
      <w:tr>
        <w:trPr>
          <w:trHeight w:val="236"/>
        </w:trPr>
        <w:tc>
          <w:tcPr>
            <w:tcW w:w="48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$ 49,595</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$ 41,555</w:t>
            </w:r>
          </w:p>
        </w:tc>
      </w:tr>
      <w:tr>
        <w:trPr>
          <w:trHeight w:val="20"/>
        </w:trPr>
        <w:tc>
          <w:tcPr>
            <w:tcW w:w="48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30410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041015" cy="8255"/>
                    </a:xfrm>
                    <a:prstGeom prst="rect">
                      <a:avLst/>
                    </a:prstGeom>
                    <a:noFill/>
                  </pic:spPr>
                </pic:pic>
              </a:graphicData>
            </a:graphic>
          </wp:anchor>
        </w:drawing>
      </w:r>
    </w:p>
    <w:p>
      <w:pPr>
        <w:spacing w:after="0" w:line="141" w:lineRule="exact"/>
        <w:rPr>
          <w:sz w:val="20"/>
          <w:szCs w:val="20"/>
          <w:color w:val="auto"/>
        </w:rPr>
      </w:pPr>
    </w:p>
    <w:p>
      <w:pPr>
        <w:ind w:left="1260" w:right="459"/>
        <w:spacing w:after="0" w:line="286"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9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6—Prepaid expenses and other current assets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Successor</w:t>
            </w:r>
          </w:p>
        </w:tc>
        <w:tc>
          <w:tcPr>
            <w:tcW w:w="520" w:type="dxa"/>
            <w:vAlign w:val="bottom"/>
            <w:tcBorders>
              <w:bottom w:val="single" w:sz="8" w:color="auto"/>
            </w:tcBorders>
          </w:tcPr>
          <w:p>
            <w:pPr>
              <w:spacing w:after="0"/>
              <w:rPr>
                <w:sz w:val="19"/>
                <w:szCs w:val="19"/>
                <w:color w:val="auto"/>
              </w:rPr>
            </w:pPr>
          </w:p>
        </w:tc>
      </w:tr>
      <w:tr>
        <w:trPr>
          <w:trHeight w:val="170"/>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40" w:type="dxa"/>
            <w:vAlign w:val="bottom"/>
            <w:gridSpan w:val="2"/>
          </w:tcPr>
          <w:p>
            <w:pPr>
              <w:jc w:val="center"/>
              <w:spacing w:after="0" w:line="171" w:lineRule="exact"/>
              <w:rPr>
                <w:sz w:val="20"/>
                <w:szCs w:val="20"/>
                <w:color w:val="auto"/>
              </w:rPr>
            </w:pPr>
            <w:r>
              <w:rPr>
                <w:rFonts w:ascii="Arial" w:cs="Arial" w:eastAsia="Arial" w:hAnsi="Arial"/>
                <w:sz w:val="16"/>
                <w:szCs w:val="16"/>
                <w:b w:val="1"/>
                <w:bCs w:val="1"/>
                <w:color w:val="auto"/>
              </w:rPr>
              <w:t>December 31,</w:t>
            </w:r>
          </w:p>
        </w:tc>
        <w:tc>
          <w:tcPr>
            <w:tcW w:w="1260" w:type="dxa"/>
            <w:vAlign w:val="bottom"/>
            <w:gridSpan w:val="2"/>
          </w:tcPr>
          <w:p>
            <w:pPr>
              <w:jc w:val="center"/>
              <w:spacing w:after="0" w:line="171" w:lineRule="exact"/>
              <w:rPr>
                <w:sz w:val="20"/>
                <w:szCs w:val="20"/>
                <w:color w:val="auto"/>
              </w:rPr>
            </w:pPr>
            <w:r>
              <w:rPr>
                <w:rFonts w:ascii="Arial" w:cs="Arial" w:eastAsia="Arial" w:hAnsi="Arial"/>
                <w:sz w:val="16"/>
                <w:szCs w:val="16"/>
                <w:b w:val="1"/>
                <w:bCs w:val="1"/>
                <w:color w:val="auto"/>
              </w:rPr>
              <w:t>December 31,</w:t>
            </w:r>
          </w:p>
        </w:tc>
      </w:tr>
      <w:tr>
        <w:trPr>
          <w:trHeight w:val="227"/>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2"/>
        </w:trPr>
        <w:tc>
          <w:tcPr>
            <w:tcW w:w="2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74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Software licenses and other</w:t>
            </w:r>
          </w:p>
        </w:tc>
        <w:tc>
          <w:tcPr>
            <w:tcW w:w="74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760</w:t>
            </w: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55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receivables</w:t>
            </w:r>
          </w:p>
        </w:tc>
        <w:tc>
          <w:tcPr>
            <w:tcW w:w="7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c>
          <w:tcPr>
            <w:tcW w:w="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Warranties</w:t>
            </w:r>
          </w:p>
        </w:tc>
        <w:tc>
          <w:tcPr>
            <w:tcW w:w="74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7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740" w:type="dxa"/>
            <w:vAlign w:val="bottom"/>
          </w:tcPr>
          <w:p>
            <w:pPr>
              <w:jc w:val="center"/>
              <w:ind w:left="43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2,261</w:t>
            </w:r>
          </w:p>
        </w:tc>
        <w:tc>
          <w:tcPr>
            <w:tcW w:w="740" w:type="dxa"/>
            <w:vAlign w:val="bottom"/>
          </w:tcPr>
          <w:p>
            <w:pPr>
              <w:jc w:val="center"/>
              <w:ind w:left="4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2,583</w:t>
            </w:r>
          </w:p>
        </w:tc>
      </w:tr>
      <w:tr>
        <w:trPr>
          <w:trHeight w:val="39"/>
        </w:trPr>
        <w:tc>
          <w:tcPr>
            <w:tcW w:w="20" w:type="dxa"/>
            <w:vAlign w:val="bottom"/>
            <w:tcBorders>
              <w:bottom w:val="single" w:sz="8" w:color="auto"/>
            </w:tcBorders>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7—Property and equipment, net</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is a summary of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Successor</w:t>
            </w: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0"/>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80" w:type="dxa"/>
            <w:vAlign w:val="bottom"/>
            <w:gridSpan w:val="2"/>
          </w:tcPr>
          <w:p>
            <w:pPr>
              <w:jc w:val="right"/>
              <w:ind w:right="92"/>
              <w:spacing w:after="0" w:line="171" w:lineRule="exact"/>
              <w:rPr>
                <w:sz w:val="20"/>
                <w:szCs w:val="20"/>
                <w:color w:val="auto"/>
              </w:rPr>
            </w:pPr>
            <w:r>
              <w:rPr>
                <w:rFonts w:ascii="Arial" w:cs="Arial" w:eastAsia="Arial" w:hAnsi="Arial"/>
                <w:sz w:val="16"/>
                <w:szCs w:val="16"/>
                <w:b w:val="1"/>
                <w:bCs w:val="1"/>
                <w:color w:val="auto"/>
              </w:rPr>
              <w:t>December 31,</w:t>
            </w:r>
          </w:p>
        </w:tc>
        <w:tc>
          <w:tcPr>
            <w:tcW w:w="1220" w:type="dxa"/>
            <w:vAlign w:val="bottom"/>
            <w:gridSpan w:val="2"/>
          </w:tcPr>
          <w:p>
            <w:pPr>
              <w:jc w:val="center"/>
              <w:spacing w:after="0" w:line="171"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Lab equipment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8,941</w:t>
            </w:r>
          </w:p>
        </w:tc>
        <w:tc>
          <w:tcPr>
            <w:tcW w:w="700" w:type="dxa"/>
            <w:vAlign w:val="bottom"/>
            <w:tcBorders>
              <w:bottom w:val="single" w:sz="8" w:color="CCEEFF"/>
            </w:tcBorders>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60" w:type="dxa"/>
            <w:vAlign w:val="bottom"/>
          </w:tcPr>
          <w:p>
            <w:pPr>
              <w:spacing w:after="0"/>
              <w:rPr>
                <w:sz w:val="19"/>
                <w:szCs w:val="19"/>
                <w:color w:val="auto"/>
              </w:rPr>
            </w:pP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1,964</w:t>
            </w: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r>
      <w:tr>
        <w:trPr>
          <w:trHeight w:val="27"/>
        </w:trPr>
        <w:tc>
          <w:tcPr>
            <w:tcW w:w="55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5,771</w:t>
            </w:r>
          </w:p>
        </w:tc>
        <w:tc>
          <w:tcPr>
            <w:tcW w:w="7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Computer software and equipment</w:t>
            </w:r>
          </w:p>
        </w:tc>
        <w:tc>
          <w:tcPr>
            <w:tcW w:w="6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214</w:t>
            </w:r>
          </w:p>
        </w:tc>
        <w:tc>
          <w:tcPr>
            <w:tcW w:w="7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76</w:t>
            </w:r>
          </w:p>
        </w:tc>
        <w:tc>
          <w:tcPr>
            <w:tcW w:w="7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16,966</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2,667</w:t>
            </w:r>
          </w:p>
        </w:tc>
        <w:tc>
          <w:tcPr>
            <w:tcW w:w="60" w:type="dxa"/>
            <w:vAlign w:val="bottom"/>
          </w:tcPr>
          <w:p>
            <w:pPr>
              <w:spacing w:after="0"/>
              <w:rPr>
                <w:sz w:val="18"/>
                <w:szCs w:val="18"/>
                <w:color w:val="auto"/>
              </w:rPr>
            </w:pPr>
          </w:p>
        </w:tc>
      </w:tr>
      <w:tr>
        <w:trPr>
          <w:trHeight w:val="26"/>
        </w:trPr>
        <w:tc>
          <w:tcPr>
            <w:tcW w:w="55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7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15,385</w:t>
            </w:r>
          </w:p>
        </w:tc>
        <w:tc>
          <w:tcPr>
            <w:tcW w:w="700" w:type="dxa"/>
            <w:vAlign w:val="bottom"/>
          </w:tcPr>
          <w:p>
            <w:pPr>
              <w:jc w:val="center"/>
              <w:ind w:left="39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2,488</w:t>
            </w:r>
          </w:p>
        </w:tc>
        <w:tc>
          <w:tcPr>
            <w:tcW w:w="60" w:type="dxa"/>
            <w:vAlign w:val="bottom"/>
          </w:tcPr>
          <w:p>
            <w:pPr>
              <w:spacing w:after="0"/>
              <w:rPr>
                <w:sz w:val="18"/>
                <w:szCs w:val="18"/>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bl>
    <w:p>
      <w:pPr>
        <w:spacing w:after="0" w:line="134" w:lineRule="exact"/>
        <w:rPr>
          <w:sz w:val="20"/>
          <w:szCs w:val="20"/>
          <w:color w:val="auto"/>
        </w:rPr>
      </w:pPr>
    </w:p>
    <w:p>
      <w:pPr>
        <w:jc w:val="both"/>
        <w:ind w:left="1260" w:right="539"/>
        <w:spacing w:after="0" w:line="254" w:lineRule="auto"/>
        <w:rPr>
          <w:sz w:val="20"/>
          <w:szCs w:val="20"/>
          <w:color w:val="auto"/>
        </w:rPr>
      </w:pPr>
      <w:r>
        <w:rPr>
          <w:rFonts w:ascii="Arial" w:cs="Arial" w:eastAsia="Arial" w:hAnsi="Arial"/>
          <w:sz w:val="18"/>
          <w:szCs w:val="18"/>
          <w:color w:val="auto"/>
        </w:rPr>
        <w:t>Depreciation expense was $1,402 and $179 for the Successor period ended December 31, 2020 and the Successor period June 21, 2019 through December 31, 2019, respectively. Depreciation expense for the Predecessor period January 1, 2019 through June 20, 2019 was $70.</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8—Accrued expenses and other liabilities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is a summary of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Successor</w:t>
            </w:r>
          </w:p>
        </w:tc>
        <w:tc>
          <w:tcPr>
            <w:tcW w:w="520" w:type="dxa"/>
            <w:vAlign w:val="bottom"/>
            <w:tcBorders>
              <w:bottom w:val="single" w:sz="8" w:color="auto"/>
            </w:tcBorders>
          </w:tcPr>
          <w:p>
            <w:pPr>
              <w:spacing w:after="0"/>
              <w:rPr>
                <w:sz w:val="19"/>
                <w:szCs w:val="19"/>
                <w:color w:val="auto"/>
              </w:rPr>
            </w:pPr>
          </w:p>
        </w:tc>
      </w:tr>
      <w:tr>
        <w:trPr>
          <w:trHeight w:val="170"/>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40" w:type="dxa"/>
            <w:vAlign w:val="bottom"/>
            <w:gridSpan w:val="2"/>
          </w:tcPr>
          <w:p>
            <w:pPr>
              <w:jc w:val="center"/>
              <w:spacing w:after="0" w:line="171" w:lineRule="exact"/>
              <w:rPr>
                <w:sz w:val="20"/>
                <w:szCs w:val="20"/>
                <w:color w:val="auto"/>
              </w:rPr>
            </w:pPr>
            <w:r>
              <w:rPr>
                <w:rFonts w:ascii="Arial" w:cs="Arial" w:eastAsia="Arial" w:hAnsi="Arial"/>
                <w:sz w:val="16"/>
                <w:szCs w:val="16"/>
                <w:b w:val="1"/>
                <w:bCs w:val="1"/>
                <w:color w:val="auto"/>
              </w:rPr>
              <w:t>December 31,</w:t>
            </w:r>
          </w:p>
        </w:tc>
        <w:tc>
          <w:tcPr>
            <w:tcW w:w="1260" w:type="dxa"/>
            <w:vAlign w:val="bottom"/>
            <w:gridSpan w:val="2"/>
          </w:tcPr>
          <w:p>
            <w:pPr>
              <w:jc w:val="center"/>
              <w:spacing w:after="0" w:line="171" w:lineRule="exact"/>
              <w:rPr>
                <w:sz w:val="20"/>
                <w:szCs w:val="20"/>
                <w:color w:val="auto"/>
              </w:rPr>
            </w:pPr>
            <w:r>
              <w:rPr>
                <w:rFonts w:ascii="Arial" w:cs="Arial" w:eastAsia="Arial" w:hAnsi="Arial"/>
                <w:sz w:val="16"/>
                <w:szCs w:val="16"/>
                <w:b w:val="1"/>
                <w:bCs w:val="1"/>
                <w:color w:val="auto"/>
              </w:rPr>
              <w:t>December 31,</w:t>
            </w:r>
          </w:p>
        </w:tc>
      </w:tr>
      <w:tr>
        <w:trPr>
          <w:trHeight w:val="227"/>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2"/>
        </w:trPr>
        <w:tc>
          <w:tcPr>
            <w:tcW w:w="2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bonuses</w:t>
            </w:r>
          </w:p>
        </w:tc>
        <w:tc>
          <w:tcPr>
            <w:tcW w:w="74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3,132</w:t>
            </w:r>
          </w:p>
        </w:tc>
        <w:tc>
          <w:tcPr>
            <w:tcW w:w="74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74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and legal fees</w:t>
            </w:r>
          </w:p>
        </w:tc>
        <w:tc>
          <w:tcPr>
            <w:tcW w:w="7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lease liability, current</w:t>
            </w:r>
          </w:p>
        </w:tc>
        <w:tc>
          <w:tcPr>
            <w:tcW w:w="74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7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 accrued expenses and other liabilities</w:t>
            </w:r>
          </w:p>
        </w:tc>
        <w:tc>
          <w:tcPr>
            <w:tcW w:w="740" w:type="dxa"/>
            <w:vAlign w:val="bottom"/>
          </w:tcPr>
          <w:p>
            <w:pPr>
              <w:jc w:val="center"/>
              <w:ind w:left="43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4,030</w:t>
            </w:r>
          </w:p>
        </w:tc>
        <w:tc>
          <w:tcPr>
            <w:tcW w:w="740" w:type="dxa"/>
            <w:vAlign w:val="bottom"/>
          </w:tcPr>
          <w:p>
            <w:pPr>
              <w:jc w:val="center"/>
              <w:ind w:left="4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39"/>
        </w:trPr>
        <w:tc>
          <w:tcPr>
            <w:tcW w:w="20" w:type="dxa"/>
            <w:vAlign w:val="bottom"/>
            <w:tcBorders>
              <w:bottom w:val="single" w:sz="8" w:color="auto"/>
            </w:tcBorders>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bl>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9—Long-term debt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125095</wp:posOffset>
            </wp:positionV>
            <wp:extent cx="51936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Successor</w:t>
            </w:r>
          </w:p>
        </w:tc>
      </w:tr>
      <w:tr>
        <w:trPr>
          <w:trHeight w:val="215"/>
        </w:trPr>
        <w:tc>
          <w:tcPr>
            <w:tcW w:w="20" w:type="dxa"/>
            <w:vAlign w:val="bottom"/>
          </w:tcPr>
          <w:p>
            <w:pPr>
              <w:spacing w:after="0"/>
              <w:rPr>
                <w:sz w:val="18"/>
                <w:szCs w:val="18"/>
                <w:color w:val="auto"/>
              </w:rPr>
            </w:pPr>
          </w:p>
        </w:tc>
        <w:tc>
          <w:tcPr>
            <w:tcW w:w="6520" w:type="dxa"/>
            <w:vAlign w:val="bottom"/>
            <w:tcBorders>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r>
      <w:tr>
        <w:trPr>
          <w:trHeight w:val="229"/>
        </w:trPr>
        <w:tc>
          <w:tcPr>
            <w:tcW w:w="6540" w:type="dxa"/>
            <w:vAlign w:val="bottom"/>
            <w:gridSpan w:val="2"/>
          </w:tcPr>
          <w:p>
            <w:pPr>
              <w:spacing w:after="0"/>
              <w:rPr>
                <w:sz w:val="20"/>
                <w:szCs w:val="20"/>
                <w:color w:val="auto"/>
              </w:rPr>
            </w:pPr>
            <w:r>
              <w:rPr>
                <w:rFonts w:ascii="Arial" w:cs="Arial" w:eastAsia="Arial" w:hAnsi="Arial"/>
                <w:sz w:val="18"/>
                <w:szCs w:val="18"/>
                <w:color w:val="auto"/>
              </w:rPr>
              <w:t>Less: Debt discount attributable to warrants, net of accretion</w:t>
            </w:r>
          </w:p>
        </w:tc>
        <w:tc>
          <w:tcPr>
            <w:tcW w:w="10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5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Unamortized deferred financing cost, net of accretion</w:t>
            </w:r>
          </w:p>
        </w:tc>
        <w:tc>
          <w:tcPr>
            <w:tcW w:w="10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Long-term debt, net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9,636</w:t>
            </w:r>
          </w:p>
        </w:tc>
        <w:tc>
          <w:tcPr>
            <w:tcW w:w="60" w:type="dxa"/>
            <w:vAlign w:val="bottom"/>
          </w:tcPr>
          <w:p>
            <w:pPr>
              <w:spacing w:after="0"/>
              <w:rPr>
                <w:sz w:val="18"/>
                <w:szCs w:val="18"/>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6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bl>
    <w:p>
      <w:pPr>
        <w:spacing w:after="0" w:line="134"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200" w:lineRule="exact"/>
        <w:rPr>
          <w:sz w:val="20"/>
          <w:szCs w:val="20"/>
          <w:color w:val="auto"/>
        </w:rPr>
      </w:pPr>
    </w:p>
    <w:p>
      <w:pPr>
        <w:spacing w:after="0" w:line="22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619"/>
        <w:spacing w:after="0" w:line="282" w:lineRule="auto"/>
        <w:rPr>
          <w:sz w:val="20"/>
          <w:szCs w:val="20"/>
          <w:color w:val="auto"/>
        </w:rPr>
      </w:pPr>
      <w:r>
        <w:rPr>
          <w:rFonts w:ascii="Arial" w:cs="Arial" w:eastAsia="Arial" w:hAnsi="Arial"/>
          <w:sz w:val="18"/>
          <w:szCs w:val="18"/>
          <w:color w:val="auto"/>
        </w:rPr>
        <w:t xml:space="preserve">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December 31, 2020. Amounts borrowed under the Loan Agreement accrue interest at a floating rate per annum (based on a year of 360 days) equal to (i) the sum of (a) the greater of 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December 31, 2020 was 9.55%.</w:t>
      </w:r>
    </w:p>
    <w:p>
      <w:pPr>
        <w:spacing w:after="0" w:line="125" w:lineRule="exact"/>
        <w:rPr>
          <w:sz w:val="20"/>
          <w:szCs w:val="20"/>
          <w:color w:val="auto"/>
        </w:rPr>
      </w:pPr>
    </w:p>
    <w:p>
      <w:pPr>
        <w:ind w:left="1260" w:right="439"/>
        <w:spacing w:after="0" w:line="283" w:lineRule="auto"/>
        <w:rPr>
          <w:sz w:val="20"/>
          <w:szCs w:val="20"/>
          <w:color w:val="auto"/>
        </w:rPr>
      </w:pPr>
      <w:r>
        <w:rPr>
          <w:rFonts w:ascii="Arial" w:cs="Arial" w:eastAsia="Arial" w:hAnsi="Arial"/>
          <w:sz w:val="18"/>
          <w:szCs w:val="18"/>
          <w:color w:val="auto"/>
        </w:rPr>
        <w:t>The Company incurred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379" w:lineRule="exact"/>
        <w:rPr>
          <w:sz w:val="20"/>
          <w:szCs w:val="20"/>
          <w:color w:val="auto"/>
        </w:rPr>
      </w:pPr>
    </w:p>
    <w:p>
      <w:pPr>
        <w:ind w:left="1260" w:right="799"/>
        <w:spacing w:after="0" w:line="291" w:lineRule="auto"/>
        <w:rPr>
          <w:sz w:val="20"/>
          <w:szCs w:val="20"/>
          <w:color w:val="auto"/>
        </w:rPr>
      </w:pPr>
      <w:r>
        <w:rPr>
          <w:rFonts w:ascii="Arial" w:cs="Arial" w:eastAsia="Arial" w:hAnsi="Arial"/>
          <w:sz w:val="18"/>
          <w:szCs w:val="18"/>
          <w:color w:val="auto"/>
        </w:rPr>
        <w:t>The Company granted Hercules a lien on substantially all of the Company’s assets, excluding intellectual property.</w:t>
      </w:r>
    </w:p>
    <w:p>
      <w:pPr>
        <w:spacing w:after="0" w:line="130" w:lineRule="exact"/>
        <w:rPr>
          <w:sz w:val="20"/>
          <w:szCs w:val="20"/>
          <w:color w:val="auto"/>
        </w:rPr>
      </w:pPr>
    </w:p>
    <w:p>
      <w:pPr>
        <w:ind w:left="1260" w:right="439"/>
        <w:spacing w:after="0" w:line="281" w:lineRule="auto"/>
        <w:rPr>
          <w:sz w:val="20"/>
          <w:szCs w:val="20"/>
          <w:color w:val="auto"/>
        </w:rPr>
      </w:pPr>
      <w:r>
        <w:rPr>
          <w:rFonts w:ascii="Arial" w:cs="Arial" w:eastAsia="Arial" w:hAnsi="Arial"/>
          <w:sz w:val="18"/>
          <w:szCs w:val="18"/>
          <w:color w:val="auto"/>
        </w:rPr>
        <w:t>The Company issued to Hercules warrants to purchase up to an aggregate of 40,540 Units of the Company’s limited liability membership interests, issued in the form of common units. The warrants are exercisable for a period of ten years from the date of the issuance of each warrant at a per-unit exercise price equal to $5.55,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expense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5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Successor</w:t>
            </w:r>
          </w:p>
        </w:tc>
      </w:tr>
      <w:tr>
        <w:trPr>
          <w:trHeight w:val="170"/>
        </w:trPr>
        <w:tc>
          <w:tcPr>
            <w:tcW w:w="6500" w:type="dxa"/>
            <w:vAlign w:val="bottom"/>
          </w:tcPr>
          <w:p>
            <w:pPr>
              <w:spacing w:after="0"/>
              <w:rPr>
                <w:sz w:val="14"/>
                <w:szCs w:val="14"/>
                <w:color w:val="auto"/>
              </w:rPr>
            </w:pPr>
          </w:p>
        </w:tc>
        <w:tc>
          <w:tcPr>
            <w:tcW w:w="168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For the Year Ended</w:t>
            </w:r>
          </w:p>
        </w:tc>
      </w:tr>
      <w:tr>
        <w:trPr>
          <w:trHeight w:val="227"/>
        </w:trPr>
        <w:tc>
          <w:tcPr>
            <w:tcW w:w="6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22"/>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$ 289</w:t>
            </w:r>
          </w:p>
        </w:tc>
      </w:tr>
      <w:tr>
        <w:trPr>
          <w:trHeight w:val="236"/>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debt issuance costs, including end of term fee accretion</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36"/>
        </w:trPr>
        <w:tc>
          <w:tcPr>
            <w:tcW w:w="65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$ 381</w:t>
            </w:r>
          </w:p>
        </w:tc>
      </w:tr>
      <w:tr>
        <w:trPr>
          <w:trHeight w:val="20"/>
        </w:trPr>
        <w:tc>
          <w:tcPr>
            <w:tcW w:w="65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41262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126230" cy="8255"/>
                    </a:xfrm>
                    <a:prstGeom prst="rect">
                      <a:avLst/>
                    </a:prstGeom>
                    <a:noFill/>
                  </pic:spPr>
                </pic:pic>
              </a:graphicData>
            </a:graphic>
          </wp:anchor>
        </w:drawing>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Included in accrued expenses in the accompanying consolidated balance sheet as of</w:t>
      </w:r>
    </w:p>
    <w:p>
      <w:pPr>
        <w:spacing w:after="0" w:line="35" w:lineRule="exact"/>
        <w:rPr>
          <w:sz w:val="20"/>
          <w:szCs w:val="20"/>
          <w:color w:val="auto"/>
        </w:rPr>
      </w:pPr>
    </w:p>
    <w:p>
      <w:pPr>
        <w:jc w:val="both"/>
        <w:ind w:left="1260" w:right="439"/>
        <w:spacing w:after="0" w:line="291" w:lineRule="auto"/>
        <w:rPr>
          <w:sz w:val="20"/>
          <w:szCs w:val="20"/>
          <w:color w:val="auto"/>
        </w:rPr>
      </w:pPr>
      <w:r>
        <w:rPr>
          <w:rFonts w:ascii="Arial" w:cs="Arial" w:eastAsia="Arial" w:hAnsi="Arial"/>
          <w:sz w:val="18"/>
          <w:szCs w:val="18"/>
          <w:color w:val="auto"/>
        </w:rPr>
        <w:t>December 31, 2020 is $82 of accrued interest. There was no accrued interest as of December 31, 2019.</w:t>
      </w:r>
    </w:p>
    <w:p>
      <w:pPr>
        <w:spacing w:after="0" w:line="117" w:lineRule="exact"/>
        <w:rPr>
          <w:sz w:val="20"/>
          <w:szCs w:val="20"/>
          <w:color w:val="auto"/>
        </w:rPr>
      </w:pPr>
    </w:p>
    <w:p>
      <w:pPr>
        <w:ind w:left="1260" w:right="619"/>
        <w:spacing w:after="0" w:line="291" w:lineRule="auto"/>
        <w:rPr>
          <w:sz w:val="20"/>
          <w:szCs w:val="20"/>
          <w:color w:val="auto"/>
        </w:rPr>
      </w:pPr>
      <w:r>
        <w:rPr>
          <w:rFonts w:ascii="Arial" w:cs="Arial" w:eastAsia="Arial" w:hAnsi="Arial"/>
          <w:sz w:val="18"/>
          <w:szCs w:val="18"/>
          <w:color w:val="auto"/>
        </w:rPr>
        <w:t>Future principal payments due (including the end of term fee) under the Loan Agreement are as follows (in thousands):</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197"/>
        </w:trPr>
        <w:tc>
          <w:tcPr>
            <w:tcW w:w="7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Principal</w:t>
            </w:r>
          </w:p>
        </w:tc>
      </w:tr>
      <w:tr>
        <w:trPr>
          <w:trHeight w:val="227"/>
        </w:trPr>
        <w:tc>
          <w:tcPr>
            <w:tcW w:w="7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2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41"/>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w:t>
            </w:r>
          </w:p>
        </w:tc>
      </w:tr>
      <w:tr>
        <w:trPr>
          <w:trHeight w:val="215"/>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r>
      <w:tr>
        <w:trPr>
          <w:trHeight w:val="216"/>
        </w:trPr>
        <w:tc>
          <w:tcPr>
            <w:tcW w:w="7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future payments</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10,395</w:t>
            </w:r>
          </w:p>
        </w:tc>
      </w:tr>
      <w:tr>
        <w:trPr>
          <w:trHeight w:val="20"/>
        </w:trPr>
        <w:tc>
          <w:tcPr>
            <w:tcW w:w="7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-170180</wp:posOffset>
            </wp:positionV>
            <wp:extent cx="46126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612640" cy="825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22" w:name="page223"/>
    <w:bookmarkEnd w:id="222"/>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10—Members’ Equity</w:t>
      </w:r>
    </w:p>
    <w:p>
      <w:pPr>
        <w:spacing w:after="0" w:line="142" w:lineRule="exact"/>
        <w:rPr>
          <w:sz w:val="20"/>
          <w:szCs w:val="20"/>
          <w:color w:val="auto"/>
        </w:rPr>
      </w:pPr>
    </w:p>
    <w:p>
      <w:pPr>
        <w:ind w:left="1260" w:right="659"/>
        <w:spacing w:after="0" w:line="252" w:lineRule="auto"/>
        <w:rPr>
          <w:sz w:val="20"/>
          <w:szCs w:val="20"/>
          <w:color w:val="auto"/>
        </w:rPr>
      </w:pPr>
      <w:r>
        <w:rPr>
          <w:rFonts w:ascii="Arial" w:cs="Arial" w:eastAsia="Arial" w:hAnsi="Arial"/>
          <w:sz w:val="18"/>
          <w:szCs w:val="18"/>
          <w:color w:val="auto"/>
        </w:rPr>
        <w:t>The Company’s capital structure is comprised of common limited liability membership interests, issued in the form of common units. The common units can be issued with the authorization of the Company’s Board of Managers, as governed by the Company’s Limited Liability Company Agreement. As of December 31, 2020 and 2019, 93,370,681 common units were issued and outstanding.</w:t>
      </w:r>
    </w:p>
    <w:p>
      <w:pPr>
        <w:spacing w:after="0" w:line="13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For the Predecessor period January 1, 2019 through June 20, 2019, the Prior Century had 35,000,000 of Series A Preferred Stock and Series A-1 Preferred Stock (“Preferred Stock”), with a par value of $0.0001 per share, issued and outstanding. Prior Century had 19,989,834 shares of common stock with a par value of $0.0001 per share issued and outstanding for the Predecessor period January 1, 2019 through June 20, 2019. Prior Century classifies the Preferred Stock outside of stockholders’ deficit because, in the event of certain “liquidation events” that are not solely within the control of Prior Century (including merger, acquisition, or sale of all or substantially all of the assets), the shares would become redeemable at the option of the holders. Prior Century did not adjust the carrying values of the Preferred Stock to the deemed liquidation value of such shares since a liquidation event was not probable as of the reporting date. Subsequent adjustments to increase or decrease the carrying values to the ultimate liquidation values will be made only if and when it becomes probable that such a liquidation event will occur.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11—Commitments and contingencies</w:t>
      </w:r>
    </w:p>
    <w:p>
      <w:pPr>
        <w:spacing w:after="0" w:line="155" w:lineRule="exact"/>
        <w:rPr>
          <w:sz w:val="20"/>
          <w:szCs w:val="20"/>
          <w:color w:val="auto"/>
        </w:rPr>
      </w:pPr>
    </w:p>
    <w:p>
      <w:pPr>
        <w:ind w:left="1260" w:right="619"/>
        <w:spacing w:after="0" w:line="254"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Distributed Bio Master Service Agreement</w:t>
      </w:r>
    </w:p>
    <w:p>
      <w:pPr>
        <w:spacing w:after="0" w:line="151"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141" w:lineRule="exact"/>
        <w:rPr>
          <w:sz w:val="20"/>
          <w:szCs w:val="20"/>
          <w:color w:val="auto"/>
        </w:rPr>
      </w:pPr>
    </w:p>
    <w:p>
      <w:pPr>
        <w:ind w:left="1260" w:right="879"/>
        <w:spacing w:after="0" w:line="254" w:lineRule="auto"/>
        <w:rPr>
          <w:sz w:val="20"/>
          <w:szCs w:val="20"/>
          <w:color w:val="auto"/>
        </w:rPr>
      </w:pPr>
      <w:r>
        <w:rPr>
          <w:rFonts w:ascii="Arial" w:cs="Arial" w:eastAsia="Arial" w:hAnsi="Arial"/>
          <w:sz w:val="18"/>
          <w:szCs w:val="18"/>
          <w:color w:val="auto"/>
        </w:rPr>
        <w:t>The Company had accrued expenses of $244 and $327 within accrued expenses and other liabilities for the period ended December 31, 2020 and 2019, respectively, in its consolidated balance sheets related to the Master Service Agreement.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iCell Inc. Sublicense Agreement</w:t>
      </w:r>
    </w:p>
    <w:p>
      <w:pPr>
        <w:spacing w:after="0" w:line="165"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 -time sales milestones for the first time sales of the licensed product exceeding thresholds in a single calendar year, to a maximum of $70,000. iCell will receive payments of up to $4,250 in development and regulatory approval milestone payments.</w:t>
      </w: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12—Leases</w:t>
      </w:r>
    </w:p>
    <w:p>
      <w:pPr>
        <w:spacing w:after="0" w:line="142" w:lineRule="exact"/>
        <w:rPr>
          <w:sz w:val="20"/>
          <w:szCs w:val="20"/>
          <w:color w:val="auto"/>
        </w:rPr>
      </w:pPr>
    </w:p>
    <w:p>
      <w:pPr>
        <w:jc w:val="both"/>
        <w:ind w:left="1260" w:right="539"/>
        <w:spacing w:after="0" w:line="249" w:lineRule="auto"/>
        <w:rPr>
          <w:sz w:val="20"/>
          <w:szCs w:val="20"/>
          <w:color w:val="auto"/>
        </w:rPr>
      </w:pPr>
      <w:r>
        <w:rPr>
          <w:rFonts w:ascii="Arial" w:cs="Arial" w:eastAsia="Arial" w:hAnsi="Arial"/>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w:t>
      </w:r>
    </w:p>
    <w:p>
      <w:pPr>
        <w:spacing w:after="0" w:line="1"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23" w:name="page224"/>
    <w:bookmarkEnd w:id="223"/>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559"/>
        <w:spacing w:after="0" w:line="266" w:lineRule="auto"/>
        <w:rPr>
          <w:sz w:val="20"/>
          <w:szCs w:val="20"/>
          <w:color w:val="auto"/>
        </w:rPr>
      </w:pPr>
      <w:r>
        <w:rPr>
          <w:rFonts w:ascii="Arial" w:cs="Arial" w:eastAsia="Arial" w:hAnsi="Arial"/>
          <w:sz w:val="18"/>
          <w:szCs w:val="18"/>
          <w:color w:val="auto"/>
        </w:rPr>
        <w:t>Operating lease ROU assets and liabilities are recognized at commencement date based on the present value of lease payments over the lease term. Operating lease payments are recognized as lease expense on a straight-line basis over the lease term. The Company has no finance leases. The Company primarily leases buildings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the Company’s leases, the Company uses its incremental borrowing rate based on the information available at commencement date in determining the present value of lease payments.</w:t>
      </w:r>
    </w:p>
    <w:p>
      <w:pPr>
        <w:spacing w:after="0" w:line="128"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The lease term for all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For certain leases, the options for renewals have been included in the lease term as the reasonably certain threshold is met due to the Company having significant economic incentive for extending the lease.</w:t>
      </w:r>
    </w:p>
    <w:p>
      <w:pPr>
        <w:spacing w:after="0" w:line="142" w:lineRule="exact"/>
        <w:rPr>
          <w:sz w:val="20"/>
          <w:szCs w:val="20"/>
          <w:color w:val="auto"/>
        </w:rPr>
      </w:pPr>
    </w:p>
    <w:p>
      <w:pPr>
        <w:ind w:left="1260" w:right="1059"/>
        <w:spacing w:after="0" w:line="268" w:lineRule="auto"/>
        <w:rPr>
          <w:sz w:val="20"/>
          <w:szCs w:val="20"/>
          <w:color w:val="auto"/>
        </w:rPr>
      </w:pPr>
      <w:r>
        <w:rPr>
          <w:rFonts w:ascii="Arial" w:cs="Arial" w:eastAsia="Arial" w:hAnsi="Arial"/>
          <w:sz w:val="18"/>
          <w:szCs w:val="18"/>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138"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consolidated statements of operations and comprehensive loss in the same line item as expense arising from fixed lease payments.</w:t>
      </w:r>
    </w:p>
    <w:p>
      <w:pPr>
        <w:spacing w:after="0" w:line="127" w:lineRule="exact"/>
        <w:rPr>
          <w:sz w:val="20"/>
          <w:szCs w:val="20"/>
          <w:color w:val="auto"/>
        </w:rPr>
      </w:pPr>
    </w:p>
    <w:p>
      <w:pPr>
        <w:ind w:left="1260" w:right="639"/>
        <w:spacing w:after="0" w:line="267"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$909 and $206 within security deposits in its consolidated balance sheets at December 31, 2020 and 2019, respectively. The Company’s leases have initial lease terms ranging from 5 to 16 years. Certain lease agreements contain provisions for future rent increases.</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191" w:lineRule="exact"/>
        <w:rPr>
          <w:sz w:val="20"/>
          <w:szCs w:val="20"/>
          <w:color w:val="auto"/>
        </w:rPr>
      </w:pPr>
    </w:p>
    <w:tbl>
      <w:tblPr>
        <w:tblLayout w:type="fixed"/>
        <w:tblInd w:w="1260" w:type="dxa"/>
        <w:tblCellMar>
          <w:top w:w="0" w:type="dxa"/>
          <w:left w:w="0" w:type="dxa"/>
          <w:bottom w:w="0" w:type="dxa"/>
          <w:right w:w="0" w:type="dxa"/>
        </w:tblCellMar>
      </w:tblPr>
      <w:tr>
        <w:trPr>
          <w:trHeight w:val="263"/>
        </w:trPr>
        <w:tc>
          <w:tcPr>
            <w:tcW w:w="270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2100" w:type="dxa"/>
            <w:vAlign w:val="bottom"/>
            <w:tcBorders>
              <w:top w:val="single" w:sz="8" w:color="auto"/>
              <w:bottom w:val="single" w:sz="8" w:color="auto"/>
            </w:tcBorders>
            <w:gridSpan w:val="2"/>
          </w:tcPr>
          <w:p>
            <w:pPr>
              <w:jc w:val="right"/>
              <w:ind w:right="916"/>
              <w:spacing w:after="0"/>
              <w:rPr>
                <w:sz w:val="20"/>
                <w:szCs w:val="20"/>
                <w:color w:val="auto"/>
              </w:rPr>
            </w:pPr>
            <w:r>
              <w:rPr>
                <w:rFonts w:ascii="Arial" w:cs="Arial" w:eastAsia="Arial" w:hAnsi="Arial"/>
                <w:sz w:val="16"/>
                <w:szCs w:val="16"/>
                <w:b w:val="1"/>
                <w:bCs w:val="1"/>
                <w:color w:val="auto"/>
              </w:rPr>
              <w:t>Successor</w:t>
            </w:r>
          </w:p>
        </w:tc>
        <w:tc>
          <w:tcPr>
            <w:tcW w:w="400" w:type="dxa"/>
            <w:vAlign w:val="bottom"/>
            <w:tcBorders>
              <w:top w:val="single" w:sz="8" w:color="auto"/>
              <w:bottom w:val="single" w:sz="8" w:color="auto"/>
              <w:right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Predecessor</w:t>
            </w:r>
          </w:p>
        </w:tc>
      </w:tr>
      <w:tr>
        <w:trPr>
          <w:trHeight w:val="170"/>
        </w:trPr>
        <w:tc>
          <w:tcPr>
            <w:tcW w:w="2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tcBorders>
              <w:right w:val="single" w:sz="8" w:color="auto"/>
            </w:tcBorders>
            <w:gridSpan w:val="2"/>
          </w:tcPr>
          <w:p>
            <w:pPr>
              <w:jc w:val="right"/>
              <w:ind w:right="30"/>
              <w:spacing w:after="0" w:line="171" w:lineRule="exact"/>
              <w:rPr>
                <w:sz w:val="20"/>
                <w:szCs w:val="20"/>
                <w:color w:val="auto"/>
              </w:rPr>
            </w:pPr>
            <w:r>
              <w:rPr>
                <w:rFonts w:ascii="Arial" w:cs="Arial" w:eastAsia="Arial" w:hAnsi="Arial"/>
                <w:sz w:val="16"/>
                <w:szCs w:val="16"/>
                <w:b w:val="1"/>
                <w:bCs w:val="1"/>
                <w:color w:val="auto"/>
              </w:rPr>
              <w:t>Period from</w:t>
            </w:r>
          </w:p>
        </w:tc>
        <w:tc>
          <w:tcPr>
            <w:tcW w:w="1840" w:type="dxa"/>
            <w:vAlign w:val="bottom"/>
            <w:gridSpan w:val="2"/>
          </w:tcPr>
          <w:p>
            <w:pPr>
              <w:jc w:val="right"/>
              <w:spacing w:after="0" w:line="171" w:lineRule="exact"/>
              <w:rPr>
                <w:sz w:val="20"/>
                <w:szCs w:val="20"/>
                <w:color w:val="auto"/>
              </w:rPr>
            </w:pPr>
            <w:r>
              <w:rPr>
                <w:rFonts w:ascii="Arial" w:cs="Arial" w:eastAsia="Arial" w:hAnsi="Arial"/>
                <w:sz w:val="16"/>
                <w:szCs w:val="16"/>
                <w:b w:val="1"/>
                <w:bCs w:val="1"/>
                <w:color w:val="auto"/>
              </w:rPr>
              <w:t>Period from</w:t>
            </w:r>
          </w:p>
        </w:tc>
      </w:tr>
      <w:tr>
        <w:trPr>
          <w:trHeight w:val="188"/>
        </w:trPr>
        <w:tc>
          <w:tcPr>
            <w:tcW w:w="2700" w:type="dxa"/>
            <w:vAlign w:val="bottom"/>
          </w:tcPr>
          <w:p>
            <w:pPr>
              <w:spacing w:after="0"/>
              <w:rPr>
                <w:sz w:val="16"/>
                <w:szCs w:val="16"/>
                <w:color w:val="auto"/>
              </w:rPr>
            </w:pPr>
          </w:p>
        </w:tc>
        <w:tc>
          <w:tcPr>
            <w:tcW w:w="168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For the Year Ended</w:t>
            </w:r>
          </w:p>
        </w:tc>
        <w:tc>
          <w:tcPr>
            <w:tcW w:w="196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June 21, 2019 through</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January 1, 2019</w:t>
            </w:r>
          </w:p>
        </w:tc>
      </w:tr>
      <w:tr>
        <w:trPr>
          <w:trHeight w:val="227"/>
        </w:trPr>
        <w:tc>
          <w:tcPr>
            <w:tcW w:w="27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2020</w:t>
            </w:r>
          </w:p>
        </w:tc>
        <w:tc>
          <w:tcPr>
            <w:tcW w:w="19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through June 20, 2019</w:t>
            </w:r>
          </w:p>
        </w:tc>
      </w:tr>
      <w:tr>
        <w:trPr>
          <w:trHeight w:val="222"/>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right w:val="single" w:sz="8" w:color="auto"/>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r>
      <w:tr>
        <w:trPr>
          <w:trHeight w:val="229"/>
        </w:trPr>
        <w:tc>
          <w:tcPr>
            <w:tcW w:w="2700" w:type="dxa"/>
            <w:vAlign w:val="bottom"/>
          </w:tcPr>
          <w:p>
            <w:pPr>
              <w:ind w:left="180"/>
              <w:spacing w:after="0"/>
              <w:rPr>
                <w:sz w:val="20"/>
                <w:szCs w:val="20"/>
                <w:color w:val="auto"/>
              </w:rPr>
            </w:pPr>
            <w:r>
              <w:rPr>
                <w:rFonts w:ascii="Arial" w:cs="Arial" w:eastAsia="Arial" w:hAnsi="Arial"/>
                <w:sz w:val="18"/>
                <w:szCs w:val="18"/>
                <w:color w:val="auto"/>
              </w:rPr>
              <w:t>Fixed lease cost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935</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6"/>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Variable lease cost</w:t>
            </w:r>
          </w:p>
        </w:tc>
        <w:tc>
          <w:tcPr>
            <w:tcW w:w="1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5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Short term lease expense</w:t>
            </w: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5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36"/>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expense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27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17170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7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0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Successor</w:t>
            </w:r>
          </w:p>
        </w:tc>
      </w:tr>
      <w:tr>
        <w:trPr>
          <w:trHeight w:val="249"/>
        </w:trPr>
        <w:tc>
          <w:tcPr>
            <w:tcW w:w="304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Location in Balance Sheet</w:t>
            </w: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As of December 31, 2020</w:t>
            </w:r>
          </w:p>
        </w:tc>
      </w:tr>
      <w:tr>
        <w:trPr>
          <w:trHeight w:val="256"/>
        </w:trPr>
        <w:tc>
          <w:tcPr>
            <w:tcW w:w="8460" w:type="dxa"/>
            <w:vAlign w:val="bottom"/>
            <w:gridSpan w:val="5"/>
          </w:tcPr>
          <w:p>
            <w:pPr>
              <w:spacing w:after="0"/>
              <w:rPr>
                <w:sz w:val="20"/>
                <w:szCs w:val="20"/>
                <w:color w:val="auto"/>
              </w:rPr>
            </w:pPr>
            <w:r>
              <w:rPr>
                <w:rFonts w:ascii="Arial" w:cs="Arial" w:eastAsia="Arial" w:hAnsi="Arial"/>
                <w:sz w:val="18"/>
                <w:szCs w:val="18"/>
                <w:color w:val="auto"/>
              </w:rPr>
              <w:t>Operating lease right-of-use asset, netOperating lease right-of-use asset, net$9,392</w:t>
            </w:r>
          </w:p>
        </w:tc>
      </w:tr>
      <w:tr>
        <w:trPr>
          <w:trHeight w:val="256"/>
        </w:trPr>
        <w:tc>
          <w:tcPr>
            <w:tcW w:w="3040" w:type="dxa"/>
            <w:vAlign w:val="bottom"/>
          </w:tcPr>
          <w:p>
            <w:pPr>
              <w:spacing w:after="0"/>
              <w:rPr>
                <w:sz w:val="20"/>
                <w:szCs w:val="20"/>
                <w:color w:val="auto"/>
              </w:rPr>
            </w:pPr>
            <w:r>
              <w:rPr>
                <w:rFonts w:ascii="Arial" w:cs="Arial" w:eastAsia="Arial" w:hAnsi="Arial"/>
                <w:sz w:val="18"/>
                <w:szCs w:val="18"/>
                <w:color w:val="auto"/>
              </w:rPr>
              <w:t>Operating lease liability, current</w:t>
            </w:r>
          </w:p>
        </w:tc>
        <w:tc>
          <w:tcPr>
            <w:tcW w:w="5420" w:type="dxa"/>
            <w:vAlign w:val="bottom"/>
            <w:gridSpan w:val="4"/>
          </w:tcPr>
          <w:p>
            <w:pPr>
              <w:ind w:left="180"/>
              <w:spacing w:after="0"/>
              <w:rPr>
                <w:sz w:val="20"/>
                <w:szCs w:val="20"/>
                <w:color w:val="auto"/>
              </w:rPr>
            </w:pPr>
            <w:r>
              <w:rPr>
                <w:rFonts w:ascii="Arial" w:cs="Arial" w:eastAsia="Arial" w:hAnsi="Arial"/>
                <w:sz w:val="18"/>
                <w:szCs w:val="18"/>
                <w:color w:val="auto"/>
              </w:rPr>
              <w:t>Accrued expenses and other liabilities $240</w:t>
            </w:r>
          </w:p>
        </w:tc>
      </w:tr>
      <w:tr>
        <w:trPr>
          <w:trHeight w:val="242"/>
        </w:trPr>
        <w:tc>
          <w:tcPr>
            <w:tcW w:w="304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420" w:type="dxa"/>
            <w:vAlign w:val="bottom"/>
          </w:tcPr>
          <w:p>
            <w:pPr>
              <w:ind w:left="180"/>
              <w:spacing w:after="0"/>
              <w:rPr>
                <w:sz w:val="20"/>
                <w:szCs w:val="20"/>
                <w:color w:val="auto"/>
              </w:rPr>
            </w:pPr>
            <w:r>
              <w:rPr>
                <w:rFonts w:ascii="Arial" w:cs="Arial" w:eastAsia="Arial" w:hAnsi="Arial"/>
                <w:sz w:val="18"/>
                <w:szCs w:val="18"/>
                <w:color w:val="auto"/>
              </w:rPr>
              <w:t>Operating lease liability, long-term</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11,679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9"/>
        </w:trPr>
        <w:tc>
          <w:tcPr>
            <w:tcW w:w="3040" w:type="dxa"/>
            <w:vAlign w:val="bottom"/>
          </w:tcPr>
          <w:p>
            <w:pPr>
              <w:spacing w:after="0"/>
              <w:rPr>
                <w:sz w:val="20"/>
                <w:szCs w:val="20"/>
                <w:color w:val="auto"/>
              </w:rPr>
            </w:pPr>
            <w:r>
              <w:rPr>
                <w:rFonts w:ascii="Arial" w:cs="Arial" w:eastAsia="Arial" w:hAnsi="Arial"/>
                <w:sz w:val="18"/>
                <w:szCs w:val="18"/>
                <w:color w:val="auto"/>
              </w:rPr>
              <w:t>Total operating lease liability</w:t>
            </w:r>
          </w:p>
        </w:tc>
        <w:tc>
          <w:tcPr>
            <w:tcW w:w="3420" w:type="dxa"/>
            <w:vAlign w:val="bottom"/>
          </w:tcPr>
          <w:p>
            <w:pPr>
              <w:spacing w:after="0"/>
              <w:rPr>
                <w:sz w:val="21"/>
                <w:szCs w:val="21"/>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11,919</w:t>
            </w:r>
          </w:p>
        </w:tc>
        <w:tc>
          <w:tcPr>
            <w:tcW w:w="1320" w:type="dxa"/>
            <w:vAlign w:val="bottom"/>
          </w:tcPr>
          <w:p>
            <w:pPr>
              <w:spacing w:after="0"/>
              <w:rPr>
                <w:sz w:val="21"/>
                <w:szCs w:val="21"/>
                <w:color w:val="auto"/>
              </w:rPr>
            </w:pPr>
          </w:p>
        </w:tc>
      </w:tr>
    </w:tbl>
    <w:p>
      <w:pPr>
        <w:spacing w:after="0" w:line="228" w:lineRule="exact"/>
        <w:rPr>
          <w:sz w:val="20"/>
          <w:szCs w:val="20"/>
          <w:color w:val="auto"/>
        </w:rPr>
      </w:pPr>
    </w:p>
    <w:p>
      <w:pPr>
        <w:ind w:left="1260" w:right="459"/>
        <w:spacing w:after="0" w:line="260" w:lineRule="auto"/>
        <w:rPr>
          <w:sz w:val="20"/>
          <w:szCs w:val="20"/>
          <w:color w:val="auto"/>
        </w:rPr>
      </w:pPr>
      <w:r>
        <w:rPr>
          <w:rFonts w:ascii="Arial" w:cs="Arial" w:eastAsia="Arial" w:hAnsi="Arial"/>
          <w:sz w:val="18"/>
          <w:szCs w:val="18"/>
          <w:color w:val="auto"/>
        </w:rPr>
        <w:t>The following table reflects supplement lease term and discount rate information related to leases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117475</wp:posOffset>
            </wp:positionV>
            <wp:extent cx="51936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0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080" w:type="dxa"/>
            <w:vAlign w:val="bottom"/>
          </w:tcPr>
          <w:p>
            <w:pPr>
              <w:spacing w:after="0"/>
              <w:rPr>
                <w:sz w:val="19"/>
                <w:szCs w:val="19"/>
                <w:color w:val="auto"/>
              </w:rPr>
            </w:pPr>
          </w:p>
        </w:tc>
        <w:tc>
          <w:tcPr>
            <w:tcW w:w="22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Successor</w:t>
            </w:r>
          </w:p>
        </w:tc>
      </w:tr>
      <w:tr>
        <w:trPr>
          <w:trHeight w:val="215"/>
        </w:trPr>
        <w:tc>
          <w:tcPr>
            <w:tcW w:w="6080" w:type="dxa"/>
            <w:vAlign w:val="bottom"/>
            <w:tcBorders>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 December 31, 2020</w:t>
            </w:r>
          </w:p>
        </w:tc>
        <w:tc>
          <w:tcPr>
            <w:tcW w:w="160" w:type="dxa"/>
            <w:vAlign w:val="bottom"/>
          </w:tcPr>
          <w:p>
            <w:pPr>
              <w:spacing w:after="0"/>
              <w:rPr>
                <w:sz w:val="18"/>
                <w:szCs w:val="18"/>
                <w:color w:val="auto"/>
              </w:rPr>
            </w:pPr>
          </w:p>
        </w:tc>
      </w:tr>
      <w:tr>
        <w:trPr>
          <w:trHeight w:val="21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terms—operating leases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years</w:t>
            </w:r>
          </w:p>
        </w:tc>
        <w:tc>
          <w:tcPr>
            <w:tcW w:w="160" w:type="dxa"/>
            <w:vAlign w:val="bottom"/>
          </w:tcPr>
          <w:p>
            <w:pPr>
              <w:spacing w:after="0"/>
              <w:rPr>
                <w:sz w:val="18"/>
                <w:szCs w:val="18"/>
                <w:color w:val="auto"/>
              </w:rPr>
            </w:pP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Weighted-average discount rate—operating leases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40"/>
        </w:trPr>
        <w:tc>
          <w:tcPr>
            <w:tcW w:w="60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bl>
    <w:p>
      <w:pPr>
        <w:spacing w:after="0" w:line="134" w:lineRule="exact"/>
        <w:rPr>
          <w:sz w:val="20"/>
          <w:szCs w:val="20"/>
          <w:color w:val="auto"/>
        </w:rPr>
      </w:pPr>
    </w:p>
    <w:p>
      <w:pPr>
        <w:ind w:left="1260" w:right="459"/>
        <w:spacing w:after="0" w:line="275" w:lineRule="auto"/>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109220</wp:posOffset>
            </wp:positionV>
            <wp:extent cx="51936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18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500" w:type="dxa"/>
            <w:vAlign w:val="bottom"/>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Successor</w:t>
            </w:r>
          </w:p>
        </w:tc>
      </w:tr>
      <w:tr>
        <w:trPr>
          <w:trHeight w:val="170"/>
        </w:trPr>
        <w:tc>
          <w:tcPr>
            <w:tcW w:w="6500" w:type="dxa"/>
            <w:vAlign w:val="bottom"/>
          </w:tcPr>
          <w:p>
            <w:pPr>
              <w:spacing w:after="0"/>
              <w:rPr>
                <w:sz w:val="14"/>
                <w:szCs w:val="14"/>
                <w:color w:val="auto"/>
              </w:rPr>
            </w:pPr>
          </w:p>
        </w:tc>
        <w:tc>
          <w:tcPr>
            <w:tcW w:w="1680" w:type="dxa"/>
            <w:vAlign w:val="bottom"/>
            <w:gridSpan w:val="2"/>
          </w:tcPr>
          <w:p>
            <w:pPr>
              <w:jc w:val="right"/>
              <w:spacing w:after="0" w:line="171" w:lineRule="exact"/>
              <w:rPr>
                <w:sz w:val="20"/>
                <w:szCs w:val="20"/>
                <w:color w:val="auto"/>
              </w:rPr>
            </w:pPr>
            <w:r>
              <w:rPr>
                <w:rFonts w:ascii="Arial" w:cs="Arial" w:eastAsia="Arial" w:hAnsi="Arial"/>
                <w:sz w:val="16"/>
                <w:szCs w:val="16"/>
                <w:b w:val="1"/>
                <w:bCs w:val="1"/>
                <w:color w:val="auto"/>
              </w:rPr>
              <w:t>For the Year Ended</w:t>
            </w:r>
          </w:p>
        </w:tc>
      </w:tr>
      <w:tr>
        <w:trPr>
          <w:trHeight w:val="227"/>
        </w:trPr>
        <w:tc>
          <w:tcPr>
            <w:tcW w:w="6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22"/>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7"/>
        </w:trPr>
        <w:tc>
          <w:tcPr>
            <w:tcW w:w="6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9"/>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9,735</w:t>
            </w:r>
          </w:p>
        </w:tc>
      </w:tr>
      <w:tr>
        <w:trPr>
          <w:trHeight w:val="20"/>
        </w:trPr>
        <w:tc>
          <w:tcPr>
            <w:tcW w:w="65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reflects future minimum lease payments under noncancelable leases as of</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125095</wp:posOffset>
            </wp:positionV>
            <wp:extent cx="51936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64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Operating Leases</w:t>
            </w:r>
          </w:p>
        </w:tc>
      </w:tr>
      <w:tr>
        <w:trPr>
          <w:trHeight w:val="222"/>
        </w:trPr>
        <w:tc>
          <w:tcPr>
            <w:tcW w:w="66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60" w:type="dxa"/>
            <w:vAlign w:val="bottom"/>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1,594</w:t>
            </w:r>
          </w:p>
        </w:tc>
        <w:tc>
          <w:tcPr>
            <w:tcW w:w="60" w:type="dxa"/>
            <w:vAlign w:val="bottom"/>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60" w:type="dxa"/>
            <w:vAlign w:val="bottom"/>
          </w:tcPr>
          <w:p>
            <w:pPr>
              <w:spacing w:after="0"/>
              <w:rPr>
                <w:sz w:val="20"/>
                <w:szCs w:val="20"/>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1,801</w:t>
            </w:r>
          </w:p>
        </w:tc>
        <w:tc>
          <w:tcPr>
            <w:tcW w:w="60" w:type="dxa"/>
            <w:vAlign w:val="bottom"/>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60" w:type="dxa"/>
            <w:vAlign w:val="bottom"/>
          </w:tcPr>
          <w:p>
            <w:pPr>
              <w:spacing w:after="0"/>
              <w:rPr>
                <w:sz w:val="20"/>
                <w:szCs w:val="20"/>
                <w:color w:val="auto"/>
              </w:rPr>
            </w:pPr>
          </w:p>
        </w:tc>
      </w:tr>
      <w:tr>
        <w:trPr>
          <w:trHeight w:val="23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13,207</w:t>
            </w:r>
          </w:p>
        </w:tc>
        <w:tc>
          <w:tcPr>
            <w:tcW w:w="60" w:type="dxa"/>
            <w:vAlign w:val="bottom"/>
          </w:tcPr>
          <w:p>
            <w:pPr>
              <w:spacing w:after="0"/>
              <w:rPr>
                <w:sz w:val="20"/>
                <w:szCs w:val="20"/>
                <w:color w:val="auto"/>
              </w:rPr>
            </w:pPr>
          </w:p>
        </w:tc>
      </w:tr>
      <w:tr>
        <w:trPr>
          <w:trHeight w:val="222"/>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9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21,403</w:t>
            </w:r>
          </w:p>
        </w:tc>
        <w:tc>
          <w:tcPr>
            <w:tcW w:w="60" w:type="dxa"/>
            <w:vAlign w:val="bottom"/>
          </w:tcPr>
          <w:p>
            <w:pPr>
              <w:spacing w:after="0"/>
              <w:rPr>
                <w:sz w:val="19"/>
                <w:szCs w:val="19"/>
                <w:color w:val="auto"/>
              </w:rPr>
            </w:pPr>
          </w:p>
        </w:tc>
      </w:tr>
      <w:tr>
        <w:trPr>
          <w:trHeight w:val="236"/>
        </w:trPr>
        <w:tc>
          <w:tcPr>
            <w:tcW w:w="6640" w:type="dxa"/>
            <w:vAlign w:val="bottom"/>
          </w:tcPr>
          <w:p>
            <w:pPr>
              <w:spacing w:after="0"/>
              <w:rPr>
                <w:sz w:val="20"/>
                <w:szCs w:val="20"/>
                <w:color w:val="auto"/>
              </w:rPr>
            </w:pPr>
            <w:r>
              <w:rPr>
                <w:rFonts w:ascii="Arial" w:cs="Arial" w:eastAsia="Arial" w:hAnsi="Arial"/>
                <w:sz w:val="18"/>
                <w:szCs w:val="18"/>
                <w:color w:val="auto"/>
              </w:rPr>
              <w:t>Less: Imputed Interest</w:t>
            </w:r>
          </w:p>
        </w:tc>
        <w:tc>
          <w:tcPr>
            <w:tcW w:w="9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(9,484)</w:t>
            </w:r>
          </w:p>
        </w:tc>
      </w:tr>
      <w:tr>
        <w:trPr>
          <w:trHeight w:val="236"/>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11,919</w:t>
            </w:r>
          </w:p>
        </w:tc>
        <w:tc>
          <w:tcPr>
            <w:tcW w:w="60" w:type="dxa"/>
            <w:vAlign w:val="bottom"/>
          </w:tcPr>
          <w:p>
            <w:pPr>
              <w:spacing w:after="0"/>
              <w:rPr>
                <w:sz w:val="20"/>
                <w:szCs w:val="20"/>
                <w:color w:val="auto"/>
              </w:rPr>
            </w:pPr>
          </w:p>
        </w:tc>
      </w:tr>
      <w:tr>
        <w:trPr>
          <w:trHeight w:val="20"/>
        </w:trPr>
        <w:tc>
          <w:tcPr>
            <w:tcW w:w="6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-179070</wp:posOffset>
            </wp:positionV>
            <wp:extent cx="4211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21132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-494665</wp:posOffset>
            </wp:positionV>
            <wp:extent cx="4211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211320" cy="8255"/>
                    </a:xfrm>
                    <a:prstGeom prst="rect">
                      <a:avLst/>
                    </a:prstGeom>
                    <a:noFill/>
                  </pic:spPr>
                </pic:pic>
              </a:graphicData>
            </a:graphic>
          </wp:anchor>
        </w:drawing>
      </w:r>
    </w:p>
    <w:p>
      <w:pPr>
        <w:spacing w:after="0" w:line="114" w:lineRule="exact"/>
        <w:rPr>
          <w:sz w:val="20"/>
          <w:szCs w:val="20"/>
          <w:color w:val="auto"/>
        </w:rPr>
      </w:pPr>
    </w:p>
    <w:p>
      <w:pPr>
        <w:ind w:left="1260" w:right="599"/>
        <w:spacing w:after="0" w:line="253" w:lineRule="auto"/>
        <w:rPr>
          <w:sz w:val="20"/>
          <w:szCs w:val="20"/>
          <w:color w:val="auto"/>
        </w:rPr>
      </w:pPr>
      <w:r>
        <w:rPr>
          <w:rFonts w:ascii="Arial" w:cs="Arial" w:eastAsia="Arial" w:hAnsi="Arial"/>
          <w:sz w:val="18"/>
          <w:szCs w:val="18"/>
          <w:color w:val="auto"/>
        </w:rPr>
        <w:t>The Company entered into three leases that had not commenced at December 31, 2020. As a result, future lease payments of approximately $26.6 million are not recorded on the Company’s consolidated balance sheets. These leases commence during January 2021 and April 2022 with non-cancelable terms ranging from 29 months to 10 years.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13—Defined contribution plan</w:t>
      </w:r>
    </w:p>
    <w:p>
      <w:pPr>
        <w:spacing w:after="0" w:line="155" w:lineRule="exact"/>
        <w:rPr>
          <w:sz w:val="20"/>
          <w:szCs w:val="20"/>
          <w:color w:val="auto"/>
        </w:rPr>
      </w:pPr>
    </w:p>
    <w:p>
      <w:pPr>
        <w:ind w:left="1260" w:right="599"/>
        <w:spacing w:after="0" w:line="252" w:lineRule="auto"/>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25" w:name="page226"/>
    <w:bookmarkEnd w:id="225"/>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made in cash. Contributions were approximately $301, $89 and $33 for the Successor period ended December 31, 2020, the Successor period June 21, 2019 through December 31, 2019, and the Predecessor period January 1, 2019 through June 20, 2019, respectively. Such contribution expense has been recognized in the consolidated statement of operations for each period.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14—Stock-based compensation</w:t>
      </w:r>
    </w:p>
    <w:p>
      <w:pPr>
        <w:spacing w:after="0" w:line="155"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In June 2018, Prior Century, adopted the 2018 Stock Option and Grant Plan (the “Plan”). The Plan provides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 Under the terms of the Plan, options may be granted at an exercise price not less than fair market value. Prior Century generally grants stock based awards with service conditions only. Stock awards granted typically vest over a four-year period but may be granted with different vesting terms. As of December 31, 2020 and 2019, Prior Century had shares authorized for issuance under the Plan of 19,498,781 and 15,260,038, respectively.</w:t>
      </w:r>
    </w:p>
    <w:p>
      <w:pPr>
        <w:spacing w:after="0" w:line="370" w:lineRule="exact"/>
        <w:rPr>
          <w:sz w:val="20"/>
          <w:szCs w:val="20"/>
          <w:color w:val="auto"/>
        </w:rPr>
      </w:pPr>
    </w:p>
    <w:p>
      <w:pPr>
        <w:ind w:left="1260" w:right="559"/>
        <w:spacing w:after="0" w:line="267" w:lineRule="auto"/>
        <w:rPr>
          <w:sz w:val="20"/>
          <w:szCs w:val="20"/>
          <w:color w:val="auto"/>
        </w:rPr>
      </w:pPr>
      <w:r>
        <w:rPr>
          <w:rFonts w:ascii="Arial" w:cs="Arial" w:eastAsia="Arial" w:hAnsi="Arial"/>
          <w:sz w:val="18"/>
          <w:szCs w:val="18"/>
          <w:color w:val="auto"/>
        </w:rPr>
        <w:t>During the Successor period June 21, 2019 through December 31, 2019 and the year ended December 31, 2020, equity awards were granted from Prior Century to employees of the Company. The Company recognizes the costs of the stock based payments incurred by Prior Century on its behalf as the employees vest in the awards (i.e., the Company recognizes expense measured on the same basis as its investor, Prior Century). The Company also records a corresponding capital contribution from Prior Century.</w:t>
      </w:r>
    </w:p>
    <w:p>
      <w:pPr>
        <w:spacing w:after="0" w:line="139"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For the Successor year ended December 31, 2020, the Company recognized $876 of stock based compensation expense of which $675 was recorded within research and development expenses and $201 was recorded within general and administrative expense within the consolidated statement of operations. For the Successor period June 21, 2019 through December 31, 2019, the Company recognized $133 of stock based compensation expense within general and administrative expense of the consolidated statement of operations. A corresponding capital contribution from Prior Century was recorded within the Company’s consolidated balance sheets as of December 31, 2020 and 2019. For the Predecessor period January 1, 2019 through</w:t>
      </w:r>
    </w:p>
    <w:p>
      <w:pPr>
        <w:spacing w:after="0" w:line="1" w:lineRule="exact"/>
        <w:rPr>
          <w:sz w:val="20"/>
          <w:szCs w:val="20"/>
          <w:color w:val="auto"/>
        </w:rPr>
      </w:pPr>
    </w:p>
    <w:p>
      <w:pPr>
        <w:ind w:left="1260" w:right="759"/>
        <w:spacing w:after="0" w:line="275" w:lineRule="auto"/>
        <w:rPr>
          <w:sz w:val="20"/>
          <w:szCs w:val="20"/>
          <w:color w:val="auto"/>
        </w:rPr>
      </w:pPr>
      <w:r>
        <w:rPr>
          <w:rFonts w:ascii="Arial" w:cs="Arial" w:eastAsia="Arial" w:hAnsi="Arial"/>
          <w:sz w:val="18"/>
          <w:szCs w:val="18"/>
          <w:color w:val="auto"/>
        </w:rPr>
        <w:t>June 20, 2019, Prior Century recognized $14 of stock based compensation within general and administrative expense in its consolidated statements of operations.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summarizes stock option activity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51936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Weighted Average</w:t>
            </w:r>
          </w:p>
        </w:tc>
      </w:tr>
      <w:tr>
        <w:trPr>
          <w:trHeight w:val="170"/>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Remaining</w:t>
            </w:r>
          </w:p>
        </w:tc>
      </w:tr>
      <w:tr>
        <w:trPr>
          <w:trHeight w:val="188"/>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Contractual</w:t>
            </w:r>
          </w:p>
        </w:tc>
      </w:tr>
      <w:tr>
        <w:trPr>
          <w:trHeight w:val="188"/>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Term</w:t>
            </w:r>
          </w:p>
        </w:tc>
      </w:tr>
      <w:tr>
        <w:trPr>
          <w:trHeight w:val="227"/>
        </w:trPr>
        <w:tc>
          <w:tcPr>
            <w:tcW w:w="4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Shares</w:t>
            </w:r>
          </w:p>
        </w:tc>
        <w:tc>
          <w:tcPr>
            <w:tcW w:w="13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rPr>
              <w:t>Exercise Price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r>
      <w:tr>
        <w:trPr>
          <w:trHeight w:val="222"/>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January 1, 2020</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4,393,185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6,132,580</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0.54</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Exercised—vested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(358,464)</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Exercised—unvested</w:t>
            </w:r>
          </w:p>
        </w:tc>
        <w:tc>
          <w:tcPr>
            <w:tcW w:w="980" w:type="dxa"/>
            <w:vAlign w:val="bottom"/>
          </w:tcPr>
          <w:p>
            <w:pPr>
              <w:jc w:val="right"/>
              <w:spacing w:after="0"/>
              <w:rPr>
                <w:sz w:val="20"/>
                <w:szCs w:val="20"/>
                <w:color w:val="auto"/>
              </w:rPr>
            </w:pPr>
            <w:r>
              <w:rPr>
                <w:rFonts w:ascii="Arial" w:cs="Arial" w:eastAsia="Arial" w:hAnsi="Arial"/>
                <w:sz w:val="18"/>
                <w:szCs w:val="18"/>
                <w:color w:val="auto"/>
              </w:rPr>
              <w:t>(396,149)</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December 31, 2020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9,768,326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4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Exercisable at December 31, 2020, Successor</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5,981,228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-332740</wp:posOffset>
            </wp:positionV>
            <wp:extent cx="30410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041015" cy="825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26" w:name="page227"/>
    <w:bookmarkEnd w:id="226"/>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summarizes stock option activity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125095</wp:posOffset>
            </wp:positionV>
            <wp:extent cx="51936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Weighted Average</w:t>
            </w:r>
          </w:p>
        </w:tc>
      </w:tr>
      <w:tr>
        <w:trPr>
          <w:trHeight w:val="170"/>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Remaining</w:t>
            </w:r>
          </w:p>
        </w:tc>
      </w:tr>
      <w:tr>
        <w:trPr>
          <w:trHeight w:val="188"/>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Contractual</w:t>
            </w:r>
          </w:p>
        </w:tc>
      </w:tr>
      <w:tr>
        <w:trPr>
          <w:trHeight w:val="188"/>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Term</w:t>
            </w:r>
          </w:p>
        </w:tc>
      </w:tr>
      <w:tr>
        <w:trPr>
          <w:trHeight w:val="227"/>
        </w:trPr>
        <w:tc>
          <w:tcPr>
            <w:tcW w:w="4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Shares</w:t>
            </w:r>
          </w:p>
        </w:tc>
        <w:tc>
          <w:tcPr>
            <w:tcW w:w="13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rPr>
              <w:t>Exercise Price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r>
      <w:tr>
        <w:trPr>
          <w:trHeight w:val="222"/>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January 1, 2019, Predecessor</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1,929,820</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80" w:type="dxa"/>
            <w:vAlign w:val="bottom"/>
            <w:tcBorders>
              <w:bottom w:val="single" w:sz="8" w:color="auto"/>
            </w:tcBorders>
          </w:tcPr>
          <w:p>
            <w:pPr>
              <w:spacing w:after="0"/>
              <w:rPr>
                <w:sz w:val="20"/>
                <w:szCs w:val="20"/>
                <w:color w:val="auto"/>
              </w:rPr>
            </w:pPr>
          </w:p>
        </w:tc>
      </w:tr>
      <w:tr>
        <w:trPr>
          <w:trHeight w:val="222"/>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June 21, 2019, Successor</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1,929,820</w:t>
            </w:r>
          </w:p>
        </w:tc>
        <w:tc>
          <w:tcPr>
            <w:tcW w:w="8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3,363,626</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Exercised—vested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(187,316)</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Exercised—unvested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(712,945)</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December 31, 2019</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4,393,185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4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Exercisable at December 31, 2019, Successor</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3,795,617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-332740</wp:posOffset>
            </wp:positionV>
            <wp:extent cx="3041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04101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-973455</wp:posOffset>
            </wp:positionV>
            <wp:extent cx="30410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041015" cy="8255"/>
                    </a:xfrm>
                    <a:prstGeom prst="rect">
                      <a:avLst/>
                    </a:prstGeom>
                    <a:noFill/>
                  </pic:spPr>
                </pic:pic>
              </a:graphicData>
            </a:graphic>
          </wp:anchor>
        </w:drawing>
      </w:r>
    </w:p>
    <w:p>
      <w:pPr>
        <w:spacing w:after="0" w:line="127"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The weighted average grant date fair value of awards for options granted during the Successor year and period ended December 31, 2020 and 2019 was $0.32 and $0.25, respectively. As of December 31, 2020, there was $1,862 of total unrecognized compensation expense related to unvested stock options with time-based vesting terms, which is expected to be recognized over a weighted average period of 2.87 years.</w:t>
      </w:r>
    </w:p>
    <w:p>
      <w:pPr>
        <w:spacing w:after="0" w:line="140"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During 2020, Prior Century issued 537,500 performance-based awards that vest upon contingent events. Prior Century determined the performance condition for these awards is not probable of being achieved. As a result, the Company has not recorded any compensation cost related to the awards. As of December 31, 2020, there was $213 of total unrecognized compensation expense related to the performance-based awards.</w:t>
      </w:r>
    </w:p>
    <w:p>
      <w:pPr>
        <w:spacing w:after="0" w:line="140"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Prior Century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Prior Century has based its estimate of expected volatility on the historical volatility of a group of similar public companies. When selecting these companies on which it has based its expected stock price volatility, Prior Century selected companies with comparable characteristics to it, including enterprise value, risk profiles, position within the industry and with historical share price information sufficient to meet the expected term of the stock-based awards. Prior Century will continue to apply this process until a sufficient amount of historical information regarding the volatility of its own stock price becomes available.</w:t>
      </w:r>
    </w:p>
    <w:p>
      <w:pPr>
        <w:spacing w:after="0" w:line="127" w:lineRule="exact"/>
        <w:rPr>
          <w:sz w:val="20"/>
          <w:szCs w:val="20"/>
          <w:color w:val="auto"/>
        </w:rPr>
      </w:pPr>
    </w:p>
    <w:p>
      <w:pPr>
        <w:jc w:val="both"/>
        <w:ind w:left="1260" w:right="679"/>
        <w:spacing w:after="0" w:line="267" w:lineRule="auto"/>
        <w:rPr>
          <w:sz w:val="20"/>
          <w:szCs w:val="20"/>
          <w:color w:val="auto"/>
        </w:rPr>
      </w:pPr>
      <w:r>
        <w:rPr>
          <w:rFonts w:ascii="Arial" w:cs="Arial" w:eastAsia="Arial" w:hAnsi="Arial"/>
          <w:sz w:val="18"/>
          <w:szCs w:val="18"/>
          <w:color w:val="auto"/>
        </w:rPr>
        <w:t>Prior Century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Prior Century will account for actual forfeitures as they occur.</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27" w:name="page228"/>
    <w:bookmarkEnd w:id="227"/>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right="619"/>
        <w:spacing w:after="0" w:line="275" w:lineRule="auto"/>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100965</wp:posOffset>
            </wp:positionV>
            <wp:extent cx="51936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500" w:type="dxa"/>
            <w:vAlign w:val="bottom"/>
          </w:tcPr>
          <w:p>
            <w:pPr>
              <w:spacing w:after="0"/>
              <w:rPr>
                <w:sz w:val="19"/>
                <w:szCs w:val="19"/>
                <w:color w:val="auto"/>
              </w:rPr>
            </w:pPr>
          </w:p>
        </w:tc>
        <w:tc>
          <w:tcPr>
            <w:tcW w:w="3840" w:type="dxa"/>
            <w:vAlign w:val="bottom"/>
            <w:gridSpan w:val="3"/>
          </w:tcPr>
          <w:p>
            <w:pPr>
              <w:jc w:val="right"/>
              <w:ind w:right="1540"/>
              <w:spacing w:after="0"/>
              <w:rPr>
                <w:sz w:val="20"/>
                <w:szCs w:val="20"/>
                <w:color w:val="auto"/>
              </w:rPr>
            </w:pPr>
            <w:r>
              <w:rPr>
                <w:rFonts w:ascii="Arial" w:cs="Arial" w:eastAsia="Arial" w:hAnsi="Arial"/>
                <w:sz w:val="16"/>
                <w:szCs w:val="16"/>
                <w:b w:val="1"/>
                <w:bCs w:val="1"/>
                <w:color w:val="auto"/>
              </w:rPr>
              <w:t>Successor</w:t>
            </w:r>
          </w:p>
        </w:tc>
      </w:tr>
      <w:tr>
        <w:trPr>
          <w:trHeight w:val="170"/>
        </w:trPr>
        <w:tc>
          <w:tcPr>
            <w:tcW w:w="45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6"/>
                <w:szCs w:val="16"/>
                <w:b w:val="1"/>
                <w:bCs w:val="1"/>
                <w:color w:val="auto"/>
              </w:rPr>
              <w:t>Period ended</w:t>
            </w:r>
          </w:p>
        </w:tc>
        <w:tc>
          <w:tcPr>
            <w:tcW w:w="160" w:type="dxa"/>
            <w:vAlign w:val="bottom"/>
          </w:tcPr>
          <w:p>
            <w:pPr>
              <w:spacing w:after="0"/>
              <w:rPr>
                <w:sz w:val="14"/>
                <w:szCs w:val="14"/>
                <w:color w:val="auto"/>
              </w:rPr>
            </w:pPr>
          </w:p>
        </w:tc>
      </w:tr>
      <w:tr>
        <w:trPr>
          <w:trHeight w:val="188"/>
        </w:trPr>
        <w:tc>
          <w:tcPr>
            <w:tcW w:w="4500" w:type="dxa"/>
            <w:vAlign w:val="bottom"/>
          </w:tcPr>
          <w:p>
            <w:pPr>
              <w:spacing w:after="0"/>
              <w:rPr>
                <w:sz w:val="16"/>
                <w:szCs w:val="16"/>
                <w:color w:val="auto"/>
              </w:rPr>
            </w:pPr>
          </w:p>
        </w:tc>
        <w:tc>
          <w:tcPr>
            <w:tcW w:w="1800" w:type="dxa"/>
            <w:vAlign w:val="bottom"/>
          </w:tcPr>
          <w:p>
            <w:pPr>
              <w:jc w:val="right"/>
              <w:ind w:right="134"/>
              <w:spacing w:after="0"/>
              <w:rPr>
                <w:sz w:val="20"/>
                <w:szCs w:val="20"/>
                <w:color w:val="auto"/>
              </w:rPr>
            </w:pPr>
            <w:r>
              <w:rPr>
                <w:rFonts w:ascii="Arial" w:cs="Arial" w:eastAsia="Arial" w:hAnsi="Arial"/>
                <w:sz w:val="16"/>
                <w:szCs w:val="16"/>
                <w:b w:val="1"/>
                <w:bCs w:val="1"/>
                <w:color w:val="auto"/>
              </w:rPr>
              <w:t>Year ended</w:t>
            </w:r>
          </w:p>
        </w:tc>
        <w:tc>
          <w:tcPr>
            <w:tcW w:w="20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June 21, 2019 through</w:t>
            </w:r>
          </w:p>
        </w:tc>
      </w:tr>
      <w:tr>
        <w:trPr>
          <w:trHeight w:val="227"/>
        </w:trPr>
        <w:tc>
          <w:tcPr>
            <w:tcW w:w="4500" w:type="dxa"/>
            <w:vAlign w:val="bottom"/>
          </w:tcPr>
          <w:p>
            <w:pPr>
              <w:spacing w:after="0"/>
              <w:rPr>
                <w:sz w:val="19"/>
                <w:szCs w:val="19"/>
                <w:color w:val="auto"/>
              </w:rPr>
            </w:pPr>
          </w:p>
        </w:tc>
        <w:tc>
          <w:tcPr>
            <w:tcW w:w="1800" w:type="dxa"/>
            <w:vAlign w:val="bottom"/>
          </w:tcPr>
          <w:p>
            <w:pPr>
              <w:jc w:val="right"/>
              <w:ind w:right="94"/>
              <w:spacing w:after="0"/>
              <w:rPr>
                <w:sz w:val="20"/>
                <w:szCs w:val="20"/>
                <w:color w:val="auto"/>
              </w:rPr>
            </w:pPr>
            <w:r>
              <w:rPr>
                <w:rFonts w:ascii="Arial" w:cs="Arial" w:eastAsia="Arial" w:hAnsi="Arial"/>
                <w:sz w:val="16"/>
                <w:szCs w:val="16"/>
                <w:b w:val="1"/>
                <w:bCs w:val="1"/>
                <w:color w:val="auto"/>
              </w:rPr>
              <w:t>December 31, 2020</w:t>
            </w:r>
          </w:p>
        </w:tc>
        <w:tc>
          <w:tcPr>
            <w:tcW w:w="2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December 31, 2019</w:t>
            </w:r>
          </w:p>
        </w:tc>
      </w:tr>
      <w:tr>
        <w:trPr>
          <w:trHeight w:val="222"/>
        </w:trPr>
        <w:tc>
          <w:tcPr>
            <w:tcW w:w="4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8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Expected option term (years)</w:t>
            </w:r>
          </w:p>
        </w:tc>
        <w:tc>
          <w:tcPr>
            <w:tcW w:w="1800" w:type="dxa"/>
            <w:vAlign w:val="bottom"/>
          </w:tcPr>
          <w:p>
            <w:pPr>
              <w:jc w:val="right"/>
              <w:ind w:right="94"/>
              <w:spacing w:after="0"/>
              <w:rPr>
                <w:sz w:val="20"/>
                <w:szCs w:val="20"/>
                <w:color w:val="auto"/>
              </w:rPr>
            </w:pPr>
            <w:r>
              <w:rPr>
                <w:rFonts w:ascii="Arial" w:cs="Arial" w:eastAsia="Arial" w:hAnsi="Arial"/>
                <w:sz w:val="18"/>
                <w:szCs w:val="18"/>
                <w:color w:val="auto"/>
              </w:rPr>
              <w:t>5.85</w:t>
            </w:r>
          </w:p>
        </w:tc>
        <w:tc>
          <w:tcPr>
            <w:tcW w:w="1880" w:type="dxa"/>
            <w:vAlign w:val="bottom"/>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9"/>
                <w:szCs w:val="19"/>
                <w:color w:val="auto"/>
              </w:rPr>
            </w:pPr>
          </w:p>
        </w:tc>
      </w:tr>
      <w:tr>
        <w:trPr>
          <w:trHeight w:val="256"/>
        </w:trPr>
        <w:tc>
          <w:tcPr>
            <w:tcW w:w="450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tcPr>
          <w:p>
            <w:pPr>
              <w:jc w:val="right"/>
              <w:spacing w:after="0"/>
              <w:rPr>
                <w:sz w:val="20"/>
                <w:szCs w:val="20"/>
                <w:color w:val="auto"/>
              </w:rPr>
            </w:pPr>
            <w:r>
              <w:rPr>
                <w:rFonts w:ascii="Arial" w:cs="Arial" w:eastAsia="Arial" w:hAnsi="Arial"/>
                <w:sz w:val="18"/>
                <w:szCs w:val="18"/>
                <w:color w:val="auto"/>
              </w:rPr>
              <w:t>68.38%</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65.63%</w:t>
            </w:r>
          </w:p>
        </w:tc>
      </w:tr>
      <w:tr>
        <w:trPr>
          <w:trHeight w:val="256"/>
        </w:trPr>
        <w:tc>
          <w:tcPr>
            <w:tcW w:w="4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tcPr>
          <w:p>
            <w:pPr>
              <w:jc w:val="right"/>
              <w:spacing w:after="0"/>
              <w:rPr>
                <w:sz w:val="20"/>
                <w:szCs w:val="20"/>
                <w:color w:val="auto"/>
              </w:rPr>
            </w:pPr>
            <w:r>
              <w:rPr>
                <w:rFonts w:ascii="Arial" w:cs="Arial" w:eastAsia="Arial" w:hAnsi="Arial"/>
                <w:sz w:val="18"/>
                <w:szCs w:val="18"/>
                <w:color w:val="auto"/>
              </w:rPr>
              <w:t>0.58%</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40"/>
        </w:trPr>
        <w:tc>
          <w:tcPr>
            <w:tcW w:w="45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-340995</wp:posOffset>
            </wp:positionV>
            <wp:extent cx="5193665" cy="162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93665" cy="162560"/>
                    </a:xfrm>
                    <a:prstGeom prst="rect">
                      <a:avLst/>
                    </a:prstGeom>
                    <a:noFill/>
                  </pic:spPr>
                </pic:pic>
              </a:graphicData>
            </a:graphic>
          </wp:anchor>
        </w:drawing>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51" w:lineRule="exact"/>
        <w:rPr>
          <w:sz w:val="20"/>
          <w:szCs w:val="20"/>
          <w:color w:val="auto"/>
        </w:rPr>
      </w:pPr>
    </w:p>
    <w:p>
      <w:pPr>
        <w:ind w:left="1260" w:right="699"/>
        <w:spacing w:after="0" w:line="260" w:lineRule="auto"/>
        <w:rPr>
          <w:sz w:val="20"/>
          <w:szCs w:val="20"/>
          <w:color w:val="auto"/>
        </w:rPr>
      </w:pPr>
      <w:r>
        <w:rPr>
          <w:rFonts w:ascii="Arial" w:cs="Arial" w:eastAsia="Arial" w:hAnsi="Arial"/>
          <w:sz w:val="18"/>
          <w:szCs w:val="18"/>
          <w:color w:val="auto"/>
        </w:rPr>
        <w:t>The following table summarizes restricted stock activity for the year ended December 31, 2020 and December 31, 2019:</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Weighted Average</w:t>
            </w:r>
          </w:p>
        </w:tc>
      </w:tr>
      <w:tr>
        <w:trPr>
          <w:trHeight w:val="227"/>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Grant Date Fair Value</w:t>
            </w:r>
          </w:p>
        </w:tc>
      </w:tr>
      <w:tr>
        <w:trPr>
          <w:trHeight w:val="222"/>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January 1, 2019, Predecessor</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4,288,080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$ 0.01</w:t>
            </w: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701,754</w:t>
            </w:r>
          </w:p>
        </w:tc>
        <w:tc>
          <w:tcPr>
            <w:tcW w:w="18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(58,479)</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Unvested June 21, 2019, Successor</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4,931,355</w:t>
            </w:r>
          </w:p>
        </w:tc>
        <w:tc>
          <w:tcPr>
            <w:tcW w:w="1800" w:type="dxa"/>
            <w:vAlign w:val="bottom"/>
          </w:tcPr>
          <w:p>
            <w:pPr>
              <w:jc w:val="right"/>
              <w:spacing w:after="0"/>
              <w:rPr>
                <w:sz w:val="20"/>
                <w:szCs w:val="20"/>
                <w:color w:val="auto"/>
              </w:rPr>
            </w:pPr>
            <w:r>
              <w:rPr>
                <w:rFonts w:ascii="Arial" w:cs="Arial" w:eastAsia="Arial" w:hAnsi="Arial"/>
                <w:sz w:val="18"/>
                <w:szCs w:val="18"/>
                <w:color w:val="auto"/>
              </w:rPr>
              <w:t>$ 0.01</w:t>
            </w:r>
          </w:p>
        </w:tc>
      </w:tr>
      <w:tr>
        <w:trPr>
          <w:trHeight w:val="26"/>
        </w:trPr>
        <w:tc>
          <w:tcPr>
            <w:tcW w:w="5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1,437,719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Repurchased</w:t>
            </w:r>
          </w:p>
        </w:tc>
        <w:tc>
          <w:tcPr>
            <w:tcW w:w="1100" w:type="dxa"/>
            <w:vAlign w:val="bottom"/>
          </w:tcPr>
          <w:p>
            <w:pPr>
              <w:jc w:val="right"/>
              <w:spacing w:after="0"/>
              <w:rPr>
                <w:sz w:val="20"/>
                <w:szCs w:val="20"/>
                <w:color w:val="auto"/>
              </w:rPr>
            </w:pPr>
            <w:r>
              <w:rPr>
                <w:rFonts w:ascii="Arial" w:cs="Arial" w:eastAsia="Arial" w:hAnsi="Arial"/>
                <w:sz w:val="18"/>
                <w:szCs w:val="18"/>
                <w:color w:val="auto"/>
              </w:rPr>
              <w:t>(750,000)</w:t>
            </w:r>
          </w:p>
        </w:tc>
        <w:tc>
          <w:tcPr>
            <w:tcW w:w="18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(1,299,455)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Unvested December 31, 2019, Successor</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4,319,619</w:t>
            </w:r>
          </w:p>
        </w:tc>
        <w:tc>
          <w:tcPr>
            <w:tcW w:w="18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6"/>
        </w:trPr>
        <w:tc>
          <w:tcPr>
            <w:tcW w:w="5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(1,668,895)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Unvested December 31, 2020, Successor</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2,650,724</w:t>
            </w:r>
          </w:p>
        </w:tc>
        <w:tc>
          <w:tcPr>
            <w:tcW w:w="1800" w:type="dxa"/>
            <w:vAlign w:val="bottom"/>
          </w:tcPr>
          <w:p>
            <w:pPr>
              <w:jc w:val="right"/>
              <w:spacing w:after="0"/>
              <w:rPr>
                <w:sz w:val="20"/>
                <w:szCs w:val="20"/>
                <w:color w:val="auto"/>
              </w:rPr>
            </w:pPr>
            <w:r>
              <w:rPr>
                <w:rFonts w:ascii="Arial" w:cs="Arial" w:eastAsia="Arial" w:hAnsi="Arial"/>
                <w:sz w:val="18"/>
                <w:szCs w:val="18"/>
                <w:color w:val="auto"/>
              </w:rPr>
              <w:t>$ 0.14</w:t>
            </w:r>
          </w:p>
        </w:tc>
      </w:tr>
      <w:tr>
        <w:trPr>
          <w:trHeight w:val="133"/>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r>
        <w:trPr>
          <w:trHeight w:val="74"/>
        </w:trPr>
        <w:tc>
          <w:tcPr>
            <w:tcW w:w="20" w:type="dxa"/>
            <w:vAlign w:val="bottom"/>
          </w:tcPr>
          <w:p>
            <w:pPr>
              <w:spacing w:after="0"/>
              <w:rPr>
                <w:sz w:val="6"/>
                <w:szCs w:val="6"/>
                <w:color w:val="auto"/>
              </w:rPr>
            </w:pPr>
          </w:p>
        </w:tc>
        <w:tc>
          <w:tcPr>
            <w:tcW w:w="5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bl>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During 2018, Prior Century issued 1,500,000 shares of common stock at a purchase price of</w:t>
      </w:r>
    </w:p>
    <w:p>
      <w:pPr>
        <w:spacing w:after="0" w:line="8"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color w:val="auto"/>
        </w:rPr>
        <w:t>$0.01 per share. Also, during 2018, Prior Century issued 2,788,080 shares of restricted common stock. Pursuant to certain stock purchase agreements containing vesting and other provisions, Prior Century has the right to repurchase unvested shares. In October 2019, Prior Century repurchased 750,000 shares at $0.41 per share for a cost of $307.</w:t>
      </w:r>
    </w:p>
    <w:p>
      <w:pPr>
        <w:spacing w:after="0" w:line="123" w:lineRule="exact"/>
        <w:rPr>
          <w:sz w:val="20"/>
          <w:szCs w:val="20"/>
          <w:color w:val="auto"/>
        </w:rPr>
      </w:pPr>
    </w:p>
    <w:p>
      <w:pPr>
        <w:ind w:left="1260" w:right="639"/>
        <w:spacing w:after="0" w:line="254" w:lineRule="auto"/>
        <w:rPr>
          <w:sz w:val="20"/>
          <w:szCs w:val="20"/>
          <w:color w:val="auto"/>
        </w:rPr>
      </w:pPr>
      <w:r>
        <w:rPr>
          <w:rFonts w:ascii="Arial" w:cs="Arial" w:eastAsia="Arial" w:hAnsi="Arial"/>
          <w:sz w:val="18"/>
          <w:szCs w:val="18"/>
          <w:color w:val="auto"/>
        </w:rPr>
        <w:t>As of December 31, 2020, there was $372 of total unrecognized compensation expense related to the unvested restricted stock with time-based vesting terms, which is expected to be recognized over a weighted average period of 1.94 years. All restricted stock vests over a four-year period.</w:t>
      </w: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15—Related party transactions</w:t>
      </w:r>
    </w:p>
    <w:p>
      <w:pPr>
        <w:spacing w:after="0" w:line="187" w:lineRule="exact"/>
        <w:rPr>
          <w:sz w:val="20"/>
          <w:szCs w:val="20"/>
          <w:color w:val="auto"/>
        </w:rPr>
      </w:pPr>
    </w:p>
    <w:p>
      <w:pPr>
        <w:ind w:left="1260" w:right="839"/>
        <w:spacing w:after="0" w:line="254" w:lineRule="auto"/>
        <w:rPr>
          <w:sz w:val="20"/>
          <w:szCs w:val="20"/>
          <w:color w:val="auto"/>
        </w:rPr>
      </w:pPr>
      <w:r>
        <w:rPr>
          <w:rFonts w:ascii="Arial" w:cs="Arial" w:eastAsia="Arial" w:hAnsi="Arial"/>
          <w:sz w:val="18"/>
          <w:szCs w:val="18"/>
          <w:b w:val="1"/>
          <w:bCs w:val="1"/>
          <w:i w:val="1"/>
          <w:iCs w:val="1"/>
          <w:color w:val="auto"/>
        </w:rPr>
        <w:t>License Agreements and Collaborative Agreements with Shareholder of Equity Method Investor</w:t>
      </w:r>
    </w:p>
    <w:p>
      <w:pPr>
        <w:spacing w:after="0" w:line="135"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As part of the Commitment Agreement, the Company acquired licenses and other contracts from Prior Century that were originally entered into by Prior Century and FUJIFILM Cellular Dynamics, Inc. (“FCDI”). FCDI is a shareholder of Prior Century. The acquired licenses and other contracts with FCDI are as follows: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Acquired FCDI Licenses</w:t>
      </w:r>
    </w:p>
    <w:p>
      <w:pPr>
        <w:spacing w:after="0" w:line="174"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28" w:name="page229"/>
    <w:bookmarkEnd w:id="228"/>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260" w:right="919"/>
        <w:spacing w:after="0" w:line="275" w:lineRule="auto"/>
        <w:rPr>
          <w:sz w:val="20"/>
          <w:szCs w:val="20"/>
          <w:color w:val="auto"/>
        </w:rPr>
      </w:pPr>
      <w:r>
        <w:rPr>
          <w:rFonts w:ascii="Arial" w:cs="Arial" w:eastAsia="Arial" w:hAnsi="Arial"/>
          <w:sz w:val="18"/>
          <w:szCs w:val="18"/>
          <w:color w:val="auto"/>
        </w:rPr>
        <w:t>certain developmental and regulatory milestone payments as well as royalty payments upon commercialization. Royalties are in the low single digits on the sale of all licensed products.</w:t>
      </w:r>
    </w:p>
    <w:p>
      <w:pPr>
        <w:spacing w:after="0" w:line="118" w:lineRule="exact"/>
        <w:rPr>
          <w:sz w:val="20"/>
          <w:szCs w:val="20"/>
          <w:color w:val="auto"/>
        </w:rPr>
      </w:pPr>
    </w:p>
    <w:p>
      <w:pPr>
        <w:ind w:left="1260" w:right="659"/>
        <w:spacing w:after="0" w:line="270" w:lineRule="auto"/>
        <w:rPr>
          <w:sz w:val="20"/>
          <w:szCs w:val="20"/>
          <w:color w:val="auto"/>
        </w:rPr>
      </w:pPr>
      <w:r>
        <w:rPr>
          <w:rFonts w:ascii="Arial" w:cs="Arial" w:eastAsia="Arial" w:hAnsi="Arial"/>
          <w:sz w:val="18"/>
          <w:szCs w:val="18"/>
          <w:color w:val="auto"/>
        </w:rPr>
        <w:t>The Company also acquired from Prior Century an exclusive license agreement with FCDI. The license provides the Company with patents and know-how related to human iPSC exclusively manufactured by FCDI.</w:t>
      </w:r>
    </w:p>
    <w:p>
      <w:pPr>
        <w:spacing w:after="0" w:line="135" w:lineRule="exact"/>
        <w:rPr>
          <w:sz w:val="20"/>
          <w:szCs w:val="20"/>
          <w:color w:val="auto"/>
        </w:rPr>
      </w:pPr>
    </w:p>
    <w:p>
      <w:pPr>
        <w:ind w:left="1260" w:right="859"/>
        <w:spacing w:after="0" w:line="275" w:lineRule="auto"/>
        <w:rPr>
          <w:sz w:val="20"/>
          <w:szCs w:val="20"/>
          <w:color w:val="auto"/>
        </w:rPr>
      </w:pPr>
      <w:r>
        <w:rPr>
          <w:rFonts w:ascii="Arial" w:cs="Arial" w:eastAsia="Arial" w:hAnsi="Arial"/>
          <w:sz w:val="18"/>
          <w:szCs w:val="18"/>
          <w:color w:val="auto"/>
        </w:rPr>
        <w:t>The potential development and regulatory milestone payments to be paid by the Company to FCDI are $6,000.</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FCDI Collaboration Agreement</w:t>
      </w:r>
    </w:p>
    <w:p>
      <w:pPr>
        <w:spacing w:after="0" w:line="174"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In October 2019, the Company entered into the Master Collaboration Agreement with FCDI, whereby FCDI will provide certain services to the Company to develop and manufacture T-cell-derived iPSCs and immune cells derived therefrom. FCDI will provide services in accordance with the approved research plan and related research budget. The initial research plan covers the period from October 2019 through March 31, 2022, with the related research budget totaling $19,700.</w:t>
      </w:r>
    </w:p>
    <w:p>
      <w:pPr>
        <w:spacing w:after="0" w:line="351"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During the Successor period ended December 31, 2020, the Company made payments of $5,311 and incurred research and development expenses of $9,002 and legal fees of $52 recorded within general and administrative expenses in its consolidated statements of operations and comprehensive loss. As of December 31, 2020, there was $1,844 in accounts payable on the consolidated balance sheets.</w:t>
      </w:r>
    </w:p>
    <w:p>
      <w:pPr>
        <w:spacing w:after="0" w:line="140"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During the Successor period June 21, 2019 through December 31, 2019, the Company made payments of $4,847, of which $2,140 is classified in prepaid expenses and other current assets in the consolidated balance sheet as of December 31, 2019. During the Successor period June 21, 2019 through December 31, 2019, the Company incurred research and development operating expenses of $3,139 and legal fees of $118 recorded as general and administrative expenses in the consolidated statements of operations and comprehensive loss.</w:t>
      </w:r>
    </w:p>
    <w:p>
      <w:pPr>
        <w:spacing w:after="0" w:line="139" w:lineRule="exact"/>
        <w:rPr>
          <w:sz w:val="20"/>
          <w:szCs w:val="20"/>
          <w:color w:val="auto"/>
        </w:rPr>
      </w:pPr>
    </w:p>
    <w:p>
      <w:pPr>
        <w:ind w:left="1260" w:right="739"/>
        <w:spacing w:after="0" w:line="275" w:lineRule="auto"/>
        <w:rPr>
          <w:sz w:val="20"/>
          <w:szCs w:val="20"/>
          <w:color w:val="auto"/>
        </w:rPr>
      </w:pPr>
      <w:r>
        <w:rPr>
          <w:rFonts w:ascii="Arial" w:cs="Arial" w:eastAsia="Arial" w:hAnsi="Arial"/>
          <w:sz w:val="18"/>
          <w:szCs w:val="18"/>
          <w:color w:val="auto"/>
        </w:rPr>
        <w:t>During the Predecessor period January 1, 2019 through June 20, 2019, the Company incurred research and development operating expenses of $1,643.</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Consulting Arrangements with Shareholders of Equity Method Investor</w:t>
      </w:r>
    </w:p>
    <w:p>
      <w:pPr>
        <w:spacing w:after="0" w:line="165"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In 2019, the Company entered into arrangements with two shareholders of Prior Century,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$94, $106 and $44 related to these consulting arrangements that were included in research and development expenses in the consolidated statements of operations and comprehensive loss for the Successor period ended December 31, 2020, the Successor period June 21, 2019 through December 31, 2019, and the Predecessor period January 1, 2019 through June 20, 2019, respectively.</w:t>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16—Subsequent Events</w:t>
      </w:r>
    </w:p>
    <w:p>
      <w:pPr>
        <w:spacing w:after="0" w:line="169" w:lineRule="exact"/>
        <w:rPr>
          <w:sz w:val="20"/>
          <w:szCs w:val="20"/>
          <w:color w:val="auto"/>
        </w:rPr>
      </w:pPr>
    </w:p>
    <w:p>
      <w:pPr>
        <w:ind w:left="1260" w:right="479"/>
        <w:spacing w:after="0" w:line="270" w:lineRule="auto"/>
        <w:rPr>
          <w:sz w:val="20"/>
          <w:szCs w:val="20"/>
          <w:color w:val="auto"/>
        </w:rPr>
      </w:pPr>
      <w:r>
        <w:rPr>
          <w:rFonts w:ascii="Arial" w:cs="Arial" w:eastAsia="Arial" w:hAnsi="Arial"/>
          <w:sz w:val="18"/>
          <w:szCs w:val="18"/>
          <w:color w:val="auto"/>
        </w:rPr>
        <w:t>The Company has evaluated subsequent events for the year ended December 31, 2020, the date of these consolidated financial statements, through March 26, 2021, which represents the date these consolidated financial statements were issued.</w:t>
      </w:r>
    </w:p>
    <w:p>
      <w:pPr>
        <w:spacing w:after="0" w:line="135"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29" w:name="page230"/>
    <w:bookmarkEnd w:id="229"/>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$6.4720 per shares for gross proceeds of $160,000.</w:t>
      </w:r>
    </w:p>
    <w:p>
      <w:pPr>
        <w:spacing w:after="0" w:line="125" w:lineRule="exact"/>
        <w:rPr>
          <w:sz w:val="20"/>
          <w:szCs w:val="20"/>
          <w:color w:val="auto"/>
        </w:rPr>
      </w:pPr>
    </w:p>
    <w:p>
      <w:pPr>
        <w:ind w:left="1260" w:right="819"/>
        <w:spacing w:after="0" w:line="267" w:lineRule="auto"/>
        <w:rPr>
          <w:sz w:val="20"/>
          <w:szCs w:val="20"/>
          <w:color w:val="auto"/>
        </w:rPr>
      </w:pPr>
      <w:r>
        <w:rPr>
          <w:rFonts w:ascii="Arial" w:cs="Arial" w:eastAsia="Arial" w:hAnsi="Arial"/>
          <w:sz w:val="18"/>
          <w:szCs w:val="18"/>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40"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$6.4720, respectively. No dividends have been declared or paid as of December 31, 2020.</w:t>
      </w:r>
    </w:p>
    <w:p>
      <w:pPr>
        <w:spacing w:after="0" w:line="139"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129" w:lineRule="exact"/>
        <w:rPr>
          <w:sz w:val="20"/>
          <w:szCs w:val="20"/>
          <w:color w:val="auto"/>
        </w:rPr>
      </w:pPr>
    </w:p>
    <w:p>
      <w:pPr>
        <w:ind w:left="1260" w:right="659"/>
        <w:spacing w:after="0" w:line="268"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38"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140"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125" w:lineRule="exact"/>
        <w:rPr>
          <w:sz w:val="20"/>
          <w:szCs w:val="20"/>
          <w:color w:val="auto"/>
        </w:rPr>
      </w:pPr>
    </w:p>
    <w:p>
      <w:pPr>
        <w:ind w:left="1260" w:right="679"/>
        <w:spacing w:after="0" w:line="270" w:lineRule="auto"/>
        <w:rPr>
          <w:sz w:val="20"/>
          <w:szCs w:val="20"/>
          <w:color w:val="auto"/>
        </w:rPr>
      </w:pPr>
      <w:r>
        <w:rPr>
          <w:rFonts w:ascii="Arial" w:cs="Arial" w:eastAsia="Arial" w:hAnsi="Arial"/>
          <w:sz w:val="18"/>
          <w:szCs w:val="18"/>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304165</wp:posOffset>
            </wp:positionV>
            <wp:extent cx="51936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93665" cy="2540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372745</wp:posOffset>
            </wp:positionV>
            <wp:extent cx="51936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532765</wp:posOffset>
            </wp:positionV>
            <wp:extent cx="2929890" cy="7861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929890" cy="78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840"/>
        <w:spacing w:after="0"/>
        <w:rPr>
          <w:sz w:val="20"/>
          <w:szCs w:val="20"/>
          <w:color w:val="auto"/>
        </w:rPr>
      </w:pPr>
      <w:r>
        <w:rPr>
          <w:rFonts w:ascii="Arial" w:cs="Arial" w:eastAsia="Arial" w:hAnsi="Arial"/>
          <w:sz w:val="43"/>
          <w:szCs w:val="43"/>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39"/>
        <w:spacing w:after="0"/>
        <w:rPr>
          <w:sz w:val="20"/>
          <w:szCs w:val="20"/>
          <w:color w:val="auto"/>
        </w:rPr>
      </w:pPr>
      <w:r>
        <w:rPr>
          <w:rFonts w:ascii="Arial" w:cs="Arial" w:eastAsia="Arial" w:hAnsi="Arial"/>
          <w:sz w:val="29"/>
          <w:szCs w:val="29"/>
          <w:b w:val="1"/>
          <w:bCs w:val="1"/>
          <w:color w:val="auto"/>
        </w:rPr>
        <w:t>J.P. Morgan  BofA Securities SVB Leerink 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tabs>
          <w:tab w:leader="none" w:pos="436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8"/>
          <w:szCs w:val="18"/>
          <w:b w:val="1"/>
          <w:bCs w:val="1"/>
          <w:color w:val="auto"/>
        </w:rPr>
        <w:t>, 2021 (the 25th day after the commencement of this</w:t>
      </w:r>
    </w:p>
    <w:p>
      <w:pPr>
        <w:spacing w:after="0" w:line="30"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b w:val="1"/>
          <w:bCs w:val="1"/>
          <w:color w:val="auto"/>
        </w:rPr>
        <w:t>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104140</wp:posOffset>
            </wp:positionV>
            <wp:extent cx="51936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9366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155575</wp:posOffset>
            </wp:positionV>
            <wp:extent cx="51936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9366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415925</wp:posOffset>
            </wp:positionV>
            <wp:extent cx="679958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Part II</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Information not required in prospectus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42"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Century Therapeutics, Inc., or the Registrant, in connection with the sale of our common stock being registered. All amounts are estimates except for the SEC, registration fee, FINRA, filing fee and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121285</wp:posOffset>
            </wp:positionV>
            <wp:extent cx="519366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Item</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r>
      <w:tr>
        <w:trPr>
          <w:trHeight w:val="222"/>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FINRA filing fee</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Printing expenses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24765</wp:posOffset>
            </wp:positionV>
            <wp:extent cx="51936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86" w:lineRule="exact"/>
        <w:rPr>
          <w:sz w:val="20"/>
          <w:szCs w:val="20"/>
          <w:color w:val="auto"/>
        </w:rPr>
      </w:pPr>
    </w:p>
    <w:p>
      <w:pPr>
        <w:ind w:left="1260"/>
        <w:spacing w:after="0"/>
        <w:tabs>
          <w:tab w:leader="none" w:pos="1420" w:val="left"/>
        </w:tabs>
        <w:rPr>
          <w:sz w:val="20"/>
          <w:szCs w:val="20"/>
          <w:color w:val="auto"/>
        </w:rPr>
      </w:pPr>
      <w:r>
        <w:rPr>
          <w:rFonts w:ascii="Arial" w:cs="Arial" w:eastAsia="Arial" w:hAnsi="Arial"/>
          <w:sz w:val="13"/>
          <w:szCs w:val="13"/>
          <w:color w:val="auto"/>
        </w:rPr>
        <w:t>*</w:t>
        <w:tab/>
        <w:t>To be filed by amendment.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55"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As permitted by Section 102 of the DGCL, our second amended and restated certificate of incorporation and amended and restated bylaws to be in effect immediately prior to the closing of this offering will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328" w:lineRule="exact"/>
        <w:rPr>
          <w:sz w:val="20"/>
          <w:szCs w:val="20"/>
          <w:color w:val="auto"/>
        </w:rPr>
      </w:pPr>
    </w:p>
    <w:p>
      <w:pPr>
        <w:ind w:left="1400" w:hanging="145"/>
        <w:spacing w:after="0"/>
        <w:tabs>
          <w:tab w:leader="none" w:pos="14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8" w:lineRule="exact"/>
        <w:rPr>
          <w:rFonts w:ascii="Arial" w:cs="Arial" w:eastAsia="Arial" w:hAnsi="Arial"/>
          <w:sz w:val="18"/>
          <w:szCs w:val="18"/>
          <w:color w:val="auto"/>
        </w:rPr>
      </w:pPr>
    </w:p>
    <w:p>
      <w:pPr>
        <w:ind w:left="1400" w:right="1039" w:hanging="145"/>
        <w:spacing w:after="0" w:line="265" w:lineRule="auto"/>
        <w:tabs>
          <w:tab w:leader="none" w:pos="14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ind w:left="1400" w:right="499" w:hanging="145"/>
        <w:spacing w:after="0" w:line="265" w:lineRule="auto"/>
        <w:tabs>
          <w:tab w:leader="none" w:pos="14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ind w:left="1400" w:hanging="145"/>
        <w:spacing w:after="0"/>
        <w:tabs>
          <w:tab w:leader="none" w:pos="14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3" w:lineRule="exact"/>
        <w:rPr>
          <w:sz w:val="20"/>
          <w:szCs w:val="20"/>
          <w:color w:val="auto"/>
        </w:rPr>
      </w:pPr>
    </w:p>
    <w:p>
      <w:pPr>
        <w:ind w:left="1260" w:right="659" w:firstLine="323"/>
        <w:spacing w:after="0" w:line="253"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second amended and restated certificate of incorporation will authorize us to indemnify our officers, directors and other agents to the fullest extent permitted under Delaware law.</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permitted by Section 145 of the DGCL, our amended and restated bylaws will provide that:</w:t>
      </w:r>
    </w:p>
    <w:p>
      <w:pPr>
        <w:spacing w:after="0" w:line="129" w:lineRule="exact"/>
        <w:rPr>
          <w:sz w:val="20"/>
          <w:szCs w:val="20"/>
          <w:color w:val="auto"/>
        </w:rPr>
      </w:pPr>
    </w:p>
    <w:p>
      <w:pPr>
        <w:ind w:left="1400" w:right="679" w:hanging="145"/>
        <w:spacing w:after="0" w:line="275" w:lineRule="auto"/>
        <w:tabs>
          <w:tab w:leader="none" w:pos="14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DGCL, subject to limited exceptions;</w:t>
      </w:r>
    </w:p>
    <w:p>
      <w:pPr>
        <w:spacing w:after="0" w:line="90" w:lineRule="exact"/>
        <w:rPr>
          <w:rFonts w:ascii="Arial" w:cs="Arial" w:eastAsia="Arial" w:hAnsi="Arial"/>
          <w:sz w:val="18"/>
          <w:szCs w:val="18"/>
          <w:color w:val="auto"/>
        </w:rPr>
      </w:pPr>
    </w:p>
    <w:p>
      <w:pPr>
        <w:ind w:left="1400" w:right="599" w:hanging="145"/>
        <w:spacing w:after="0" w:line="275" w:lineRule="auto"/>
        <w:tabs>
          <w:tab w:leader="none" w:pos="14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DGCL, subject to limited exceptions; and</w:t>
      </w:r>
    </w:p>
    <w:p>
      <w:pPr>
        <w:spacing w:after="0" w:line="77" w:lineRule="exact"/>
        <w:rPr>
          <w:rFonts w:ascii="Arial" w:cs="Arial" w:eastAsia="Arial" w:hAnsi="Arial"/>
          <w:sz w:val="18"/>
          <w:szCs w:val="18"/>
          <w:color w:val="auto"/>
        </w:rPr>
      </w:pPr>
    </w:p>
    <w:p>
      <w:pPr>
        <w:ind w:left="1400" w:hanging="145"/>
        <w:spacing w:after="0"/>
        <w:tabs>
          <w:tab w:leader="none" w:pos="14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156"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Our second amended and restated certificate of incorporation and our amended and restated bylaws will provide for the indemnification provisions described above and elsewhere herein. We have entered into, and intend to</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32" w:name="page233"/>
    <w:bookmarkEnd w:id="232"/>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continue to enter into, separate indemnification agreements with our directors and officers that may be broader than the specific indemnification provisions contained in the DGCL.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357" w:lineRule="exact"/>
        <w:rPr>
          <w:sz w:val="20"/>
          <w:szCs w:val="20"/>
          <w:color w:val="auto"/>
        </w:rPr>
      </w:pPr>
    </w:p>
    <w:p>
      <w:pPr>
        <w:ind w:left="1260" w:right="539"/>
        <w:spacing w:after="0" w:line="272" w:lineRule="auto"/>
        <w:rPr>
          <w:sz w:val="20"/>
          <w:szCs w:val="20"/>
          <w:color w:val="auto"/>
        </w:rPr>
      </w:pPr>
      <w:r>
        <w:rPr>
          <w:rFonts w:ascii="Arial" w:cs="Arial" w:eastAsia="Arial" w:hAnsi="Arial"/>
          <w:sz w:val="18"/>
          <w:szCs w:val="18"/>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359" w:lineRule="exact"/>
        <w:rPr>
          <w:sz w:val="20"/>
          <w:szCs w:val="20"/>
          <w:color w:val="auto"/>
        </w:rPr>
      </w:pPr>
    </w:p>
    <w:p>
      <w:pPr>
        <w:ind w:left="1260" w:right="639"/>
        <w:spacing w:after="0" w:line="270"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69" w:lineRule="exact"/>
        <w:rPr>
          <w:sz w:val="20"/>
          <w:szCs w:val="20"/>
          <w:color w:val="auto"/>
        </w:rPr>
      </w:pPr>
    </w:p>
    <w:p>
      <w:pPr>
        <w:ind w:left="1260" w:right="1039" w:firstLine="323"/>
        <w:spacing w:after="0" w:line="268" w:lineRule="auto"/>
        <w:rPr>
          <w:sz w:val="20"/>
          <w:szCs w:val="20"/>
          <w:color w:val="auto"/>
        </w:rPr>
      </w:pPr>
      <w:r>
        <w:rPr>
          <w:rFonts w:ascii="Arial" w:cs="Arial" w:eastAsia="Arial" w:hAnsi="Arial"/>
          <w:sz w:val="18"/>
          <w:szCs w:val="18"/>
          <w:color w:val="auto"/>
        </w:rPr>
        <w:t>Set forth below is information regarding all unregistered securities sold by us since our inception in 2018. Also included is the consideration received by us for such securities and information relating to the section of the Securities Act, or rule of the SEC, under which exemption from registration was claimed.</w:t>
      </w:r>
    </w:p>
    <w:p>
      <w:pPr>
        <w:spacing w:after="0" w:line="157" w:lineRule="exact"/>
        <w:rPr>
          <w:sz w:val="20"/>
          <w:szCs w:val="20"/>
          <w:color w:val="auto"/>
        </w:rPr>
      </w:pPr>
    </w:p>
    <w:p>
      <w:pPr>
        <w:ind w:left="1580" w:right="2079" w:hanging="325"/>
        <w:spacing w:after="0" w:line="433" w:lineRule="auto"/>
        <w:tabs>
          <w:tab w:leader="none" w:pos="1578"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Units in Century Therapeutics, LLC (prior to the 2021 Reorganization) </w:t>
      </w:r>
      <w:r>
        <w:rPr>
          <w:rFonts w:ascii="Arial" w:cs="Arial" w:eastAsia="Arial" w:hAnsi="Arial"/>
          <w:sz w:val="18"/>
          <w:szCs w:val="18"/>
          <w:i w:val="1"/>
          <w:iCs w:val="1"/>
          <w:color w:val="auto"/>
        </w:rPr>
        <w:t>a. Century Therapeutics, Inc. and Bayer HealthCare LLC</w:t>
      </w:r>
    </w:p>
    <w:p>
      <w:pPr>
        <w:spacing w:after="0" w:line="2" w:lineRule="exact"/>
        <w:rPr>
          <w:sz w:val="20"/>
          <w:szCs w:val="20"/>
          <w:color w:val="auto"/>
        </w:rPr>
      </w:pPr>
    </w:p>
    <w:p>
      <w:pPr>
        <w:ind w:left="1260" w:right="559"/>
        <w:spacing w:after="0" w:line="267" w:lineRule="auto"/>
        <w:rPr>
          <w:sz w:val="20"/>
          <w:szCs w:val="20"/>
          <w:color w:val="auto"/>
        </w:rPr>
      </w:pPr>
      <w:r>
        <w:rPr>
          <w:rFonts w:ascii="Arial" w:cs="Arial" w:eastAsia="Arial" w:hAnsi="Arial"/>
          <w:sz w:val="18"/>
          <w:szCs w:val="18"/>
          <w:color w:val="auto"/>
        </w:rPr>
        <w:t>On June 21, 2019, we issued 26,143,790 units to Bayer and 67,226,891 units to Prior Century in connection with the Commitment Agreement. Pursuant to the Commitment Agreement, Bayer agreed to make an aggregate cash contribution to us in the amount of $145 million as consideration for the 26,143,790 units issued to Bayer. Pursuant to the Commitment Agreement and a Contribution Agreement between Prior Century and us, dated June 21, 2019, or the Contribution Agreement, Prior Century contributed substantially all of its assets including contracts, intellectual property and research and development assets, as consideration for the 67,226,891 units issued to Prior Century.</w:t>
      </w:r>
    </w:p>
    <w:p>
      <w:pPr>
        <w:spacing w:after="0" w:line="348" w:lineRule="exact"/>
        <w:rPr>
          <w:sz w:val="20"/>
          <w:szCs w:val="20"/>
          <w:color w:val="auto"/>
        </w:rPr>
      </w:pPr>
    </w:p>
    <w:p>
      <w:pPr>
        <w:ind w:left="1580"/>
        <w:spacing w:after="0"/>
        <w:tabs>
          <w:tab w:leader="none" w:pos="1880" w:val="left"/>
        </w:tabs>
        <w:rPr>
          <w:sz w:val="20"/>
          <w:szCs w:val="20"/>
          <w:color w:val="auto"/>
        </w:rPr>
      </w:pPr>
      <w:r>
        <w:rPr>
          <w:rFonts w:ascii="Arial" w:cs="Arial" w:eastAsia="Arial" w:hAnsi="Arial"/>
          <w:sz w:val="18"/>
          <w:szCs w:val="18"/>
          <w:i w:val="1"/>
          <w:iCs w:val="1"/>
          <w:color w:val="auto"/>
        </w:rPr>
        <w:t>b.</w:t>
        <w:tab/>
        <w:t>Hercules Capital, Inc.</w:t>
      </w:r>
    </w:p>
    <w:p>
      <w:pPr>
        <w:spacing w:after="0" w:line="174" w:lineRule="exact"/>
        <w:rPr>
          <w:sz w:val="20"/>
          <w:szCs w:val="20"/>
          <w:color w:val="auto"/>
        </w:rPr>
      </w:pPr>
    </w:p>
    <w:p>
      <w:pPr>
        <w:ind w:left="1260" w:right="459"/>
        <w:spacing w:after="0" w:line="265" w:lineRule="auto"/>
        <w:rPr>
          <w:sz w:val="20"/>
          <w:szCs w:val="20"/>
          <w:color w:val="auto"/>
        </w:rPr>
      </w:pPr>
      <w:r>
        <w:rPr>
          <w:rFonts w:ascii="Arial" w:cs="Arial" w:eastAsia="Arial" w:hAnsi="Arial"/>
          <w:sz w:val="18"/>
          <w:szCs w:val="18"/>
          <w:color w:val="auto"/>
        </w:rPr>
        <w:t>On September 14, 2020, we issued a warrant, or the Hercules Warrant, to purchase units at an exercise price of $5.55 per unit to Hercules Technology Management Co II, Inc., in connection with a Loan and Security Agreement by and between Hercules Capital, Inc., or together with Hercules Technology Management Co II, Inc., Hercules, and us, or the Loan and Security Agreement, whereby Hercules acted as administrative agent and collateral agent for a loan in an aggregate principal amount of up to $30 million. In connection with the 2021 Reorganization, the Hercules Warrant converted to a warrant to purchase shares of our common stock. The Hercules Warrant provides for warrant coverage of 2.25% of the aggregate principal amount of the term loan advances made to us under the Loan and Security Agreement. There are three $10 million tranches available under the Loan and Security Agreement. As of March 1, 2021, the aggregate principal amount outstanding under the Loan and Security Agreement is $10 million, providing for warrant coverage of 40,450 shares. If we draw on any additional tranches under the Loan and Security Agreement, the number of shares of our common stock underlying the Hercules Warrant will increase proportionally, up to a maximum aggregate amount of 121,620 shares. The issuance of shares upon exercise by Hercules will constitute a transaction exempt from the registration requirements of Section 5 of the Securities Act, in reliance upon Section 4(a)(2) thereof.</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33" w:name="page234"/>
    <w:bookmarkEnd w:id="233"/>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580" w:hanging="325"/>
        <w:spacing w:after="0"/>
        <w:tabs>
          <w:tab w:leader="none" w:pos="158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Corporate Reorganization</w:t>
      </w:r>
    </w:p>
    <w:p>
      <w:pPr>
        <w:spacing w:after="0" w:line="137" w:lineRule="exact"/>
        <w:rPr>
          <w:rFonts w:ascii="Arial" w:cs="Arial" w:eastAsia="Arial" w:hAnsi="Arial"/>
          <w:sz w:val="18"/>
          <w:szCs w:val="18"/>
          <w:b w:val="1"/>
          <w:bCs w:val="1"/>
          <w:i w:val="1"/>
          <w:iCs w:val="1"/>
          <w:color w:val="auto"/>
        </w:rPr>
      </w:pPr>
    </w:p>
    <w:p>
      <w:pPr>
        <w:ind w:left="1900" w:right="519" w:hanging="322"/>
        <w:spacing w:after="0" w:line="266" w:lineRule="auto"/>
        <w:tabs>
          <w:tab w:leader="none" w:pos="1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connection with the 2021 Reorganization, all units held by Bayer were converted into an aggregate of 26,143,790 shares of our Series B preferred stock, and the units held by Prior Century were converted into 35,000,000 shares of our Class 1 Series A preferred stock and 35,248,781 shares of our Class 1 common stock. Immediately upon the completion of the 2021 Reorganization, Prior Century merged with and into us, and all shares of Class 1 Series A preferred stock and Class 1 common stock were cancelled for no consideration, and the holders of equity interests in Prior Century exchanged all of such equity interests in Prior Century for an aggregate of 35,000,000 shares of our Series A preferred stock and 28,076,082 shares of our common stock.</w:t>
      </w:r>
    </w:p>
    <w:p>
      <w:pPr>
        <w:spacing w:after="0" w:line="159" w:lineRule="exact"/>
        <w:rPr>
          <w:rFonts w:ascii="Arial" w:cs="Arial" w:eastAsia="Arial" w:hAnsi="Arial"/>
          <w:sz w:val="18"/>
          <w:szCs w:val="18"/>
          <w:color w:val="auto"/>
        </w:rPr>
      </w:pPr>
    </w:p>
    <w:p>
      <w:pPr>
        <w:ind w:left="1580" w:hanging="325"/>
        <w:spacing w:after="0"/>
        <w:tabs>
          <w:tab w:leader="none" w:pos="158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Series C Preferred Stock</w:t>
      </w:r>
    </w:p>
    <w:p>
      <w:pPr>
        <w:spacing w:after="0" w:line="137" w:lineRule="exact"/>
        <w:rPr>
          <w:rFonts w:ascii="Arial" w:cs="Arial" w:eastAsia="Arial" w:hAnsi="Arial"/>
          <w:sz w:val="18"/>
          <w:szCs w:val="18"/>
          <w:b w:val="1"/>
          <w:bCs w:val="1"/>
          <w:i w:val="1"/>
          <w:iCs w:val="1"/>
          <w:color w:val="auto"/>
        </w:rPr>
      </w:pPr>
    </w:p>
    <w:p>
      <w:pPr>
        <w:ind w:left="1900" w:right="439" w:hanging="322"/>
        <w:spacing w:after="0" w:line="268" w:lineRule="auto"/>
        <w:tabs>
          <w:tab w:leader="none" w:pos="1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On February 25, 2021, we completed an offering of Series C preferred stock to various institutional investors. We issued a total of 24,721,999 shares of Series C preferred stock, at a price per share of approximately $6.472, for total gross proceeds of approximately $160 million.</w:t>
      </w:r>
    </w:p>
    <w:p>
      <w:pPr>
        <w:spacing w:after="0" w:line="156" w:lineRule="exact"/>
        <w:rPr>
          <w:rFonts w:ascii="Arial" w:cs="Arial" w:eastAsia="Arial" w:hAnsi="Arial"/>
          <w:sz w:val="18"/>
          <w:szCs w:val="18"/>
          <w:color w:val="auto"/>
        </w:rPr>
      </w:pPr>
    </w:p>
    <w:p>
      <w:pPr>
        <w:ind w:left="1580" w:hanging="325"/>
        <w:spacing w:after="0"/>
        <w:tabs>
          <w:tab w:leader="none" w:pos="158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Equity Awards</w:t>
      </w:r>
    </w:p>
    <w:p>
      <w:pPr>
        <w:spacing w:after="0" w:line="137" w:lineRule="exact"/>
        <w:rPr>
          <w:rFonts w:ascii="Arial" w:cs="Arial" w:eastAsia="Arial" w:hAnsi="Arial"/>
          <w:sz w:val="18"/>
          <w:szCs w:val="18"/>
          <w:b w:val="1"/>
          <w:bCs w:val="1"/>
          <w:i w:val="1"/>
          <w:iCs w:val="1"/>
          <w:color w:val="auto"/>
        </w:rPr>
      </w:pPr>
    </w:p>
    <w:p>
      <w:pPr>
        <w:jc w:val="both"/>
        <w:ind w:left="1900" w:right="519" w:hanging="322"/>
        <w:spacing w:after="0" w:line="268" w:lineRule="auto"/>
        <w:tabs>
          <w:tab w:leader="none" w:pos="1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Since our inception, we have granted stock options to employees, officers, directors and consultants, covering an aggregate of 11,426,026 shares of our common stock, having a weighted average exercise price of $0.41 per share, in connection with services provided to us by such parties.</w:t>
      </w:r>
    </w:p>
    <w:p>
      <w:pPr>
        <w:spacing w:after="0" w:line="124" w:lineRule="exact"/>
        <w:rPr>
          <w:rFonts w:ascii="Arial" w:cs="Arial" w:eastAsia="Arial" w:hAnsi="Arial"/>
          <w:sz w:val="18"/>
          <w:szCs w:val="18"/>
          <w:color w:val="auto"/>
        </w:rPr>
      </w:pPr>
    </w:p>
    <w:p>
      <w:pPr>
        <w:ind w:left="1900" w:right="739" w:hanging="322"/>
        <w:spacing w:after="0" w:line="270" w:lineRule="auto"/>
        <w:tabs>
          <w:tab w:leader="none" w:pos="1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Since our inception, we have issued an aggregate of 3,823,192 shares of our common stock to employees, officers, directors, and consultants upon their exercise of stock options, for aggregate cash consideration of approximately $1.5 million.</w:t>
      </w:r>
    </w:p>
    <w:p>
      <w:pPr>
        <w:spacing w:after="0" w:line="135"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42" w:lineRule="exact"/>
        <w:rPr>
          <w:sz w:val="20"/>
          <w:szCs w:val="20"/>
          <w:color w:val="auto"/>
        </w:rPr>
      </w:pPr>
    </w:p>
    <w:p>
      <w:pPr>
        <w:ind w:left="1260" w:right="1299"/>
        <w:spacing w:after="0" w:line="275"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87"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8"/>
          <w:szCs w:val="18"/>
          <w:b w:val="1"/>
          <w:bCs w:val="1"/>
          <w:i w:val="1"/>
          <w:iCs w:val="1"/>
          <w:color w:val="auto"/>
        </w:rPr>
        <w:t>(a)</w:t>
        <w:tab/>
        <w:t>Exhibits.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exhibits listed below are filed as part of this registration statement.</w:t>
      </w:r>
    </w:p>
    <w:p>
      <w:pPr>
        <w:sectPr>
          <w:pgSz w:w="11900" w:h="16838" w:orient="portrait"/>
          <w:cols w:equalWidth="0" w:num="1">
            <w:col w:w="10560"/>
          </w:cols>
          <w:pgMar w:left="600" w:top="132" w:right="739" w:bottom="1440" w:gutter="0" w:footer="0" w:header="0"/>
        </w:sectPr>
      </w:pP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Exhibit</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3520"/>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31115</wp:posOffset>
            </wp:positionV>
            <wp:extent cx="59201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20105"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4800" w:space="720"/>
            <w:col w:w="5040"/>
          </w:cols>
          <w:pgMar w:left="600" w:top="132" w:right="739" w:bottom="1440" w:gutter="0" w:footer="0" w:header="0"/>
          <w:type w:val="continuous"/>
        </w:sectPr>
      </w:pPr>
    </w:p>
    <w:p>
      <w:pPr>
        <w:ind w:left="1600"/>
        <w:spacing w:after="0"/>
        <w:rPr>
          <w:sz w:val="20"/>
          <w:szCs w:val="20"/>
          <w:color w:val="auto"/>
        </w:rPr>
      </w:pPr>
      <w:r>
        <w:rPr>
          <w:rFonts w:ascii="Arial" w:cs="Arial" w:eastAsia="Arial" w:hAnsi="Arial"/>
          <w:sz w:val="18"/>
          <w:szCs w:val="18"/>
          <w:color w:val="auto"/>
        </w:rPr>
        <w:t>1.1† Form of Underwriting Agreement</w:t>
      </w:r>
    </w:p>
    <w:p>
      <w:pPr>
        <w:spacing w:after="0" w:line="4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3.1 Amended and Restated Certificate of Incorporation, as currently in effect</w:t>
      </w:r>
    </w:p>
    <w:p>
      <w:pPr>
        <w:spacing w:after="0" w:line="35" w:lineRule="exact"/>
        <w:rPr>
          <w:sz w:val="20"/>
          <w:szCs w:val="20"/>
          <w:color w:val="auto"/>
        </w:rPr>
      </w:pPr>
    </w:p>
    <w:p>
      <w:pPr>
        <w:ind w:left="2000" w:right="540" w:hanging="388"/>
        <w:spacing w:after="0" w:line="260" w:lineRule="auto"/>
        <w:rPr>
          <w:sz w:val="20"/>
          <w:szCs w:val="20"/>
          <w:color w:val="auto"/>
        </w:rPr>
      </w:pPr>
      <w:r>
        <w:rPr>
          <w:rFonts w:ascii="Arial" w:cs="Arial" w:eastAsia="Arial" w:hAnsi="Arial"/>
          <w:sz w:val="18"/>
          <w:szCs w:val="18"/>
          <w:color w:val="auto"/>
        </w:rPr>
        <w:t>3.2† Form of Second Amended and Restated Certificate of Incorporation, which will become effective immediately prior to the closing of this offering</w:t>
      </w:r>
    </w:p>
    <w:p>
      <w:pPr>
        <w:spacing w:after="0" w:line="4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3.3 Bylaws, as currently in effect</w:t>
      </w:r>
    </w:p>
    <w:p>
      <w:pPr>
        <w:spacing w:after="0" w:line="35" w:lineRule="exact"/>
        <w:rPr>
          <w:sz w:val="20"/>
          <w:szCs w:val="20"/>
          <w:color w:val="auto"/>
        </w:rPr>
      </w:pPr>
    </w:p>
    <w:p>
      <w:pPr>
        <w:ind w:left="2000" w:right="180" w:hanging="388"/>
        <w:spacing w:after="0" w:line="260" w:lineRule="auto"/>
        <w:rPr>
          <w:sz w:val="20"/>
          <w:szCs w:val="20"/>
          <w:color w:val="auto"/>
        </w:rPr>
      </w:pPr>
      <w:r>
        <w:rPr>
          <w:rFonts w:ascii="Arial" w:cs="Arial" w:eastAsia="Arial" w:hAnsi="Arial"/>
          <w:sz w:val="18"/>
          <w:szCs w:val="18"/>
          <w:color w:val="auto"/>
        </w:rPr>
        <w:t>3.4† Form of Amended and Restated Bylaws, which will become effective immediately prior to the closing of this offering</w:t>
      </w:r>
    </w:p>
    <w:p>
      <w:pPr>
        <w:spacing w:after="0" w:line="4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4.1† Specimen Common Stock Certificate of Registrant</w:t>
      </w:r>
    </w:p>
    <w:p>
      <w:pPr>
        <w:spacing w:after="0" w:line="35" w:lineRule="exact"/>
        <w:rPr>
          <w:sz w:val="20"/>
          <w:szCs w:val="20"/>
          <w:color w:val="auto"/>
        </w:rPr>
      </w:pPr>
    </w:p>
    <w:p>
      <w:pPr>
        <w:ind w:left="2000" w:right="740" w:hanging="288"/>
        <w:spacing w:after="0" w:line="260" w:lineRule="auto"/>
        <w:rPr>
          <w:sz w:val="20"/>
          <w:szCs w:val="20"/>
          <w:color w:val="auto"/>
        </w:rPr>
      </w:pPr>
      <w:r>
        <w:rPr>
          <w:rFonts w:ascii="Arial" w:cs="Arial" w:eastAsia="Arial" w:hAnsi="Arial"/>
          <w:sz w:val="18"/>
          <w:szCs w:val="18"/>
          <w:color w:val="auto"/>
        </w:rPr>
        <w:t>4.2 Investors’ Rights Agreement, by and among the Registrant and each of the investors listed on Schedule A thereto, dated February 25, 2021</w:t>
      </w:r>
    </w:p>
    <w:p>
      <w:pPr>
        <w:spacing w:after="0" w:line="36" w:lineRule="exact"/>
        <w:rPr>
          <w:sz w:val="20"/>
          <w:szCs w:val="20"/>
          <w:color w:val="auto"/>
        </w:rPr>
      </w:pPr>
    </w:p>
    <w:p>
      <w:pPr>
        <w:ind w:left="2000" w:right="1100" w:hanging="288"/>
        <w:spacing w:after="0" w:line="260" w:lineRule="auto"/>
        <w:rPr>
          <w:sz w:val="20"/>
          <w:szCs w:val="20"/>
          <w:color w:val="auto"/>
        </w:rPr>
      </w:pPr>
      <w:r>
        <w:rPr>
          <w:rFonts w:ascii="Arial" w:cs="Arial" w:eastAsia="Arial" w:hAnsi="Arial"/>
          <w:sz w:val="18"/>
          <w:szCs w:val="18"/>
          <w:color w:val="auto"/>
        </w:rPr>
        <w:t>4.3 Warrant to Purchase Units of Century Therapeutics, LLC, in favor of Hercules Technology Management Co II, Inc., dated September 14, 2020</w:t>
      </w:r>
    </w:p>
    <w:p>
      <w:pPr>
        <w:spacing w:after="0" w:line="4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5.1† Opinion of Troutman Pepper Hamilton Sanders LLP</w:t>
      </w:r>
    </w:p>
    <w:p>
      <w:pPr>
        <w:spacing w:after="0" w:line="35" w:lineRule="exact"/>
        <w:rPr>
          <w:sz w:val="20"/>
          <w:szCs w:val="20"/>
          <w:color w:val="auto"/>
        </w:rPr>
      </w:pPr>
    </w:p>
    <w:p>
      <w:pPr>
        <w:ind w:left="2000" w:right="400" w:hanging="451"/>
        <w:spacing w:after="0" w:line="260" w:lineRule="auto"/>
        <w:rPr>
          <w:sz w:val="20"/>
          <w:szCs w:val="20"/>
          <w:color w:val="auto"/>
        </w:rPr>
      </w:pPr>
      <w:r>
        <w:rPr>
          <w:rFonts w:ascii="Arial" w:cs="Arial" w:eastAsia="Arial" w:hAnsi="Arial"/>
          <w:sz w:val="18"/>
          <w:szCs w:val="18"/>
          <w:color w:val="auto"/>
        </w:rPr>
        <w:t>10.1• Form of Indemnification Agreement by and between the Registrant and its individual directors and officers</w:t>
      </w:r>
    </w:p>
    <w:p>
      <w:pPr>
        <w:spacing w:after="0" w:line="4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10.2• 2018 Stock Option and Grant Plan</w:t>
      </w:r>
    </w:p>
    <w:p>
      <w:pPr>
        <w:spacing w:after="0" w:line="4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10.3• Amendment No. 1 to 2018 Stock Option and Grant Plan</w:t>
      </w:r>
    </w:p>
    <w:p>
      <w:pPr>
        <w:spacing w:after="0" w:line="4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10.4• Amendment No. 2 to 2018 Stock Option and Grant Plan</w:t>
      </w:r>
    </w:p>
    <w:p>
      <w:pPr>
        <w:spacing w:after="0" w:line="4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10.5• Amendment No. 3 to 2018 Stock Option and Grant Plan</w:t>
      </w:r>
    </w:p>
    <w:p>
      <w:pPr>
        <w:spacing w:after="0" w:line="4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10.6• Amendment No. 4 to 2018 Stock Option and Grant Plan</w:t>
      </w:r>
    </w:p>
    <w:p>
      <w:pPr>
        <w:spacing w:after="0" w:line="4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10.7• Amendment No. 5 to 2018 Stock Option and Grant Plan</w:t>
      </w:r>
    </w:p>
    <w:p>
      <w:pPr>
        <w:spacing w:after="0" w:line="4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10.8•† 2021 Equity Incentive Plan</w:t>
      </w:r>
    </w:p>
    <w:p>
      <w:pPr>
        <w:spacing w:after="0" w:line="4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10.9•† 2021 Employee Stock Purchase Plan</w:t>
      </w:r>
    </w:p>
    <w:p>
      <w:pPr>
        <w:spacing w:after="0" w:line="4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10.10• Form of Restricted Stock Award Agreement</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10.11• Form of Non-Qualified Stock Option Agreement</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10.12• Form of Incentive Stock Option Agreement</w:t>
      </w:r>
    </w:p>
    <w:p>
      <w:pPr>
        <w:spacing w:after="0" w:line="49" w:lineRule="exact"/>
        <w:rPr>
          <w:sz w:val="20"/>
          <w:szCs w:val="20"/>
          <w:color w:val="auto"/>
        </w:rPr>
      </w:pPr>
    </w:p>
    <w:p>
      <w:pPr>
        <w:ind w:left="2000" w:right="400" w:hanging="657"/>
        <w:spacing w:after="0" w:line="260" w:lineRule="auto"/>
        <w:rPr>
          <w:sz w:val="20"/>
          <w:szCs w:val="20"/>
          <w:color w:val="auto"/>
        </w:rPr>
      </w:pPr>
      <w:r>
        <w:rPr>
          <w:rFonts w:ascii="Arial" w:cs="Arial" w:eastAsia="Arial" w:hAnsi="Arial"/>
          <w:sz w:val="18"/>
          <w:szCs w:val="18"/>
          <w:color w:val="auto"/>
        </w:rPr>
        <w:t>10.13*† Amended and Restated Option Agreement, by and between Century Therapeutics, Inc. and Bayer HealthCare LLC, dated February 25, 2021</w:t>
      </w:r>
    </w:p>
    <w:p>
      <w:pPr>
        <w:spacing w:after="0" w:line="49" w:lineRule="exact"/>
        <w:rPr>
          <w:sz w:val="20"/>
          <w:szCs w:val="20"/>
          <w:color w:val="auto"/>
        </w:rPr>
      </w:pPr>
    </w:p>
    <w:p>
      <w:pPr>
        <w:ind w:left="2000" w:right="200" w:hanging="657"/>
        <w:spacing w:after="0" w:line="260" w:lineRule="auto"/>
        <w:rPr>
          <w:sz w:val="20"/>
          <w:szCs w:val="20"/>
          <w:color w:val="auto"/>
        </w:rPr>
      </w:pPr>
      <w:r>
        <w:rPr>
          <w:rFonts w:ascii="Arial" w:cs="Arial" w:eastAsia="Arial" w:hAnsi="Arial"/>
          <w:sz w:val="18"/>
          <w:szCs w:val="18"/>
          <w:color w:val="auto"/>
        </w:rPr>
        <w:t>10.14*† Master Collaboration Agreement, by and between Century Therapeutics, Inc. and FUJIFILM Cellular Dynamics, Inc., dated October 21, 2019</w:t>
      </w:r>
    </w:p>
    <w:p>
      <w:pPr>
        <w:spacing w:after="0" w:line="49" w:lineRule="exact"/>
        <w:rPr>
          <w:sz w:val="20"/>
          <w:szCs w:val="20"/>
          <w:color w:val="auto"/>
        </w:rPr>
      </w:pPr>
    </w:p>
    <w:p>
      <w:pPr>
        <w:ind w:left="2000" w:hanging="588"/>
        <w:spacing w:after="0" w:line="260" w:lineRule="auto"/>
        <w:rPr>
          <w:sz w:val="20"/>
          <w:szCs w:val="20"/>
          <w:color w:val="auto"/>
        </w:rPr>
      </w:pPr>
      <w:r>
        <w:rPr>
          <w:rFonts w:ascii="Arial" w:cs="Arial" w:eastAsia="Arial" w:hAnsi="Arial"/>
          <w:sz w:val="18"/>
          <w:szCs w:val="18"/>
          <w:color w:val="auto"/>
        </w:rPr>
        <w:t>10.15† Amendment No. 1 to Master Collaboration Agreement, by and between Century Therapeutics, Inc. and FUJIFILM Cellular Dynamics, Inc., dated July 17, 2020</w:t>
      </w:r>
    </w:p>
    <w:p>
      <w:pPr>
        <w:spacing w:after="0" w:line="49" w:lineRule="exact"/>
        <w:rPr>
          <w:sz w:val="20"/>
          <w:szCs w:val="20"/>
          <w:color w:val="auto"/>
        </w:rPr>
      </w:pPr>
    </w:p>
    <w:p>
      <w:pPr>
        <w:ind w:left="2000" w:right="60" w:hanging="588"/>
        <w:spacing w:after="0" w:line="260" w:lineRule="auto"/>
        <w:rPr>
          <w:sz w:val="20"/>
          <w:szCs w:val="20"/>
          <w:color w:val="auto"/>
        </w:rPr>
      </w:pPr>
      <w:r>
        <w:rPr>
          <w:rFonts w:ascii="Arial" w:cs="Arial" w:eastAsia="Arial" w:hAnsi="Arial"/>
          <w:sz w:val="18"/>
          <w:szCs w:val="18"/>
          <w:color w:val="auto"/>
        </w:rPr>
        <w:t>10.16† Amendment No. 2 to Master Collaboration Agreement by and between Century Therapeutics, Inc. and FUJIFILM Cellular Dynamics, Inc., dated March 23, 2021</w:t>
      </w:r>
    </w:p>
    <w:p>
      <w:pPr>
        <w:spacing w:after="0" w:line="49" w:lineRule="exact"/>
        <w:rPr>
          <w:sz w:val="20"/>
          <w:szCs w:val="20"/>
          <w:color w:val="auto"/>
        </w:rPr>
      </w:pPr>
    </w:p>
    <w:p>
      <w:pPr>
        <w:ind w:left="2000" w:right="260" w:hanging="588"/>
        <w:spacing w:after="0" w:line="260" w:lineRule="auto"/>
        <w:rPr>
          <w:sz w:val="20"/>
          <w:szCs w:val="20"/>
          <w:color w:val="auto"/>
        </w:rPr>
      </w:pPr>
      <w:r>
        <w:rPr>
          <w:rFonts w:ascii="Arial" w:cs="Arial" w:eastAsia="Arial" w:hAnsi="Arial"/>
          <w:sz w:val="18"/>
          <w:szCs w:val="18"/>
          <w:color w:val="auto"/>
        </w:rPr>
        <w:t>10.17† Letter Agreement, by and among Century Therapeutics, Inc., FUJIFILM Cellular Dynamics, Inc. and Wisconsin Alumni Research Foundation, dated July 2, 2019</w:t>
      </w:r>
    </w:p>
    <w:p>
      <w:pPr>
        <w:spacing w:after="0" w:line="49" w:lineRule="exact"/>
        <w:rPr>
          <w:sz w:val="20"/>
          <w:szCs w:val="20"/>
          <w:color w:val="auto"/>
        </w:rPr>
      </w:pPr>
    </w:p>
    <w:p>
      <w:pPr>
        <w:ind w:left="2000" w:right="640" w:hanging="657"/>
        <w:spacing w:after="0" w:line="260" w:lineRule="auto"/>
        <w:rPr>
          <w:sz w:val="20"/>
          <w:szCs w:val="20"/>
          <w:color w:val="auto"/>
        </w:rPr>
      </w:pPr>
      <w:r>
        <w:rPr>
          <w:rFonts w:ascii="Arial" w:cs="Arial" w:eastAsia="Arial" w:hAnsi="Arial"/>
          <w:sz w:val="18"/>
          <w:szCs w:val="18"/>
          <w:color w:val="auto"/>
        </w:rPr>
        <w:t>10.18*† License Agreement (Differentiation), by and between Century Therapeutics, Inc. and FUJIFILM Cellular Dynamics, Inc., dated September 18, 2018</w:t>
      </w:r>
    </w:p>
    <w:p>
      <w:pPr>
        <w:spacing w:after="0" w:line="49" w:lineRule="exact"/>
        <w:rPr>
          <w:sz w:val="20"/>
          <w:szCs w:val="20"/>
          <w:color w:val="auto"/>
        </w:rPr>
      </w:pPr>
    </w:p>
    <w:p>
      <w:pPr>
        <w:ind w:left="2000" w:right="100" w:hanging="657"/>
        <w:spacing w:after="0" w:line="260" w:lineRule="auto"/>
        <w:rPr>
          <w:sz w:val="20"/>
          <w:szCs w:val="20"/>
          <w:color w:val="auto"/>
        </w:rPr>
      </w:pPr>
      <w:r>
        <w:rPr>
          <w:rFonts w:ascii="Arial" w:cs="Arial" w:eastAsia="Arial" w:hAnsi="Arial"/>
          <w:sz w:val="18"/>
          <w:szCs w:val="18"/>
          <w:color w:val="auto"/>
        </w:rPr>
        <w:t>10.19*† Amendment No. 1 to License Agreement (Differentiation), by and between Century Therapeutics, Inc. and FUJIFILM Cellular Dynamics, Inc., dated March 23, 2021</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560"/>
          </w:cols>
          <w:pgMar w:left="600" w:top="132" w:right="739" w:bottom="1440" w:gutter="0" w:footer="0" w:header="0"/>
          <w:type w:val="continuous"/>
        </w:sectPr>
      </w:pPr>
    </w:p>
    <w:bookmarkStart w:id="235" w:name="page236"/>
    <w:bookmarkEnd w:id="235"/>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ectPr>
          <w:pgSz w:w="11900" w:h="16838" w:orient="portrait"/>
          <w:cols w:equalWidth="0" w:num="1">
            <w:col w:w="10480"/>
          </w:cols>
          <w:pgMar w:left="600" w:top="13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Exhibit</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460"/>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31115</wp:posOffset>
            </wp:positionV>
            <wp:extent cx="58940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4780" w:space="720"/>
            <w:col w:w="4980"/>
          </w:cols>
          <w:pgMar w:left="600" w:top="132" w:right="819" w:bottom="1440" w:gutter="0" w:footer="0" w:header="0"/>
          <w:type w:val="continuous"/>
        </w:sectPr>
      </w:pPr>
    </w:p>
    <w:p>
      <w:pPr>
        <w:ind w:left="2000" w:right="380" w:hanging="657"/>
        <w:spacing w:after="0" w:line="260" w:lineRule="auto"/>
        <w:rPr>
          <w:sz w:val="20"/>
          <w:szCs w:val="20"/>
          <w:color w:val="auto"/>
        </w:rPr>
      </w:pPr>
      <w:r>
        <w:rPr>
          <w:rFonts w:ascii="Arial" w:cs="Arial" w:eastAsia="Arial" w:hAnsi="Arial"/>
          <w:sz w:val="18"/>
          <w:szCs w:val="18"/>
          <w:color w:val="auto"/>
        </w:rPr>
        <w:t>10.20*† License Agreement (Reprogramming), by and between Century Therapeutics, Inc. and FUJIFILM Cellular Dynamics, Inc., dated September 18, 2018</w:t>
      </w:r>
    </w:p>
    <w:p>
      <w:pPr>
        <w:spacing w:after="0" w:line="22" w:lineRule="exact"/>
        <w:rPr>
          <w:sz w:val="20"/>
          <w:szCs w:val="20"/>
          <w:color w:val="auto"/>
        </w:rPr>
      </w:pPr>
    </w:p>
    <w:p>
      <w:pPr>
        <w:ind w:left="2000" w:right="220" w:hanging="657"/>
        <w:spacing w:after="0" w:line="260" w:lineRule="auto"/>
        <w:rPr>
          <w:sz w:val="20"/>
          <w:szCs w:val="20"/>
          <w:color w:val="auto"/>
        </w:rPr>
      </w:pPr>
      <w:r>
        <w:rPr>
          <w:rFonts w:ascii="Arial" w:cs="Arial" w:eastAsia="Arial" w:hAnsi="Arial"/>
          <w:sz w:val="18"/>
          <w:szCs w:val="18"/>
          <w:color w:val="auto"/>
        </w:rPr>
        <w:t>10.21*† Amendment No. 1 to License Agreement (Reprogramming), by and between Century Therapeutics, Inc. and FUJIFILM Cellular Dynamics, Inc., dated March 23, 2021</w:t>
      </w:r>
    </w:p>
    <w:p>
      <w:pPr>
        <w:spacing w:after="0" w:line="22" w:lineRule="exact"/>
        <w:rPr>
          <w:sz w:val="20"/>
          <w:szCs w:val="20"/>
          <w:color w:val="auto"/>
        </w:rPr>
      </w:pPr>
    </w:p>
    <w:p>
      <w:pPr>
        <w:ind w:left="2000" w:right="380" w:hanging="657"/>
        <w:spacing w:after="0" w:line="260" w:lineRule="auto"/>
        <w:rPr>
          <w:sz w:val="20"/>
          <w:szCs w:val="20"/>
          <w:color w:val="auto"/>
        </w:rPr>
      </w:pPr>
      <w:r>
        <w:rPr>
          <w:rFonts w:ascii="Arial" w:cs="Arial" w:eastAsia="Arial" w:hAnsi="Arial"/>
          <w:sz w:val="18"/>
          <w:szCs w:val="18"/>
          <w:color w:val="auto"/>
        </w:rPr>
        <w:t>10.22*† Manufacturing and Supply Agreement, by and between Century Therapeutics, Inc. and FUJIFILM Cellular Dynamics, Inc., dated March 23, 2021</w:t>
      </w:r>
    </w:p>
    <w:p>
      <w:pPr>
        <w:spacing w:after="0" w:line="22" w:lineRule="exact"/>
        <w:rPr>
          <w:sz w:val="20"/>
          <w:szCs w:val="20"/>
          <w:color w:val="auto"/>
        </w:rPr>
      </w:pPr>
    </w:p>
    <w:p>
      <w:pPr>
        <w:ind w:left="2000" w:hanging="488"/>
        <w:spacing w:after="0" w:line="260" w:lineRule="auto"/>
        <w:rPr>
          <w:sz w:val="20"/>
          <w:szCs w:val="20"/>
          <w:color w:val="auto"/>
        </w:rPr>
      </w:pPr>
      <w:r>
        <w:rPr>
          <w:rFonts w:ascii="Arial" w:cs="Arial" w:eastAsia="Arial" w:hAnsi="Arial"/>
          <w:sz w:val="18"/>
          <w:szCs w:val="18"/>
          <w:color w:val="auto"/>
        </w:rPr>
        <w:t>10.23 Loan and Security Agreement, by and between Century Therapeutics, Inc. and Hercules Capital, Inc., dated September 14, 2020</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10.24*† Sublicense Agreement, by and between iCell Inc. and Century Therapeutics, Inc., dated March 20,</w:t>
      </w:r>
    </w:p>
    <w:p>
      <w:pPr>
        <w:spacing w:after="0" w:line="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2020</w:t>
      </w:r>
    </w:p>
    <w:p>
      <w:pPr>
        <w:spacing w:after="0" w:line="62" w:lineRule="exact"/>
        <w:rPr>
          <w:sz w:val="20"/>
          <w:szCs w:val="20"/>
          <w:color w:val="auto"/>
        </w:rPr>
      </w:pPr>
    </w:p>
    <w:p>
      <w:pPr>
        <w:ind w:left="2000" w:right="80" w:hanging="657"/>
        <w:spacing w:after="0" w:line="260" w:lineRule="auto"/>
        <w:rPr>
          <w:sz w:val="20"/>
          <w:szCs w:val="20"/>
          <w:color w:val="auto"/>
        </w:rPr>
      </w:pPr>
      <w:r>
        <w:rPr>
          <w:rFonts w:ascii="Arial" w:cs="Arial" w:eastAsia="Arial" w:hAnsi="Arial"/>
          <w:sz w:val="18"/>
          <w:szCs w:val="18"/>
          <w:color w:val="auto"/>
        </w:rPr>
        <w:t>10.25*† License Agreement, by and among the Governing Council of the University of Toronto, the McMaster University and Empirica Therapeutics, dated January 22, 2019</w:t>
      </w:r>
    </w:p>
    <w:p>
      <w:pPr>
        <w:spacing w:after="0" w:line="4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10.26•† Offer Letter, by and between the Registrant and Osvaldo Flores, Ph.D.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10.27•† Offer Letter, by and between the Registrant and Michael Diem, M.D.</w:t>
      </w:r>
    </w:p>
    <w:p>
      <w:pPr>
        <w:spacing w:after="0" w:line="4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10.28•† Employment Agreement, by and between the Registrant and Hyam Levitsky, M.D., dated March 5,</w:t>
      </w:r>
    </w:p>
    <w:p>
      <w:pPr>
        <w:spacing w:after="0" w:line="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2019</w:t>
      </w:r>
    </w:p>
    <w:p>
      <w:pPr>
        <w:spacing w:after="0" w:line="7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10.29• Offer Letter, by and between the Registrant and Joseph Jimenez, dated February 16, 2021</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10.30• Offer Letter, by and between the Registrant and Cynthia Butitta, dated February 25, 2021</w:t>
      </w:r>
    </w:p>
    <w:p>
      <w:pPr>
        <w:spacing w:after="0" w:line="6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21.1 Subsidiaries of the Registrant</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23.1† Consent of Ernst &amp; Young LLP, an Independent Registered Public Accounting Firm</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23.2† Consent of Troutman Pepper Hamilton Sanders LLP (included in Exhibit 5.1)</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24.1† Power of Attorney (included on the signature page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133985</wp:posOffset>
            </wp:positionV>
            <wp:extent cx="122999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325" w:lineRule="exact"/>
        <w:rPr>
          <w:sz w:val="20"/>
          <w:szCs w:val="20"/>
          <w:color w:val="auto"/>
        </w:rPr>
      </w:pPr>
    </w:p>
    <w:p>
      <w:pPr>
        <w:ind w:left="1580" w:hanging="325"/>
        <w:spacing w:after="0"/>
        <w:tabs>
          <w:tab w:leader="none" w:pos="15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93" w:lineRule="exact"/>
        <w:rPr>
          <w:sz w:val="20"/>
          <w:szCs w:val="20"/>
          <w:color w:val="auto"/>
        </w:rPr>
      </w:pPr>
    </w:p>
    <w:p>
      <w:pPr>
        <w:ind w:left="1580" w:hanging="325"/>
        <w:spacing w:after="0"/>
        <w:tabs>
          <w:tab w:leader="none" w:pos="15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79" w:lineRule="exact"/>
        <w:rPr>
          <w:sz w:val="20"/>
          <w:szCs w:val="20"/>
          <w:color w:val="auto"/>
        </w:rPr>
      </w:pPr>
    </w:p>
    <w:p>
      <w:pPr>
        <w:ind w:left="1580" w:right="1160" w:hanging="325"/>
        <w:spacing w:after="0" w:line="278" w:lineRule="auto"/>
        <w:tabs>
          <w:tab w:leader="none" w:pos="15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a request for confidential treatments pursuant to Rule 406 under the Securities Act.</w:t>
      </w:r>
    </w:p>
    <w:p>
      <w:pPr>
        <w:spacing w:after="0" w:line="156" w:lineRule="exact"/>
        <w:rPr>
          <w:sz w:val="20"/>
          <w:szCs w:val="20"/>
          <w:color w:val="auto"/>
        </w:rPr>
      </w:pPr>
    </w:p>
    <w:p>
      <w:pPr>
        <w:ind w:left="1720" w:hanging="465"/>
        <w:spacing w:after="0"/>
        <w:tabs>
          <w:tab w:leader="none" w:pos="172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178" w:lineRule="exact"/>
        <w:rPr>
          <w:sz w:val="20"/>
          <w:szCs w:val="20"/>
          <w:color w:val="auto"/>
        </w:rPr>
      </w:pPr>
    </w:p>
    <w:p>
      <w:pPr>
        <w:ind w:left="1260" w:right="1320"/>
        <w:spacing w:after="0" w:line="275"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Item 17. Undertakings.</w:t>
      </w:r>
    </w:p>
    <w:p>
      <w:pPr>
        <w:spacing w:after="0" w:line="155" w:lineRule="exact"/>
        <w:rPr>
          <w:sz w:val="20"/>
          <w:szCs w:val="20"/>
          <w:color w:val="auto"/>
        </w:rPr>
      </w:pPr>
    </w:p>
    <w:p>
      <w:pPr>
        <w:ind w:left="1260" w:right="1060"/>
        <w:spacing w:after="0" w:line="26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480"/>
          </w:cols>
          <w:pgMar w:left="600" w:top="132" w:right="819" w:bottom="1440" w:gutter="0" w:footer="0" w:header="0"/>
          <w:type w:val="continuous"/>
        </w:sectPr>
      </w:pPr>
    </w:p>
    <w:bookmarkStart w:id="236" w:name="page237"/>
    <w:bookmarkEnd w:id="236"/>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undersigned Registrant hereby undertakes that:</w:t>
      </w:r>
    </w:p>
    <w:p>
      <w:pPr>
        <w:spacing w:after="0" w:line="156" w:lineRule="exact"/>
        <w:rPr>
          <w:sz w:val="20"/>
          <w:szCs w:val="20"/>
          <w:color w:val="auto"/>
        </w:rPr>
      </w:pPr>
    </w:p>
    <w:p>
      <w:pPr>
        <w:ind w:left="1580" w:right="819" w:hanging="325"/>
        <w:spacing w:after="0" w:line="267" w:lineRule="auto"/>
        <w:tabs>
          <w:tab w:leader="none" w:pos="1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0" w:lineRule="exact"/>
        <w:rPr>
          <w:rFonts w:ascii="Arial" w:cs="Arial" w:eastAsia="Arial" w:hAnsi="Arial"/>
          <w:sz w:val="18"/>
          <w:szCs w:val="18"/>
          <w:color w:val="auto"/>
        </w:rPr>
      </w:pPr>
    </w:p>
    <w:p>
      <w:pPr>
        <w:ind w:left="1580" w:right="599" w:hanging="325"/>
        <w:spacing w:after="0" w:line="268" w:lineRule="auto"/>
        <w:tabs>
          <w:tab w:leader="none" w:pos="1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20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Signatures</w:t>
      </w:r>
    </w:p>
    <w:p>
      <w:pPr>
        <w:spacing w:after="0" w:line="163" w:lineRule="exact"/>
        <w:rPr>
          <w:sz w:val="20"/>
          <w:szCs w:val="20"/>
          <w:color w:val="auto"/>
        </w:rPr>
      </w:pPr>
    </w:p>
    <w:p>
      <w:pPr>
        <w:ind w:left="1260" w:right="619"/>
        <w:spacing w:after="0" w:line="265"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S-1 to be signed on its behalf by the undersigned, thereunto duly authorized, in the City of Philadelphia, Commonwealth of Pennsylvania</w:t>
      </w:r>
    </w:p>
    <w:p>
      <w:pPr>
        <w:ind w:left="1260"/>
        <w:spacing w:after="0"/>
        <w:tabs>
          <w:tab w:leader="none" w:pos="25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2021.</w:t>
      </w:r>
    </w:p>
    <w:p>
      <w:pPr>
        <w:spacing w:after="0" w:line="14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CENTURY THERAPEUTICS, INC.</w:t>
      </w:r>
    </w:p>
    <w:p>
      <w:pPr>
        <w:spacing w:after="0" w:line="25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48260</wp:posOffset>
            </wp:positionV>
            <wp:extent cx="25285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Osvaldo Flores, Ph.D</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Power of attorney</w:t>
      </w:r>
    </w:p>
    <w:p>
      <w:pPr>
        <w:spacing w:after="0" w:line="177"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KNOW ALL BY THESE PRESENTS, that each person whose signature appears below constitutes and appoints Osvaldo Flores, Ph.D. and Douglas Carr,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367" w:lineRule="exact"/>
        <w:rPr>
          <w:sz w:val="20"/>
          <w:szCs w:val="20"/>
          <w:color w:val="auto"/>
        </w:rPr>
      </w:pPr>
    </w:p>
    <w:p>
      <w:pPr>
        <w:ind w:left="1260" w:right="799"/>
        <w:spacing w:after="0" w:line="270"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103505</wp:posOffset>
            </wp:positionV>
            <wp:extent cx="519366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93665" cy="17145"/>
                    </a:xfrm>
                    <a:prstGeom prst="rect">
                      <a:avLst/>
                    </a:prstGeom>
                    <a:noFill/>
                  </pic:spPr>
                </pic:pic>
              </a:graphicData>
            </a:graphic>
          </wp:anchor>
        </w:drawing>
      </w:r>
    </w:p>
    <w:p>
      <w:pPr>
        <w:spacing w:after="0" w:line="179" w:lineRule="exact"/>
        <w:rPr>
          <w:sz w:val="20"/>
          <w:szCs w:val="20"/>
          <w:color w:val="auto"/>
        </w:rPr>
      </w:pPr>
    </w:p>
    <w:tbl>
      <w:tblPr>
        <w:tblLayout w:type="fixed"/>
        <w:tblInd w:w="1260" w:type="dxa"/>
        <w:tblCellMar>
          <w:top w:w="0" w:type="dxa"/>
          <w:left w:w="0" w:type="dxa"/>
          <w:bottom w:w="0" w:type="dxa"/>
          <w:right w:w="0" w:type="dxa"/>
        </w:tblCellMar>
      </w:tblPr>
      <w:tr>
        <w:trPr>
          <w:trHeight w:val="217"/>
        </w:trPr>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Signature</w:t>
            </w:r>
          </w:p>
        </w:tc>
        <w:tc>
          <w:tcPr>
            <w:tcW w:w="454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rPr>
              <w:t>Title</w:t>
            </w: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78"/>
        </w:trPr>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jc w:val="center"/>
              <w:ind w:right="171"/>
              <w:spacing w:after="0"/>
              <w:rPr>
                <w:sz w:val="20"/>
                <w:szCs w:val="20"/>
                <w:color w:val="auto"/>
              </w:rPr>
            </w:pPr>
            <w:r>
              <w:rPr>
                <w:rFonts w:ascii="Arial" w:cs="Arial" w:eastAsia="Arial" w:hAnsi="Arial"/>
                <w:sz w:val="18"/>
                <w:szCs w:val="18"/>
                <w:color w:val="auto"/>
              </w:rPr>
              <w:t>President, Chief Executive Officer and Director</w:t>
            </w:r>
          </w:p>
        </w:tc>
        <w:tc>
          <w:tcPr>
            <w:tcW w:w="14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Osvaldo Flores, Ph.D.</w:t>
            </w:r>
          </w:p>
        </w:tc>
        <w:tc>
          <w:tcPr>
            <w:tcW w:w="4540" w:type="dxa"/>
            <w:vAlign w:val="bottom"/>
            <w:tcBorders>
              <w:top w:val="single" w:sz="8" w:color="CCEEFF"/>
            </w:tcBorders>
            <w:vMerge w:val="restart"/>
            <w:shd w:val="clear" w:color="auto" w:fill="CCEEFF"/>
          </w:tcPr>
          <w:p>
            <w:pPr>
              <w:jc w:val="center"/>
              <w:spacing w:after="0" w:line="182" w:lineRule="exact"/>
              <w:rPr>
                <w:sz w:val="20"/>
                <w:szCs w:val="20"/>
                <w:color w:val="auto"/>
              </w:rPr>
            </w:pPr>
            <w:r>
              <w:rPr>
                <w:rFonts w:ascii="Arial" w:cs="Arial" w:eastAsia="Arial" w:hAnsi="Arial"/>
                <w:sz w:val="18"/>
                <w:szCs w:val="18"/>
                <w:i w:val="1"/>
                <w:iCs w:val="1"/>
                <w:color w:val="auto"/>
              </w:rPr>
              <w:t>(Principal Executive Officer)</w:t>
            </w:r>
          </w:p>
        </w:tc>
        <w:tc>
          <w:tcPr>
            <w:tcW w:w="1480" w:type="dxa"/>
            <w:vAlign w:val="bottom"/>
            <w:tcBorders>
              <w:top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0" w:type="dxa"/>
            <w:vAlign w:val="bottom"/>
            <w:shd w:val="clear" w:color="auto" w:fill="CCEEFF"/>
          </w:tcPr>
          <w:p>
            <w:pPr>
              <w:spacing w:after="0"/>
              <w:rPr>
                <w:sz w:val="9"/>
                <w:szCs w:val="9"/>
                <w:color w:val="auto"/>
              </w:rPr>
            </w:pPr>
          </w:p>
        </w:tc>
        <w:tc>
          <w:tcPr>
            <w:tcW w:w="1980" w:type="dxa"/>
            <w:vAlign w:val="bottom"/>
            <w:vMerge w:val="continue"/>
            <w:shd w:val="clear" w:color="auto" w:fill="CCEEFF"/>
          </w:tcPr>
          <w:p>
            <w:pPr>
              <w:spacing w:after="0"/>
              <w:rPr>
                <w:sz w:val="9"/>
                <w:szCs w:val="9"/>
                <w:color w:val="auto"/>
              </w:rPr>
            </w:pPr>
          </w:p>
        </w:tc>
        <w:tc>
          <w:tcPr>
            <w:tcW w:w="4540" w:type="dxa"/>
            <w:vAlign w:val="bottom"/>
            <w:vMerge w:val="continue"/>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80" w:type="dxa"/>
            <w:vAlign w:val="bottom"/>
            <w:shd w:val="clear" w:color="auto" w:fill="CCEEFF"/>
          </w:tcPr>
          <w:p>
            <w:pPr>
              <w:spacing w:after="0"/>
              <w:rPr>
                <w:sz w:val="5"/>
                <w:szCs w:val="5"/>
                <w:color w:val="auto"/>
              </w:rPr>
            </w:pPr>
          </w:p>
        </w:tc>
        <w:tc>
          <w:tcPr>
            <w:tcW w:w="1980" w:type="dxa"/>
            <w:vAlign w:val="bottom"/>
            <w:vMerge w:val="continue"/>
            <w:shd w:val="clear" w:color="auto" w:fill="CCEEFF"/>
          </w:tcPr>
          <w:p>
            <w:pPr>
              <w:spacing w:after="0"/>
              <w:rPr>
                <w:sz w:val="5"/>
                <w:szCs w:val="5"/>
                <w:color w:val="auto"/>
              </w:rPr>
            </w:pPr>
          </w:p>
        </w:tc>
        <w:tc>
          <w:tcPr>
            <w:tcW w:w="45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40" w:type="dxa"/>
            <w:vAlign w:val="bottom"/>
          </w:tcPr>
          <w:p>
            <w:pPr>
              <w:jc w:val="center"/>
              <w:ind w:right="171"/>
              <w:spacing w:after="0"/>
              <w:rPr>
                <w:sz w:val="20"/>
                <w:szCs w:val="20"/>
                <w:color w:val="auto"/>
              </w:rPr>
            </w:pPr>
            <w:r>
              <w:rPr>
                <w:rFonts w:ascii="Arial" w:cs="Arial" w:eastAsia="Arial" w:hAnsi="Arial"/>
                <w:sz w:val="18"/>
                <w:szCs w:val="18"/>
                <w:color w:val="auto"/>
              </w:rPr>
              <w:t>Vice President of Finance and Operations</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540" w:type="dxa"/>
            <w:vAlign w:val="bottom"/>
            <w:vMerge w:val="restart"/>
          </w:tcPr>
          <w:p>
            <w:pPr>
              <w:jc w:val="center"/>
              <w:spacing w:after="0"/>
              <w:rPr>
                <w:sz w:val="20"/>
                <w:szCs w:val="20"/>
                <w:color w:val="auto"/>
              </w:rPr>
            </w:pPr>
            <w:r>
              <w:rPr>
                <w:rFonts w:ascii="Arial" w:cs="Arial" w:eastAsia="Arial" w:hAnsi="Arial"/>
                <w:sz w:val="18"/>
                <w:szCs w:val="18"/>
                <w:i w:val="1"/>
                <w:iCs w:val="1"/>
                <w:color w:val="auto"/>
              </w:rPr>
              <w:t>(Principal Financial and Accounting Officer)</w:t>
            </w: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rPr>
              <w:t>Douglas Carr</w:t>
            </w:r>
          </w:p>
        </w:tc>
        <w:tc>
          <w:tcPr>
            <w:tcW w:w="45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45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4540" w:type="dxa"/>
            <w:vAlign w:val="bottom"/>
            <w:tcBorders>
              <w:bottom w:val="single" w:sz="8" w:color="CCEEFF"/>
            </w:tcBorders>
            <w:vMerge w:val="restart"/>
            <w:shd w:val="clear" w:color="auto" w:fill="CCEEFF"/>
          </w:tcPr>
          <w:p>
            <w:pPr>
              <w:jc w:val="center"/>
              <w:ind w:right="111"/>
              <w:spacing w:after="0"/>
              <w:rPr>
                <w:sz w:val="20"/>
                <w:szCs w:val="20"/>
                <w:color w:val="auto"/>
              </w:rPr>
            </w:pPr>
            <w:r>
              <w:rPr>
                <w:rFonts w:ascii="Arial" w:cs="Arial" w:eastAsia="Arial" w:hAnsi="Arial"/>
                <w:sz w:val="18"/>
                <w:szCs w:val="18"/>
                <w:color w:val="auto"/>
              </w:rPr>
              <w:t>Director</w:t>
            </w:r>
          </w:p>
        </w:tc>
        <w:tc>
          <w:tcPr>
            <w:tcW w:w="14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74"/>
        </w:trPr>
        <w:tc>
          <w:tcPr>
            <w:tcW w:w="180" w:type="dxa"/>
            <w:vAlign w:val="bottom"/>
            <w:shd w:val="clear" w:color="auto" w:fill="CCEEFF"/>
          </w:tcPr>
          <w:p>
            <w:pPr>
              <w:spacing w:after="0"/>
              <w:rPr>
                <w:sz w:val="6"/>
                <w:szCs w:val="6"/>
                <w:color w:val="auto"/>
              </w:rPr>
            </w:pPr>
          </w:p>
        </w:tc>
        <w:tc>
          <w:tcPr>
            <w:tcW w:w="1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Toshikazu Ban</w:t>
            </w:r>
          </w:p>
        </w:tc>
        <w:tc>
          <w:tcPr>
            <w:tcW w:w="454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980" w:type="dxa"/>
            <w:vAlign w:val="bottom"/>
            <w:vMerge w:val="continue"/>
            <w:shd w:val="clear" w:color="auto" w:fill="CCEEFF"/>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8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540" w:type="dxa"/>
            <w:vAlign w:val="bottom"/>
            <w:vMerge w:val="restart"/>
          </w:tcPr>
          <w:p>
            <w:pPr>
              <w:jc w:val="center"/>
              <w:ind w:right="111"/>
              <w:spacing w:after="0"/>
              <w:rPr>
                <w:sz w:val="20"/>
                <w:szCs w:val="20"/>
                <w:color w:val="auto"/>
              </w:rPr>
            </w:pPr>
            <w:r>
              <w:rPr>
                <w:rFonts w:ascii="Arial" w:cs="Arial" w:eastAsia="Arial" w:hAnsi="Arial"/>
                <w:sz w:val="18"/>
                <w:szCs w:val="18"/>
                <w:color w:val="auto"/>
              </w:rPr>
              <w:t>Director</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rPr>
              <w:t>Cynthia Butitta</w:t>
            </w:r>
          </w:p>
        </w:tc>
        <w:tc>
          <w:tcPr>
            <w:tcW w:w="45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4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4540" w:type="dxa"/>
            <w:vAlign w:val="bottom"/>
            <w:tcBorders>
              <w:bottom w:val="single" w:sz="8" w:color="CCEEFF"/>
            </w:tcBorders>
            <w:vMerge w:val="restart"/>
            <w:shd w:val="clear" w:color="auto" w:fill="CCEEFF"/>
          </w:tcPr>
          <w:p>
            <w:pPr>
              <w:jc w:val="center"/>
              <w:ind w:right="111"/>
              <w:spacing w:after="0"/>
              <w:rPr>
                <w:sz w:val="20"/>
                <w:szCs w:val="20"/>
                <w:color w:val="auto"/>
              </w:rPr>
            </w:pPr>
            <w:r>
              <w:rPr>
                <w:rFonts w:ascii="Arial" w:cs="Arial" w:eastAsia="Arial" w:hAnsi="Arial"/>
                <w:sz w:val="18"/>
                <w:szCs w:val="18"/>
                <w:color w:val="auto"/>
              </w:rPr>
              <w:t>Director</w:t>
            </w:r>
          </w:p>
        </w:tc>
        <w:tc>
          <w:tcPr>
            <w:tcW w:w="14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74"/>
        </w:trPr>
        <w:tc>
          <w:tcPr>
            <w:tcW w:w="180" w:type="dxa"/>
            <w:vAlign w:val="bottom"/>
            <w:shd w:val="clear" w:color="auto" w:fill="CCEEFF"/>
          </w:tcPr>
          <w:p>
            <w:pPr>
              <w:spacing w:after="0"/>
              <w:rPr>
                <w:sz w:val="6"/>
                <w:szCs w:val="6"/>
                <w:color w:val="auto"/>
              </w:rPr>
            </w:pPr>
          </w:p>
        </w:tc>
        <w:tc>
          <w:tcPr>
            <w:tcW w:w="1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Eli Casdin</w:t>
            </w:r>
          </w:p>
        </w:tc>
        <w:tc>
          <w:tcPr>
            <w:tcW w:w="454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980" w:type="dxa"/>
            <w:vAlign w:val="bottom"/>
            <w:vMerge w:val="continue"/>
            <w:shd w:val="clear" w:color="auto" w:fill="CCEEFF"/>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8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540" w:type="dxa"/>
            <w:vAlign w:val="bottom"/>
            <w:vMerge w:val="restart"/>
          </w:tcPr>
          <w:p>
            <w:pPr>
              <w:jc w:val="center"/>
              <w:ind w:right="111"/>
              <w:spacing w:after="0"/>
              <w:rPr>
                <w:sz w:val="20"/>
                <w:szCs w:val="20"/>
                <w:color w:val="auto"/>
              </w:rPr>
            </w:pPr>
            <w:r>
              <w:rPr>
                <w:rFonts w:ascii="Arial" w:cs="Arial" w:eastAsia="Arial" w:hAnsi="Arial"/>
                <w:sz w:val="18"/>
                <w:szCs w:val="18"/>
                <w:color w:val="auto"/>
              </w:rPr>
              <w:t>Director</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rPr>
              <w:t>Juergen Eckhardt</w:t>
            </w:r>
          </w:p>
        </w:tc>
        <w:tc>
          <w:tcPr>
            <w:tcW w:w="45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4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4540" w:type="dxa"/>
            <w:vAlign w:val="bottom"/>
            <w:tcBorders>
              <w:bottom w:val="single" w:sz="8" w:color="CCEEFF"/>
            </w:tcBorders>
            <w:vMerge w:val="restart"/>
            <w:shd w:val="clear" w:color="auto" w:fill="CCEEFF"/>
          </w:tcPr>
          <w:p>
            <w:pPr>
              <w:jc w:val="center"/>
              <w:ind w:right="111"/>
              <w:spacing w:after="0"/>
              <w:rPr>
                <w:sz w:val="20"/>
                <w:szCs w:val="20"/>
                <w:color w:val="auto"/>
              </w:rPr>
            </w:pPr>
            <w:r>
              <w:rPr>
                <w:rFonts w:ascii="Arial" w:cs="Arial" w:eastAsia="Arial" w:hAnsi="Arial"/>
                <w:sz w:val="18"/>
                <w:szCs w:val="18"/>
                <w:color w:val="auto"/>
              </w:rPr>
              <w:t>Director, Chairman of the Board</w:t>
            </w:r>
          </w:p>
        </w:tc>
        <w:tc>
          <w:tcPr>
            <w:tcW w:w="14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74"/>
        </w:trPr>
        <w:tc>
          <w:tcPr>
            <w:tcW w:w="180" w:type="dxa"/>
            <w:vAlign w:val="bottom"/>
            <w:shd w:val="clear" w:color="auto" w:fill="CCEEFF"/>
          </w:tcPr>
          <w:p>
            <w:pPr>
              <w:spacing w:after="0"/>
              <w:rPr>
                <w:sz w:val="6"/>
                <w:szCs w:val="6"/>
                <w:color w:val="auto"/>
              </w:rPr>
            </w:pPr>
          </w:p>
        </w:tc>
        <w:tc>
          <w:tcPr>
            <w:tcW w:w="1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Joseph Jimenez</w:t>
            </w:r>
          </w:p>
        </w:tc>
        <w:tc>
          <w:tcPr>
            <w:tcW w:w="454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980" w:type="dxa"/>
            <w:vAlign w:val="bottom"/>
            <w:vMerge w:val="continue"/>
            <w:shd w:val="clear" w:color="auto" w:fill="CCEEFF"/>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8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540" w:type="dxa"/>
            <w:vAlign w:val="bottom"/>
            <w:vMerge w:val="restart"/>
          </w:tcPr>
          <w:p>
            <w:pPr>
              <w:jc w:val="center"/>
              <w:ind w:right="111"/>
              <w:spacing w:after="0"/>
              <w:rPr>
                <w:sz w:val="20"/>
                <w:szCs w:val="20"/>
                <w:color w:val="auto"/>
              </w:rPr>
            </w:pPr>
            <w:r>
              <w:rPr>
                <w:rFonts w:ascii="Arial" w:cs="Arial" w:eastAsia="Arial" w:hAnsi="Arial"/>
                <w:sz w:val="18"/>
                <w:szCs w:val="18"/>
                <w:color w:val="auto"/>
              </w:rPr>
              <w:t>Director</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rPr>
              <w:t>Carlo Rizzuto, Ph.D.</w:t>
            </w:r>
          </w:p>
        </w:tc>
        <w:tc>
          <w:tcPr>
            <w:tcW w:w="45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45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59"/>
          </w:cols>
          <w:pgMar w:left="600" w:top="132" w:right="1440" w:bottom="1440" w:gutter="0" w:footer="0" w:header="0"/>
        </w:sectPr>
      </w:pP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38" w:name="page239"/>
    <w:bookmarkEnd w:id="238"/>
    <w:p>
      <w:pPr>
        <w:jc w:val="right"/>
        <w:spacing w:after="0"/>
        <w:rPr>
          <w:sz w:val="20"/>
          <w:szCs w:val="20"/>
          <w:color w:val="auto"/>
        </w:rPr>
      </w:pPr>
      <w:r>
        <w:rPr>
          <w:rFonts w:ascii="Arial" w:cs="Arial" w:eastAsia="Arial" w:hAnsi="Arial"/>
          <w:sz w:val="18"/>
          <w:szCs w:val="18"/>
          <w:color w:val="231F20"/>
        </w:rPr>
        <w:t>Exhibit 3.1</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Execution Version</w:t>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AMENDED AND RESTATED CERTIFICATE OF INCORPORATION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CENTURY THERAPEUTICS, INC.</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31F20"/>
        </w:rPr>
        <w:t>(Pursuant to Sections 242 and 245 of the General Corporation Law of the State of Delaware)</w:t>
      </w:r>
    </w:p>
    <w:p>
      <w:pPr>
        <w:spacing w:after="0" w:line="237" w:lineRule="exact"/>
        <w:rPr>
          <w:sz w:val="20"/>
          <w:szCs w:val="20"/>
          <w:color w:val="auto"/>
        </w:rPr>
      </w:pPr>
    </w:p>
    <w:p>
      <w:pPr>
        <w:ind w:right="20" w:firstLine="646"/>
        <w:spacing w:after="0" w:line="275" w:lineRule="auto"/>
        <w:rPr>
          <w:sz w:val="20"/>
          <w:szCs w:val="20"/>
          <w:color w:val="auto"/>
        </w:rPr>
      </w:pPr>
      <w:r>
        <w:rPr>
          <w:rFonts w:ascii="Arial" w:cs="Arial" w:eastAsia="Arial" w:hAnsi="Arial"/>
          <w:sz w:val="18"/>
          <w:szCs w:val="18"/>
          <w:color w:val="231F20"/>
        </w:rPr>
        <w:t>Century Therapeutics, Inc., a corporation organized and existing under and by virtue of the provisions of the General Corporation Law of the State of Delaware (the “</w:t>
      </w:r>
      <w:r>
        <w:rPr>
          <w:rFonts w:ascii="Arial" w:cs="Arial" w:eastAsia="Arial" w:hAnsi="Arial"/>
          <w:sz w:val="18"/>
          <w:szCs w:val="18"/>
          <w:b w:val="1"/>
          <w:bCs w:val="1"/>
          <w:color w:val="231F20"/>
        </w:rPr>
        <w:t>General Corporation Law</w:t>
      </w:r>
      <w:r>
        <w:rPr>
          <w:rFonts w:ascii="Arial" w:cs="Arial" w:eastAsia="Arial" w:hAnsi="Arial"/>
          <w:sz w:val="18"/>
          <w:szCs w:val="18"/>
          <w:color w:val="231F20"/>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31F20"/>
        </w:rPr>
        <w:t>DOES HEREBY CERTIFY:</w:t>
      </w:r>
    </w:p>
    <w:p>
      <w:pPr>
        <w:spacing w:after="0" w:line="227" w:lineRule="exact"/>
        <w:rPr>
          <w:sz w:val="20"/>
          <w:szCs w:val="20"/>
          <w:color w:val="auto"/>
        </w:rPr>
      </w:pPr>
    </w:p>
    <w:p>
      <w:pPr>
        <w:ind w:firstLine="653"/>
        <w:spacing w:after="0" w:line="275" w:lineRule="auto"/>
        <w:tabs>
          <w:tab w:leader="none" w:pos="1470" w:val="left"/>
        </w:tabs>
        <w:numPr>
          <w:ilvl w:val="0"/>
          <w:numId w:val="129"/>
        </w:numPr>
        <w:rPr>
          <w:rFonts w:ascii="Arial" w:cs="Arial" w:eastAsia="Arial" w:hAnsi="Arial"/>
          <w:sz w:val="18"/>
          <w:szCs w:val="18"/>
          <w:b w:val="1"/>
          <w:bCs w:val="1"/>
          <w:color w:val="231F20"/>
        </w:rPr>
      </w:pPr>
      <w:r>
        <w:rPr>
          <w:rFonts w:ascii="Arial" w:cs="Arial" w:eastAsia="Arial" w:hAnsi="Arial"/>
          <w:sz w:val="18"/>
          <w:szCs w:val="18"/>
          <w:color w:val="231F20"/>
        </w:rPr>
        <w:t>That the name of this corporation is Century Therapeutics, Inc., and that this corporation was originally incorporated pursuant to the General Corporation Law on February 25, 2021 under the name CenturyTx, Inc.</w:t>
      </w:r>
    </w:p>
    <w:p>
      <w:pPr>
        <w:spacing w:after="0" w:line="184" w:lineRule="exact"/>
        <w:rPr>
          <w:rFonts w:ascii="Arial" w:cs="Arial" w:eastAsia="Arial" w:hAnsi="Arial"/>
          <w:sz w:val="18"/>
          <w:szCs w:val="18"/>
          <w:b w:val="1"/>
          <w:bCs w:val="1"/>
          <w:color w:val="231F20"/>
        </w:rPr>
      </w:pPr>
    </w:p>
    <w:p>
      <w:pPr>
        <w:jc w:val="both"/>
        <w:ind w:firstLine="653"/>
        <w:spacing w:after="0" w:line="258" w:lineRule="auto"/>
        <w:tabs>
          <w:tab w:leader="none" w:pos="1475" w:val="left"/>
        </w:tabs>
        <w:numPr>
          <w:ilvl w:val="0"/>
          <w:numId w:val="129"/>
        </w:numPr>
        <w:rPr>
          <w:rFonts w:ascii="Arial" w:cs="Arial" w:eastAsia="Arial" w:hAnsi="Arial"/>
          <w:sz w:val="18"/>
          <w:szCs w:val="18"/>
          <w:b w:val="1"/>
          <w:bCs w:val="1"/>
          <w:color w:val="231F20"/>
        </w:rPr>
      </w:pPr>
      <w:r>
        <w:rPr>
          <w:rFonts w:ascii="Arial" w:cs="Arial" w:eastAsia="Arial" w:hAnsi="Arial"/>
          <w:sz w:val="18"/>
          <w:szCs w:val="18"/>
          <w:color w:val="231F20"/>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31F20"/>
        </w:rPr>
        <w:t>RESOLVED</w:t>
      </w:r>
      <w:r>
        <w:rPr>
          <w:rFonts w:ascii="Arial" w:cs="Arial" w:eastAsia="Arial" w:hAnsi="Arial"/>
          <w:sz w:val="18"/>
          <w:szCs w:val="18"/>
          <w:color w:val="231F20"/>
        </w:rPr>
        <w:t>, that the Certificate of Incorporation of this corporation be amended and restated in its entirety as follows: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31F20"/>
        </w:rPr>
        <w:t xml:space="preserve">FIRST: </w:t>
      </w:r>
      <w:r>
        <w:rPr>
          <w:rFonts w:ascii="Arial" w:cs="Arial" w:eastAsia="Arial" w:hAnsi="Arial"/>
          <w:sz w:val="18"/>
          <w:szCs w:val="18"/>
          <w:color w:val="231F20"/>
        </w:rPr>
        <w:t>The name of this corporation is Century Therapeutics, Inc. (the “</w:t>
      </w:r>
      <w:r>
        <w:rPr>
          <w:rFonts w:ascii="Arial" w:cs="Arial" w:eastAsia="Arial" w:hAnsi="Arial"/>
          <w:sz w:val="18"/>
          <w:szCs w:val="18"/>
          <w:b w:val="1"/>
          <w:bCs w:val="1"/>
          <w:color w:val="231F20"/>
        </w:rPr>
        <w:t>Corporation</w:t>
      </w:r>
      <w:r>
        <w:rPr>
          <w:rFonts w:ascii="Arial" w:cs="Arial" w:eastAsia="Arial" w:hAnsi="Arial"/>
          <w:sz w:val="18"/>
          <w:szCs w:val="18"/>
          <w:color w:val="231F20"/>
        </w:rPr>
        <w:t>”).</w:t>
      </w:r>
    </w:p>
    <w:p>
      <w:pPr>
        <w:spacing w:after="0" w:line="237"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231F20"/>
        </w:rPr>
        <w:t xml:space="preserve">SECOND: </w:t>
      </w:r>
      <w:r>
        <w:rPr>
          <w:rFonts w:ascii="Arial" w:cs="Arial" w:eastAsia="Arial" w:hAnsi="Arial"/>
          <w:sz w:val="18"/>
          <w:szCs w:val="18"/>
          <w:color w:val="231F20"/>
        </w:rPr>
        <w:t>The address of the registered office of the Corporation in the State of Delaware is 1313 N Market St # 5100, in the City of</w:t>
      </w:r>
      <w:r>
        <w:rPr>
          <w:rFonts w:ascii="Arial" w:cs="Arial" w:eastAsia="Arial" w:hAnsi="Arial"/>
          <w:sz w:val="18"/>
          <w:szCs w:val="18"/>
          <w:b w:val="1"/>
          <w:bCs w:val="1"/>
          <w:color w:val="231F20"/>
        </w:rPr>
        <w:t xml:space="preserve"> </w:t>
      </w:r>
      <w:r>
        <w:rPr>
          <w:rFonts w:ascii="Arial" w:cs="Arial" w:eastAsia="Arial" w:hAnsi="Arial"/>
          <w:sz w:val="18"/>
          <w:szCs w:val="18"/>
          <w:color w:val="231F20"/>
        </w:rPr>
        <w:t>Wilmington, County of New Castle, 19801. The name of its registered agent at such address is PHS Corporate Services, Inc.</w:t>
      </w:r>
    </w:p>
    <w:p>
      <w:pPr>
        <w:spacing w:after="0" w:line="176"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231F20"/>
        </w:rPr>
        <w:t xml:space="preserve">THIRD: </w:t>
      </w:r>
      <w:r>
        <w:rPr>
          <w:rFonts w:ascii="Arial" w:cs="Arial" w:eastAsia="Arial" w:hAnsi="Arial"/>
          <w:sz w:val="18"/>
          <w:szCs w:val="18"/>
          <w:color w:val="231F20"/>
        </w:rPr>
        <w:t>The nature of the business or purposes to be conducted or promoted is to engage in any lawful act or activity for which corporations</w:t>
      </w:r>
      <w:r>
        <w:rPr>
          <w:rFonts w:ascii="Arial" w:cs="Arial" w:eastAsia="Arial" w:hAnsi="Arial"/>
          <w:sz w:val="18"/>
          <w:szCs w:val="18"/>
          <w:b w:val="1"/>
          <w:bCs w:val="1"/>
          <w:color w:val="231F20"/>
        </w:rPr>
        <w:t xml:space="preserve"> </w:t>
      </w:r>
      <w:r>
        <w:rPr>
          <w:rFonts w:ascii="Arial" w:cs="Arial" w:eastAsia="Arial" w:hAnsi="Arial"/>
          <w:sz w:val="18"/>
          <w:szCs w:val="18"/>
          <w:color w:val="231F20"/>
        </w:rPr>
        <w:t>may be organized under the General Corporation Law.</w:t>
      </w:r>
    </w:p>
    <w:p>
      <w:pPr>
        <w:spacing w:after="0" w:line="163"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231F20"/>
        </w:rPr>
        <w:t xml:space="preserve">FOURTH: </w:t>
      </w:r>
      <w:r>
        <w:rPr>
          <w:rFonts w:ascii="Arial" w:cs="Arial" w:eastAsia="Arial" w:hAnsi="Arial"/>
          <w:sz w:val="18"/>
          <w:szCs w:val="18"/>
          <w:color w:val="231F20"/>
        </w:rPr>
        <w:t>The total number of shares of all classes of stock which the Corporation shall have authority to issue is (i) 125,236,190 shares of</w:t>
      </w:r>
      <w:r>
        <w:rPr>
          <w:rFonts w:ascii="Arial" w:cs="Arial" w:eastAsia="Arial" w:hAnsi="Arial"/>
          <w:sz w:val="18"/>
          <w:szCs w:val="18"/>
          <w:b w:val="1"/>
          <w:bCs w:val="1"/>
          <w:color w:val="231F20"/>
        </w:rPr>
        <w:t xml:space="preserve"> </w:t>
      </w:r>
      <w:r>
        <w:rPr>
          <w:rFonts w:ascii="Arial" w:cs="Arial" w:eastAsia="Arial" w:hAnsi="Arial"/>
          <w:sz w:val="18"/>
          <w:szCs w:val="18"/>
          <w:color w:val="231F20"/>
        </w:rPr>
        <w:t>Common Stock, $0.0001 par value per share (“</w:t>
      </w:r>
      <w:r>
        <w:rPr>
          <w:rFonts w:ascii="Arial" w:cs="Arial" w:eastAsia="Arial" w:hAnsi="Arial"/>
          <w:sz w:val="18"/>
          <w:szCs w:val="18"/>
          <w:b w:val="1"/>
          <w:bCs w:val="1"/>
          <w:color w:val="231F20"/>
        </w:rPr>
        <w:t>Common Stock</w:t>
      </w:r>
      <w:r>
        <w:rPr>
          <w:rFonts w:ascii="Arial" w:cs="Arial" w:eastAsia="Arial" w:hAnsi="Arial"/>
          <w:sz w:val="18"/>
          <w:szCs w:val="18"/>
          <w:color w:val="231F20"/>
        </w:rPr>
        <w:t>”) and (ii) 85,865,789 shares of Preferred Stock, $0.0001 par value per share (“</w:t>
      </w:r>
      <w:r>
        <w:rPr>
          <w:rFonts w:ascii="Arial" w:cs="Arial" w:eastAsia="Arial" w:hAnsi="Arial"/>
          <w:sz w:val="18"/>
          <w:szCs w:val="18"/>
          <w:b w:val="1"/>
          <w:bCs w:val="1"/>
          <w:color w:val="231F20"/>
        </w:rPr>
        <w:t>Preferred</w:t>
      </w:r>
      <w:r>
        <w:rPr>
          <w:rFonts w:ascii="Arial" w:cs="Arial" w:eastAsia="Arial" w:hAnsi="Arial"/>
          <w:sz w:val="18"/>
          <w:szCs w:val="18"/>
          <w:color w:val="231F20"/>
        </w:rPr>
        <w:t xml:space="preserve"> </w:t>
      </w:r>
      <w:r>
        <w:rPr>
          <w:rFonts w:ascii="Arial" w:cs="Arial" w:eastAsia="Arial" w:hAnsi="Arial"/>
          <w:sz w:val="18"/>
          <w:szCs w:val="18"/>
          <w:b w:val="1"/>
          <w:bCs w:val="1"/>
          <w:color w:val="231F20"/>
        </w:rPr>
        <w:t>Stock</w:t>
      </w:r>
      <w:r>
        <w:rPr>
          <w:rFonts w:ascii="Arial" w:cs="Arial" w:eastAsia="Arial" w:hAnsi="Arial"/>
          <w:sz w:val="18"/>
          <w:szCs w:val="18"/>
          <w:color w:val="231F20"/>
        </w:rPr>
        <w:t>”).</w:t>
      </w:r>
    </w:p>
    <w:p>
      <w:pPr>
        <w:spacing w:after="0" w:line="193" w:lineRule="exact"/>
        <w:rPr>
          <w:sz w:val="20"/>
          <w:szCs w:val="20"/>
          <w:color w:val="auto"/>
        </w:rPr>
      </w:pPr>
    </w:p>
    <w:p>
      <w:pPr>
        <w:jc w:val="both"/>
        <w:ind w:right="20" w:firstLine="646"/>
        <w:spacing w:after="0" w:line="275" w:lineRule="auto"/>
        <w:rPr>
          <w:sz w:val="20"/>
          <w:szCs w:val="20"/>
          <w:color w:val="auto"/>
        </w:rPr>
      </w:pPr>
      <w:r>
        <w:rPr>
          <w:rFonts w:ascii="Arial" w:cs="Arial" w:eastAsia="Arial" w:hAnsi="Arial"/>
          <w:sz w:val="18"/>
          <w:szCs w:val="18"/>
          <w:color w:val="231F20"/>
        </w:rPr>
        <w:t>The following is a statement of the designations and the powers, privileges and rights, and the qualifications, limitations or restrictions thereof in respect of each class of capital stock of the Corporation.</w:t>
      </w:r>
    </w:p>
    <w:p>
      <w:pPr>
        <w:spacing w:after="0" w:line="171" w:lineRule="exact"/>
        <w:rPr>
          <w:sz w:val="20"/>
          <w:szCs w:val="20"/>
          <w:color w:val="auto"/>
        </w:rPr>
      </w:pPr>
    </w:p>
    <w:p>
      <w:pPr>
        <w:ind w:left="1300" w:hanging="647"/>
        <w:spacing w:after="0"/>
        <w:tabs>
          <w:tab w:leader="none" w:pos="1300" w:val="left"/>
        </w:tabs>
        <w:numPr>
          <w:ilvl w:val="0"/>
          <w:numId w:val="130"/>
        </w:numPr>
        <w:rPr>
          <w:rFonts w:ascii="Arial" w:cs="Arial" w:eastAsia="Arial" w:hAnsi="Arial"/>
          <w:sz w:val="18"/>
          <w:szCs w:val="18"/>
          <w:color w:val="231F20"/>
        </w:rPr>
      </w:pPr>
      <w:r>
        <w:rPr>
          <w:rFonts w:ascii="Arial" w:cs="Arial" w:eastAsia="Arial" w:hAnsi="Arial"/>
          <w:sz w:val="18"/>
          <w:szCs w:val="18"/>
          <w:color w:val="231F20"/>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9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435" w:right="439" w:bottom="1440" w:gutter="0" w:footer="0" w:header="0"/>
        </w:sectPr>
      </w:pPr>
    </w:p>
    <w:bookmarkStart w:id="239" w:name="page240"/>
    <w:bookmarkEnd w:id="239"/>
    <w:p>
      <w:pPr>
        <w:ind w:right="20" w:firstLine="1299"/>
        <w:spacing w:after="0" w:line="275" w:lineRule="auto"/>
        <w:tabs>
          <w:tab w:leader="none" w:pos="1892" w:val="left"/>
        </w:tabs>
        <w:numPr>
          <w:ilvl w:val="1"/>
          <w:numId w:val="131"/>
        </w:numPr>
        <w:rPr>
          <w:rFonts w:ascii="Arial" w:cs="Arial" w:eastAsia="Arial" w:hAnsi="Arial"/>
          <w:sz w:val="18"/>
          <w:szCs w:val="18"/>
          <w:b w:val="1"/>
          <w:bCs w:val="1"/>
          <w:color w:val="231F20"/>
        </w:rPr>
      </w:pPr>
      <w:r>
        <w:rPr>
          <w:rFonts w:ascii="Arial" w:cs="Arial" w:eastAsia="Arial" w:hAnsi="Arial"/>
          <w:sz w:val="18"/>
          <w:szCs w:val="18"/>
          <w:u w:val="single" w:color="auto"/>
          <w:color w:val="231F20"/>
        </w:rPr>
        <w:t>General</w:t>
      </w:r>
      <w:r>
        <w:rPr>
          <w:rFonts w:ascii="Arial" w:cs="Arial" w:eastAsia="Arial" w:hAnsi="Arial"/>
          <w:sz w:val="18"/>
          <w:szCs w:val="18"/>
          <w:color w:val="231F20"/>
        </w:rPr>
        <w:t>. The voting, dividend and liquidation rights of the holders of the Common Stock are subject to and qualified by the rights, powers and preferences of the holders of the Preferred Stock set forth herein.</w:t>
      </w:r>
    </w:p>
    <w:p>
      <w:pPr>
        <w:spacing w:after="0" w:line="184" w:lineRule="exact"/>
        <w:rPr>
          <w:rFonts w:ascii="Arial" w:cs="Arial" w:eastAsia="Arial" w:hAnsi="Arial"/>
          <w:sz w:val="18"/>
          <w:szCs w:val="18"/>
          <w:b w:val="1"/>
          <w:bCs w:val="1"/>
          <w:color w:val="231F20"/>
        </w:rPr>
      </w:pPr>
    </w:p>
    <w:p>
      <w:pPr>
        <w:jc w:val="both"/>
        <w:ind w:firstLine="1299"/>
        <w:spacing w:after="0" w:line="268" w:lineRule="auto"/>
        <w:tabs>
          <w:tab w:leader="none" w:pos="1892" w:val="left"/>
        </w:tabs>
        <w:numPr>
          <w:ilvl w:val="1"/>
          <w:numId w:val="131"/>
        </w:numPr>
        <w:rPr>
          <w:rFonts w:ascii="Arial" w:cs="Arial" w:eastAsia="Arial" w:hAnsi="Arial"/>
          <w:sz w:val="17"/>
          <w:szCs w:val="17"/>
          <w:b w:val="1"/>
          <w:bCs w:val="1"/>
          <w:color w:val="231F20"/>
        </w:rPr>
      </w:pPr>
      <w:r>
        <w:rPr>
          <w:rFonts w:ascii="Arial" w:cs="Arial" w:eastAsia="Arial" w:hAnsi="Arial"/>
          <w:sz w:val="17"/>
          <w:szCs w:val="17"/>
          <w:u w:val="single" w:color="auto"/>
          <w:color w:val="231F20"/>
        </w:rPr>
        <w:t>Voting</w:t>
      </w:r>
      <w:r>
        <w:rPr>
          <w:rFonts w:ascii="Arial" w:cs="Arial" w:eastAsia="Arial" w:hAnsi="Arial"/>
          <w:sz w:val="17"/>
          <w:szCs w:val="17"/>
          <w:color w:val="231F20"/>
        </w:rPr>
        <w:t xml:space="preserve">. The holders of the Common Stock are entitled to one vote for each share of Common Stock held at all meetings of stockholders (and written actions in lieu of meetings); </w:t>
      </w:r>
      <w:r>
        <w:rPr>
          <w:rFonts w:ascii="Arial" w:cs="Arial" w:eastAsia="Arial" w:hAnsi="Arial"/>
          <w:sz w:val="17"/>
          <w:szCs w:val="17"/>
          <w:u w:val="single" w:color="auto"/>
          <w:color w:val="231F20"/>
        </w:rPr>
        <w:t>provided</w:t>
      </w:r>
      <w:r>
        <w:rPr>
          <w:rFonts w:ascii="Arial" w:cs="Arial" w:eastAsia="Arial" w:hAnsi="Arial"/>
          <w:sz w:val="17"/>
          <w:szCs w:val="17"/>
          <w:color w:val="231F20"/>
        </w:rPr>
        <w:t xml:space="preserve">, </w:t>
      </w:r>
      <w:r>
        <w:rPr>
          <w:rFonts w:ascii="Arial" w:cs="Arial" w:eastAsia="Arial" w:hAnsi="Arial"/>
          <w:sz w:val="17"/>
          <w:szCs w:val="17"/>
          <w:u w:val="single" w:color="auto"/>
          <w:color w:val="231F20"/>
        </w:rPr>
        <w:t>however</w:t>
      </w:r>
      <w:r>
        <w:rPr>
          <w:rFonts w:ascii="Arial" w:cs="Arial" w:eastAsia="Arial" w:hAnsi="Arial"/>
          <w:sz w:val="17"/>
          <w:szCs w:val="17"/>
          <w:color w:val="231F20"/>
        </w:rPr>
        <w:t>, that, except as otherwise required by law, holders of Common Stock, as such, shall not be entitled to vote on any amendment to this Amended and Restated Certificate of Incorporation (this “</w:t>
      </w:r>
      <w:r>
        <w:rPr>
          <w:rFonts w:ascii="Arial" w:cs="Arial" w:eastAsia="Arial" w:hAnsi="Arial"/>
          <w:sz w:val="17"/>
          <w:szCs w:val="17"/>
          <w:b w:val="1"/>
          <w:bCs w:val="1"/>
          <w:color w:val="231F20"/>
        </w:rPr>
        <w:t>Certificate of Incorporation</w:t>
      </w:r>
      <w:r>
        <w:rPr>
          <w:rFonts w:ascii="Arial" w:cs="Arial" w:eastAsia="Arial" w:hAnsi="Arial"/>
          <w:sz w:val="17"/>
          <w:szCs w:val="17"/>
          <w:color w:val="231F20"/>
        </w:rPr>
        <w:t>”) that relates solely to the terms of one or more outstanding series of Preferred Stock if the holders of such affected series of Preferred Stock are entitled, either separately or together with the holders of one or more other such series, to vote thereon pursuant to this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84" w:lineRule="exact"/>
        <w:rPr>
          <w:rFonts w:ascii="Arial" w:cs="Arial" w:eastAsia="Arial" w:hAnsi="Arial"/>
          <w:sz w:val="17"/>
          <w:szCs w:val="17"/>
          <w:b w:val="1"/>
          <w:bCs w:val="1"/>
          <w:color w:val="231F20"/>
        </w:rPr>
      </w:pPr>
    </w:p>
    <w:p>
      <w:pPr>
        <w:ind w:left="1300" w:hanging="647"/>
        <w:spacing w:after="0"/>
        <w:tabs>
          <w:tab w:leader="none" w:pos="1300" w:val="left"/>
        </w:tabs>
        <w:numPr>
          <w:ilvl w:val="0"/>
          <w:numId w:val="132"/>
        </w:numPr>
        <w:rPr>
          <w:rFonts w:ascii="Arial" w:cs="Arial" w:eastAsia="Arial" w:hAnsi="Arial"/>
          <w:sz w:val="18"/>
          <w:szCs w:val="18"/>
          <w:color w:val="231F20"/>
        </w:rPr>
      </w:pPr>
      <w:r>
        <w:rPr>
          <w:rFonts w:ascii="Arial" w:cs="Arial" w:eastAsia="Arial" w:hAnsi="Arial"/>
          <w:sz w:val="18"/>
          <w:szCs w:val="18"/>
          <w:color w:val="231F20"/>
        </w:rPr>
        <w:t>PREFERRED STOCK</w:t>
      </w:r>
    </w:p>
    <w:p>
      <w:pPr>
        <w:spacing w:after="0" w:line="233"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7"/>
          <w:szCs w:val="17"/>
          <w:color w:val="231F20"/>
        </w:rPr>
        <w:t>35,000,000 shares of the authorized Preferred Stock of the Corporation are hereby designated “</w:t>
      </w:r>
      <w:r>
        <w:rPr>
          <w:rFonts w:ascii="Arial" w:cs="Arial" w:eastAsia="Arial" w:hAnsi="Arial"/>
          <w:sz w:val="17"/>
          <w:szCs w:val="17"/>
          <w:b w:val="1"/>
          <w:bCs w:val="1"/>
          <w:color w:val="231F20"/>
        </w:rPr>
        <w:t>Series A Preferred Stock</w:t>
      </w:r>
      <w:r>
        <w:rPr>
          <w:rFonts w:ascii="Arial" w:cs="Arial" w:eastAsia="Arial" w:hAnsi="Arial"/>
          <w:sz w:val="17"/>
          <w:szCs w:val="17"/>
          <w:color w:val="231F20"/>
        </w:rPr>
        <w:t>,” 26,143,790 of the authorized shares of Preferred Stock are hereby designated “</w:t>
      </w:r>
      <w:r>
        <w:rPr>
          <w:rFonts w:ascii="Arial" w:cs="Arial" w:eastAsia="Arial" w:hAnsi="Arial"/>
          <w:sz w:val="17"/>
          <w:szCs w:val="17"/>
          <w:b w:val="1"/>
          <w:bCs w:val="1"/>
          <w:color w:val="231F20"/>
        </w:rPr>
        <w:t>Series B Preferred Stock</w:t>
      </w:r>
      <w:r>
        <w:rPr>
          <w:rFonts w:ascii="Arial" w:cs="Arial" w:eastAsia="Arial" w:hAnsi="Arial"/>
          <w:sz w:val="17"/>
          <w:szCs w:val="17"/>
          <w:color w:val="231F20"/>
        </w:rPr>
        <w:t>,” and 24,721,999 of the authorized shares of Preferred Stock are hereby designated “</w:t>
      </w:r>
      <w:r>
        <w:rPr>
          <w:rFonts w:ascii="Arial" w:cs="Arial" w:eastAsia="Arial" w:hAnsi="Arial"/>
          <w:sz w:val="17"/>
          <w:szCs w:val="17"/>
          <w:b w:val="1"/>
          <w:bCs w:val="1"/>
          <w:color w:val="231F20"/>
        </w:rPr>
        <w:t>Series C Preferred Stock</w:t>
      </w:r>
      <w:r>
        <w:rPr>
          <w:rFonts w:ascii="Arial" w:cs="Arial" w:eastAsia="Arial" w:hAnsi="Arial"/>
          <w:sz w:val="17"/>
          <w:szCs w:val="17"/>
          <w:color w:val="231F20"/>
        </w:rPr>
        <w:t>”. The rights, preferences, powers, privileges and restrictions, qualifications and limitations granted and imposed on the Preferred Stock are as set forth below in Part B of this Article Fourth. Unless otherwise indicated, references to “Sections” or “Subsections” in this Part B of this Article Fourth refer to sections and subsections of Part B of this Article Fourth.</w:t>
      </w:r>
    </w:p>
    <w:p>
      <w:pPr>
        <w:spacing w:after="0" w:line="185" w:lineRule="exact"/>
        <w:rPr>
          <w:sz w:val="20"/>
          <w:szCs w:val="20"/>
          <w:color w:val="auto"/>
        </w:rPr>
      </w:pPr>
    </w:p>
    <w:p>
      <w:pPr>
        <w:ind w:left="1940" w:hanging="641"/>
        <w:spacing w:after="0"/>
        <w:tabs>
          <w:tab w:leader="none" w:pos="1940" w:val="left"/>
        </w:tabs>
        <w:numPr>
          <w:ilvl w:val="0"/>
          <w:numId w:val="133"/>
        </w:numPr>
        <w:rPr>
          <w:rFonts w:ascii="Arial" w:cs="Arial" w:eastAsia="Arial" w:hAnsi="Arial"/>
          <w:sz w:val="18"/>
          <w:szCs w:val="18"/>
          <w:b w:val="1"/>
          <w:bCs w:val="1"/>
          <w:color w:val="231F20"/>
        </w:rPr>
      </w:pPr>
      <w:r>
        <w:rPr>
          <w:rFonts w:ascii="Arial" w:cs="Arial" w:eastAsia="Arial" w:hAnsi="Arial"/>
          <w:sz w:val="18"/>
          <w:szCs w:val="18"/>
          <w:u w:val="single" w:color="auto"/>
          <w:color w:val="231F20"/>
        </w:rPr>
        <w:t>Dividends</w:t>
      </w:r>
      <w:r>
        <w:rPr>
          <w:rFonts w:ascii="Arial" w:cs="Arial" w:eastAsia="Arial" w:hAnsi="Arial"/>
          <w:sz w:val="18"/>
          <w:szCs w:val="18"/>
          <w:color w:val="231F20"/>
        </w:rPr>
        <w:t>.</w:t>
      </w:r>
    </w:p>
    <w:p>
      <w:pPr>
        <w:spacing w:after="0" w:line="223" w:lineRule="exact"/>
        <w:rPr>
          <w:sz w:val="20"/>
          <w:szCs w:val="20"/>
          <w:color w:val="auto"/>
        </w:rPr>
      </w:pPr>
    </w:p>
    <w:p>
      <w:pPr>
        <w:jc w:val="both"/>
        <w:ind w:right="20" w:firstLine="1937"/>
        <w:spacing w:after="0" w:line="288" w:lineRule="auto"/>
        <w:rPr>
          <w:sz w:val="20"/>
          <w:szCs w:val="20"/>
          <w:color w:val="auto"/>
        </w:rPr>
      </w:pPr>
      <w:r>
        <w:rPr>
          <w:rFonts w:ascii="Arial" w:cs="Arial" w:eastAsia="Arial" w:hAnsi="Arial"/>
          <w:sz w:val="16"/>
          <w:szCs w:val="16"/>
          <w:color w:val="231F20"/>
        </w:rPr>
        <w:t>1.1. The holders of then outstanding shares of Series A Preferred Stock and Series C Preferred Stock shall be entitled to receive a non-cumulative dividend, out of any assets legally available therefor, at an annual rate of eight percent (8%) of the applicable Original Issue Price (as defined below) per share (subject to appropriate adjustment in the event of any stock dividend, stock split, combination or other similar recapitalization with respect to the Preferred Stock) (the “</w:t>
      </w:r>
      <w:r>
        <w:rPr>
          <w:rFonts w:ascii="Arial" w:cs="Arial" w:eastAsia="Arial" w:hAnsi="Arial"/>
          <w:sz w:val="16"/>
          <w:szCs w:val="16"/>
          <w:b w:val="1"/>
          <w:bCs w:val="1"/>
          <w:color w:val="231F20"/>
        </w:rPr>
        <w:t>Preferred Dividend</w:t>
      </w:r>
      <w:r>
        <w:rPr>
          <w:rFonts w:ascii="Arial" w:cs="Arial" w:eastAsia="Arial" w:hAnsi="Arial"/>
          <w:sz w:val="16"/>
          <w:szCs w:val="16"/>
          <w:color w:val="231F20"/>
        </w:rPr>
        <w:t xml:space="preserve">”); </w:t>
      </w:r>
      <w:r>
        <w:rPr>
          <w:rFonts w:ascii="Arial" w:cs="Arial" w:eastAsia="Arial" w:hAnsi="Arial"/>
          <w:sz w:val="16"/>
          <w:szCs w:val="16"/>
          <w:u w:val="single" w:color="auto"/>
          <w:color w:val="231F20"/>
        </w:rPr>
        <w:t>provided</w:t>
      </w:r>
      <w:r>
        <w:rPr>
          <w:rFonts w:ascii="Arial" w:cs="Arial" w:eastAsia="Arial" w:hAnsi="Arial"/>
          <w:sz w:val="16"/>
          <w:szCs w:val="16"/>
          <w:color w:val="231F20"/>
        </w:rPr>
        <w:t xml:space="preserve">, </w:t>
      </w:r>
      <w:r>
        <w:rPr>
          <w:rFonts w:ascii="Arial" w:cs="Arial" w:eastAsia="Arial" w:hAnsi="Arial"/>
          <w:sz w:val="16"/>
          <w:szCs w:val="16"/>
          <w:u w:val="single" w:color="auto"/>
          <w:color w:val="231F20"/>
        </w:rPr>
        <w:t>however</w:t>
      </w:r>
      <w:r>
        <w:rPr>
          <w:rFonts w:ascii="Arial" w:cs="Arial" w:eastAsia="Arial" w:hAnsi="Arial"/>
          <w:sz w:val="16"/>
          <w:szCs w:val="16"/>
          <w:color w:val="231F20"/>
        </w:rPr>
        <w:t xml:space="preserve"> such Preferred Dividend shall be payable only when, as, and if declared by the Board of Directors of the Corporation (the “</w:t>
      </w:r>
      <w:r>
        <w:rPr>
          <w:rFonts w:ascii="Arial" w:cs="Arial" w:eastAsia="Arial" w:hAnsi="Arial"/>
          <w:sz w:val="16"/>
          <w:szCs w:val="16"/>
          <w:b w:val="1"/>
          <w:bCs w:val="1"/>
          <w:color w:val="231F20"/>
        </w:rPr>
        <w:t>Board</w:t>
      </w:r>
      <w:r>
        <w:rPr>
          <w:rFonts w:ascii="Arial" w:cs="Arial" w:eastAsia="Arial" w:hAnsi="Arial"/>
          <w:sz w:val="16"/>
          <w:szCs w:val="16"/>
          <w:color w:val="231F20"/>
        </w:rPr>
        <w:t>”) and the Board shall be under no obligation to declare or pay any such dividends. The Corporation shall not declare, pay or set aside any dividends on shares of any other class or series of capital stock of the Corporation (other than dividends on shares of Common Stock payable in shares of Common Stock) in any calendar year unless (in addition to the obtaining of any consents required elsewhere in this Certificate of Incorporation) the holders of Series A Preferred Stock and Series C Preferred Stock then outstanding shall first receive, or simultaneously receive, a dividend on each outstanding share of Series A Preferred Stock and Series C Preferred Stock in an amount</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9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40" w:name="page241"/>
    <w:bookmarkEnd w:id="240"/>
    <w:p>
      <w:pPr>
        <w:jc w:val="both"/>
        <w:spacing w:after="0" w:line="285" w:lineRule="auto"/>
        <w:rPr>
          <w:sz w:val="20"/>
          <w:szCs w:val="20"/>
          <w:color w:val="auto"/>
        </w:rPr>
      </w:pPr>
      <w:r>
        <w:rPr>
          <w:rFonts w:ascii="Arial" w:cs="Arial" w:eastAsia="Arial" w:hAnsi="Arial"/>
          <w:sz w:val="16"/>
          <w:szCs w:val="16"/>
          <w:color w:val="231F20"/>
        </w:rPr>
        <w:t xml:space="preserve">at least equal to the greater of (i) the amount of the aggregate Preferred Dividends then accrued on such share of Series A Preferred Stock and Series C Preferred Stock and not previously paid and (ii) (A) in the case of a dividend on Common Stock or any class or series that is convertible into Common Stock, that dividend per share of Series A Preferred Stock and Series C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Preferred Stock or Series C Preferred Stock, in each case calculated on the record date for determination of holders entitled to receive such dividend or (B) in the case of a dividend on any class or series that is not convertible into Common Stock, at a rate per share of Series A Preferred Stock or Series C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Original Issue Price (as defined below); </w:t>
      </w:r>
      <w:r>
        <w:rPr>
          <w:rFonts w:ascii="Arial" w:cs="Arial" w:eastAsia="Arial" w:hAnsi="Arial"/>
          <w:sz w:val="16"/>
          <w:szCs w:val="16"/>
          <w:u w:val="single" w:color="auto"/>
          <w:color w:val="231F20"/>
        </w:rPr>
        <w:t>provided</w:t>
      </w:r>
      <w:r>
        <w:rPr>
          <w:rFonts w:ascii="Arial" w:cs="Arial" w:eastAsia="Arial" w:hAnsi="Arial"/>
          <w:sz w:val="16"/>
          <w:szCs w:val="16"/>
          <w:color w:val="231F20"/>
        </w:rPr>
        <w:t xml:space="preserve"> that if the Corporation declares, pays or sets aside, on the same date, a dividend on shares of more than one class or series of capital stock of the Corporation, the dividend payable to the holders of Series A Preferred Stock and Series C Preferred Stock pursuant to this </w:t>
      </w:r>
      <w:r>
        <w:rPr>
          <w:rFonts w:ascii="Arial" w:cs="Arial" w:eastAsia="Arial" w:hAnsi="Arial"/>
          <w:sz w:val="16"/>
          <w:szCs w:val="16"/>
          <w:u w:val="single" w:color="auto"/>
          <w:color w:val="231F20"/>
        </w:rPr>
        <w:t>Section 1</w:t>
      </w:r>
      <w:r>
        <w:rPr>
          <w:rFonts w:ascii="Arial" w:cs="Arial" w:eastAsia="Arial" w:hAnsi="Arial"/>
          <w:sz w:val="16"/>
          <w:szCs w:val="16"/>
          <w:color w:val="231F20"/>
        </w:rPr>
        <w:t xml:space="preserve"> shall be calculated based upon the dividend on the class or series of capital stock that would result in the highest Series A Preferred Stock and Series C Preferred Stock dividend.</w:t>
      </w:r>
    </w:p>
    <w:p>
      <w:pPr>
        <w:spacing w:after="0" w:line="169" w:lineRule="exact"/>
        <w:rPr>
          <w:sz w:val="20"/>
          <w:szCs w:val="20"/>
          <w:color w:val="auto"/>
        </w:rPr>
      </w:pPr>
    </w:p>
    <w:p>
      <w:pPr>
        <w:jc w:val="both"/>
        <w:ind w:firstLine="1937"/>
        <w:spacing w:after="0" w:line="313" w:lineRule="auto"/>
        <w:rPr>
          <w:sz w:val="20"/>
          <w:szCs w:val="20"/>
          <w:color w:val="auto"/>
        </w:rPr>
      </w:pPr>
      <w:r>
        <w:rPr>
          <w:rFonts w:ascii="Arial" w:cs="Arial" w:eastAsia="Arial" w:hAnsi="Arial"/>
          <w:sz w:val="16"/>
          <w:szCs w:val="16"/>
          <w:color w:val="231F20"/>
        </w:rPr>
        <w:t>1.2. For purposes of this Certificate of Incorporation, the “</w:t>
      </w:r>
      <w:r>
        <w:rPr>
          <w:rFonts w:ascii="Arial" w:cs="Arial" w:eastAsia="Arial" w:hAnsi="Arial"/>
          <w:sz w:val="16"/>
          <w:szCs w:val="16"/>
          <w:b w:val="1"/>
          <w:bCs w:val="1"/>
          <w:color w:val="231F20"/>
        </w:rPr>
        <w:t>Original Issue Price</w:t>
      </w:r>
      <w:r>
        <w:rPr>
          <w:rFonts w:ascii="Arial" w:cs="Arial" w:eastAsia="Arial" w:hAnsi="Arial"/>
          <w:sz w:val="16"/>
          <w:szCs w:val="16"/>
          <w:color w:val="231F20"/>
        </w:rPr>
        <w:t>” shall be (i) $6.4720 per share of Series C Preferred Stock, (ii) $5.55 per share of Series B Preferred Stock, and (iii) $1.00 per share of Series A Preferred Stock (in each case, subject to appropriate adjustment in the event of any stock dividend, stock split, combination or other similar recapitalization with respect to the applicable Preferred Stock).</w:t>
      </w:r>
    </w:p>
    <w:p>
      <w:pPr>
        <w:spacing w:after="0" w:line="159" w:lineRule="exact"/>
        <w:rPr>
          <w:sz w:val="20"/>
          <w:szCs w:val="20"/>
          <w:color w:val="auto"/>
        </w:rPr>
      </w:pPr>
    </w:p>
    <w:p>
      <w:pPr>
        <w:ind w:left="1900" w:hanging="601"/>
        <w:spacing w:after="0"/>
        <w:tabs>
          <w:tab w:leader="none" w:pos="1900" w:val="left"/>
        </w:tabs>
        <w:numPr>
          <w:ilvl w:val="0"/>
          <w:numId w:val="134"/>
        </w:numPr>
        <w:rPr>
          <w:rFonts w:ascii="Arial" w:cs="Arial" w:eastAsia="Arial" w:hAnsi="Arial"/>
          <w:sz w:val="18"/>
          <w:szCs w:val="18"/>
          <w:b w:val="1"/>
          <w:bCs w:val="1"/>
          <w:color w:val="231F20"/>
        </w:rPr>
      </w:pPr>
      <w:r>
        <w:rPr>
          <w:rFonts w:ascii="Arial" w:cs="Arial" w:eastAsia="Arial" w:hAnsi="Arial"/>
          <w:sz w:val="18"/>
          <w:szCs w:val="18"/>
          <w:color w:val="231F20"/>
        </w:rPr>
        <w:t>Liquidation, Dissolution or Winding Up; Certain Mergers, Consolidations and Asset Sales.</w:t>
      </w:r>
    </w:p>
    <w:p>
      <w:pPr>
        <w:spacing w:after="0" w:line="223" w:lineRule="exact"/>
        <w:rPr>
          <w:sz w:val="20"/>
          <w:szCs w:val="20"/>
          <w:color w:val="auto"/>
        </w:rPr>
      </w:pPr>
    </w:p>
    <w:p>
      <w:pPr>
        <w:jc w:val="both"/>
        <w:ind w:firstLine="1937"/>
        <w:spacing w:after="0" w:line="288" w:lineRule="auto"/>
        <w:rPr>
          <w:sz w:val="20"/>
          <w:szCs w:val="20"/>
          <w:color w:val="auto"/>
        </w:rPr>
      </w:pPr>
      <w:r>
        <w:rPr>
          <w:rFonts w:ascii="Arial" w:cs="Arial" w:eastAsia="Arial" w:hAnsi="Arial"/>
          <w:sz w:val="16"/>
          <w:szCs w:val="16"/>
          <w:color w:val="231F20"/>
        </w:rPr>
        <w:t xml:space="preserve">2.1. </w:t>
      </w:r>
      <w:r>
        <w:rPr>
          <w:rFonts w:ascii="Arial" w:cs="Arial" w:eastAsia="Arial" w:hAnsi="Arial"/>
          <w:sz w:val="16"/>
          <w:szCs w:val="16"/>
          <w:u w:val="single" w:color="auto"/>
          <w:color w:val="231F20"/>
        </w:rPr>
        <w:t>Preferential Payments to Holders of Preferred Stock</w:t>
      </w:r>
      <w:r>
        <w:rPr>
          <w:rFonts w:ascii="Arial" w:cs="Arial" w:eastAsia="Arial" w:hAnsi="Arial"/>
          <w:sz w:val="16"/>
          <w:szCs w:val="16"/>
          <w:color w:val="231F20"/>
        </w:rPr>
        <w:t xml:space="preserve">. In the event of any voluntary or involuntary liquidation, dissolution or winding up of the Corporation or Deemed Liquidation Event (as defined below), the holders of shares of Preferred Stock then outstanding shall be entitled to be paid out of the assets of the Corporation available for distribution to its stockholders, on a </w:t>
      </w:r>
      <w:r>
        <w:rPr>
          <w:rFonts w:ascii="Arial" w:cs="Arial" w:eastAsia="Arial" w:hAnsi="Arial"/>
          <w:sz w:val="16"/>
          <w:szCs w:val="16"/>
          <w:i w:val="1"/>
          <w:iCs w:val="1"/>
          <w:color w:val="231F20"/>
        </w:rPr>
        <w:t>pari passu</w:t>
      </w:r>
      <w:r>
        <w:rPr>
          <w:rFonts w:ascii="Arial" w:cs="Arial" w:eastAsia="Arial" w:hAnsi="Arial"/>
          <w:sz w:val="16"/>
          <w:szCs w:val="16"/>
          <w:color w:val="231F20"/>
        </w:rPr>
        <w:t xml:space="preserve"> basis, prior and in preference to any distribution of any of the assets of the Corporation to the holders of Common Stock by reason of their ownership thereof, an amount per share equal to the applicable Original Issue Price, plus any dividends declared but unpaid thereon.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Arial" w:cs="Arial" w:eastAsia="Arial" w:hAnsi="Arial"/>
          <w:sz w:val="16"/>
          <w:szCs w:val="16"/>
          <w:u w:val="single" w:color="auto"/>
          <w:color w:val="231F20"/>
        </w:rPr>
        <w:t>Section 2.1</w:t>
      </w:r>
      <w:r>
        <w:rPr>
          <w:rFonts w:ascii="Arial" w:cs="Arial" w:eastAsia="Arial" w:hAnsi="Arial"/>
          <w:sz w:val="16"/>
          <w:szCs w:val="16"/>
          <w:color w:val="231F20"/>
        </w:rPr>
        <w:t xml:space="preserve">, the holders of shares of Preferred Stock shall share ratably on a </w:t>
      </w:r>
      <w:r>
        <w:rPr>
          <w:rFonts w:ascii="Arial" w:cs="Arial" w:eastAsia="Arial" w:hAnsi="Arial"/>
          <w:sz w:val="16"/>
          <w:szCs w:val="16"/>
          <w:i w:val="1"/>
          <w:iCs w:val="1"/>
          <w:color w:val="231F20"/>
        </w:rPr>
        <w:t>pari passu</w:t>
      </w:r>
      <w:r>
        <w:rPr>
          <w:rFonts w:ascii="Arial" w:cs="Arial" w:eastAsia="Arial" w:hAnsi="Arial"/>
          <w:sz w:val="16"/>
          <w:szCs w:val="16"/>
          <w:color w:val="231F20"/>
        </w:rPr>
        <w:t xml:space="preserve"> basis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9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41" w:name="page242"/>
    <w:bookmarkEnd w:id="241"/>
    <w:p>
      <w:pPr>
        <w:jc w:val="both"/>
        <w:ind w:firstLine="1937"/>
        <w:spacing w:after="0" w:line="290" w:lineRule="auto"/>
        <w:rPr>
          <w:sz w:val="20"/>
          <w:szCs w:val="20"/>
          <w:color w:val="auto"/>
        </w:rPr>
      </w:pPr>
      <w:r>
        <w:rPr>
          <w:rFonts w:ascii="Arial" w:cs="Arial" w:eastAsia="Arial" w:hAnsi="Arial"/>
          <w:sz w:val="16"/>
          <w:szCs w:val="16"/>
          <w:color w:val="231F20"/>
        </w:rPr>
        <w:t xml:space="preserve">2.2. </w:t>
      </w:r>
      <w:r>
        <w:rPr>
          <w:rFonts w:ascii="Arial" w:cs="Arial" w:eastAsia="Arial" w:hAnsi="Arial"/>
          <w:sz w:val="16"/>
          <w:szCs w:val="16"/>
          <w:u w:val="single" w:color="auto"/>
          <w:color w:val="231F20"/>
        </w:rPr>
        <w:t>Distribution of Remaining Assets</w:t>
      </w:r>
      <w:r>
        <w:rPr>
          <w:rFonts w:ascii="Arial" w:cs="Arial" w:eastAsia="Arial" w:hAnsi="Arial"/>
          <w:sz w:val="16"/>
          <w:szCs w:val="16"/>
          <w:color w:val="231F20"/>
        </w:rPr>
        <w:t xml:space="preserve">. In the event of any voluntary or involuntary liquidation, dissolution or winding up of the Corporation or Deemed Liquidation Event, after the payment of all preferential amounts required to be paid to the holders of shares of Preferred Stock pursuant to </w:t>
      </w:r>
      <w:r>
        <w:rPr>
          <w:rFonts w:ascii="Arial" w:cs="Arial" w:eastAsia="Arial" w:hAnsi="Arial"/>
          <w:sz w:val="16"/>
          <w:szCs w:val="16"/>
          <w:u w:val="single" w:color="auto"/>
          <w:color w:val="231F20"/>
        </w:rPr>
        <w:t>Section 2.1</w:t>
      </w:r>
      <w:r>
        <w:rPr>
          <w:rFonts w:ascii="Arial" w:cs="Arial" w:eastAsia="Arial" w:hAnsi="Arial"/>
          <w:sz w:val="16"/>
          <w:szCs w:val="16"/>
          <w:color w:val="231F20"/>
        </w:rPr>
        <w:t xml:space="preserve"> of this Certificate of Incorporation have been paid in full, the remaining assets of the Corporation available for distribution to its stockholders shall be distributed among the holders of the shares of Preferred Stock and Common Stock, </w:t>
      </w:r>
      <w:r>
        <w:rPr>
          <w:rFonts w:ascii="Arial" w:cs="Arial" w:eastAsia="Arial" w:hAnsi="Arial"/>
          <w:sz w:val="16"/>
          <w:szCs w:val="16"/>
          <w:i w:val="1"/>
          <w:iCs w:val="1"/>
          <w:color w:val="231F20"/>
        </w:rPr>
        <w:t>pro rata</w:t>
      </w:r>
      <w:r>
        <w:rPr>
          <w:rFonts w:ascii="Arial" w:cs="Arial" w:eastAsia="Arial" w:hAnsi="Arial"/>
          <w:sz w:val="16"/>
          <w:szCs w:val="16"/>
          <w:color w:val="231F20"/>
        </w:rPr>
        <w:t xml:space="preserve"> based on the number of shares held by each such holder, treating for this purpose all such securities as if they had been converted to Common Stock pursuant to the terms of this Certificate of Incorporation immediately prior to such liquidation, dissolution or winding up of the Corporation, The aggregate amount which a holder of a share of Preferred Stock is entitled to receive under </w:t>
      </w:r>
      <w:r>
        <w:rPr>
          <w:rFonts w:ascii="Arial" w:cs="Arial" w:eastAsia="Arial" w:hAnsi="Arial"/>
          <w:sz w:val="16"/>
          <w:szCs w:val="16"/>
          <w:u w:val="single" w:color="auto"/>
          <w:color w:val="231F20"/>
        </w:rPr>
        <w:t>Sections 2.1</w:t>
      </w:r>
      <w:r>
        <w:rPr>
          <w:rFonts w:ascii="Arial" w:cs="Arial" w:eastAsia="Arial" w:hAnsi="Arial"/>
          <w:sz w:val="16"/>
          <w:szCs w:val="16"/>
          <w:color w:val="231F20"/>
        </w:rPr>
        <w:t xml:space="preserve"> and </w:t>
      </w:r>
      <w:r>
        <w:rPr>
          <w:rFonts w:ascii="Arial" w:cs="Arial" w:eastAsia="Arial" w:hAnsi="Arial"/>
          <w:sz w:val="16"/>
          <w:szCs w:val="16"/>
          <w:u w:val="single" w:color="auto"/>
          <w:color w:val="231F20"/>
        </w:rPr>
        <w:t>2.2</w:t>
      </w:r>
      <w:r>
        <w:rPr>
          <w:rFonts w:ascii="Arial" w:cs="Arial" w:eastAsia="Arial" w:hAnsi="Arial"/>
          <w:sz w:val="16"/>
          <w:szCs w:val="16"/>
          <w:color w:val="231F20"/>
        </w:rPr>
        <w:t xml:space="preserve"> is hereinafter referred to as the “</w:t>
      </w:r>
      <w:r>
        <w:rPr>
          <w:rFonts w:ascii="Arial" w:cs="Arial" w:eastAsia="Arial" w:hAnsi="Arial"/>
          <w:sz w:val="16"/>
          <w:szCs w:val="16"/>
          <w:b w:val="1"/>
          <w:bCs w:val="1"/>
          <w:color w:val="231F20"/>
        </w:rPr>
        <w:t>Liquidation Amount</w:t>
      </w:r>
      <w:r>
        <w:rPr>
          <w:rFonts w:ascii="Arial" w:cs="Arial" w:eastAsia="Arial" w:hAnsi="Arial"/>
          <w:sz w:val="16"/>
          <w:szCs w:val="16"/>
          <w:color w:val="231F20"/>
        </w:rPr>
        <w:t>.”</w:t>
      </w:r>
    </w:p>
    <w:p>
      <w:pPr>
        <w:spacing w:after="0" w:line="179"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18"/>
          <w:szCs w:val="18"/>
          <w:color w:val="231F20"/>
        </w:rPr>
        <w:t>2.3.</w:t>
      </w:r>
      <w:r>
        <w:rPr>
          <w:sz w:val="20"/>
          <w:szCs w:val="20"/>
          <w:color w:val="auto"/>
        </w:rPr>
        <w:tab/>
      </w:r>
      <w:r>
        <w:rPr>
          <w:rFonts w:ascii="Arial" w:cs="Arial" w:eastAsia="Arial" w:hAnsi="Arial"/>
          <w:sz w:val="16"/>
          <w:szCs w:val="16"/>
          <w:color w:val="231F20"/>
        </w:rPr>
        <w:t>Deemed Liquidation Events.</w:t>
      </w:r>
    </w:p>
    <w:p>
      <w:pPr>
        <w:spacing w:after="0" w:line="219" w:lineRule="exact"/>
        <w:rPr>
          <w:sz w:val="20"/>
          <w:szCs w:val="20"/>
          <w:color w:val="auto"/>
        </w:rPr>
      </w:pPr>
    </w:p>
    <w:p>
      <w:pPr>
        <w:jc w:val="both"/>
        <w:ind w:firstLine="2583"/>
        <w:spacing w:after="0" w:line="259" w:lineRule="auto"/>
        <w:rPr>
          <w:sz w:val="20"/>
          <w:szCs w:val="20"/>
          <w:color w:val="auto"/>
        </w:rPr>
      </w:pPr>
      <w:r>
        <w:rPr>
          <w:rFonts w:ascii="Arial" w:cs="Arial" w:eastAsia="Arial" w:hAnsi="Arial"/>
          <w:sz w:val="18"/>
          <w:szCs w:val="18"/>
          <w:color w:val="231F20"/>
        </w:rPr>
        <w:t xml:space="preserve">2.3.1. </w:t>
      </w:r>
      <w:r>
        <w:rPr>
          <w:rFonts w:ascii="Arial" w:cs="Arial" w:eastAsia="Arial" w:hAnsi="Arial"/>
          <w:sz w:val="18"/>
          <w:szCs w:val="18"/>
          <w:u w:val="single" w:color="auto"/>
          <w:color w:val="231F20"/>
        </w:rPr>
        <w:t>Definition</w:t>
      </w:r>
      <w:r>
        <w:rPr>
          <w:rFonts w:ascii="Arial" w:cs="Arial" w:eastAsia="Arial" w:hAnsi="Arial"/>
          <w:sz w:val="18"/>
          <w:szCs w:val="18"/>
          <w:color w:val="231F20"/>
        </w:rPr>
        <w:t>. Each of the following events shall be considered a “</w:t>
      </w:r>
      <w:r>
        <w:rPr>
          <w:rFonts w:ascii="Arial" w:cs="Arial" w:eastAsia="Arial" w:hAnsi="Arial"/>
          <w:sz w:val="18"/>
          <w:szCs w:val="18"/>
          <w:b w:val="1"/>
          <w:bCs w:val="1"/>
          <w:color w:val="231F20"/>
        </w:rPr>
        <w:t>Deemed Liquidation Event</w:t>
      </w:r>
      <w:r>
        <w:rPr>
          <w:rFonts w:ascii="Arial" w:cs="Arial" w:eastAsia="Arial" w:hAnsi="Arial"/>
          <w:sz w:val="18"/>
          <w:szCs w:val="18"/>
          <w:color w:val="231F20"/>
        </w:rPr>
        <w:t>” unless (i) the holders of a majority of the outstanding shares of Preferred Stock, voting together as a single class on an as-converted basis (the “</w:t>
      </w:r>
      <w:r>
        <w:rPr>
          <w:rFonts w:ascii="Arial" w:cs="Arial" w:eastAsia="Arial" w:hAnsi="Arial"/>
          <w:sz w:val="18"/>
          <w:szCs w:val="18"/>
          <w:b w:val="1"/>
          <w:bCs w:val="1"/>
          <w:color w:val="231F20"/>
        </w:rPr>
        <w:t>Preferred Threshold</w:t>
      </w:r>
      <w:r>
        <w:rPr>
          <w:rFonts w:ascii="Arial" w:cs="Arial" w:eastAsia="Arial" w:hAnsi="Arial"/>
          <w:sz w:val="18"/>
          <w:szCs w:val="18"/>
          <w:color w:val="231F20"/>
        </w:rPr>
        <w:t>”), and (ii) the holders of a majority of the outstanding shares of Series C Preferred Stock, voting as a separate class, elect otherwise by written notice sent to the Corporation at least thirty (30) days prior to the effective date of any such event:</w:t>
      </w:r>
    </w:p>
    <w:p>
      <w:pPr>
        <w:spacing w:after="0" w:line="200" w:lineRule="exact"/>
        <w:rPr>
          <w:sz w:val="20"/>
          <w:szCs w:val="20"/>
          <w:color w:val="auto"/>
        </w:rPr>
      </w:pPr>
    </w:p>
    <w:p>
      <w:pPr>
        <w:ind w:left="3880" w:hanging="644"/>
        <w:spacing w:after="0"/>
        <w:tabs>
          <w:tab w:leader="none" w:pos="3880" w:val="left"/>
        </w:tabs>
        <w:numPr>
          <w:ilvl w:val="0"/>
          <w:numId w:val="135"/>
        </w:numPr>
        <w:rPr>
          <w:rFonts w:ascii="Arial" w:cs="Arial" w:eastAsia="Arial" w:hAnsi="Arial"/>
          <w:sz w:val="18"/>
          <w:szCs w:val="18"/>
          <w:color w:val="231F20"/>
        </w:rPr>
      </w:pPr>
      <w:r>
        <w:rPr>
          <w:rFonts w:ascii="Arial" w:cs="Arial" w:eastAsia="Arial" w:hAnsi="Arial"/>
          <w:sz w:val="18"/>
          <w:szCs w:val="18"/>
          <w:color w:val="231F20"/>
        </w:rPr>
        <w:t>a merger, consolidation or reorganization in which</w:t>
      </w:r>
    </w:p>
    <w:p>
      <w:pPr>
        <w:spacing w:after="0" w:line="236" w:lineRule="exact"/>
        <w:rPr>
          <w:rFonts w:ascii="Arial" w:cs="Arial" w:eastAsia="Arial" w:hAnsi="Arial"/>
          <w:sz w:val="18"/>
          <w:szCs w:val="18"/>
          <w:color w:val="231F20"/>
        </w:rPr>
      </w:pPr>
    </w:p>
    <w:p>
      <w:pPr>
        <w:ind w:left="4520" w:hanging="638"/>
        <w:spacing w:after="0"/>
        <w:tabs>
          <w:tab w:leader="none" w:pos="4520" w:val="left"/>
        </w:tabs>
        <w:numPr>
          <w:ilvl w:val="1"/>
          <w:numId w:val="135"/>
        </w:numPr>
        <w:rPr>
          <w:rFonts w:ascii="Arial" w:cs="Arial" w:eastAsia="Arial" w:hAnsi="Arial"/>
          <w:sz w:val="18"/>
          <w:szCs w:val="18"/>
          <w:color w:val="231F20"/>
        </w:rPr>
      </w:pPr>
      <w:r>
        <w:rPr>
          <w:rFonts w:ascii="Arial" w:cs="Arial" w:eastAsia="Arial" w:hAnsi="Arial"/>
          <w:sz w:val="18"/>
          <w:szCs w:val="18"/>
          <w:color w:val="231F20"/>
        </w:rPr>
        <w:t>the Corporation is a constituent party or</w:t>
      </w:r>
    </w:p>
    <w:p>
      <w:pPr>
        <w:spacing w:after="0" w:line="223" w:lineRule="exact"/>
        <w:rPr>
          <w:rFonts w:ascii="Arial" w:cs="Arial" w:eastAsia="Arial" w:hAnsi="Arial"/>
          <w:sz w:val="18"/>
          <w:szCs w:val="18"/>
          <w:color w:val="231F20"/>
        </w:rPr>
      </w:pPr>
    </w:p>
    <w:p>
      <w:pPr>
        <w:ind w:left="4520" w:hanging="638"/>
        <w:spacing w:after="0" w:line="275" w:lineRule="auto"/>
        <w:tabs>
          <w:tab w:leader="none" w:pos="4520" w:val="left"/>
        </w:tabs>
        <w:numPr>
          <w:ilvl w:val="1"/>
          <w:numId w:val="135"/>
        </w:numPr>
        <w:rPr>
          <w:rFonts w:ascii="Arial" w:cs="Arial" w:eastAsia="Arial" w:hAnsi="Arial"/>
          <w:sz w:val="18"/>
          <w:szCs w:val="18"/>
          <w:color w:val="231F20"/>
        </w:rPr>
      </w:pPr>
      <w:r>
        <w:rPr>
          <w:rFonts w:ascii="Arial" w:cs="Arial" w:eastAsia="Arial" w:hAnsi="Arial"/>
          <w:sz w:val="18"/>
          <w:szCs w:val="18"/>
          <w:color w:val="231F20"/>
        </w:rPr>
        <w:t>a subsidiary of the Corporation is a constituent party and the Corporation issues shares of its capital stock pursuant to such merger or consolidation,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 xml:space="preserve">except any such merger, consolidation or reorganization involving the Corporation or a subsidiary in which the shares of capital stock of the Corporation outstanding immediately prior to such merger, consolidation or reorganization continue to represent, or are converted into or exchanged for shares of capital stock that represent, immediately following such merger, consolidation or reorganization, at least a majority, by voting power, of the capital stock of (1) the surviving or resulting corporation or (2) if the surviving or resulting corporation is a wholly owned subsidiary of another corporation immediately following such merger, consolidation or reorganization, the parent corporation of such surviving or resulting corporation; </w:t>
      </w:r>
      <w:r>
        <w:rPr>
          <w:rFonts w:ascii="Arial" w:cs="Arial" w:eastAsia="Arial" w:hAnsi="Arial"/>
          <w:sz w:val="18"/>
          <w:szCs w:val="18"/>
          <w:u w:val="single" w:color="auto"/>
          <w:color w:val="231F20"/>
        </w:rPr>
        <w:t>provided</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however</w:t>
      </w:r>
      <w:r>
        <w:rPr>
          <w:rFonts w:ascii="Arial" w:cs="Arial" w:eastAsia="Arial" w:hAnsi="Arial"/>
          <w:sz w:val="18"/>
          <w:szCs w:val="18"/>
          <w:color w:val="231F20"/>
        </w:rPr>
        <w:t>, a merger with a special purpose acquisition company, a reverse merger with a publicly traded shell company or other similar transaction, immediately following which the Corporation’s securities become publicly traded on a national securities exchange, shall be deemed to not constitute a Deemed Liquidation Event.</w:t>
      </w:r>
    </w:p>
    <w:p>
      <w:pPr>
        <w:spacing w:after="0" w:line="192" w:lineRule="exact"/>
        <w:rPr>
          <w:sz w:val="20"/>
          <w:szCs w:val="20"/>
          <w:color w:val="auto"/>
        </w:rPr>
      </w:pPr>
    </w:p>
    <w:p>
      <w:pPr>
        <w:jc w:val="both"/>
        <w:ind w:firstLine="3236"/>
        <w:spacing w:after="0" w:line="262" w:lineRule="auto"/>
        <w:tabs>
          <w:tab w:leader="none" w:pos="3868" w:val="left"/>
        </w:tabs>
        <w:numPr>
          <w:ilvl w:val="0"/>
          <w:numId w:val="136"/>
        </w:numPr>
        <w:rPr>
          <w:rFonts w:ascii="Arial" w:cs="Arial" w:eastAsia="Arial" w:hAnsi="Arial"/>
          <w:sz w:val="18"/>
          <w:szCs w:val="18"/>
          <w:color w:val="231F20"/>
        </w:rPr>
      </w:pPr>
      <w:r>
        <w:rPr>
          <w:rFonts w:ascii="Arial" w:cs="Arial" w:eastAsia="Arial" w:hAnsi="Arial"/>
          <w:sz w:val="18"/>
          <w:szCs w:val="18"/>
          <w:color w:val="231F20"/>
        </w:rPr>
        <w:t>(1)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or disposition (whether by merger, consolidation or</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9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242" w:name="page243"/>
    <w:bookmarkEnd w:id="242"/>
    <w:p>
      <w:pPr>
        <w:jc w:val="both"/>
        <w:spacing w:after="0" w:line="262" w:lineRule="auto"/>
        <w:rPr>
          <w:sz w:val="20"/>
          <w:szCs w:val="20"/>
          <w:color w:val="auto"/>
        </w:rPr>
      </w:pPr>
      <w:r>
        <w:rPr>
          <w:rFonts w:ascii="Arial" w:cs="Arial" w:eastAsia="Arial" w:hAnsi="Arial"/>
          <w:sz w:val="18"/>
          <w:szCs w:val="18"/>
          <w:color w:val="231F20"/>
        </w:rPr>
        <w:t>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or</w:t>
      </w:r>
    </w:p>
    <w:p>
      <w:pPr>
        <w:spacing w:after="0" w:line="183" w:lineRule="exact"/>
        <w:rPr>
          <w:sz w:val="20"/>
          <w:szCs w:val="20"/>
          <w:color w:val="auto"/>
        </w:rPr>
      </w:pPr>
    </w:p>
    <w:p>
      <w:pPr>
        <w:jc w:val="both"/>
        <w:ind w:firstLine="3236"/>
        <w:spacing w:after="0" w:line="254" w:lineRule="auto"/>
        <w:tabs>
          <w:tab w:leader="none" w:pos="3858" w:val="left"/>
        </w:tabs>
        <w:numPr>
          <w:ilvl w:val="0"/>
          <w:numId w:val="137"/>
        </w:numPr>
        <w:rPr>
          <w:rFonts w:ascii="Arial" w:cs="Arial" w:eastAsia="Arial" w:hAnsi="Arial"/>
          <w:sz w:val="18"/>
          <w:szCs w:val="18"/>
          <w:color w:val="231F20"/>
        </w:rPr>
      </w:pPr>
      <w:r>
        <w:rPr>
          <w:rFonts w:ascii="Arial" w:cs="Arial" w:eastAsia="Arial" w:hAnsi="Arial"/>
          <w:sz w:val="18"/>
          <w:szCs w:val="18"/>
          <w:color w:val="231F20"/>
        </w:rPr>
        <w:t xml:space="preserve">any other transaction or series of transactions pursuant to, or as a result of, which a single person (or group of affiliated persons) acquires (from the Corporation or directly from the stockholders of the Corporation) or holds capital stock of the Corporation representing a majority of the Corporation’s outstanding voting power; </w:t>
      </w:r>
      <w:r>
        <w:rPr>
          <w:rFonts w:ascii="Arial" w:cs="Arial" w:eastAsia="Arial" w:hAnsi="Arial"/>
          <w:sz w:val="18"/>
          <w:szCs w:val="18"/>
          <w:u w:val="single" w:color="auto"/>
          <w:color w:val="231F20"/>
        </w:rPr>
        <w:t>provided</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however</w:t>
      </w:r>
      <w:r>
        <w:rPr>
          <w:rFonts w:ascii="Arial" w:cs="Arial" w:eastAsia="Arial" w:hAnsi="Arial"/>
          <w:sz w:val="18"/>
          <w:szCs w:val="18"/>
          <w:color w:val="231F20"/>
        </w:rPr>
        <w:t>, a change in majority voting control resulting from the consummation of the transactions contemplated by that certain Series C Preferred Stock Purchase Agreement, dated on or about the date hereof, by and between the Corporation and the parties thereto (as may be amended or amended and restated from time to time) (the “</w:t>
      </w:r>
      <w:r>
        <w:rPr>
          <w:rFonts w:ascii="Arial" w:cs="Arial" w:eastAsia="Arial" w:hAnsi="Arial"/>
          <w:sz w:val="18"/>
          <w:szCs w:val="18"/>
          <w:b w:val="1"/>
          <w:bCs w:val="1"/>
          <w:color w:val="231F20"/>
        </w:rPr>
        <w:t>Purchase Agreement</w:t>
      </w:r>
      <w:r>
        <w:rPr>
          <w:rFonts w:ascii="Arial" w:cs="Arial" w:eastAsia="Arial" w:hAnsi="Arial"/>
          <w:sz w:val="18"/>
          <w:szCs w:val="18"/>
          <w:color w:val="231F20"/>
        </w:rPr>
        <w:t>”), shall be deemed to not constitute a Deemed Liquidation Event.</w:t>
      </w:r>
    </w:p>
    <w:p>
      <w:pPr>
        <w:spacing w:after="0" w:line="206"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231F20"/>
        </w:rPr>
        <w:t>2.3.2.</w:t>
      </w:r>
      <w:r>
        <w:rPr>
          <w:sz w:val="20"/>
          <w:szCs w:val="20"/>
          <w:color w:val="auto"/>
        </w:rPr>
        <w:tab/>
      </w:r>
      <w:r>
        <w:rPr>
          <w:rFonts w:ascii="Arial" w:cs="Arial" w:eastAsia="Arial" w:hAnsi="Arial"/>
          <w:sz w:val="16"/>
          <w:szCs w:val="16"/>
          <w:u w:val="single" w:color="auto"/>
          <w:color w:val="231F20"/>
        </w:rPr>
        <w:t>Effecting a Deemed Liquidation Event</w:t>
      </w:r>
      <w:r>
        <w:rPr>
          <w:rFonts w:ascii="Arial" w:cs="Arial" w:eastAsia="Arial" w:hAnsi="Arial"/>
          <w:sz w:val="16"/>
          <w:szCs w:val="16"/>
          <w:color w:val="231F20"/>
        </w:rPr>
        <w:t>.</w:t>
      </w:r>
    </w:p>
    <w:p>
      <w:pPr>
        <w:spacing w:after="0" w:line="237" w:lineRule="exact"/>
        <w:rPr>
          <w:sz w:val="20"/>
          <w:szCs w:val="20"/>
          <w:color w:val="auto"/>
        </w:rPr>
      </w:pPr>
    </w:p>
    <w:p>
      <w:pPr>
        <w:jc w:val="both"/>
        <w:ind w:firstLine="3236"/>
        <w:spacing w:after="0" w:line="258" w:lineRule="auto"/>
        <w:tabs>
          <w:tab w:leader="none" w:pos="3858" w:val="left"/>
        </w:tabs>
        <w:numPr>
          <w:ilvl w:val="0"/>
          <w:numId w:val="138"/>
        </w:numPr>
        <w:rPr>
          <w:rFonts w:ascii="Arial" w:cs="Arial" w:eastAsia="Arial" w:hAnsi="Arial"/>
          <w:sz w:val="18"/>
          <w:szCs w:val="18"/>
          <w:color w:val="231F20"/>
        </w:rPr>
      </w:pPr>
      <w:r>
        <w:rPr>
          <w:rFonts w:ascii="Arial" w:cs="Arial" w:eastAsia="Arial" w:hAnsi="Arial"/>
          <w:sz w:val="18"/>
          <w:szCs w:val="18"/>
          <w:color w:val="231F20"/>
        </w:rPr>
        <w:t xml:space="preserve">The Corporation shall not have the power to effect a Deemed Liquidation Event referred to in </w:t>
      </w:r>
      <w:r>
        <w:rPr>
          <w:rFonts w:ascii="Arial" w:cs="Arial" w:eastAsia="Arial" w:hAnsi="Arial"/>
          <w:sz w:val="18"/>
          <w:szCs w:val="18"/>
          <w:u w:val="single" w:color="auto"/>
          <w:color w:val="231F20"/>
        </w:rPr>
        <w:t>Section 2.3.1(a)(i)</w:t>
      </w:r>
      <w:r>
        <w:rPr>
          <w:rFonts w:ascii="Arial" w:cs="Arial" w:eastAsia="Arial" w:hAnsi="Arial"/>
          <w:sz w:val="18"/>
          <w:szCs w:val="18"/>
          <w:color w:val="231F20"/>
        </w:rPr>
        <w:t xml:space="preserve"> unless the agreement or plan of merger or consolidation for such transaction (the “</w:t>
      </w:r>
      <w:r>
        <w:rPr>
          <w:rFonts w:ascii="Arial" w:cs="Arial" w:eastAsia="Arial" w:hAnsi="Arial"/>
          <w:sz w:val="18"/>
          <w:szCs w:val="18"/>
          <w:b w:val="1"/>
          <w:bCs w:val="1"/>
          <w:color w:val="231F20"/>
        </w:rPr>
        <w:t>Merger Agreement</w:t>
      </w:r>
      <w:r>
        <w:rPr>
          <w:rFonts w:ascii="Arial" w:cs="Arial" w:eastAsia="Arial" w:hAnsi="Arial"/>
          <w:sz w:val="18"/>
          <w:szCs w:val="18"/>
          <w:color w:val="231F20"/>
        </w:rPr>
        <w:t xml:space="preserve">”) provides that the consideration payable to the stockholders of the Corporation in such Deemed Liquidation Event shall be allocated among the holders of capital stock of the Corporation in accordance with </w:t>
      </w:r>
      <w:r>
        <w:rPr>
          <w:rFonts w:ascii="Arial" w:cs="Arial" w:eastAsia="Arial" w:hAnsi="Arial"/>
          <w:sz w:val="18"/>
          <w:szCs w:val="18"/>
          <w:u w:val="single" w:color="auto"/>
          <w:color w:val="231F20"/>
        </w:rPr>
        <w:t>Sections 2.1</w:t>
      </w:r>
      <w:r>
        <w:rPr>
          <w:rFonts w:ascii="Arial" w:cs="Arial" w:eastAsia="Arial" w:hAnsi="Arial"/>
          <w:sz w:val="18"/>
          <w:szCs w:val="18"/>
          <w:color w:val="231F20"/>
        </w:rPr>
        <w:t xml:space="preserve"> and </w:t>
      </w:r>
      <w:r>
        <w:rPr>
          <w:rFonts w:ascii="Arial" w:cs="Arial" w:eastAsia="Arial" w:hAnsi="Arial"/>
          <w:sz w:val="18"/>
          <w:szCs w:val="18"/>
          <w:u w:val="single" w:color="auto"/>
          <w:color w:val="231F20"/>
        </w:rPr>
        <w:t>2.2</w:t>
      </w:r>
      <w:r>
        <w:rPr>
          <w:rFonts w:ascii="Arial" w:cs="Arial" w:eastAsia="Arial" w:hAnsi="Arial"/>
          <w:sz w:val="18"/>
          <w:szCs w:val="18"/>
          <w:color w:val="231F20"/>
        </w:rPr>
        <w:t>.</w:t>
      </w:r>
    </w:p>
    <w:p>
      <w:pPr>
        <w:spacing w:after="0" w:line="186" w:lineRule="exact"/>
        <w:rPr>
          <w:rFonts w:ascii="Arial" w:cs="Arial" w:eastAsia="Arial" w:hAnsi="Arial"/>
          <w:sz w:val="18"/>
          <w:szCs w:val="18"/>
          <w:color w:val="231F20"/>
        </w:rPr>
      </w:pPr>
    </w:p>
    <w:p>
      <w:pPr>
        <w:jc w:val="both"/>
        <w:ind w:firstLine="3236"/>
        <w:spacing w:after="0" w:line="290" w:lineRule="auto"/>
        <w:tabs>
          <w:tab w:leader="none" w:pos="3868" w:val="left"/>
        </w:tabs>
        <w:numPr>
          <w:ilvl w:val="0"/>
          <w:numId w:val="138"/>
        </w:numPr>
        <w:rPr>
          <w:rFonts w:ascii="Arial" w:cs="Arial" w:eastAsia="Arial" w:hAnsi="Arial"/>
          <w:sz w:val="16"/>
          <w:szCs w:val="16"/>
          <w:color w:val="231F20"/>
        </w:rPr>
      </w:pPr>
      <w:r>
        <w:rPr>
          <w:rFonts w:ascii="Arial" w:cs="Arial" w:eastAsia="Arial" w:hAnsi="Arial"/>
          <w:sz w:val="16"/>
          <w:szCs w:val="16"/>
          <w:color w:val="231F20"/>
        </w:rPr>
        <w:t xml:space="preserve">In the event of a Deemed Liquidation Event referred to in </w:t>
      </w:r>
      <w:r>
        <w:rPr>
          <w:rFonts w:ascii="Arial" w:cs="Arial" w:eastAsia="Arial" w:hAnsi="Arial"/>
          <w:sz w:val="16"/>
          <w:szCs w:val="16"/>
          <w:u w:val="single" w:color="auto"/>
          <w:color w:val="231F20"/>
        </w:rPr>
        <w:t>Section 2.3.1(a)(ii)</w:t>
      </w:r>
      <w:r>
        <w:rPr>
          <w:rFonts w:ascii="Arial" w:cs="Arial" w:eastAsia="Arial" w:hAnsi="Arial"/>
          <w:sz w:val="16"/>
          <w:szCs w:val="16"/>
          <w:color w:val="231F20"/>
        </w:rPr>
        <w:t xml:space="preserve"> or </w:t>
      </w:r>
      <w:r>
        <w:rPr>
          <w:rFonts w:ascii="Arial" w:cs="Arial" w:eastAsia="Arial" w:hAnsi="Arial"/>
          <w:sz w:val="16"/>
          <w:szCs w:val="16"/>
          <w:u w:val="single" w:color="auto"/>
          <w:color w:val="231F20"/>
        </w:rPr>
        <w:t>2.3.1(b)</w:t>
      </w:r>
      <w:r>
        <w:rPr>
          <w:rFonts w:ascii="Arial" w:cs="Arial" w:eastAsia="Arial" w:hAnsi="Arial"/>
          <w:sz w:val="16"/>
          <w:szCs w:val="16"/>
          <w:color w:val="231F20"/>
        </w:rPr>
        <w:t>, if the Corporation does not effect a dissolution of the Corporation under the General Corporation Law within ninety (90) days after such Deemed Liquidation</w:t>
      </w:r>
    </w:p>
    <w:p>
      <w:pPr>
        <w:jc w:val="both"/>
        <w:spacing w:after="0" w:line="262" w:lineRule="auto"/>
        <w:rPr>
          <w:sz w:val="20"/>
          <w:szCs w:val="20"/>
          <w:color w:val="auto"/>
        </w:rPr>
      </w:pPr>
      <w:r>
        <w:rPr>
          <w:rFonts w:ascii="Arial" w:cs="Arial" w:eastAsia="Arial" w:hAnsi="Arial"/>
          <w:sz w:val="16"/>
          <w:szCs w:val="16"/>
          <w:color w:val="231F20"/>
        </w:rPr>
        <w:t>Event, then (i) the Corporation shall send a written notice to each holder of Preferred Stock no later than the ninetieth (90</w:t>
      </w:r>
      <w:r>
        <w:rPr>
          <w:rFonts w:ascii="Arial" w:cs="Arial" w:eastAsia="Arial" w:hAnsi="Arial"/>
          <w:sz w:val="26"/>
          <w:szCs w:val="26"/>
          <w:color w:val="231F20"/>
          <w:vertAlign w:val="superscript"/>
        </w:rPr>
        <w:t>th</w:t>
      </w:r>
      <w:r>
        <w:rPr>
          <w:rFonts w:ascii="Arial" w:cs="Arial" w:eastAsia="Arial" w:hAnsi="Arial"/>
          <w:sz w:val="16"/>
          <w:szCs w:val="16"/>
          <w:color w:val="231F20"/>
        </w:rPr>
        <w:t>) day after the Deemed Liquidation Event advising such holders of their right (and the requirements to be met to secure such right) pursuant to the terms of the following clause to require the redemption of such shares of Preferred Stock and (ii) if the Preferred Threshold so requests in a written instrument delivered to the Corporation not later than one hundred twenty (120) days after such Deemed Liquidation Event (the “</w:t>
      </w:r>
      <w:r>
        <w:rPr>
          <w:rFonts w:ascii="Arial" w:cs="Arial" w:eastAsia="Arial" w:hAnsi="Arial"/>
          <w:sz w:val="16"/>
          <w:szCs w:val="16"/>
          <w:b w:val="1"/>
          <w:bCs w:val="1"/>
          <w:color w:val="231F20"/>
        </w:rPr>
        <w:t>Redemption Date</w:t>
      </w:r>
      <w:r>
        <w:rPr>
          <w:rFonts w:ascii="Arial" w:cs="Arial" w:eastAsia="Arial" w:hAnsi="Arial"/>
          <w:sz w:val="16"/>
          <w:szCs w:val="16"/>
          <w:color w:val="231F20"/>
        </w:rPr>
        <w:t>”), the Corporation shall use the consideration received by the Corporation for such Deemed Liquidation Event (net of any retained liabilities associated with the assets sold or technology licensed, as determined in good faith by the Board), together with any other assets of the Corporation available for distribution to its stockholders, all to the extent</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31F20"/>
        </w:rPr>
        <w:t>permitted by Delaware law governing distributions to stockholders (the “</w:t>
      </w:r>
      <w:r>
        <w:rPr>
          <w:rFonts w:ascii="Arial" w:cs="Arial" w:eastAsia="Arial" w:hAnsi="Arial"/>
          <w:sz w:val="17"/>
          <w:szCs w:val="17"/>
          <w:b w:val="1"/>
          <w:bCs w:val="1"/>
          <w:color w:val="231F20"/>
        </w:rPr>
        <w:t>Available Proceeds</w:t>
      </w:r>
      <w:r>
        <w:rPr>
          <w:rFonts w:ascii="Arial" w:cs="Arial" w:eastAsia="Arial" w:hAnsi="Arial"/>
          <w:sz w:val="17"/>
          <w:szCs w:val="17"/>
          <w:color w:val="231F20"/>
        </w:rPr>
        <w:t>”), on the one hundred fiftieth (150</w:t>
      </w:r>
      <w:r>
        <w:rPr>
          <w:rFonts w:ascii="Arial" w:cs="Arial" w:eastAsia="Arial" w:hAnsi="Arial"/>
          <w:sz w:val="28"/>
          <w:szCs w:val="28"/>
          <w:color w:val="231F20"/>
          <w:vertAlign w:val="superscript"/>
        </w:rPr>
        <w:t>th</w:t>
      </w:r>
      <w:r>
        <w:rPr>
          <w:rFonts w:ascii="Arial" w:cs="Arial" w:eastAsia="Arial" w:hAnsi="Arial"/>
          <w:sz w:val="17"/>
          <w:szCs w:val="17"/>
          <w:color w:val="231F20"/>
        </w:rPr>
        <w:t xml:space="preserve">) day after such Deemed Liquidation Event, to redeem all outstanding shares of Preferred Stock at a price per share equal to the applicable Liquidation Amount for each series. Notwithstanding the foregoing, in the event of a redemption pursuant to the preceding sentence, if the Available Proceeds are not sufficient to redeem all outstanding shares of Preferred Stock, the Corporation shall ratably redeem each holder’s shares of Preferred Stock on a </w:t>
      </w:r>
      <w:r>
        <w:rPr>
          <w:rFonts w:ascii="Arial" w:cs="Arial" w:eastAsia="Arial" w:hAnsi="Arial"/>
          <w:sz w:val="17"/>
          <w:szCs w:val="17"/>
          <w:i w:val="1"/>
          <w:iCs w:val="1"/>
          <w:color w:val="231F20"/>
        </w:rPr>
        <w:t>pari passu</w:t>
      </w:r>
      <w:r>
        <w:rPr>
          <w:rFonts w:ascii="Arial" w:cs="Arial" w:eastAsia="Arial" w:hAnsi="Arial"/>
          <w:sz w:val="17"/>
          <w:szCs w:val="17"/>
          <w:color w:val="231F20"/>
        </w:rPr>
        <w:t xml:space="preserve"> basis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The provisions of</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43" w:name="page244"/>
    <w:bookmarkEnd w:id="243"/>
    <w:p>
      <w:pPr>
        <w:jc w:val="both"/>
        <w:spacing w:after="0" w:line="262" w:lineRule="auto"/>
        <w:rPr>
          <w:sz w:val="20"/>
          <w:szCs w:val="20"/>
          <w:color w:val="auto"/>
        </w:rPr>
      </w:pPr>
      <w:r>
        <w:rPr>
          <w:rFonts w:ascii="Arial" w:cs="Arial" w:eastAsia="Arial" w:hAnsi="Arial"/>
          <w:sz w:val="18"/>
          <w:szCs w:val="18"/>
          <w:u w:val="single" w:color="auto"/>
          <w:color w:val="231F20"/>
        </w:rPr>
        <w:t>Sections 2.3.2(c)</w:t>
      </w:r>
      <w:r>
        <w:rPr>
          <w:rFonts w:ascii="Arial" w:cs="Arial" w:eastAsia="Arial" w:hAnsi="Arial"/>
          <w:sz w:val="18"/>
          <w:szCs w:val="18"/>
          <w:color w:val="231F20"/>
        </w:rPr>
        <w:t xml:space="preserve"> through </w:t>
      </w:r>
      <w:r>
        <w:rPr>
          <w:rFonts w:ascii="Arial" w:cs="Arial" w:eastAsia="Arial" w:hAnsi="Arial"/>
          <w:sz w:val="18"/>
          <w:szCs w:val="18"/>
          <w:u w:val="single" w:color="auto"/>
          <w:color w:val="231F20"/>
        </w:rPr>
        <w:t>2.3.2(e)</w:t>
      </w:r>
      <w:r>
        <w:rPr>
          <w:rFonts w:ascii="Arial" w:cs="Arial" w:eastAsia="Arial" w:hAnsi="Arial"/>
          <w:sz w:val="18"/>
          <w:szCs w:val="18"/>
          <w:color w:val="231F20"/>
        </w:rPr>
        <w:t xml:space="preserve"> shall apply to the redemption of the Preferred Stock pursuant to this </w:t>
      </w:r>
      <w:r>
        <w:rPr>
          <w:rFonts w:ascii="Arial" w:cs="Arial" w:eastAsia="Arial" w:hAnsi="Arial"/>
          <w:sz w:val="18"/>
          <w:szCs w:val="18"/>
          <w:u w:val="single" w:color="auto"/>
          <w:color w:val="231F20"/>
        </w:rPr>
        <w:t>Section 2.3.2(b)</w:t>
      </w:r>
      <w:r>
        <w:rPr>
          <w:rFonts w:ascii="Arial" w:cs="Arial" w:eastAsia="Arial" w:hAnsi="Arial"/>
          <w:sz w:val="18"/>
          <w:szCs w:val="18"/>
          <w:color w:val="231F20"/>
        </w:rPr>
        <w:t xml:space="preserve">. Prior to the distribution or redemption provided for in this </w:t>
      </w:r>
      <w:r>
        <w:rPr>
          <w:rFonts w:ascii="Arial" w:cs="Arial" w:eastAsia="Arial" w:hAnsi="Arial"/>
          <w:sz w:val="18"/>
          <w:szCs w:val="18"/>
          <w:u w:val="single" w:color="auto"/>
          <w:color w:val="231F20"/>
        </w:rPr>
        <w:t>Section 2.3.2(b)</w:t>
      </w:r>
      <w:r>
        <w:rPr>
          <w:rFonts w:ascii="Arial" w:cs="Arial" w:eastAsia="Arial" w:hAnsi="Arial"/>
          <w:sz w:val="18"/>
          <w:szCs w:val="18"/>
          <w:color w:val="231F20"/>
        </w:rPr>
        <w:t>, the Corporation shall not expend or dissipate the consideration received for such Deemed Liquidation Event, except to discharge expenses incurred in connection with such Deemed Liquidation Event.</w:t>
      </w:r>
    </w:p>
    <w:p>
      <w:pPr>
        <w:spacing w:after="0" w:line="183" w:lineRule="exact"/>
        <w:rPr>
          <w:sz w:val="20"/>
          <w:szCs w:val="20"/>
          <w:color w:val="auto"/>
        </w:rPr>
      </w:pPr>
    </w:p>
    <w:p>
      <w:pPr>
        <w:jc w:val="both"/>
        <w:ind w:firstLine="3236"/>
        <w:spacing w:after="0" w:line="262" w:lineRule="auto"/>
        <w:tabs>
          <w:tab w:leader="none" w:pos="3858" w:val="left"/>
        </w:tabs>
        <w:numPr>
          <w:ilvl w:val="0"/>
          <w:numId w:val="139"/>
        </w:numPr>
        <w:rPr>
          <w:rFonts w:ascii="Arial" w:cs="Arial" w:eastAsia="Arial" w:hAnsi="Arial"/>
          <w:sz w:val="18"/>
          <w:szCs w:val="18"/>
          <w:color w:val="231F20"/>
        </w:rPr>
      </w:pPr>
      <w:r>
        <w:rPr>
          <w:rFonts w:ascii="Arial" w:cs="Arial" w:eastAsia="Arial" w:hAnsi="Arial"/>
          <w:sz w:val="18"/>
          <w:szCs w:val="18"/>
          <w:color w:val="231F20"/>
        </w:rPr>
        <w:t xml:space="preserve">The Corporation shall send written notice of the redemption pursuant to </w:t>
      </w:r>
      <w:r>
        <w:rPr>
          <w:rFonts w:ascii="Arial" w:cs="Arial" w:eastAsia="Arial" w:hAnsi="Arial"/>
          <w:sz w:val="18"/>
          <w:szCs w:val="18"/>
          <w:u w:val="single" w:color="auto"/>
          <w:color w:val="231F20"/>
        </w:rPr>
        <w:t>Section 2.3.2(b)</w:t>
      </w:r>
      <w:r>
        <w:rPr>
          <w:rFonts w:ascii="Arial" w:cs="Arial" w:eastAsia="Arial" w:hAnsi="Arial"/>
          <w:sz w:val="18"/>
          <w:szCs w:val="18"/>
          <w:color w:val="231F20"/>
        </w:rPr>
        <w:t xml:space="preserve"> (the “</w:t>
      </w:r>
      <w:r>
        <w:rPr>
          <w:rFonts w:ascii="Arial" w:cs="Arial" w:eastAsia="Arial" w:hAnsi="Arial"/>
          <w:sz w:val="18"/>
          <w:szCs w:val="18"/>
          <w:b w:val="1"/>
          <w:bCs w:val="1"/>
          <w:color w:val="231F20"/>
        </w:rPr>
        <w:t>Redemption Notice</w:t>
      </w:r>
      <w:r>
        <w:rPr>
          <w:rFonts w:ascii="Arial" w:cs="Arial" w:eastAsia="Arial" w:hAnsi="Arial"/>
          <w:sz w:val="18"/>
          <w:szCs w:val="18"/>
          <w:color w:val="231F20"/>
        </w:rPr>
        <w:t>”) to each holder of record of Preferred Stock not less than ninety (90) days after the Deemed Liquidation Event. Each Redemption Notice shall state:</w:t>
      </w:r>
    </w:p>
    <w:p>
      <w:pPr>
        <w:spacing w:after="0" w:line="263" w:lineRule="exact"/>
        <w:rPr>
          <w:rFonts w:ascii="Arial" w:cs="Arial" w:eastAsia="Arial" w:hAnsi="Arial"/>
          <w:sz w:val="18"/>
          <w:szCs w:val="18"/>
          <w:color w:val="231F20"/>
        </w:rPr>
      </w:pPr>
    </w:p>
    <w:p>
      <w:pPr>
        <w:ind w:left="4520" w:right="20" w:hanging="638"/>
        <w:spacing w:after="0" w:line="275" w:lineRule="auto"/>
        <w:tabs>
          <w:tab w:leader="none" w:pos="4520" w:val="left"/>
        </w:tabs>
        <w:numPr>
          <w:ilvl w:val="1"/>
          <w:numId w:val="139"/>
        </w:numPr>
        <w:rPr>
          <w:rFonts w:ascii="Arial" w:cs="Arial" w:eastAsia="Arial" w:hAnsi="Arial"/>
          <w:sz w:val="18"/>
          <w:szCs w:val="18"/>
          <w:color w:val="231F20"/>
        </w:rPr>
      </w:pPr>
      <w:r>
        <w:rPr>
          <w:rFonts w:ascii="Arial" w:cs="Arial" w:eastAsia="Arial" w:hAnsi="Arial"/>
          <w:sz w:val="18"/>
          <w:szCs w:val="18"/>
          <w:color w:val="231F20"/>
        </w:rPr>
        <w:t>the number of shares of Preferred Stock held by such holder that the Corporation shall redeem on the Redemption Date;</w:t>
      </w:r>
    </w:p>
    <w:p>
      <w:pPr>
        <w:spacing w:after="0" w:line="184" w:lineRule="exact"/>
        <w:rPr>
          <w:rFonts w:ascii="Arial" w:cs="Arial" w:eastAsia="Arial" w:hAnsi="Arial"/>
          <w:sz w:val="18"/>
          <w:szCs w:val="18"/>
          <w:color w:val="231F20"/>
        </w:rPr>
      </w:pPr>
    </w:p>
    <w:p>
      <w:pPr>
        <w:ind w:left="4520" w:hanging="638"/>
        <w:spacing w:after="0" w:line="275" w:lineRule="auto"/>
        <w:tabs>
          <w:tab w:leader="none" w:pos="4520" w:val="left"/>
        </w:tabs>
        <w:numPr>
          <w:ilvl w:val="1"/>
          <w:numId w:val="139"/>
        </w:numPr>
        <w:rPr>
          <w:rFonts w:ascii="Arial" w:cs="Arial" w:eastAsia="Arial" w:hAnsi="Arial"/>
          <w:sz w:val="18"/>
          <w:szCs w:val="18"/>
          <w:color w:val="231F20"/>
        </w:rPr>
      </w:pPr>
      <w:r>
        <w:rPr>
          <w:rFonts w:ascii="Arial" w:cs="Arial" w:eastAsia="Arial" w:hAnsi="Arial"/>
          <w:sz w:val="18"/>
          <w:szCs w:val="18"/>
          <w:color w:val="231F20"/>
        </w:rPr>
        <w:t>the Redemption Date and price per share of the Preferred Stock to be redeemed (the “</w:t>
      </w:r>
      <w:r>
        <w:rPr>
          <w:rFonts w:ascii="Arial" w:cs="Arial" w:eastAsia="Arial" w:hAnsi="Arial"/>
          <w:sz w:val="18"/>
          <w:szCs w:val="18"/>
          <w:b w:val="1"/>
          <w:bCs w:val="1"/>
          <w:color w:val="231F20"/>
        </w:rPr>
        <w:t>Redemption Price</w:t>
      </w:r>
      <w:r>
        <w:rPr>
          <w:rFonts w:ascii="Arial" w:cs="Arial" w:eastAsia="Arial" w:hAnsi="Arial"/>
          <w:sz w:val="18"/>
          <w:szCs w:val="18"/>
          <w:color w:val="231F20"/>
        </w:rPr>
        <w:t>”);</w:t>
      </w:r>
    </w:p>
    <w:p>
      <w:pPr>
        <w:spacing w:after="0" w:line="184" w:lineRule="exact"/>
        <w:rPr>
          <w:rFonts w:ascii="Arial" w:cs="Arial" w:eastAsia="Arial" w:hAnsi="Arial"/>
          <w:sz w:val="18"/>
          <w:szCs w:val="18"/>
          <w:color w:val="231F20"/>
        </w:rPr>
      </w:pPr>
    </w:p>
    <w:p>
      <w:pPr>
        <w:ind w:left="4520" w:hanging="638"/>
        <w:spacing w:after="0" w:line="275" w:lineRule="auto"/>
        <w:tabs>
          <w:tab w:leader="none" w:pos="4520" w:val="left"/>
        </w:tabs>
        <w:numPr>
          <w:ilvl w:val="1"/>
          <w:numId w:val="139"/>
        </w:numPr>
        <w:rPr>
          <w:rFonts w:ascii="Arial" w:cs="Arial" w:eastAsia="Arial" w:hAnsi="Arial"/>
          <w:sz w:val="18"/>
          <w:szCs w:val="18"/>
          <w:color w:val="231F20"/>
        </w:rPr>
      </w:pPr>
      <w:r>
        <w:rPr>
          <w:rFonts w:ascii="Arial" w:cs="Arial" w:eastAsia="Arial" w:hAnsi="Arial"/>
          <w:sz w:val="18"/>
          <w:szCs w:val="18"/>
          <w:color w:val="231F20"/>
        </w:rPr>
        <w:t xml:space="preserve">the date upon which such holder’s right to convert such shares terminates (as determined in accordance with </w:t>
      </w:r>
      <w:r>
        <w:rPr>
          <w:rFonts w:ascii="Arial" w:cs="Arial" w:eastAsia="Arial" w:hAnsi="Arial"/>
          <w:sz w:val="18"/>
          <w:szCs w:val="18"/>
          <w:u w:val="single" w:color="auto"/>
          <w:color w:val="231F20"/>
        </w:rPr>
        <w:t>Section 4.1</w:t>
      </w:r>
      <w:r>
        <w:rPr>
          <w:rFonts w:ascii="Arial" w:cs="Arial" w:eastAsia="Arial" w:hAnsi="Arial"/>
          <w:sz w:val="18"/>
          <w:szCs w:val="18"/>
          <w:color w:val="231F20"/>
        </w:rPr>
        <w:t>); and</w:t>
      </w:r>
    </w:p>
    <w:p>
      <w:pPr>
        <w:spacing w:after="0" w:line="171" w:lineRule="exact"/>
        <w:rPr>
          <w:rFonts w:ascii="Arial" w:cs="Arial" w:eastAsia="Arial" w:hAnsi="Arial"/>
          <w:sz w:val="18"/>
          <w:szCs w:val="18"/>
          <w:color w:val="231F20"/>
        </w:rPr>
      </w:pPr>
    </w:p>
    <w:p>
      <w:pPr>
        <w:jc w:val="both"/>
        <w:ind w:left="4520" w:hanging="638"/>
        <w:spacing w:after="0" w:line="262" w:lineRule="auto"/>
        <w:tabs>
          <w:tab w:leader="none" w:pos="4520" w:val="left"/>
        </w:tabs>
        <w:numPr>
          <w:ilvl w:val="1"/>
          <w:numId w:val="139"/>
        </w:numPr>
        <w:rPr>
          <w:rFonts w:ascii="Arial" w:cs="Arial" w:eastAsia="Arial" w:hAnsi="Arial"/>
          <w:sz w:val="18"/>
          <w:szCs w:val="18"/>
          <w:color w:val="231F20"/>
        </w:rPr>
      </w:pPr>
      <w:r>
        <w:rPr>
          <w:rFonts w:ascii="Arial" w:cs="Arial" w:eastAsia="Arial" w:hAnsi="Arial"/>
          <w:sz w:val="18"/>
          <w:szCs w:val="18"/>
          <w:color w:val="231F20"/>
        </w:rPr>
        <w:t>that such holder is to surrender to the Corporation, in the manner and at the place designated, his, her or its certificate or certificates representing the shares of Preferred Stock to be redeemed.</w:t>
      </w:r>
    </w:p>
    <w:p>
      <w:pPr>
        <w:spacing w:after="0" w:line="196" w:lineRule="exact"/>
        <w:rPr>
          <w:rFonts w:ascii="Arial" w:cs="Arial" w:eastAsia="Arial" w:hAnsi="Arial"/>
          <w:sz w:val="18"/>
          <w:szCs w:val="18"/>
          <w:color w:val="231F20"/>
        </w:rPr>
      </w:pPr>
    </w:p>
    <w:p>
      <w:pPr>
        <w:jc w:val="both"/>
        <w:ind w:firstLine="3236"/>
        <w:spacing w:after="0" w:line="270" w:lineRule="auto"/>
        <w:tabs>
          <w:tab w:leader="none" w:pos="3868" w:val="left"/>
        </w:tabs>
        <w:numPr>
          <w:ilvl w:val="0"/>
          <w:numId w:val="139"/>
        </w:numPr>
        <w:rPr>
          <w:rFonts w:ascii="Arial" w:cs="Arial" w:eastAsia="Arial" w:hAnsi="Arial"/>
          <w:sz w:val="17"/>
          <w:szCs w:val="17"/>
          <w:color w:val="231F20"/>
        </w:rPr>
      </w:pPr>
      <w:r>
        <w:rPr>
          <w:rFonts w:ascii="Arial" w:cs="Arial" w:eastAsia="Arial" w:hAnsi="Arial"/>
          <w:sz w:val="17"/>
          <w:szCs w:val="17"/>
          <w:color w:val="231F20"/>
        </w:rPr>
        <w:t xml:space="preserve">On or before the Redemption Date, each holder of shares of Preferred Stock to be redeemed on the Redemption Date, unless such holder has exercised his, her or its right to convert such shares as provided in </w:t>
      </w:r>
      <w:r>
        <w:rPr>
          <w:rFonts w:ascii="Arial" w:cs="Arial" w:eastAsia="Arial" w:hAnsi="Arial"/>
          <w:sz w:val="17"/>
          <w:szCs w:val="17"/>
          <w:u w:val="single" w:color="auto"/>
          <w:color w:val="231F20"/>
        </w:rPr>
        <w:t>Section 4</w:t>
      </w:r>
      <w:r>
        <w:rPr>
          <w:rFonts w:ascii="Arial" w:cs="Arial" w:eastAsia="Arial" w:hAnsi="Arial"/>
          <w:sz w:val="17"/>
          <w:szCs w:val="17"/>
          <w:color w:val="231F20"/>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w:t>
      </w:r>
    </w:p>
    <w:p>
      <w:pPr>
        <w:spacing w:after="0" w:line="191" w:lineRule="exact"/>
        <w:rPr>
          <w:rFonts w:ascii="Arial" w:cs="Arial" w:eastAsia="Arial" w:hAnsi="Arial"/>
          <w:sz w:val="17"/>
          <w:szCs w:val="17"/>
          <w:color w:val="231F20"/>
        </w:rPr>
      </w:pPr>
    </w:p>
    <w:p>
      <w:pPr>
        <w:jc w:val="both"/>
        <w:ind w:firstLine="3236"/>
        <w:spacing w:after="0" w:line="262" w:lineRule="auto"/>
        <w:tabs>
          <w:tab w:leader="none" w:pos="3858" w:val="left"/>
        </w:tabs>
        <w:numPr>
          <w:ilvl w:val="0"/>
          <w:numId w:val="139"/>
        </w:numPr>
        <w:rPr>
          <w:rFonts w:ascii="Arial" w:cs="Arial" w:eastAsia="Arial" w:hAnsi="Arial"/>
          <w:sz w:val="18"/>
          <w:szCs w:val="18"/>
          <w:color w:val="231F20"/>
        </w:rPr>
      </w:pPr>
      <w:r>
        <w:rPr>
          <w:rFonts w:ascii="Arial" w:cs="Arial" w:eastAsia="Arial" w:hAnsi="Arial"/>
          <w:sz w:val="18"/>
          <w:szCs w:val="18"/>
          <w:color w:val="231F20"/>
        </w:rPr>
        <w:t>If the Redemption Notice shall have been duly given, and if on the Redemption Date the Redemption Price payable upon redemption of the shares of Preferred Stock to be redeemed on such Redemption Date is paid or tendered for payment or deposited with an independent payment agent so as to be available therefor in a timely manner,</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44" w:name="page245"/>
    <w:bookmarkEnd w:id="244"/>
    <w:p>
      <w:pPr>
        <w:jc w:val="both"/>
        <w:spacing w:after="0" w:line="258" w:lineRule="auto"/>
        <w:rPr>
          <w:sz w:val="20"/>
          <w:szCs w:val="20"/>
          <w:color w:val="auto"/>
        </w:rPr>
      </w:pPr>
      <w:r>
        <w:rPr>
          <w:rFonts w:ascii="Arial" w:cs="Arial" w:eastAsia="Arial" w:hAnsi="Arial"/>
          <w:sz w:val="18"/>
          <w:szCs w:val="18"/>
          <w:color w:val="231F20"/>
        </w:rPr>
        <w:t>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without interest upon surrender of their certificate or certificates therefor.</w:t>
      </w:r>
    </w:p>
    <w:p>
      <w:pPr>
        <w:spacing w:after="0" w:line="200" w:lineRule="exact"/>
        <w:rPr>
          <w:sz w:val="20"/>
          <w:szCs w:val="20"/>
          <w:color w:val="auto"/>
        </w:rPr>
      </w:pPr>
    </w:p>
    <w:p>
      <w:pPr>
        <w:jc w:val="both"/>
        <w:ind w:firstLine="2583"/>
        <w:spacing w:after="0" w:line="258" w:lineRule="auto"/>
        <w:rPr>
          <w:sz w:val="20"/>
          <w:szCs w:val="20"/>
          <w:color w:val="auto"/>
        </w:rPr>
      </w:pPr>
      <w:r>
        <w:rPr>
          <w:rFonts w:ascii="Arial" w:cs="Arial" w:eastAsia="Arial" w:hAnsi="Arial"/>
          <w:sz w:val="18"/>
          <w:szCs w:val="18"/>
          <w:color w:val="231F20"/>
        </w:rPr>
        <w:t xml:space="preserve">2.3.3. </w:t>
      </w:r>
      <w:r>
        <w:rPr>
          <w:rFonts w:ascii="Arial" w:cs="Arial" w:eastAsia="Arial" w:hAnsi="Arial"/>
          <w:sz w:val="18"/>
          <w:szCs w:val="18"/>
          <w:u w:val="single" w:color="auto"/>
          <w:color w:val="231F20"/>
        </w:rPr>
        <w:t>Amount Deemed Paid or Distributed</w:t>
      </w:r>
      <w:r>
        <w:rPr>
          <w:rFonts w:ascii="Arial" w:cs="Arial" w:eastAsia="Arial" w:hAnsi="Arial"/>
          <w:sz w:val="18"/>
          <w:szCs w:val="18"/>
          <w:color w:val="231F20"/>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200" w:lineRule="exact"/>
        <w:rPr>
          <w:sz w:val="20"/>
          <w:szCs w:val="20"/>
          <w:color w:val="auto"/>
        </w:rPr>
      </w:pPr>
    </w:p>
    <w:p>
      <w:pPr>
        <w:jc w:val="both"/>
        <w:ind w:firstLine="2583"/>
        <w:spacing w:after="0" w:line="287" w:lineRule="auto"/>
        <w:rPr>
          <w:sz w:val="20"/>
          <w:szCs w:val="20"/>
          <w:color w:val="auto"/>
        </w:rPr>
      </w:pPr>
      <w:r>
        <w:rPr>
          <w:rFonts w:ascii="Arial" w:cs="Arial" w:eastAsia="Arial" w:hAnsi="Arial"/>
          <w:sz w:val="16"/>
          <w:szCs w:val="16"/>
          <w:color w:val="231F20"/>
        </w:rPr>
        <w:t xml:space="preserve">2.3.4. </w:t>
      </w:r>
      <w:r>
        <w:rPr>
          <w:rFonts w:ascii="Arial" w:cs="Arial" w:eastAsia="Arial" w:hAnsi="Arial"/>
          <w:sz w:val="16"/>
          <w:szCs w:val="16"/>
          <w:u w:val="single" w:color="auto"/>
          <w:color w:val="231F20"/>
        </w:rPr>
        <w:t>Allocation of Escrow and Contingent Consideration</w:t>
      </w:r>
      <w:r>
        <w:rPr>
          <w:rFonts w:ascii="Arial" w:cs="Arial" w:eastAsia="Arial" w:hAnsi="Arial"/>
          <w:sz w:val="16"/>
          <w:szCs w:val="16"/>
          <w:color w:val="231F20"/>
        </w:rPr>
        <w:t xml:space="preserve">. In the event of a Deemed Liquidation Event pursuant to </w:t>
      </w:r>
      <w:r>
        <w:rPr>
          <w:rFonts w:ascii="Arial" w:cs="Arial" w:eastAsia="Arial" w:hAnsi="Arial"/>
          <w:sz w:val="16"/>
          <w:szCs w:val="16"/>
          <w:u w:val="single" w:color="auto"/>
          <w:color w:val="231F20"/>
        </w:rPr>
        <w:t>Section 2.3.1(a)(i)</w:t>
      </w:r>
      <w:r>
        <w:rPr>
          <w:rFonts w:ascii="Arial" w:cs="Arial" w:eastAsia="Arial" w:hAnsi="Arial"/>
          <w:sz w:val="16"/>
          <w:szCs w:val="16"/>
          <w:color w:val="231F20"/>
        </w:rPr>
        <w:t>, if any portion of the consideration payable to the stockholders of the Corporation is payable only upon satisfaction of contingencies (the “</w:t>
      </w:r>
      <w:r>
        <w:rPr>
          <w:rFonts w:ascii="Arial" w:cs="Arial" w:eastAsia="Arial" w:hAnsi="Arial"/>
          <w:sz w:val="16"/>
          <w:szCs w:val="16"/>
          <w:b w:val="1"/>
          <w:bCs w:val="1"/>
          <w:color w:val="231F20"/>
        </w:rPr>
        <w:t>Additional Consideration</w:t>
      </w:r>
      <w:r>
        <w:rPr>
          <w:rFonts w:ascii="Arial" w:cs="Arial" w:eastAsia="Arial" w:hAnsi="Arial"/>
          <w:sz w:val="16"/>
          <w:szCs w:val="16"/>
          <w:color w:val="231F20"/>
        </w:rPr>
        <w:t>”), the Merger Agreement, indemnification agreement, escrow agreement, or other definitive purchase or acquisition agreement in respect of the Deemed Liquidation Event shall provide that (a) the portion of such consideration that is not Additional Consideration (such portion, the “</w:t>
      </w:r>
      <w:r>
        <w:rPr>
          <w:rFonts w:ascii="Arial" w:cs="Arial" w:eastAsia="Arial" w:hAnsi="Arial"/>
          <w:sz w:val="16"/>
          <w:szCs w:val="16"/>
          <w:b w:val="1"/>
          <w:bCs w:val="1"/>
          <w:color w:val="231F20"/>
        </w:rPr>
        <w:t>Initial Consideration</w:t>
      </w:r>
      <w:r>
        <w:rPr>
          <w:rFonts w:ascii="Arial" w:cs="Arial" w:eastAsia="Arial" w:hAnsi="Arial"/>
          <w:sz w:val="16"/>
          <w:szCs w:val="16"/>
          <w:color w:val="231F20"/>
        </w:rPr>
        <w:t xml:space="preserve">”) shall be allocated among the holders of capital stock of the Corporation in accordance with </w:t>
      </w:r>
      <w:r>
        <w:rPr>
          <w:rFonts w:ascii="Arial" w:cs="Arial" w:eastAsia="Arial" w:hAnsi="Arial"/>
          <w:sz w:val="16"/>
          <w:szCs w:val="16"/>
          <w:u w:val="single" w:color="auto"/>
          <w:color w:val="231F20"/>
        </w:rPr>
        <w:t>Sections 2.1</w:t>
      </w:r>
      <w:r>
        <w:rPr>
          <w:rFonts w:ascii="Arial" w:cs="Arial" w:eastAsia="Arial" w:hAnsi="Arial"/>
          <w:sz w:val="16"/>
          <w:szCs w:val="16"/>
          <w:color w:val="231F20"/>
        </w:rPr>
        <w:t xml:space="preserve"> and </w:t>
      </w:r>
      <w:r>
        <w:rPr>
          <w:rFonts w:ascii="Arial" w:cs="Arial" w:eastAsia="Arial" w:hAnsi="Arial"/>
          <w:sz w:val="16"/>
          <w:szCs w:val="16"/>
          <w:u w:val="single" w:color="auto"/>
          <w:color w:val="231F20"/>
        </w:rPr>
        <w:t>2.2</w:t>
      </w:r>
      <w:r>
        <w:rPr>
          <w:rFonts w:ascii="Arial" w:cs="Arial" w:eastAsia="Arial" w:hAnsi="Arial"/>
          <w:sz w:val="16"/>
          <w:szCs w:val="16"/>
          <w:color w:val="231F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6"/>
          <w:szCs w:val="16"/>
          <w:u w:val="single" w:color="auto"/>
          <w:color w:val="231F20"/>
        </w:rPr>
        <w:t>Sections 2.1</w:t>
      </w:r>
      <w:r>
        <w:rPr>
          <w:rFonts w:ascii="Arial" w:cs="Arial" w:eastAsia="Arial" w:hAnsi="Arial"/>
          <w:sz w:val="16"/>
          <w:szCs w:val="16"/>
          <w:color w:val="231F20"/>
        </w:rPr>
        <w:t xml:space="preserve"> and </w:t>
      </w:r>
      <w:r>
        <w:rPr>
          <w:rFonts w:ascii="Arial" w:cs="Arial" w:eastAsia="Arial" w:hAnsi="Arial"/>
          <w:sz w:val="16"/>
          <w:szCs w:val="16"/>
          <w:u w:val="single" w:color="auto"/>
          <w:color w:val="231F20"/>
        </w:rPr>
        <w:t>2.2</w:t>
      </w:r>
      <w:r>
        <w:rPr>
          <w:rFonts w:ascii="Arial" w:cs="Arial" w:eastAsia="Arial" w:hAnsi="Arial"/>
          <w:sz w:val="16"/>
          <w:szCs w:val="16"/>
          <w:color w:val="231F20"/>
        </w:rPr>
        <w:t xml:space="preserve"> after taking into account the previous payment of the Initial Consideration as part of the same transaction. For the purposes of this </w:t>
      </w:r>
      <w:r>
        <w:rPr>
          <w:rFonts w:ascii="Arial" w:cs="Arial" w:eastAsia="Arial" w:hAnsi="Arial"/>
          <w:sz w:val="16"/>
          <w:szCs w:val="16"/>
          <w:u w:val="single" w:color="auto"/>
          <w:color w:val="231F20"/>
        </w:rPr>
        <w:t>Section 2.3.4</w:t>
      </w:r>
      <w:r>
        <w:rPr>
          <w:rFonts w:ascii="Arial" w:cs="Arial" w:eastAsia="Arial" w:hAnsi="Arial"/>
          <w:sz w:val="16"/>
          <w:szCs w:val="16"/>
          <w:color w:val="231F20"/>
        </w:rPr>
        <w:t>, consideration placed into escrow or retained as a holdback to be available for satisfaction of indemnification or similar obligations in connection with such Deemed Liquidation Event shall be deemed to be Additional Consideration.</w:t>
      </w:r>
    </w:p>
    <w:p>
      <w:pPr>
        <w:spacing w:after="0" w:line="167" w:lineRule="exact"/>
        <w:rPr>
          <w:sz w:val="20"/>
          <w:szCs w:val="20"/>
          <w:color w:val="auto"/>
        </w:rPr>
      </w:pPr>
    </w:p>
    <w:p>
      <w:pPr>
        <w:ind w:left="1940" w:hanging="641"/>
        <w:spacing w:after="0"/>
        <w:tabs>
          <w:tab w:leader="none" w:pos="1940" w:val="left"/>
        </w:tabs>
        <w:numPr>
          <w:ilvl w:val="0"/>
          <w:numId w:val="140"/>
        </w:numPr>
        <w:rPr>
          <w:rFonts w:ascii="Arial" w:cs="Arial" w:eastAsia="Arial" w:hAnsi="Arial"/>
          <w:sz w:val="18"/>
          <w:szCs w:val="18"/>
          <w:b w:val="1"/>
          <w:bCs w:val="1"/>
          <w:color w:val="231F20"/>
        </w:rPr>
      </w:pPr>
      <w:r>
        <w:rPr>
          <w:rFonts w:ascii="Arial" w:cs="Arial" w:eastAsia="Arial" w:hAnsi="Arial"/>
          <w:sz w:val="18"/>
          <w:szCs w:val="18"/>
          <w:u w:val="single" w:color="auto"/>
          <w:color w:val="231F20"/>
        </w:rPr>
        <w:t>Voting</w:t>
      </w:r>
      <w:r>
        <w:rPr>
          <w:rFonts w:ascii="Arial" w:cs="Arial" w:eastAsia="Arial" w:hAnsi="Arial"/>
          <w:sz w:val="18"/>
          <w:szCs w:val="18"/>
          <w:color w:val="231F20"/>
        </w:rPr>
        <w:t>.</w:t>
      </w:r>
    </w:p>
    <w:p>
      <w:pPr>
        <w:spacing w:after="0" w:line="237" w:lineRule="exact"/>
        <w:rPr>
          <w:sz w:val="20"/>
          <w:szCs w:val="20"/>
          <w:color w:val="auto"/>
        </w:rPr>
      </w:pPr>
    </w:p>
    <w:p>
      <w:pPr>
        <w:jc w:val="both"/>
        <w:ind w:firstLine="1937"/>
        <w:spacing w:after="0" w:line="254" w:lineRule="auto"/>
        <w:rPr>
          <w:sz w:val="20"/>
          <w:szCs w:val="20"/>
          <w:color w:val="auto"/>
        </w:rPr>
      </w:pPr>
      <w:r>
        <w:rPr>
          <w:rFonts w:ascii="Arial" w:cs="Arial" w:eastAsia="Arial" w:hAnsi="Arial"/>
          <w:sz w:val="18"/>
          <w:szCs w:val="18"/>
          <w:color w:val="231F20"/>
        </w:rPr>
        <w:t>3.1. General.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Certificate of Incorporation, holders of Preferred Stock shall vote together with the holders of Common Stock as a single class on an as-converted to Common Stock basis.</w:t>
      </w:r>
    </w:p>
    <w:p>
      <w:pPr>
        <w:spacing w:after="0" w:line="192" w:lineRule="exact"/>
        <w:rPr>
          <w:sz w:val="20"/>
          <w:szCs w:val="20"/>
          <w:color w:val="auto"/>
        </w:rPr>
      </w:pPr>
    </w:p>
    <w:p>
      <w:pPr>
        <w:jc w:val="both"/>
        <w:ind w:firstLine="1937"/>
        <w:spacing w:after="0" w:line="258" w:lineRule="auto"/>
        <w:rPr>
          <w:sz w:val="20"/>
          <w:szCs w:val="20"/>
          <w:color w:val="auto"/>
        </w:rPr>
      </w:pPr>
      <w:r>
        <w:rPr>
          <w:rFonts w:ascii="Arial" w:cs="Arial" w:eastAsia="Arial" w:hAnsi="Arial"/>
          <w:sz w:val="18"/>
          <w:szCs w:val="18"/>
          <w:color w:val="231F20"/>
        </w:rPr>
        <w:t xml:space="preserve">3.2. </w:t>
      </w:r>
      <w:r>
        <w:rPr>
          <w:rFonts w:ascii="Arial" w:cs="Arial" w:eastAsia="Arial" w:hAnsi="Arial"/>
          <w:sz w:val="18"/>
          <w:szCs w:val="18"/>
          <w:u w:val="single" w:color="auto"/>
          <w:color w:val="231F20"/>
        </w:rPr>
        <w:t>Election of Directors</w:t>
      </w:r>
      <w:r>
        <w:rPr>
          <w:rFonts w:ascii="Arial" w:cs="Arial" w:eastAsia="Arial" w:hAnsi="Arial"/>
          <w:sz w:val="18"/>
          <w:szCs w:val="18"/>
          <w:color w:val="231F20"/>
        </w:rPr>
        <w:t>. The holders of record of the shares of Series A Preferred Stock, exclusively and as a separate class, shall be entitled to elect two (2) directors of the Corporation (the “</w:t>
      </w:r>
      <w:r>
        <w:rPr>
          <w:rFonts w:ascii="Arial" w:cs="Arial" w:eastAsia="Arial" w:hAnsi="Arial"/>
          <w:sz w:val="18"/>
          <w:szCs w:val="18"/>
          <w:b w:val="1"/>
          <w:bCs w:val="1"/>
          <w:color w:val="231F20"/>
        </w:rPr>
        <w:t>Series A Directors</w:t>
      </w:r>
      <w:r>
        <w:rPr>
          <w:rFonts w:ascii="Arial" w:cs="Arial" w:eastAsia="Arial" w:hAnsi="Arial"/>
          <w:sz w:val="18"/>
          <w:szCs w:val="18"/>
          <w:color w:val="231F20"/>
        </w:rPr>
        <w:t>”), the holders of record of the shares of Series B Preferred Stock, exclusively and as a separate class, shall be entitled to elect one (1) director of the Corporation (the “</w:t>
      </w:r>
      <w:r>
        <w:rPr>
          <w:rFonts w:ascii="Arial" w:cs="Arial" w:eastAsia="Arial" w:hAnsi="Arial"/>
          <w:sz w:val="18"/>
          <w:szCs w:val="18"/>
          <w:b w:val="1"/>
          <w:bCs w:val="1"/>
          <w:color w:val="231F20"/>
        </w:rPr>
        <w:t>Series B Director</w:t>
      </w:r>
      <w:r>
        <w:rPr>
          <w:rFonts w:ascii="Arial" w:cs="Arial" w:eastAsia="Arial" w:hAnsi="Arial"/>
          <w:sz w:val="18"/>
          <w:szCs w:val="18"/>
          <w:color w:val="231F20"/>
        </w:rPr>
        <w:t>”), the holders of record of the shares of Series C Preferred</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45" w:name="page246"/>
    <w:bookmarkEnd w:id="245"/>
    <w:p>
      <w:pPr>
        <w:jc w:val="both"/>
        <w:spacing w:after="0" w:line="284" w:lineRule="auto"/>
        <w:rPr>
          <w:sz w:val="20"/>
          <w:szCs w:val="20"/>
          <w:color w:val="auto"/>
        </w:rPr>
      </w:pPr>
      <w:r>
        <w:rPr>
          <w:rFonts w:ascii="Arial" w:cs="Arial" w:eastAsia="Arial" w:hAnsi="Arial"/>
          <w:sz w:val="16"/>
          <w:szCs w:val="16"/>
          <w:color w:val="231F20"/>
        </w:rPr>
        <w:t>Stock, exclusively and as a separate class, shall be entitled to elect one (1) director of the Corporation (the “</w:t>
      </w:r>
      <w:r>
        <w:rPr>
          <w:rFonts w:ascii="Arial" w:cs="Arial" w:eastAsia="Arial" w:hAnsi="Arial"/>
          <w:sz w:val="16"/>
          <w:szCs w:val="16"/>
          <w:b w:val="1"/>
          <w:bCs w:val="1"/>
          <w:color w:val="231F20"/>
        </w:rPr>
        <w:t>Series C Director</w:t>
      </w:r>
      <w:r>
        <w:rPr>
          <w:rFonts w:ascii="Arial" w:cs="Arial" w:eastAsia="Arial" w:hAnsi="Arial"/>
          <w:sz w:val="16"/>
          <w:szCs w:val="16"/>
          <w:color w:val="231F20"/>
        </w:rPr>
        <w:t>” and, together with the Series A Directors and the Series B Director, the “</w:t>
      </w:r>
      <w:r>
        <w:rPr>
          <w:rFonts w:ascii="Arial" w:cs="Arial" w:eastAsia="Arial" w:hAnsi="Arial"/>
          <w:sz w:val="16"/>
          <w:szCs w:val="16"/>
          <w:b w:val="1"/>
          <w:bCs w:val="1"/>
          <w:color w:val="231F20"/>
        </w:rPr>
        <w:t>Preferred Directors</w:t>
      </w:r>
      <w:r>
        <w:rPr>
          <w:rFonts w:ascii="Arial" w:cs="Arial" w:eastAsia="Arial" w:hAnsi="Arial"/>
          <w:sz w:val="16"/>
          <w:szCs w:val="16"/>
          <w:color w:val="231F20"/>
        </w:rPr>
        <w:t>”), and the holders of record of the shares of Common Stock, exclusively and as a separate class, shall be entitled to elect one (1) director of the Corporation (the “</w:t>
      </w:r>
      <w:r>
        <w:rPr>
          <w:rFonts w:ascii="Arial" w:cs="Arial" w:eastAsia="Arial" w:hAnsi="Arial"/>
          <w:sz w:val="16"/>
          <w:szCs w:val="16"/>
          <w:b w:val="1"/>
          <w:bCs w:val="1"/>
          <w:color w:val="231F20"/>
        </w:rPr>
        <w:t>Common Director</w:t>
      </w:r>
      <w:r>
        <w:rPr>
          <w:rFonts w:ascii="Arial" w:cs="Arial" w:eastAsia="Arial" w:hAnsi="Arial"/>
          <w:sz w:val="16"/>
          <w:szCs w:val="16"/>
          <w:color w:val="231F20"/>
        </w:rPr>
        <w:t xml:space="preserve">”). For administrative convenience, the initial Series C Director may also be appointed by the Board in connection with the approval of the initial issuance of Series C Preferred Stock without a separate action by the holders of Series C Preferred Stock. Any director elected as provided in the preceding sentence may be removed without cause (consistent with the General Corporation Law)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231F20"/>
        </w:rPr>
        <w:t>Section 3.2</w:t>
      </w:r>
      <w:r>
        <w:rPr>
          <w:rFonts w:ascii="Arial" w:cs="Arial" w:eastAsia="Arial" w:hAnsi="Arial"/>
          <w:sz w:val="16"/>
          <w:szCs w:val="16"/>
          <w:color w:val="231F20"/>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231F20"/>
        </w:rPr>
        <w:t>Section 3.2</w:t>
      </w:r>
      <w:r>
        <w:rPr>
          <w:rFonts w:ascii="Arial" w:cs="Arial" w:eastAsia="Arial" w:hAnsi="Arial"/>
          <w:sz w:val="16"/>
          <w:szCs w:val="16"/>
          <w:color w:val="231F20"/>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231F20"/>
        </w:rPr>
        <w:t>Section 3.2</w:t>
      </w:r>
      <w:r>
        <w:rPr>
          <w:rFonts w:ascii="Arial" w:cs="Arial" w:eastAsia="Arial" w:hAnsi="Arial"/>
          <w:sz w:val="16"/>
          <w:szCs w:val="16"/>
          <w:color w:val="231F20"/>
        </w:rPr>
        <w:t>.</w:t>
      </w:r>
    </w:p>
    <w:p>
      <w:pPr>
        <w:spacing w:after="0" w:line="175" w:lineRule="exact"/>
        <w:rPr>
          <w:sz w:val="20"/>
          <w:szCs w:val="20"/>
          <w:color w:val="auto"/>
        </w:rPr>
      </w:pPr>
    </w:p>
    <w:p>
      <w:pPr>
        <w:jc w:val="both"/>
        <w:ind w:firstLine="1937"/>
        <w:spacing w:after="0" w:line="272" w:lineRule="auto"/>
        <w:rPr>
          <w:sz w:val="20"/>
          <w:szCs w:val="20"/>
          <w:color w:val="auto"/>
        </w:rPr>
      </w:pPr>
      <w:r>
        <w:rPr>
          <w:rFonts w:ascii="Arial" w:cs="Arial" w:eastAsia="Arial" w:hAnsi="Arial"/>
          <w:sz w:val="17"/>
          <w:szCs w:val="17"/>
          <w:color w:val="231F20"/>
        </w:rPr>
        <w:t xml:space="preserve">3.3. </w:t>
      </w:r>
      <w:r>
        <w:rPr>
          <w:rFonts w:ascii="Arial" w:cs="Arial" w:eastAsia="Arial" w:hAnsi="Arial"/>
          <w:sz w:val="17"/>
          <w:szCs w:val="17"/>
          <w:u w:val="single" w:color="auto"/>
          <w:color w:val="231F20"/>
        </w:rPr>
        <w:t>Super Preferred Threshold Protective Provisions</w:t>
      </w:r>
      <w:r>
        <w:rPr>
          <w:rFonts w:ascii="Arial" w:cs="Arial" w:eastAsia="Arial" w:hAnsi="Arial"/>
          <w:sz w:val="17"/>
          <w:szCs w:val="17"/>
          <w:color w:val="231F20"/>
        </w:rPr>
        <w:t>. At any time when any shares of Preferred Stock are outstanding, the Corporation shall not, either directly or indirectly by amendment, merger, consolidation or otherwise, do any of the following without (in addition to any other vote required by law or this Certificate of Incorporation) the written consent or affirmative vote of the holders of at least sixty-six percent (66%) of the outstanding shares of Preferred Stock, voting together as a single class on an as-converted basis (the “</w:t>
      </w:r>
      <w:r>
        <w:rPr>
          <w:rFonts w:ascii="Arial" w:cs="Arial" w:eastAsia="Arial" w:hAnsi="Arial"/>
          <w:sz w:val="17"/>
          <w:szCs w:val="17"/>
          <w:b w:val="1"/>
          <w:bCs w:val="1"/>
          <w:color w:val="231F20"/>
        </w:rPr>
        <w:t>Super Preferred Threshold</w:t>
      </w:r>
      <w:r>
        <w:rPr>
          <w:rFonts w:ascii="Arial" w:cs="Arial" w:eastAsia="Arial" w:hAnsi="Arial"/>
          <w:sz w:val="17"/>
          <w:szCs w:val="17"/>
          <w:color w:val="231F20"/>
        </w:rPr>
        <w:t xml:space="preserve">”), given in writing or by vote at a meeting, consenting or voting (as the case may be) as a separate class on an as-converted basis, and any such act or transaction entered into without such consent or vote shall be null and void </w:t>
      </w:r>
      <w:r>
        <w:rPr>
          <w:rFonts w:ascii="Arial" w:cs="Arial" w:eastAsia="Arial" w:hAnsi="Arial"/>
          <w:sz w:val="17"/>
          <w:szCs w:val="17"/>
          <w:i w:val="1"/>
          <w:iCs w:val="1"/>
          <w:color w:val="231F20"/>
        </w:rPr>
        <w:t>ab initio,</w:t>
      </w:r>
      <w:r>
        <w:rPr>
          <w:rFonts w:ascii="Arial" w:cs="Arial" w:eastAsia="Arial" w:hAnsi="Arial"/>
          <w:sz w:val="17"/>
          <w:szCs w:val="17"/>
          <w:color w:val="231F20"/>
        </w:rPr>
        <w:t xml:space="preserve"> and of no force or effect:</w:t>
      </w:r>
    </w:p>
    <w:p>
      <w:pPr>
        <w:spacing w:after="0" w:line="191" w:lineRule="exact"/>
        <w:rPr>
          <w:sz w:val="20"/>
          <w:szCs w:val="20"/>
          <w:color w:val="auto"/>
        </w:rPr>
      </w:pPr>
    </w:p>
    <w:p>
      <w:pPr>
        <w:jc w:val="both"/>
        <w:ind w:firstLine="2583"/>
        <w:spacing w:after="0" w:line="256" w:lineRule="auto"/>
        <w:rPr>
          <w:sz w:val="20"/>
          <w:szCs w:val="20"/>
          <w:color w:val="auto"/>
        </w:rPr>
      </w:pPr>
      <w:r>
        <w:rPr>
          <w:rFonts w:ascii="Arial" w:cs="Arial" w:eastAsia="Arial" w:hAnsi="Arial"/>
          <w:sz w:val="18"/>
          <w:szCs w:val="18"/>
          <w:color w:val="231F20"/>
        </w:rPr>
        <w:t xml:space="preserve">3.3.1. (i) reclassify, alter or amend any existing security of the Corporation that is </w:t>
      </w:r>
      <w:r>
        <w:rPr>
          <w:rFonts w:ascii="Arial" w:cs="Arial" w:eastAsia="Arial" w:hAnsi="Arial"/>
          <w:sz w:val="18"/>
          <w:szCs w:val="18"/>
          <w:i w:val="1"/>
          <w:iCs w:val="1"/>
          <w:color w:val="231F20"/>
        </w:rPr>
        <w:t>pari passu</w:t>
      </w:r>
      <w:r>
        <w:rPr>
          <w:rFonts w:ascii="Arial" w:cs="Arial" w:eastAsia="Arial" w:hAnsi="Arial"/>
          <w:sz w:val="18"/>
          <w:szCs w:val="18"/>
          <w:color w:val="231F20"/>
        </w:rPr>
        <w:t xml:space="preserve"> with the Preferred Stock in respect of the distribution of assets on the liquidation, dissolution or winding up of the Corporation, the payment of dividends, voting rights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2" w:right="439" w:bottom="1440" w:gutter="0" w:footer="0" w:header="0"/>
        </w:sectPr>
      </w:pPr>
    </w:p>
    <w:bookmarkStart w:id="246" w:name="page247"/>
    <w:bookmarkEnd w:id="246"/>
    <w:p>
      <w:pPr>
        <w:jc w:val="both"/>
        <w:spacing w:after="0" w:line="275" w:lineRule="auto"/>
        <w:rPr>
          <w:sz w:val="20"/>
          <w:szCs w:val="20"/>
          <w:color w:val="auto"/>
        </w:rPr>
      </w:pPr>
      <w:r>
        <w:rPr>
          <w:rFonts w:ascii="Arial" w:cs="Arial" w:eastAsia="Arial" w:hAnsi="Arial"/>
          <w:sz w:val="18"/>
          <w:szCs w:val="18"/>
          <w:color w:val="231F20"/>
        </w:rPr>
        <w:t xml:space="preserve">Corporation, the payment of dividends, voting rights or rights of redemption, if such reclassification, alteration or amendment would render such other security senior to or </w:t>
      </w:r>
      <w:r>
        <w:rPr>
          <w:rFonts w:ascii="Arial" w:cs="Arial" w:eastAsia="Arial" w:hAnsi="Arial"/>
          <w:sz w:val="18"/>
          <w:szCs w:val="18"/>
          <w:i w:val="1"/>
          <w:iCs w:val="1"/>
          <w:color w:val="231F20"/>
        </w:rPr>
        <w:t>pari passu</w:t>
      </w:r>
      <w:r>
        <w:rPr>
          <w:rFonts w:ascii="Arial" w:cs="Arial" w:eastAsia="Arial" w:hAnsi="Arial"/>
          <w:sz w:val="18"/>
          <w:szCs w:val="18"/>
          <w:color w:val="231F20"/>
        </w:rPr>
        <w:t xml:space="preserve"> with the Preferred Stock in respect of any such right, preference or privilege;</w:t>
      </w:r>
    </w:p>
    <w:p>
      <w:pPr>
        <w:spacing w:after="0" w:line="185" w:lineRule="exact"/>
        <w:rPr>
          <w:sz w:val="20"/>
          <w:szCs w:val="20"/>
          <w:color w:val="auto"/>
        </w:rPr>
      </w:pPr>
    </w:p>
    <w:p>
      <w:pPr>
        <w:jc w:val="both"/>
        <w:ind w:firstLine="2583"/>
        <w:spacing w:after="0" w:line="254" w:lineRule="auto"/>
        <w:rPr>
          <w:sz w:val="20"/>
          <w:szCs w:val="20"/>
          <w:color w:val="auto"/>
        </w:rPr>
      </w:pPr>
      <w:r>
        <w:rPr>
          <w:rFonts w:ascii="Arial" w:cs="Arial" w:eastAsia="Arial" w:hAnsi="Arial"/>
          <w:sz w:val="18"/>
          <w:szCs w:val="18"/>
          <w:color w:val="231F20"/>
        </w:rPr>
        <w:t>3.3.2.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repurchases of Common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or (iii) the Company’s exercise of contractual rights of first refusal, as approved by the Board, including the approval of at least two (2) Preferred Directors;</w:t>
      </w:r>
    </w:p>
    <w:p>
      <w:pPr>
        <w:spacing w:after="0" w:line="206"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231F20"/>
        </w:rPr>
        <w:t>3.3.3.</w:t>
      </w:r>
      <w:r>
        <w:rPr>
          <w:sz w:val="20"/>
          <w:szCs w:val="20"/>
          <w:color w:val="auto"/>
        </w:rPr>
        <w:tab/>
      </w:r>
      <w:r>
        <w:rPr>
          <w:rFonts w:ascii="Arial" w:cs="Arial" w:eastAsia="Arial" w:hAnsi="Arial"/>
          <w:sz w:val="16"/>
          <w:szCs w:val="16"/>
          <w:color w:val="231F20"/>
        </w:rPr>
        <w:t>authorize, commence or approve an initial public offering that is not a Qualified IPO; or</w:t>
      </w:r>
    </w:p>
    <w:p>
      <w:pPr>
        <w:spacing w:after="0" w:line="223" w:lineRule="exact"/>
        <w:rPr>
          <w:sz w:val="20"/>
          <w:szCs w:val="20"/>
          <w:color w:val="auto"/>
        </w:rPr>
      </w:pPr>
    </w:p>
    <w:p>
      <w:pPr>
        <w:jc w:val="both"/>
        <w:ind w:right="20" w:firstLine="2583"/>
        <w:spacing w:after="0" w:line="275" w:lineRule="auto"/>
        <w:rPr>
          <w:sz w:val="20"/>
          <w:szCs w:val="20"/>
          <w:color w:val="auto"/>
        </w:rPr>
      </w:pPr>
      <w:r>
        <w:rPr>
          <w:rFonts w:ascii="Arial" w:cs="Arial" w:eastAsia="Arial" w:hAnsi="Arial"/>
          <w:sz w:val="18"/>
          <w:szCs w:val="18"/>
          <w:color w:val="231F20"/>
        </w:rPr>
        <w:t>3.3.4. amend, alter, repeal or waive any provision of this Certificate of Incorporation or Bylaws of the Corporation requiring the written consent or affirmative vote of the Super Preferred Threshold to approve an act or transaction.</w:t>
      </w:r>
    </w:p>
    <w:p>
      <w:pPr>
        <w:spacing w:after="0" w:line="185" w:lineRule="exact"/>
        <w:rPr>
          <w:sz w:val="20"/>
          <w:szCs w:val="20"/>
          <w:color w:val="auto"/>
        </w:rPr>
      </w:pPr>
    </w:p>
    <w:p>
      <w:pPr>
        <w:jc w:val="both"/>
        <w:ind w:firstLine="1937"/>
        <w:spacing w:after="0" w:line="300" w:lineRule="auto"/>
        <w:rPr>
          <w:sz w:val="20"/>
          <w:szCs w:val="20"/>
          <w:color w:val="auto"/>
        </w:rPr>
      </w:pPr>
      <w:r>
        <w:rPr>
          <w:rFonts w:ascii="Arial" w:cs="Arial" w:eastAsia="Arial" w:hAnsi="Arial"/>
          <w:sz w:val="16"/>
          <w:szCs w:val="16"/>
          <w:color w:val="231F20"/>
        </w:rPr>
        <w:t xml:space="preserve">3.4. </w:t>
      </w:r>
      <w:r>
        <w:rPr>
          <w:rFonts w:ascii="Arial" w:cs="Arial" w:eastAsia="Arial" w:hAnsi="Arial"/>
          <w:sz w:val="16"/>
          <w:szCs w:val="16"/>
          <w:u w:val="single" w:color="auto"/>
          <w:color w:val="231F20"/>
        </w:rPr>
        <w:t>Preferred Threshold Protective Provisions</w:t>
      </w:r>
      <w:r>
        <w:rPr>
          <w:rFonts w:ascii="Arial" w:cs="Arial" w:eastAsia="Arial" w:hAnsi="Arial"/>
          <w:sz w:val="16"/>
          <w:szCs w:val="16"/>
          <w:color w:val="231F20"/>
        </w:rPr>
        <w:t xml:space="preserve">. At any time when any shares of Preferred Stock are outstanding, the Corporation shall not, either directly or indirectly by amendment, merger, consolidation or otherwise, do any of the following without (in addition to any other vote required by law or this Certificate of Incorporation), the written consent or affirmative vote of the Preferred Threshold, given in writing or by vote at a meeting, and any such act or transaction entered into without such consent or vote shall be null and void </w:t>
      </w:r>
      <w:r>
        <w:rPr>
          <w:rFonts w:ascii="Arial" w:cs="Arial" w:eastAsia="Arial" w:hAnsi="Arial"/>
          <w:sz w:val="16"/>
          <w:szCs w:val="16"/>
          <w:i w:val="1"/>
          <w:iCs w:val="1"/>
          <w:color w:val="231F20"/>
        </w:rPr>
        <w:t>ab initio,</w:t>
      </w:r>
      <w:r>
        <w:rPr>
          <w:rFonts w:ascii="Arial" w:cs="Arial" w:eastAsia="Arial" w:hAnsi="Arial"/>
          <w:sz w:val="16"/>
          <w:szCs w:val="16"/>
          <w:color w:val="231F20"/>
        </w:rPr>
        <w:t xml:space="preserve"> and of no force or effect:</w:t>
      </w:r>
    </w:p>
    <w:p>
      <w:pPr>
        <w:spacing w:after="0" w:line="156" w:lineRule="exact"/>
        <w:rPr>
          <w:sz w:val="20"/>
          <w:szCs w:val="20"/>
          <w:color w:val="auto"/>
        </w:rPr>
      </w:pPr>
    </w:p>
    <w:p>
      <w:pPr>
        <w:jc w:val="both"/>
        <w:ind w:right="20" w:firstLine="2583"/>
        <w:spacing w:after="0" w:line="275" w:lineRule="auto"/>
        <w:rPr>
          <w:sz w:val="20"/>
          <w:szCs w:val="20"/>
          <w:color w:val="auto"/>
        </w:rPr>
      </w:pPr>
      <w:r>
        <w:rPr>
          <w:rFonts w:ascii="Arial" w:cs="Arial" w:eastAsia="Arial" w:hAnsi="Arial"/>
          <w:sz w:val="18"/>
          <w:szCs w:val="18"/>
          <w:color w:val="231F20"/>
        </w:rPr>
        <w:t>3.4.1. liquidate, dissolve or wind-up the business and affairs of the Corporation, effect any merger, consolidation or any other corporate reorganization or other Deemed Liquidation Event, or consent to any of the foregoing;</w:t>
      </w:r>
    </w:p>
    <w:p>
      <w:pPr>
        <w:spacing w:after="0" w:line="185" w:lineRule="exact"/>
        <w:rPr>
          <w:sz w:val="20"/>
          <w:szCs w:val="20"/>
          <w:color w:val="auto"/>
        </w:rPr>
      </w:pPr>
    </w:p>
    <w:p>
      <w:pPr>
        <w:jc w:val="both"/>
        <w:ind w:firstLine="2583"/>
        <w:spacing w:after="0" w:line="262" w:lineRule="auto"/>
        <w:rPr>
          <w:sz w:val="20"/>
          <w:szCs w:val="20"/>
          <w:color w:val="auto"/>
        </w:rPr>
      </w:pPr>
      <w:r>
        <w:rPr>
          <w:rFonts w:ascii="Arial" w:cs="Arial" w:eastAsia="Arial" w:hAnsi="Arial"/>
          <w:sz w:val="18"/>
          <w:szCs w:val="18"/>
          <w:color w:val="231F20"/>
        </w:rPr>
        <w:t>3.4.2. amend, alter, repeal or waive any provision of this Certificate of Incorporation or Bylaws of the Corporation (other than any provision requiring the written consent or affirmative vote of the Super Preferred Threshold or the holders of Series A Preferred Stock, Series B Preferred Stock or Series C Preferred Stock, as applicable, to approve an act or transaction);</w:t>
      </w:r>
    </w:p>
    <w:p>
      <w:pPr>
        <w:spacing w:after="0" w:line="183" w:lineRule="exact"/>
        <w:rPr>
          <w:sz w:val="20"/>
          <w:szCs w:val="20"/>
          <w:color w:val="auto"/>
        </w:rPr>
      </w:pPr>
    </w:p>
    <w:p>
      <w:pPr>
        <w:jc w:val="both"/>
        <w:ind w:firstLine="2583"/>
        <w:spacing w:after="0" w:line="275" w:lineRule="auto"/>
        <w:rPr>
          <w:sz w:val="20"/>
          <w:szCs w:val="20"/>
          <w:color w:val="auto"/>
        </w:rPr>
      </w:pPr>
      <w:r>
        <w:rPr>
          <w:rFonts w:ascii="Arial" w:cs="Arial" w:eastAsia="Arial" w:hAnsi="Arial"/>
          <w:sz w:val="18"/>
          <w:szCs w:val="18"/>
          <w:color w:val="231F20"/>
        </w:rPr>
        <w:t xml:space="preserve">3.4.3. increase or decrease the number of authorized shares of Common Stock or Preferred Stock (other than as set forth in </w:t>
      </w:r>
      <w:r>
        <w:rPr>
          <w:rFonts w:ascii="Arial" w:cs="Arial" w:eastAsia="Arial" w:hAnsi="Arial"/>
          <w:sz w:val="18"/>
          <w:szCs w:val="18"/>
          <w:u w:val="single" w:color="auto"/>
          <w:color w:val="231F20"/>
        </w:rPr>
        <w:t>Sections 3.5.3</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3.6.4</w:t>
      </w:r>
      <w:r>
        <w:rPr>
          <w:rFonts w:ascii="Arial" w:cs="Arial" w:eastAsia="Arial" w:hAnsi="Arial"/>
          <w:sz w:val="18"/>
          <w:szCs w:val="18"/>
          <w:color w:val="231F20"/>
        </w:rPr>
        <w:t xml:space="preserve"> or </w:t>
      </w:r>
      <w:r>
        <w:rPr>
          <w:rFonts w:ascii="Arial" w:cs="Arial" w:eastAsia="Arial" w:hAnsi="Arial"/>
          <w:sz w:val="18"/>
          <w:szCs w:val="18"/>
          <w:u w:val="single" w:color="auto"/>
          <w:color w:val="231F20"/>
        </w:rPr>
        <w:t>3.7.3</w:t>
      </w:r>
      <w:r>
        <w:rPr>
          <w:rFonts w:ascii="Arial" w:cs="Arial" w:eastAsia="Arial" w:hAnsi="Arial"/>
          <w:sz w:val="18"/>
          <w:szCs w:val="18"/>
          <w:color w:val="231F20"/>
        </w:rPr>
        <w:t>);</w:t>
      </w:r>
    </w:p>
    <w:p>
      <w:pPr>
        <w:spacing w:after="0" w:line="185" w:lineRule="exact"/>
        <w:rPr>
          <w:sz w:val="20"/>
          <w:szCs w:val="20"/>
          <w:color w:val="auto"/>
        </w:rPr>
      </w:pPr>
    </w:p>
    <w:p>
      <w:pPr>
        <w:jc w:val="both"/>
        <w:ind w:firstLine="2583"/>
        <w:spacing w:after="0" w:line="258" w:lineRule="auto"/>
        <w:rPr>
          <w:sz w:val="20"/>
          <w:szCs w:val="20"/>
          <w:color w:val="auto"/>
        </w:rPr>
      </w:pPr>
      <w:r>
        <w:rPr>
          <w:rFonts w:ascii="Arial" w:cs="Arial" w:eastAsia="Arial" w:hAnsi="Arial"/>
          <w:sz w:val="18"/>
          <w:szCs w:val="18"/>
          <w:color w:val="231F20"/>
        </w:rPr>
        <w:t>3.4.4. create, or authorize the creation of, or issue or obligate itself to issue shares of, any additional class or series of capital stock (or any securities convertible into or exercisable for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9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47" w:name="page248"/>
    <w:bookmarkEnd w:id="247"/>
    <w:p>
      <w:pPr>
        <w:jc w:val="both"/>
        <w:ind w:firstLine="2583"/>
        <w:spacing w:after="0" w:line="295" w:lineRule="auto"/>
        <w:rPr>
          <w:sz w:val="20"/>
          <w:szCs w:val="20"/>
          <w:color w:val="auto"/>
        </w:rPr>
      </w:pPr>
      <w:r>
        <w:rPr>
          <w:rFonts w:ascii="Arial" w:cs="Arial" w:eastAsia="Arial" w:hAnsi="Arial"/>
          <w:sz w:val="16"/>
          <w:szCs w:val="16"/>
          <w:color w:val="231F20"/>
        </w:rPr>
        <w:t>3.4.5. 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 permit any direct or indirect subsidiary to sell, transfer or otherwise issue any of its securities other than to the Corporation or to a wholly-owned subsidiary of the Corporation; constituting the Board; Directors;</w:t>
      </w:r>
    </w:p>
    <w:p>
      <w:pPr>
        <w:spacing w:after="0" w:line="228"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231F20"/>
        </w:rPr>
        <w:t>3.4.6.</w:t>
      </w:r>
      <w:r>
        <w:rPr>
          <w:sz w:val="20"/>
          <w:szCs w:val="20"/>
          <w:color w:val="auto"/>
        </w:rPr>
        <w:tab/>
      </w:r>
      <w:r>
        <w:rPr>
          <w:rFonts w:ascii="Arial" w:cs="Arial" w:eastAsia="Arial" w:hAnsi="Arial"/>
          <w:sz w:val="15"/>
          <w:szCs w:val="15"/>
          <w:color w:val="231F20"/>
        </w:rPr>
        <w:t>increase or decrease the authorized number of directors</w:t>
      </w:r>
    </w:p>
    <w:p>
      <w:pPr>
        <w:spacing w:after="0" w:line="223"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231F20"/>
        </w:rPr>
        <w:t>3.4.7.</w:t>
      </w:r>
      <w:r>
        <w:rPr>
          <w:sz w:val="20"/>
          <w:szCs w:val="20"/>
          <w:color w:val="auto"/>
        </w:rPr>
        <w:tab/>
      </w:r>
      <w:r>
        <w:rPr>
          <w:rFonts w:ascii="Arial" w:cs="Arial" w:eastAsia="Arial" w:hAnsi="Arial"/>
          <w:sz w:val="15"/>
          <w:szCs w:val="15"/>
          <w:color w:val="231F20"/>
        </w:rPr>
        <w:t>increase or decrease the authorized number of Preferred</w:t>
      </w:r>
    </w:p>
    <w:p>
      <w:pPr>
        <w:spacing w:after="0" w:line="223" w:lineRule="exact"/>
        <w:rPr>
          <w:sz w:val="20"/>
          <w:szCs w:val="20"/>
          <w:color w:val="auto"/>
        </w:rPr>
      </w:pPr>
    </w:p>
    <w:p>
      <w:pPr>
        <w:jc w:val="both"/>
        <w:ind w:firstLine="2583"/>
        <w:spacing w:after="0" w:line="275" w:lineRule="auto"/>
        <w:rPr>
          <w:sz w:val="20"/>
          <w:szCs w:val="20"/>
          <w:color w:val="auto"/>
        </w:rPr>
      </w:pPr>
      <w:r>
        <w:rPr>
          <w:rFonts w:ascii="Arial" w:cs="Arial" w:eastAsia="Arial" w:hAnsi="Arial"/>
          <w:sz w:val="18"/>
          <w:szCs w:val="18"/>
          <w:color w:val="231F20"/>
        </w:rPr>
        <w:t>3.4.8. sell, assign, license, pledge or encumber material technology or intellectual property, other than licenses granted in the ordinary course of business; or</w:t>
      </w:r>
    </w:p>
    <w:p>
      <w:pPr>
        <w:spacing w:after="0" w:line="185" w:lineRule="exact"/>
        <w:rPr>
          <w:sz w:val="20"/>
          <w:szCs w:val="20"/>
          <w:color w:val="auto"/>
        </w:rPr>
      </w:pPr>
    </w:p>
    <w:p>
      <w:pPr>
        <w:jc w:val="both"/>
        <w:ind w:right="20" w:firstLine="2583"/>
        <w:spacing w:after="0" w:line="275" w:lineRule="auto"/>
        <w:rPr>
          <w:sz w:val="20"/>
          <w:szCs w:val="20"/>
          <w:color w:val="auto"/>
        </w:rPr>
      </w:pPr>
      <w:r>
        <w:rPr>
          <w:rFonts w:ascii="Arial" w:cs="Arial" w:eastAsia="Arial" w:hAnsi="Arial"/>
          <w:sz w:val="18"/>
          <w:szCs w:val="18"/>
          <w:color w:val="231F20"/>
        </w:rPr>
        <w:t>3.4.9. acquire any asset or business or enter into any corporate strategic relationship involving the payment, contribution or assignment by the Corporation or to the Corporation of money, securities or assets greater than $500,000.</w:t>
      </w:r>
    </w:p>
    <w:p>
      <w:pPr>
        <w:spacing w:after="0" w:line="171" w:lineRule="exact"/>
        <w:rPr>
          <w:sz w:val="20"/>
          <w:szCs w:val="20"/>
          <w:color w:val="auto"/>
        </w:rPr>
      </w:pPr>
    </w:p>
    <w:p>
      <w:pPr>
        <w:jc w:val="both"/>
        <w:ind w:firstLine="1937"/>
        <w:spacing w:after="0" w:line="295" w:lineRule="auto"/>
        <w:rPr>
          <w:sz w:val="20"/>
          <w:szCs w:val="20"/>
          <w:color w:val="auto"/>
        </w:rPr>
      </w:pPr>
      <w:r>
        <w:rPr>
          <w:rFonts w:ascii="Arial" w:cs="Arial" w:eastAsia="Arial" w:hAnsi="Arial"/>
          <w:sz w:val="16"/>
          <w:szCs w:val="16"/>
          <w:color w:val="231F20"/>
        </w:rPr>
        <w:t xml:space="preserve">3.5. </w:t>
      </w:r>
      <w:r>
        <w:rPr>
          <w:rFonts w:ascii="Arial" w:cs="Arial" w:eastAsia="Arial" w:hAnsi="Arial"/>
          <w:sz w:val="16"/>
          <w:szCs w:val="16"/>
          <w:u w:val="single" w:color="auto"/>
          <w:color w:val="231F20"/>
        </w:rPr>
        <w:t>Series C Preferred Stock Protective Provisions</w:t>
      </w:r>
      <w:r>
        <w:rPr>
          <w:rFonts w:ascii="Arial" w:cs="Arial" w:eastAsia="Arial" w:hAnsi="Arial"/>
          <w:sz w:val="16"/>
          <w:szCs w:val="16"/>
          <w:color w:val="231F20"/>
        </w:rPr>
        <w:t xml:space="preserve">. At any time when any shares of Series C Preferred Stock are outstanding, the Corporation shall not, either directly or indirectly, by amendment, merger, consolidation or otherwise, do any of the following (in addition to any other vote required by law or this Certificate of Incorporation) without the written consent or affirmative vote of the holders of at least a majority of the shares of Series C Preferred Stock then outstanding, given in writing or by vote at a meeting, consenting or voting (as the case may be) exclusively and as a separate class, and any such act or transaction entered into without such consent or vote shall be null and void </w:t>
      </w:r>
      <w:r>
        <w:rPr>
          <w:rFonts w:ascii="Arial" w:cs="Arial" w:eastAsia="Arial" w:hAnsi="Arial"/>
          <w:sz w:val="16"/>
          <w:szCs w:val="16"/>
          <w:i w:val="1"/>
          <w:iCs w:val="1"/>
          <w:color w:val="231F20"/>
        </w:rPr>
        <w:t>ab initio</w:t>
      </w:r>
      <w:r>
        <w:rPr>
          <w:rFonts w:ascii="Arial" w:cs="Arial" w:eastAsia="Arial" w:hAnsi="Arial"/>
          <w:sz w:val="16"/>
          <w:szCs w:val="16"/>
          <w:color w:val="231F20"/>
        </w:rPr>
        <w:t>, and of no force or effect:</w:t>
      </w:r>
    </w:p>
    <w:p>
      <w:pPr>
        <w:spacing w:after="0" w:line="174" w:lineRule="exact"/>
        <w:rPr>
          <w:sz w:val="20"/>
          <w:szCs w:val="20"/>
          <w:color w:val="auto"/>
        </w:rPr>
      </w:pPr>
    </w:p>
    <w:p>
      <w:pPr>
        <w:jc w:val="both"/>
        <w:ind w:firstLine="2583"/>
        <w:spacing w:after="0" w:line="278" w:lineRule="auto"/>
        <w:rPr>
          <w:sz w:val="20"/>
          <w:szCs w:val="20"/>
          <w:color w:val="auto"/>
        </w:rPr>
      </w:pPr>
      <w:r>
        <w:rPr>
          <w:rFonts w:ascii="Arial" w:cs="Arial" w:eastAsia="Arial" w:hAnsi="Arial"/>
          <w:sz w:val="17"/>
          <w:szCs w:val="17"/>
          <w:color w:val="231F20"/>
        </w:rPr>
        <w:t xml:space="preserve">3.5.1. liquidate, dissolve or wind-up the business and affairs of the Corporation, effect any merger, consolidation or any other corporate reorganization or other Deemed Liquidation Event, or consent to any of the foregoing; unless the holders of Series C Preferred Stock have received an aggregate amount under </w:t>
      </w:r>
      <w:r>
        <w:rPr>
          <w:rFonts w:ascii="Arial" w:cs="Arial" w:eastAsia="Arial" w:hAnsi="Arial"/>
          <w:sz w:val="17"/>
          <w:szCs w:val="17"/>
          <w:u w:val="single" w:color="auto"/>
          <w:color w:val="231F20"/>
        </w:rPr>
        <w:t>Sections 2.1</w:t>
      </w:r>
      <w:r>
        <w:rPr>
          <w:rFonts w:ascii="Arial" w:cs="Arial" w:eastAsia="Arial" w:hAnsi="Arial"/>
          <w:sz w:val="17"/>
          <w:szCs w:val="17"/>
          <w:color w:val="231F20"/>
        </w:rPr>
        <w:t xml:space="preserve"> and </w:t>
      </w:r>
      <w:r>
        <w:rPr>
          <w:rFonts w:ascii="Arial" w:cs="Arial" w:eastAsia="Arial" w:hAnsi="Arial"/>
          <w:sz w:val="17"/>
          <w:szCs w:val="17"/>
          <w:u w:val="single" w:color="auto"/>
          <w:color w:val="231F20"/>
        </w:rPr>
        <w:t>2.2</w:t>
      </w:r>
      <w:r>
        <w:rPr>
          <w:rFonts w:ascii="Arial" w:cs="Arial" w:eastAsia="Arial" w:hAnsi="Arial"/>
          <w:sz w:val="17"/>
          <w:szCs w:val="17"/>
          <w:color w:val="231F20"/>
        </w:rPr>
        <w:t xml:space="preserve"> equal to $6.4720 per share (subject to appropriate adjustment in the event of a stock split, stock dividend, combination, reclassification, or similar event affecting the Series C Preferred Stock);</w:t>
      </w:r>
    </w:p>
    <w:p>
      <w:pPr>
        <w:spacing w:after="0" w:line="184" w:lineRule="exact"/>
        <w:rPr>
          <w:sz w:val="20"/>
          <w:szCs w:val="20"/>
          <w:color w:val="auto"/>
        </w:rPr>
      </w:pPr>
    </w:p>
    <w:p>
      <w:pPr>
        <w:jc w:val="both"/>
        <w:ind w:firstLine="2583"/>
        <w:spacing w:after="0" w:line="278" w:lineRule="auto"/>
        <w:rPr>
          <w:sz w:val="20"/>
          <w:szCs w:val="20"/>
          <w:color w:val="auto"/>
        </w:rPr>
      </w:pPr>
      <w:r>
        <w:rPr>
          <w:rFonts w:ascii="Arial" w:cs="Arial" w:eastAsia="Arial" w:hAnsi="Arial"/>
          <w:sz w:val="17"/>
          <w:szCs w:val="17"/>
          <w:color w:val="231F20"/>
        </w:rPr>
        <w:t xml:space="preserve">3.5.2. amend, alter, repeal or waive any provision of this Certificate of Incorporation or Bylaws of the Corporation in a manner that adversely affects the rights, preferences or privileges of the Series C Preferred Stock; </w:t>
      </w:r>
      <w:r>
        <w:rPr>
          <w:rFonts w:ascii="Arial" w:cs="Arial" w:eastAsia="Arial" w:hAnsi="Arial"/>
          <w:sz w:val="17"/>
          <w:szCs w:val="17"/>
          <w:i w:val="1"/>
          <w:iCs w:val="1"/>
          <w:color w:val="231F20"/>
        </w:rPr>
        <w:t>provided</w:t>
      </w:r>
      <w:r>
        <w:rPr>
          <w:rFonts w:ascii="Arial" w:cs="Arial" w:eastAsia="Arial" w:hAnsi="Arial"/>
          <w:sz w:val="17"/>
          <w:szCs w:val="17"/>
          <w:color w:val="231F20"/>
        </w:rPr>
        <w:t xml:space="preserve">, </w:t>
      </w:r>
      <w:r>
        <w:rPr>
          <w:rFonts w:ascii="Arial" w:cs="Arial" w:eastAsia="Arial" w:hAnsi="Arial"/>
          <w:sz w:val="17"/>
          <w:szCs w:val="17"/>
          <w:i w:val="1"/>
          <w:iCs w:val="1"/>
          <w:color w:val="231F20"/>
        </w:rPr>
        <w:t>however</w:t>
      </w:r>
      <w:r>
        <w:rPr>
          <w:rFonts w:ascii="Arial" w:cs="Arial" w:eastAsia="Arial" w:hAnsi="Arial"/>
          <w:sz w:val="17"/>
          <w:szCs w:val="17"/>
          <w:color w:val="231F20"/>
        </w:rPr>
        <w:t xml:space="preserve">, that the creation, authorization and issuance of any additional class or series of capital stock (or any securities convertible into or exercisable for any additional class or series of capital stock) with a liquidation preference or other rights that are senior or </w:t>
      </w:r>
      <w:r>
        <w:rPr>
          <w:rFonts w:ascii="Arial" w:cs="Arial" w:eastAsia="Arial" w:hAnsi="Arial"/>
          <w:sz w:val="17"/>
          <w:szCs w:val="17"/>
          <w:i w:val="1"/>
          <w:iCs w:val="1"/>
          <w:color w:val="231F20"/>
        </w:rPr>
        <w:t>pari passu</w:t>
      </w:r>
      <w:r>
        <w:rPr>
          <w:rFonts w:ascii="Arial" w:cs="Arial" w:eastAsia="Arial" w:hAnsi="Arial"/>
          <w:sz w:val="17"/>
          <w:szCs w:val="17"/>
          <w:color w:val="231F20"/>
        </w:rPr>
        <w:t xml:space="preserve"> to the Series C Preferred Stock</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231F20"/>
        </w:rPr>
        <w:t>or any other series or class of capital stock will not, in and of itself, be deemed to have an adverse effect on the Series C Preferred Stock;</w:t>
      </w:r>
    </w:p>
    <w:p>
      <w:pPr>
        <w:spacing w:after="0" w:line="237" w:lineRule="exact"/>
        <w:rPr>
          <w:sz w:val="20"/>
          <w:szCs w:val="20"/>
          <w:color w:val="auto"/>
        </w:rPr>
      </w:pPr>
    </w:p>
    <w:p>
      <w:pPr>
        <w:jc w:val="both"/>
        <w:ind w:right="20" w:firstLine="2583"/>
        <w:spacing w:after="0" w:line="275" w:lineRule="auto"/>
        <w:rPr>
          <w:sz w:val="20"/>
          <w:szCs w:val="20"/>
          <w:color w:val="auto"/>
        </w:rPr>
      </w:pPr>
      <w:r>
        <w:rPr>
          <w:rFonts w:ascii="Arial" w:cs="Arial" w:eastAsia="Arial" w:hAnsi="Arial"/>
          <w:sz w:val="18"/>
          <w:szCs w:val="18"/>
          <w:color w:val="231F20"/>
        </w:rPr>
        <w:t>3.5.3. amend, alter, repeal or waive any provision of this Certificate of Incorporation or Bylaws of the Corporation requiring the written consent or affirmative vote of the holders of Series C Preferred Stock to approve an act or transaction;</w:t>
      </w:r>
    </w:p>
    <w:p>
      <w:pPr>
        <w:spacing w:after="0" w:line="185" w:lineRule="exact"/>
        <w:rPr>
          <w:sz w:val="20"/>
          <w:szCs w:val="20"/>
          <w:color w:val="auto"/>
        </w:rPr>
      </w:pPr>
    </w:p>
    <w:p>
      <w:pPr>
        <w:ind w:left="2600"/>
        <w:spacing w:after="0"/>
        <w:tabs>
          <w:tab w:leader="none" w:pos="3240" w:val="left"/>
        </w:tabs>
        <w:rPr>
          <w:sz w:val="20"/>
          <w:szCs w:val="20"/>
          <w:color w:val="auto"/>
        </w:rPr>
      </w:pPr>
      <w:r>
        <w:rPr>
          <w:rFonts w:ascii="Arial" w:cs="Arial" w:eastAsia="Arial" w:hAnsi="Arial"/>
          <w:sz w:val="18"/>
          <w:szCs w:val="18"/>
          <w:color w:val="231F20"/>
        </w:rPr>
        <w:t>3.5.4.</w:t>
      </w:r>
      <w:r>
        <w:rPr>
          <w:sz w:val="20"/>
          <w:szCs w:val="20"/>
          <w:color w:val="auto"/>
        </w:rPr>
        <w:tab/>
      </w:r>
      <w:r>
        <w:rPr>
          <w:rFonts w:ascii="Arial" w:cs="Arial" w:eastAsia="Arial" w:hAnsi="Arial"/>
          <w:sz w:val="15"/>
          <w:szCs w:val="15"/>
          <w:color w:val="231F20"/>
        </w:rPr>
        <w:t>increase or decrease the number of authorized shares of Series C Preferred Stock; or</w:t>
      </w:r>
    </w:p>
    <w:p>
      <w:pPr>
        <w:spacing w:after="0" w:line="223" w:lineRule="exact"/>
        <w:rPr>
          <w:sz w:val="20"/>
          <w:szCs w:val="20"/>
          <w:color w:val="auto"/>
        </w:rPr>
      </w:pPr>
    </w:p>
    <w:p>
      <w:pPr>
        <w:jc w:val="center"/>
        <w:ind w:right="-99"/>
        <w:spacing w:after="0"/>
        <w:tabs>
          <w:tab w:leader="none" w:pos="220" w:val="left"/>
        </w:tabs>
        <w:rPr>
          <w:sz w:val="20"/>
          <w:szCs w:val="20"/>
          <w:color w:val="auto"/>
        </w:rPr>
      </w:pPr>
      <w:r>
        <w:rPr>
          <w:rFonts w:ascii="Arial" w:cs="Arial" w:eastAsia="Arial" w:hAnsi="Arial"/>
          <w:sz w:val="18"/>
          <w:szCs w:val="18"/>
          <w:color w:val="231F20"/>
        </w:rPr>
        <w:t>3.5.5.</w:t>
      </w:r>
      <w:r>
        <w:rPr>
          <w:sz w:val="20"/>
          <w:szCs w:val="20"/>
          <w:color w:val="auto"/>
        </w:rPr>
        <w:tab/>
      </w:r>
      <w:r>
        <w:rPr>
          <w:rFonts w:ascii="Arial" w:cs="Arial" w:eastAsia="Arial" w:hAnsi="Arial"/>
          <w:sz w:val="15"/>
          <w:szCs w:val="15"/>
          <w:color w:val="231F20"/>
        </w:rPr>
        <w:t>increase or decrease the authorized number of Series C Preferred Directors.</w:t>
      </w:r>
    </w:p>
    <w:p>
      <w:pPr>
        <w:spacing w:after="0" w:line="223" w:lineRule="exact"/>
        <w:rPr>
          <w:sz w:val="20"/>
          <w:szCs w:val="20"/>
          <w:color w:val="auto"/>
        </w:rPr>
      </w:pPr>
    </w:p>
    <w:p>
      <w:pPr>
        <w:jc w:val="both"/>
        <w:ind w:firstLine="1937"/>
        <w:spacing w:after="0" w:line="295" w:lineRule="auto"/>
        <w:rPr>
          <w:sz w:val="20"/>
          <w:szCs w:val="20"/>
          <w:color w:val="auto"/>
        </w:rPr>
      </w:pPr>
      <w:r>
        <w:rPr>
          <w:rFonts w:ascii="Arial" w:cs="Arial" w:eastAsia="Arial" w:hAnsi="Arial"/>
          <w:sz w:val="16"/>
          <w:szCs w:val="16"/>
          <w:color w:val="231F20"/>
        </w:rPr>
        <w:t xml:space="preserve">3.6. </w:t>
      </w:r>
      <w:r>
        <w:rPr>
          <w:rFonts w:ascii="Arial" w:cs="Arial" w:eastAsia="Arial" w:hAnsi="Arial"/>
          <w:sz w:val="16"/>
          <w:szCs w:val="16"/>
          <w:u w:val="single" w:color="auto"/>
          <w:color w:val="231F20"/>
        </w:rPr>
        <w:t>Series B Preferred Stock Protective Provisions</w:t>
      </w:r>
      <w:r>
        <w:rPr>
          <w:rFonts w:ascii="Arial" w:cs="Arial" w:eastAsia="Arial" w:hAnsi="Arial"/>
          <w:sz w:val="16"/>
          <w:szCs w:val="16"/>
          <w:color w:val="231F20"/>
        </w:rPr>
        <w:t xml:space="preserve">. At any time when any shares of Series B Preferred Stock are outstanding, the Corporation shall not, either directly or indirectly, by amendment, merger, consolidation or otherwise, do any of the following (in addition to any other vote required by law or this Certificate of Incorporation) without the written consent or affirmative vote of the holders of at least a majority of the shares of Series B Preferred Stock then outstanding, given in writing or by vote at a meeting, consenting or voting (as the case may be) exclusively and as a separate class, and any such act or transaction entered into without such consent or vote shall be null and void </w:t>
      </w:r>
      <w:r>
        <w:rPr>
          <w:rFonts w:ascii="Arial" w:cs="Arial" w:eastAsia="Arial" w:hAnsi="Arial"/>
          <w:sz w:val="16"/>
          <w:szCs w:val="16"/>
          <w:i w:val="1"/>
          <w:iCs w:val="1"/>
          <w:color w:val="231F20"/>
        </w:rPr>
        <w:t>ab initio</w:t>
      </w:r>
      <w:r>
        <w:rPr>
          <w:rFonts w:ascii="Arial" w:cs="Arial" w:eastAsia="Arial" w:hAnsi="Arial"/>
          <w:sz w:val="16"/>
          <w:szCs w:val="16"/>
          <w:color w:val="231F20"/>
        </w:rPr>
        <w:t>, and of no force or effect:</w:t>
      </w:r>
    </w:p>
    <w:p>
      <w:pPr>
        <w:spacing w:after="0" w:line="161" w:lineRule="exact"/>
        <w:rPr>
          <w:sz w:val="20"/>
          <w:szCs w:val="20"/>
          <w:color w:val="auto"/>
        </w:rPr>
      </w:pPr>
    </w:p>
    <w:p>
      <w:pPr>
        <w:jc w:val="both"/>
        <w:ind w:firstLine="2583"/>
        <w:spacing w:after="0" w:line="278" w:lineRule="auto"/>
        <w:rPr>
          <w:sz w:val="20"/>
          <w:szCs w:val="20"/>
          <w:color w:val="auto"/>
        </w:rPr>
      </w:pPr>
      <w:r>
        <w:rPr>
          <w:rFonts w:ascii="Arial" w:cs="Arial" w:eastAsia="Arial" w:hAnsi="Arial"/>
          <w:sz w:val="17"/>
          <w:szCs w:val="17"/>
          <w:color w:val="231F20"/>
        </w:rPr>
        <w:t xml:space="preserve">3.6.1. liquidate, dissolve or wind-up the business and affairs of the Corporation, effect any merger, consolidation or any other corporate reorganization or other Deemed Liquidation Event, or consent to any of the foregoing; unless the holders of Series B Preferred Stock have received an aggregate amount under </w:t>
      </w:r>
      <w:r>
        <w:rPr>
          <w:rFonts w:ascii="Arial" w:cs="Arial" w:eastAsia="Arial" w:hAnsi="Arial"/>
          <w:sz w:val="17"/>
          <w:szCs w:val="17"/>
          <w:u w:val="single" w:color="auto"/>
          <w:color w:val="231F20"/>
        </w:rPr>
        <w:t>Sections 2.1</w:t>
      </w:r>
      <w:r>
        <w:rPr>
          <w:rFonts w:ascii="Arial" w:cs="Arial" w:eastAsia="Arial" w:hAnsi="Arial"/>
          <w:sz w:val="17"/>
          <w:szCs w:val="17"/>
          <w:color w:val="231F20"/>
        </w:rPr>
        <w:t xml:space="preserve"> and </w:t>
      </w:r>
      <w:r>
        <w:rPr>
          <w:rFonts w:ascii="Arial" w:cs="Arial" w:eastAsia="Arial" w:hAnsi="Arial"/>
          <w:sz w:val="17"/>
          <w:szCs w:val="17"/>
          <w:u w:val="single" w:color="auto"/>
          <w:color w:val="231F20"/>
        </w:rPr>
        <w:t>2.2</w:t>
      </w:r>
      <w:r>
        <w:rPr>
          <w:rFonts w:ascii="Arial" w:cs="Arial" w:eastAsia="Arial" w:hAnsi="Arial"/>
          <w:sz w:val="17"/>
          <w:szCs w:val="17"/>
          <w:color w:val="231F20"/>
        </w:rPr>
        <w:t xml:space="preserve"> equal to $5.55 per share (subject to appropriate adjustment in the event of a stock split, stock dividend, combination, reclassification, or similar event affecting the Series B Preferred Stock);</w:t>
      </w:r>
    </w:p>
    <w:p>
      <w:pPr>
        <w:spacing w:after="0" w:line="184" w:lineRule="exact"/>
        <w:rPr>
          <w:sz w:val="20"/>
          <w:szCs w:val="20"/>
          <w:color w:val="auto"/>
        </w:rPr>
      </w:pPr>
    </w:p>
    <w:p>
      <w:pPr>
        <w:jc w:val="both"/>
        <w:ind w:firstLine="2583"/>
        <w:spacing w:after="0" w:line="274" w:lineRule="auto"/>
        <w:rPr>
          <w:sz w:val="20"/>
          <w:szCs w:val="20"/>
          <w:color w:val="auto"/>
        </w:rPr>
      </w:pPr>
      <w:r>
        <w:rPr>
          <w:rFonts w:ascii="Arial" w:cs="Arial" w:eastAsia="Arial" w:hAnsi="Arial"/>
          <w:sz w:val="17"/>
          <w:szCs w:val="17"/>
          <w:color w:val="231F20"/>
        </w:rPr>
        <w:t xml:space="preserve">3.6.2. amend, alter, repeal or waive any provision of this Certificate of Incorporation or Bylaws of the Corporation in a manner that adversely affects the rights, preferences or privileges of the Series B Preferred Stock; </w:t>
      </w:r>
      <w:r>
        <w:rPr>
          <w:rFonts w:ascii="Arial" w:cs="Arial" w:eastAsia="Arial" w:hAnsi="Arial"/>
          <w:sz w:val="17"/>
          <w:szCs w:val="17"/>
          <w:i w:val="1"/>
          <w:iCs w:val="1"/>
          <w:color w:val="231F20"/>
        </w:rPr>
        <w:t>provided</w:t>
      </w:r>
      <w:r>
        <w:rPr>
          <w:rFonts w:ascii="Arial" w:cs="Arial" w:eastAsia="Arial" w:hAnsi="Arial"/>
          <w:sz w:val="17"/>
          <w:szCs w:val="17"/>
          <w:color w:val="231F20"/>
        </w:rPr>
        <w:t xml:space="preserve">, </w:t>
      </w:r>
      <w:r>
        <w:rPr>
          <w:rFonts w:ascii="Arial" w:cs="Arial" w:eastAsia="Arial" w:hAnsi="Arial"/>
          <w:sz w:val="17"/>
          <w:szCs w:val="17"/>
          <w:i w:val="1"/>
          <w:iCs w:val="1"/>
          <w:color w:val="231F20"/>
        </w:rPr>
        <w:t>however</w:t>
      </w:r>
      <w:r>
        <w:rPr>
          <w:rFonts w:ascii="Arial" w:cs="Arial" w:eastAsia="Arial" w:hAnsi="Arial"/>
          <w:sz w:val="17"/>
          <w:szCs w:val="17"/>
          <w:color w:val="231F20"/>
        </w:rPr>
        <w:t xml:space="preserve">, that the creation, authorization and issuance of any additional class or series of capital stock (or any securities convertible into or exercisable for any additional class or series of capital stock) with a liquidation preference or other rights that are senior or </w:t>
      </w:r>
      <w:r>
        <w:rPr>
          <w:rFonts w:ascii="Arial" w:cs="Arial" w:eastAsia="Arial" w:hAnsi="Arial"/>
          <w:sz w:val="17"/>
          <w:szCs w:val="17"/>
          <w:i w:val="1"/>
          <w:iCs w:val="1"/>
          <w:color w:val="231F20"/>
        </w:rPr>
        <w:t>pari passu</w:t>
      </w:r>
      <w:r>
        <w:rPr>
          <w:rFonts w:ascii="Arial" w:cs="Arial" w:eastAsia="Arial" w:hAnsi="Arial"/>
          <w:sz w:val="17"/>
          <w:szCs w:val="17"/>
          <w:color w:val="231F20"/>
        </w:rPr>
        <w:t xml:space="preserve"> to the Series B Preferred Stock or any other series or class of capital stock will not, in and of itself, be deemed to have an adverse effect on the Series B Preferred Stock;</w:t>
      </w:r>
    </w:p>
    <w:p>
      <w:pPr>
        <w:spacing w:after="0" w:line="189" w:lineRule="exact"/>
        <w:rPr>
          <w:sz w:val="20"/>
          <w:szCs w:val="20"/>
          <w:color w:val="auto"/>
        </w:rPr>
      </w:pPr>
    </w:p>
    <w:p>
      <w:pPr>
        <w:jc w:val="both"/>
        <w:ind w:firstLine="2583"/>
        <w:spacing w:after="0" w:line="275" w:lineRule="auto"/>
        <w:rPr>
          <w:sz w:val="20"/>
          <w:szCs w:val="20"/>
          <w:color w:val="auto"/>
        </w:rPr>
      </w:pPr>
      <w:r>
        <w:rPr>
          <w:rFonts w:ascii="Arial" w:cs="Arial" w:eastAsia="Arial" w:hAnsi="Arial"/>
          <w:sz w:val="18"/>
          <w:szCs w:val="18"/>
          <w:color w:val="231F20"/>
        </w:rPr>
        <w:t>3.6.3. amend, alter, repeal or waive any provision of this Certificate of Incorporation or Bylaws of the Corporation requiring the written consent or affirmative vote of the holders of Series B Preferred Stock to approve an act or transaction;</w:t>
      </w:r>
    </w:p>
    <w:p>
      <w:pPr>
        <w:spacing w:after="0" w:line="171" w:lineRule="exact"/>
        <w:rPr>
          <w:sz w:val="20"/>
          <w:szCs w:val="20"/>
          <w:color w:val="auto"/>
        </w:rPr>
      </w:pPr>
    </w:p>
    <w:p>
      <w:pPr>
        <w:ind w:left="2600"/>
        <w:spacing w:after="0"/>
        <w:tabs>
          <w:tab w:leader="none" w:pos="3240" w:val="left"/>
        </w:tabs>
        <w:rPr>
          <w:sz w:val="20"/>
          <w:szCs w:val="20"/>
          <w:color w:val="auto"/>
        </w:rPr>
      </w:pPr>
      <w:r>
        <w:rPr>
          <w:rFonts w:ascii="Arial" w:cs="Arial" w:eastAsia="Arial" w:hAnsi="Arial"/>
          <w:sz w:val="18"/>
          <w:szCs w:val="18"/>
          <w:color w:val="231F20"/>
        </w:rPr>
        <w:t>3.6.4.</w:t>
      </w:r>
      <w:r>
        <w:rPr>
          <w:sz w:val="20"/>
          <w:szCs w:val="20"/>
          <w:color w:val="auto"/>
        </w:rPr>
        <w:tab/>
      </w:r>
      <w:r>
        <w:rPr>
          <w:rFonts w:ascii="Arial" w:cs="Arial" w:eastAsia="Arial" w:hAnsi="Arial"/>
          <w:sz w:val="15"/>
          <w:szCs w:val="15"/>
          <w:color w:val="231F20"/>
        </w:rPr>
        <w:t>increase or decrease the number of authorized shares of Series B Preferred Stock; or</w:t>
      </w: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49" w:name="page250"/>
    <w:bookmarkEnd w:id="249"/>
    <w:p>
      <w:pPr>
        <w:jc w:val="center"/>
        <w:ind w:right="-119"/>
        <w:spacing w:after="0"/>
        <w:tabs>
          <w:tab w:leader="none" w:pos="220" w:val="left"/>
        </w:tabs>
        <w:rPr>
          <w:sz w:val="20"/>
          <w:szCs w:val="20"/>
          <w:color w:val="auto"/>
        </w:rPr>
      </w:pPr>
      <w:r>
        <w:rPr>
          <w:rFonts w:ascii="Arial" w:cs="Arial" w:eastAsia="Arial" w:hAnsi="Arial"/>
          <w:sz w:val="18"/>
          <w:szCs w:val="18"/>
          <w:color w:val="231F20"/>
        </w:rPr>
        <w:t>3.6.5.</w:t>
      </w:r>
      <w:r>
        <w:rPr>
          <w:sz w:val="20"/>
          <w:szCs w:val="20"/>
          <w:color w:val="auto"/>
        </w:rPr>
        <w:tab/>
      </w:r>
      <w:r>
        <w:rPr>
          <w:rFonts w:ascii="Arial" w:cs="Arial" w:eastAsia="Arial" w:hAnsi="Arial"/>
          <w:sz w:val="16"/>
          <w:szCs w:val="16"/>
          <w:color w:val="231F20"/>
        </w:rPr>
        <w:t>increase or decrease the authorized number of Series B Preferred Directors.</w:t>
      </w:r>
    </w:p>
    <w:p>
      <w:pPr>
        <w:spacing w:after="0" w:line="250" w:lineRule="exact"/>
        <w:rPr>
          <w:sz w:val="20"/>
          <w:szCs w:val="20"/>
          <w:color w:val="auto"/>
        </w:rPr>
      </w:pPr>
    </w:p>
    <w:p>
      <w:pPr>
        <w:jc w:val="both"/>
        <w:ind w:firstLine="1937"/>
        <w:spacing w:after="0" w:line="254" w:lineRule="auto"/>
        <w:rPr>
          <w:sz w:val="20"/>
          <w:szCs w:val="20"/>
          <w:color w:val="auto"/>
        </w:rPr>
      </w:pPr>
      <w:r>
        <w:rPr>
          <w:rFonts w:ascii="Arial" w:cs="Arial" w:eastAsia="Arial" w:hAnsi="Arial"/>
          <w:sz w:val="18"/>
          <w:szCs w:val="18"/>
          <w:color w:val="231F20"/>
        </w:rPr>
        <w:t xml:space="preserve">3.7. </w:t>
      </w:r>
      <w:r>
        <w:rPr>
          <w:rFonts w:ascii="Arial" w:cs="Arial" w:eastAsia="Arial" w:hAnsi="Arial"/>
          <w:sz w:val="18"/>
          <w:szCs w:val="18"/>
          <w:u w:val="single" w:color="auto"/>
          <w:color w:val="231F20"/>
        </w:rPr>
        <w:t>Series A Preferred Stock Protective Provisions</w:t>
      </w:r>
      <w:r>
        <w:rPr>
          <w:rFonts w:ascii="Arial" w:cs="Arial" w:eastAsia="Arial" w:hAnsi="Arial"/>
          <w:sz w:val="18"/>
          <w:szCs w:val="18"/>
          <w:color w:val="231F20"/>
        </w:rPr>
        <w:t xml:space="preserve">. At any time when any shares of Series A Preferred Stock are outstanding, the Corporation shall not, either directly or indirectly, by amendment, merger, consolidation or otherwise, do any of the following (in addition to any other vote required by law or this Certificate of Incorporation) without the written consent or affirmative vote of the holders of at least seventy-five percent (75%) of the shares of Series A Preferred Stock then outstanding, given in writing or by vote at a meeting, consenting or voting (as the case may be) exclusively and as a separate class, and any such act or transaction entered into without such consent or vote shall be null and void </w:t>
      </w:r>
      <w:r>
        <w:rPr>
          <w:rFonts w:ascii="Arial" w:cs="Arial" w:eastAsia="Arial" w:hAnsi="Arial"/>
          <w:sz w:val="18"/>
          <w:szCs w:val="18"/>
          <w:i w:val="1"/>
          <w:iCs w:val="1"/>
          <w:color w:val="231F20"/>
        </w:rPr>
        <w:t>ab initio</w:t>
      </w:r>
      <w:r>
        <w:rPr>
          <w:rFonts w:ascii="Arial" w:cs="Arial" w:eastAsia="Arial" w:hAnsi="Arial"/>
          <w:sz w:val="18"/>
          <w:szCs w:val="18"/>
          <w:color w:val="231F20"/>
        </w:rPr>
        <w:t>, and of no force or effect.</w:t>
      </w:r>
    </w:p>
    <w:p>
      <w:pPr>
        <w:spacing w:after="0" w:line="206" w:lineRule="exact"/>
        <w:rPr>
          <w:sz w:val="20"/>
          <w:szCs w:val="20"/>
          <w:color w:val="auto"/>
        </w:rPr>
      </w:pPr>
    </w:p>
    <w:p>
      <w:pPr>
        <w:jc w:val="both"/>
        <w:ind w:firstLine="2583"/>
        <w:spacing w:after="0" w:line="274" w:lineRule="auto"/>
        <w:rPr>
          <w:sz w:val="20"/>
          <w:szCs w:val="20"/>
          <w:color w:val="auto"/>
        </w:rPr>
      </w:pPr>
      <w:r>
        <w:rPr>
          <w:rFonts w:ascii="Arial" w:cs="Arial" w:eastAsia="Arial" w:hAnsi="Arial"/>
          <w:sz w:val="17"/>
          <w:szCs w:val="17"/>
          <w:color w:val="231F20"/>
        </w:rPr>
        <w:t xml:space="preserve">3.7.1. amend, alter, repeal or waive any provision of this Certificate of Incorporation or Bylaws of the Corporation in a manner that adversely affects the rights, preferences or privileges of the Series A Preferred Stock; </w:t>
      </w:r>
      <w:r>
        <w:rPr>
          <w:rFonts w:ascii="Arial" w:cs="Arial" w:eastAsia="Arial" w:hAnsi="Arial"/>
          <w:sz w:val="17"/>
          <w:szCs w:val="17"/>
          <w:i w:val="1"/>
          <w:iCs w:val="1"/>
          <w:color w:val="231F20"/>
        </w:rPr>
        <w:t>provided</w:t>
      </w:r>
      <w:r>
        <w:rPr>
          <w:rFonts w:ascii="Arial" w:cs="Arial" w:eastAsia="Arial" w:hAnsi="Arial"/>
          <w:sz w:val="17"/>
          <w:szCs w:val="17"/>
          <w:color w:val="231F20"/>
        </w:rPr>
        <w:t xml:space="preserve">, </w:t>
      </w:r>
      <w:r>
        <w:rPr>
          <w:rFonts w:ascii="Arial" w:cs="Arial" w:eastAsia="Arial" w:hAnsi="Arial"/>
          <w:sz w:val="17"/>
          <w:szCs w:val="17"/>
          <w:i w:val="1"/>
          <w:iCs w:val="1"/>
          <w:color w:val="231F20"/>
        </w:rPr>
        <w:t>however</w:t>
      </w:r>
      <w:r>
        <w:rPr>
          <w:rFonts w:ascii="Arial" w:cs="Arial" w:eastAsia="Arial" w:hAnsi="Arial"/>
          <w:sz w:val="17"/>
          <w:szCs w:val="17"/>
          <w:color w:val="231F20"/>
        </w:rPr>
        <w:t xml:space="preserve">, that the creation, authorization and issuance of any additional class or series of capital stock (or any securities convertible into or exercisable for any additional class or series of capital stock) with a liquidation preference or other rights that are senior or </w:t>
      </w:r>
      <w:r>
        <w:rPr>
          <w:rFonts w:ascii="Arial" w:cs="Arial" w:eastAsia="Arial" w:hAnsi="Arial"/>
          <w:sz w:val="17"/>
          <w:szCs w:val="17"/>
          <w:i w:val="1"/>
          <w:iCs w:val="1"/>
          <w:color w:val="231F20"/>
        </w:rPr>
        <w:t>pari passu</w:t>
      </w:r>
      <w:r>
        <w:rPr>
          <w:rFonts w:ascii="Arial" w:cs="Arial" w:eastAsia="Arial" w:hAnsi="Arial"/>
          <w:sz w:val="17"/>
          <w:szCs w:val="17"/>
          <w:color w:val="231F20"/>
        </w:rPr>
        <w:t xml:space="preserve"> to the Series A Preferred Stock or any other series or class of capital stock will not, in and of itself, be deemed to have an adverse effect on the Series A Preferred Stock;</w:t>
      </w:r>
    </w:p>
    <w:p>
      <w:pPr>
        <w:spacing w:after="0" w:line="189" w:lineRule="exact"/>
        <w:rPr>
          <w:sz w:val="20"/>
          <w:szCs w:val="20"/>
          <w:color w:val="auto"/>
        </w:rPr>
      </w:pPr>
    </w:p>
    <w:p>
      <w:pPr>
        <w:jc w:val="both"/>
        <w:ind w:firstLine="2583"/>
        <w:spacing w:after="0" w:line="275" w:lineRule="auto"/>
        <w:rPr>
          <w:sz w:val="20"/>
          <w:szCs w:val="20"/>
          <w:color w:val="auto"/>
        </w:rPr>
      </w:pPr>
      <w:r>
        <w:rPr>
          <w:rFonts w:ascii="Arial" w:cs="Arial" w:eastAsia="Arial" w:hAnsi="Arial"/>
          <w:sz w:val="18"/>
          <w:szCs w:val="18"/>
          <w:color w:val="231F20"/>
        </w:rPr>
        <w:t>3.7.2. amend, alter, repeal or waive any provision of this Certificate of Incorporation or Bylaws of the Corporation requiring the written consent or affirmative vote of the holders of Series A Preferred Stock to approve an act or transaction;</w:t>
      </w:r>
    </w:p>
    <w:p>
      <w:pPr>
        <w:spacing w:after="0" w:line="171" w:lineRule="exact"/>
        <w:rPr>
          <w:sz w:val="20"/>
          <w:szCs w:val="20"/>
          <w:color w:val="auto"/>
        </w:rPr>
      </w:pPr>
    </w:p>
    <w:p>
      <w:pPr>
        <w:ind w:left="2600"/>
        <w:spacing w:after="0"/>
        <w:tabs>
          <w:tab w:leader="none" w:pos="3240" w:val="left"/>
        </w:tabs>
        <w:rPr>
          <w:sz w:val="20"/>
          <w:szCs w:val="20"/>
          <w:color w:val="auto"/>
        </w:rPr>
      </w:pPr>
      <w:r>
        <w:rPr>
          <w:rFonts w:ascii="Arial" w:cs="Arial" w:eastAsia="Arial" w:hAnsi="Arial"/>
          <w:sz w:val="18"/>
          <w:szCs w:val="18"/>
          <w:color w:val="231F20"/>
        </w:rPr>
        <w:t>3.7.3.</w:t>
      </w:r>
      <w:r>
        <w:rPr>
          <w:sz w:val="20"/>
          <w:szCs w:val="20"/>
          <w:color w:val="auto"/>
        </w:rPr>
        <w:tab/>
      </w:r>
      <w:r>
        <w:rPr>
          <w:rFonts w:ascii="Arial" w:cs="Arial" w:eastAsia="Arial" w:hAnsi="Arial"/>
          <w:sz w:val="15"/>
          <w:szCs w:val="15"/>
          <w:color w:val="231F20"/>
        </w:rPr>
        <w:t>increase or decrease the number of authorized shares of Series A Preferred Stock; or</w:t>
      </w:r>
    </w:p>
    <w:p>
      <w:pPr>
        <w:spacing w:after="0" w:line="223" w:lineRule="exact"/>
        <w:rPr>
          <w:sz w:val="20"/>
          <w:szCs w:val="20"/>
          <w:color w:val="auto"/>
        </w:rPr>
      </w:pPr>
    </w:p>
    <w:p>
      <w:pPr>
        <w:jc w:val="center"/>
        <w:ind w:right="-119"/>
        <w:spacing w:after="0"/>
        <w:tabs>
          <w:tab w:leader="none" w:pos="220" w:val="left"/>
        </w:tabs>
        <w:rPr>
          <w:sz w:val="20"/>
          <w:szCs w:val="20"/>
          <w:color w:val="auto"/>
        </w:rPr>
      </w:pPr>
      <w:r>
        <w:rPr>
          <w:rFonts w:ascii="Arial" w:cs="Arial" w:eastAsia="Arial" w:hAnsi="Arial"/>
          <w:sz w:val="18"/>
          <w:szCs w:val="18"/>
          <w:color w:val="231F20"/>
        </w:rPr>
        <w:t>3.7.4.</w:t>
      </w:r>
      <w:r>
        <w:rPr>
          <w:sz w:val="20"/>
          <w:szCs w:val="20"/>
          <w:color w:val="auto"/>
        </w:rPr>
        <w:tab/>
      </w:r>
      <w:r>
        <w:rPr>
          <w:rFonts w:ascii="Arial" w:cs="Arial" w:eastAsia="Arial" w:hAnsi="Arial"/>
          <w:sz w:val="16"/>
          <w:szCs w:val="16"/>
          <w:color w:val="231F20"/>
        </w:rPr>
        <w:t>increase or decrease the authorized number of Series A Preferred Directors.</w:t>
      </w:r>
    </w:p>
    <w:p>
      <w:pPr>
        <w:spacing w:after="0" w:line="304" w:lineRule="exact"/>
        <w:rPr>
          <w:sz w:val="20"/>
          <w:szCs w:val="20"/>
          <w:color w:val="auto"/>
        </w:rPr>
      </w:pPr>
    </w:p>
    <w:p>
      <w:pPr>
        <w:ind w:left="1940" w:hanging="641"/>
        <w:spacing w:after="0"/>
        <w:tabs>
          <w:tab w:leader="none" w:pos="1940" w:val="left"/>
        </w:tabs>
        <w:numPr>
          <w:ilvl w:val="0"/>
          <w:numId w:val="141"/>
        </w:numPr>
        <w:rPr>
          <w:rFonts w:ascii="Arial" w:cs="Arial" w:eastAsia="Arial" w:hAnsi="Arial"/>
          <w:sz w:val="18"/>
          <w:szCs w:val="18"/>
          <w:b w:val="1"/>
          <w:bCs w:val="1"/>
          <w:color w:val="231F20"/>
        </w:rPr>
      </w:pPr>
      <w:r>
        <w:rPr>
          <w:rFonts w:ascii="Arial" w:cs="Arial" w:eastAsia="Arial" w:hAnsi="Arial"/>
          <w:sz w:val="18"/>
          <w:szCs w:val="18"/>
          <w:color w:val="231F20"/>
        </w:rPr>
        <w:t>Optional Conversion.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8"/>
          <w:szCs w:val="18"/>
          <w:color w:val="231F20"/>
        </w:rPr>
        <w:t>The holders of the Preferred Stock shall have conversion rights as follows (the “</w:t>
      </w:r>
      <w:r>
        <w:rPr>
          <w:rFonts w:ascii="Arial" w:cs="Arial" w:eastAsia="Arial" w:hAnsi="Arial"/>
          <w:sz w:val="18"/>
          <w:szCs w:val="18"/>
          <w:b w:val="1"/>
          <w:bCs w:val="1"/>
          <w:color w:val="231F20"/>
        </w:rPr>
        <w:t>Conversion Rights</w:t>
      </w:r>
      <w:r>
        <w:rPr>
          <w:rFonts w:ascii="Arial" w:cs="Arial" w:eastAsia="Arial" w:hAnsi="Arial"/>
          <w:sz w:val="18"/>
          <w:szCs w:val="18"/>
          <w:color w:val="231F20"/>
        </w:rPr>
        <w:t>”):</w:t>
      </w:r>
    </w:p>
    <w:p>
      <w:pPr>
        <w:spacing w:after="0" w:line="241"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18"/>
          <w:szCs w:val="18"/>
          <w:color w:val="231F20"/>
        </w:rPr>
        <w:t>4.1.</w:t>
      </w:r>
      <w:r>
        <w:rPr>
          <w:sz w:val="20"/>
          <w:szCs w:val="20"/>
          <w:color w:val="auto"/>
        </w:rPr>
        <w:tab/>
      </w:r>
      <w:r>
        <w:rPr>
          <w:rFonts w:ascii="Arial" w:cs="Arial" w:eastAsia="Arial" w:hAnsi="Arial"/>
          <w:sz w:val="16"/>
          <w:szCs w:val="16"/>
          <w:u w:val="single" w:color="auto"/>
          <w:color w:val="231F20"/>
        </w:rPr>
        <w:t>Right to Convert.</w:t>
      </w:r>
    </w:p>
    <w:p>
      <w:pPr>
        <w:spacing w:after="0" w:line="223" w:lineRule="exact"/>
        <w:rPr>
          <w:sz w:val="20"/>
          <w:szCs w:val="20"/>
          <w:color w:val="auto"/>
        </w:rPr>
      </w:pPr>
    </w:p>
    <w:p>
      <w:pPr>
        <w:jc w:val="both"/>
        <w:ind w:firstLine="2583"/>
        <w:spacing w:after="0" w:line="272" w:lineRule="auto"/>
        <w:rPr>
          <w:sz w:val="20"/>
          <w:szCs w:val="20"/>
          <w:color w:val="auto"/>
        </w:rPr>
      </w:pPr>
      <w:r>
        <w:rPr>
          <w:rFonts w:ascii="Arial" w:cs="Arial" w:eastAsia="Arial" w:hAnsi="Arial"/>
          <w:sz w:val="17"/>
          <w:szCs w:val="17"/>
          <w:color w:val="231F20"/>
        </w:rPr>
        <w:t xml:space="preserve">4.1.1. </w:t>
      </w:r>
      <w:r>
        <w:rPr>
          <w:rFonts w:ascii="Arial" w:cs="Arial" w:eastAsia="Arial" w:hAnsi="Arial"/>
          <w:sz w:val="17"/>
          <w:szCs w:val="17"/>
          <w:u w:val="single" w:color="auto"/>
          <w:color w:val="231F20"/>
        </w:rPr>
        <w:t>Conversion Ratio</w:t>
      </w:r>
      <w:r>
        <w:rPr>
          <w:rFonts w:ascii="Arial" w:cs="Arial" w:eastAsia="Arial" w:hAnsi="Arial"/>
          <w:sz w:val="17"/>
          <w:szCs w:val="17"/>
          <w:color w:val="231F20"/>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w:t>
      </w:r>
      <w:r>
        <w:rPr>
          <w:rFonts w:ascii="Arial" w:cs="Arial" w:eastAsia="Arial" w:hAnsi="Arial"/>
          <w:sz w:val="17"/>
          <w:szCs w:val="17"/>
          <w:b w:val="1"/>
          <w:bCs w:val="1"/>
          <w:color w:val="231F20"/>
        </w:rPr>
        <w:t>Conversion Price</w:t>
      </w:r>
      <w:r>
        <w:rPr>
          <w:rFonts w:ascii="Arial" w:cs="Arial" w:eastAsia="Arial" w:hAnsi="Arial"/>
          <w:sz w:val="17"/>
          <w:szCs w:val="17"/>
          <w:color w:val="231F20"/>
        </w:rPr>
        <w:t>” shall, with respect to any series of Preferred Stock, initially be equal to the applicable Original Issue Price for such series of Preferred Stock. Such initial Conversion Price, and the rate at which shares of Preferred Stock may be converted into shares of Common Stock, shall be subject to adjustment as provided below.</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9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50" w:name="page251"/>
    <w:bookmarkEnd w:id="250"/>
    <w:p>
      <w:pPr>
        <w:jc w:val="both"/>
        <w:ind w:firstLine="2583"/>
        <w:spacing w:after="0" w:line="262" w:lineRule="auto"/>
        <w:rPr>
          <w:sz w:val="20"/>
          <w:szCs w:val="20"/>
          <w:color w:val="auto"/>
        </w:rPr>
      </w:pPr>
      <w:r>
        <w:rPr>
          <w:rFonts w:ascii="Arial" w:cs="Arial" w:eastAsia="Arial" w:hAnsi="Arial"/>
          <w:sz w:val="18"/>
          <w:szCs w:val="18"/>
          <w:color w:val="231F20"/>
        </w:rPr>
        <w:t xml:space="preserve">4.1.2. </w:t>
      </w:r>
      <w:r>
        <w:rPr>
          <w:rFonts w:ascii="Arial" w:cs="Arial" w:eastAsia="Arial" w:hAnsi="Arial"/>
          <w:sz w:val="18"/>
          <w:szCs w:val="18"/>
          <w:u w:val="single" w:color="auto"/>
          <w:color w:val="231F20"/>
        </w:rPr>
        <w:t>Termination of Conversion Rights</w:t>
      </w:r>
      <w:r>
        <w:rPr>
          <w:rFonts w:ascii="Arial" w:cs="Arial" w:eastAsia="Arial" w:hAnsi="Arial"/>
          <w:sz w:val="18"/>
          <w:szCs w:val="18"/>
          <w:color w:val="231F20"/>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3" w:lineRule="exact"/>
        <w:rPr>
          <w:sz w:val="20"/>
          <w:szCs w:val="20"/>
          <w:color w:val="auto"/>
        </w:rPr>
      </w:pPr>
    </w:p>
    <w:p>
      <w:pPr>
        <w:jc w:val="both"/>
        <w:ind w:firstLine="1937"/>
        <w:spacing w:after="0" w:line="256" w:lineRule="auto"/>
        <w:rPr>
          <w:sz w:val="20"/>
          <w:szCs w:val="20"/>
          <w:color w:val="auto"/>
        </w:rPr>
      </w:pPr>
      <w:r>
        <w:rPr>
          <w:rFonts w:ascii="Arial" w:cs="Arial" w:eastAsia="Arial" w:hAnsi="Arial"/>
          <w:sz w:val="18"/>
          <w:szCs w:val="18"/>
          <w:color w:val="231F20"/>
        </w:rPr>
        <w:t xml:space="preserve">4.2. </w:t>
      </w:r>
      <w:r>
        <w:rPr>
          <w:rFonts w:ascii="Arial" w:cs="Arial" w:eastAsia="Arial" w:hAnsi="Arial"/>
          <w:sz w:val="18"/>
          <w:szCs w:val="18"/>
          <w:u w:val="single" w:color="auto"/>
          <w:color w:val="231F20"/>
        </w:rPr>
        <w:t>Fractional Shares</w:t>
      </w:r>
      <w:r>
        <w:rPr>
          <w:rFonts w:ascii="Arial" w:cs="Arial" w:eastAsia="Arial" w:hAnsi="Arial"/>
          <w:sz w:val="18"/>
          <w:szCs w:val="18"/>
          <w:color w:val="231F20"/>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268"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18"/>
          <w:szCs w:val="18"/>
          <w:color w:val="231F20"/>
        </w:rPr>
        <w:t>4.3.</w:t>
      </w:r>
      <w:r>
        <w:rPr>
          <w:sz w:val="20"/>
          <w:szCs w:val="20"/>
          <w:color w:val="auto"/>
        </w:rPr>
        <w:tab/>
      </w:r>
      <w:r>
        <w:rPr>
          <w:rFonts w:ascii="Arial" w:cs="Arial" w:eastAsia="Arial" w:hAnsi="Arial"/>
          <w:sz w:val="16"/>
          <w:szCs w:val="16"/>
          <w:u w:val="single" w:color="auto"/>
          <w:color w:val="231F20"/>
        </w:rPr>
        <w:t>Mechanics of Conversion.</w:t>
      </w:r>
    </w:p>
    <w:p>
      <w:pPr>
        <w:spacing w:after="0" w:line="223" w:lineRule="exact"/>
        <w:rPr>
          <w:sz w:val="20"/>
          <w:szCs w:val="20"/>
          <w:color w:val="auto"/>
        </w:rPr>
      </w:pPr>
    </w:p>
    <w:p>
      <w:pPr>
        <w:jc w:val="both"/>
        <w:ind w:firstLine="2583"/>
        <w:spacing w:after="0" w:line="266" w:lineRule="auto"/>
        <w:rPr>
          <w:sz w:val="20"/>
          <w:szCs w:val="20"/>
          <w:color w:val="auto"/>
        </w:rPr>
      </w:pPr>
      <w:r>
        <w:rPr>
          <w:rFonts w:ascii="Arial" w:cs="Arial" w:eastAsia="Arial" w:hAnsi="Arial"/>
          <w:sz w:val="17"/>
          <w:szCs w:val="17"/>
          <w:color w:val="231F20"/>
        </w:rPr>
        <w:t xml:space="preserve">4.3.1. </w:t>
      </w:r>
      <w:r>
        <w:rPr>
          <w:rFonts w:ascii="Arial" w:cs="Arial" w:eastAsia="Arial" w:hAnsi="Arial"/>
          <w:sz w:val="17"/>
          <w:szCs w:val="17"/>
          <w:u w:val="single" w:color="auto"/>
          <w:color w:val="231F20"/>
        </w:rPr>
        <w:t>Notice of Conversion</w:t>
      </w:r>
      <w:r>
        <w:rPr>
          <w:rFonts w:ascii="Arial" w:cs="Arial" w:eastAsia="Arial" w:hAnsi="Arial"/>
          <w:sz w:val="17"/>
          <w:szCs w:val="17"/>
          <w:color w:val="231F20"/>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7"/>
          <w:szCs w:val="17"/>
          <w:b w:val="1"/>
          <w:bCs w:val="1"/>
          <w:color w:val="231F20"/>
        </w:rPr>
        <w:t>Conversion Time</w:t>
      </w:r>
      <w:r>
        <w:rPr>
          <w:rFonts w:ascii="Arial" w:cs="Arial" w:eastAsia="Arial" w:hAnsi="Arial"/>
          <w:sz w:val="17"/>
          <w:szCs w:val="17"/>
          <w:color w:val="231F20"/>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7"/>
          <w:szCs w:val="17"/>
          <w:u w:val="single" w:color="auto"/>
          <w:color w:val="231F20"/>
        </w:rPr>
        <w:t>Section 4.2</w:t>
      </w:r>
      <w:r>
        <w:rPr>
          <w:rFonts w:ascii="Arial" w:cs="Arial" w:eastAsia="Arial" w:hAnsi="Arial"/>
          <w:sz w:val="17"/>
          <w:szCs w:val="17"/>
          <w:color w:val="231F20"/>
        </w:rPr>
        <w:t xml:space="preserve"> in lieu of any fraction of a share of Common Stock otherwise issuable upon such conversion and (iii) pay all declared but unpaid dividends on the shares of Preferred Stock converted.</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9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251" w:name="page252"/>
    <w:bookmarkEnd w:id="251"/>
    <w:p>
      <w:pPr>
        <w:jc w:val="both"/>
        <w:ind w:firstLine="2583"/>
        <w:spacing w:after="0" w:line="287" w:lineRule="auto"/>
        <w:rPr>
          <w:sz w:val="20"/>
          <w:szCs w:val="20"/>
          <w:color w:val="auto"/>
        </w:rPr>
      </w:pPr>
      <w:r>
        <w:rPr>
          <w:rFonts w:ascii="Arial" w:cs="Arial" w:eastAsia="Arial" w:hAnsi="Arial"/>
          <w:sz w:val="16"/>
          <w:szCs w:val="16"/>
          <w:color w:val="231F20"/>
        </w:rPr>
        <w:t xml:space="preserve">4.3.2. </w:t>
      </w:r>
      <w:r>
        <w:rPr>
          <w:rFonts w:ascii="Arial" w:cs="Arial" w:eastAsia="Arial" w:hAnsi="Arial"/>
          <w:sz w:val="16"/>
          <w:szCs w:val="16"/>
          <w:u w:val="single" w:color="auto"/>
          <w:color w:val="231F20"/>
        </w:rPr>
        <w:t>Reservation of Shares</w:t>
      </w:r>
      <w:r>
        <w:rPr>
          <w:rFonts w:ascii="Arial" w:cs="Arial" w:eastAsia="Arial" w:hAnsi="Arial"/>
          <w:sz w:val="16"/>
          <w:szCs w:val="16"/>
          <w:color w:val="231F20"/>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 of Incorporation. Before taking any action which would cause an adjustment reducing the applicable Conversion Price for a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81" w:lineRule="exact"/>
        <w:rPr>
          <w:sz w:val="20"/>
          <w:szCs w:val="20"/>
          <w:color w:val="auto"/>
        </w:rPr>
      </w:pPr>
    </w:p>
    <w:p>
      <w:pPr>
        <w:jc w:val="both"/>
        <w:ind w:firstLine="2583"/>
        <w:spacing w:after="0" w:line="253" w:lineRule="auto"/>
        <w:rPr>
          <w:sz w:val="20"/>
          <w:szCs w:val="20"/>
          <w:color w:val="auto"/>
        </w:rPr>
      </w:pPr>
      <w:r>
        <w:rPr>
          <w:rFonts w:ascii="Arial" w:cs="Arial" w:eastAsia="Arial" w:hAnsi="Arial"/>
          <w:sz w:val="18"/>
          <w:szCs w:val="18"/>
          <w:color w:val="231F20"/>
        </w:rPr>
        <w:t xml:space="preserve">4.3.3. </w:t>
      </w:r>
      <w:r>
        <w:rPr>
          <w:rFonts w:ascii="Arial" w:cs="Arial" w:eastAsia="Arial" w:hAnsi="Arial"/>
          <w:sz w:val="18"/>
          <w:szCs w:val="18"/>
          <w:u w:val="single" w:color="auto"/>
          <w:color w:val="231F20"/>
        </w:rPr>
        <w:t>Effect of Conversion</w:t>
      </w:r>
      <w:r>
        <w:rPr>
          <w:rFonts w:ascii="Arial" w:cs="Arial" w:eastAsia="Arial" w:hAnsi="Arial"/>
          <w:sz w:val="18"/>
          <w:szCs w:val="18"/>
          <w:color w:val="231F20"/>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8"/>
          <w:szCs w:val="18"/>
          <w:u w:val="single" w:color="auto"/>
          <w:color w:val="231F20"/>
        </w:rPr>
        <w:t>Section 4.2</w:t>
      </w:r>
      <w:r>
        <w:rPr>
          <w:rFonts w:ascii="Arial" w:cs="Arial" w:eastAsia="Arial" w:hAnsi="Arial"/>
          <w:sz w:val="18"/>
          <w:szCs w:val="18"/>
          <w:color w:val="231F20"/>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95" w:lineRule="exact"/>
        <w:rPr>
          <w:sz w:val="20"/>
          <w:szCs w:val="20"/>
          <w:color w:val="auto"/>
        </w:rPr>
      </w:pPr>
    </w:p>
    <w:p>
      <w:pPr>
        <w:jc w:val="both"/>
        <w:ind w:firstLine="2583"/>
        <w:spacing w:after="0" w:line="306" w:lineRule="auto"/>
        <w:rPr>
          <w:sz w:val="20"/>
          <w:szCs w:val="20"/>
          <w:color w:val="auto"/>
        </w:rPr>
      </w:pPr>
      <w:r>
        <w:rPr>
          <w:rFonts w:ascii="Arial" w:cs="Arial" w:eastAsia="Arial" w:hAnsi="Arial"/>
          <w:sz w:val="17"/>
          <w:szCs w:val="17"/>
          <w:color w:val="231F20"/>
        </w:rPr>
        <w:t xml:space="preserve">4.3.4. </w:t>
      </w:r>
      <w:r>
        <w:rPr>
          <w:rFonts w:ascii="Arial" w:cs="Arial" w:eastAsia="Arial" w:hAnsi="Arial"/>
          <w:sz w:val="17"/>
          <w:szCs w:val="17"/>
          <w:u w:val="single" w:color="auto"/>
          <w:color w:val="231F20"/>
        </w:rPr>
        <w:t>No Further Adjustment</w:t>
      </w:r>
      <w:r>
        <w:rPr>
          <w:rFonts w:ascii="Arial" w:cs="Arial" w:eastAsia="Arial" w:hAnsi="Arial"/>
          <w:sz w:val="17"/>
          <w:szCs w:val="17"/>
          <w:color w:val="231F20"/>
        </w:rPr>
        <w:t>. Upon any such conversion, no adjustment to the Conversion Price shall be made for any declared but unpaid dividends on the Preferred Stock surrendered for conversion or on the Common Stock delivered upon conversion.</w:t>
      </w:r>
    </w:p>
    <w:p>
      <w:pPr>
        <w:spacing w:after="0" w:line="161" w:lineRule="exact"/>
        <w:rPr>
          <w:sz w:val="20"/>
          <w:szCs w:val="20"/>
          <w:color w:val="auto"/>
        </w:rPr>
      </w:pPr>
    </w:p>
    <w:p>
      <w:pPr>
        <w:jc w:val="both"/>
        <w:ind w:firstLine="2583"/>
        <w:spacing w:after="0" w:line="254" w:lineRule="auto"/>
        <w:rPr>
          <w:sz w:val="20"/>
          <w:szCs w:val="20"/>
          <w:color w:val="auto"/>
        </w:rPr>
      </w:pPr>
      <w:r>
        <w:rPr>
          <w:rFonts w:ascii="Arial" w:cs="Arial" w:eastAsia="Arial" w:hAnsi="Arial"/>
          <w:sz w:val="18"/>
          <w:szCs w:val="18"/>
          <w:color w:val="231F20"/>
        </w:rPr>
        <w:t xml:space="preserve">4.3.5. </w:t>
      </w:r>
      <w:r>
        <w:rPr>
          <w:rFonts w:ascii="Arial" w:cs="Arial" w:eastAsia="Arial" w:hAnsi="Arial"/>
          <w:sz w:val="18"/>
          <w:szCs w:val="18"/>
          <w:u w:val="single" w:color="auto"/>
          <w:color w:val="231F20"/>
        </w:rPr>
        <w:t>Taxes</w:t>
      </w:r>
      <w:r>
        <w:rPr>
          <w:rFonts w:ascii="Arial" w:cs="Arial" w:eastAsia="Arial" w:hAnsi="Arial"/>
          <w:sz w:val="18"/>
          <w:szCs w:val="18"/>
          <w:color w:val="231F20"/>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231F20"/>
        </w:rPr>
        <w:t>Section 4</w:t>
      </w:r>
      <w:r>
        <w:rPr>
          <w:rFonts w:ascii="Arial" w:cs="Arial" w:eastAsia="Arial" w:hAnsi="Arial"/>
          <w:sz w:val="18"/>
          <w:szCs w:val="18"/>
          <w:color w:val="231F20"/>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206"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18"/>
          <w:szCs w:val="18"/>
          <w:color w:val="231F20"/>
        </w:rPr>
        <w:t>4.4.</w:t>
      </w:r>
      <w:r>
        <w:rPr>
          <w:sz w:val="20"/>
          <w:szCs w:val="20"/>
          <w:color w:val="auto"/>
        </w:rPr>
        <w:tab/>
      </w:r>
      <w:r>
        <w:rPr>
          <w:rFonts w:ascii="Arial" w:cs="Arial" w:eastAsia="Arial" w:hAnsi="Arial"/>
          <w:sz w:val="16"/>
          <w:szCs w:val="16"/>
          <w:u w:val="single" w:color="auto"/>
          <w:color w:val="231F20"/>
        </w:rPr>
        <w:t>Adjustments to Conversion Price for Diluting Issues.</w:t>
      </w:r>
    </w:p>
    <w:p>
      <w:pPr>
        <w:spacing w:after="0" w:line="237" w:lineRule="exact"/>
        <w:rPr>
          <w:sz w:val="20"/>
          <w:szCs w:val="20"/>
          <w:color w:val="auto"/>
        </w:rPr>
      </w:pPr>
    </w:p>
    <w:p>
      <w:pPr>
        <w:ind w:left="2600"/>
        <w:spacing w:after="0"/>
        <w:tabs>
          <w:tab w:leader="none" w:pos="3240" w:val="left"/>
        </w:tabs>
        <w:rPr>
          <w:sz w:val="20"/>
          <w:szCs w:val="20"/>
          <w:color w:val="auto"/>
        </w:rPr>
      </w:pPr>
      <w:r>
        <w:rPr>
          <w:rFonts w:ascii="Arial" w:cs="Arial" w:eastAsia="Arial" w:hAnsi="Arial"/>
          <w:sz w:val="18"/>
          <w:szCs w:val="18"/>
          <w:color w:val="231F20"/>
        </w:rPr>
        <w:t>4.4.1.</w:t>
      </w:r>
      <w:r>
        <w:rPr>
          <w:sz w:val="20"/>
          <w:szCs w:val="20"/>
          <w:color w:val="auto"/>
        </w:rPr>
        <w:tab/>
      </w:r>
      <w:r>
        <w:rPr>
          <w:rFonts w:ascii="Arial" w:cs="Arial" w:eastAsia="Arial" w:hAnsi="Arial"/>
          <w:sz w:val="16"/>
          <w:szCs w:val="16"/>
          <w:u w:val="single" w:color="auto"/>
          <w:color w:val="231F20"/>
        </w:rPr>
        <w:t>Special Definitions</w:t>
      </w:r>
      <w:r>
        <w:rPr>
          <w:rFonts w:ascii="Arial" w:cs="Arial" w:eastAsia="Arial" w:hAnsi="Arial"/>
          <w:sz w:val="16"/>
          <w:szCs w:val="16"/>
          <w:color w:val="231F20"/>
        </w:rPr>
        <w:t>. For purposes of this Article Fourth, the following definitions shall apply:</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9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1" w:right="439" w:bottom="1440" w:gutter="0" w:footer="0" w:header="0"/>
        </w:sectPr>
      </w:pPr>
    </w:p>
    <w:bookmarkStart w:id="252" w:name="page253"/>
    <w:bookmarkEnd w:id="252"/>
    <w:p>
      <w:pPr>
        <w:ind w:left="3240"/>
        <w:spacing w:after="0"/>
        <w:tabs>
          <w:tab w:leader="none" w:pos="3840" w:val="left"/>
        </w:tabs>
        <w:rPr>
          <w:sz w:val="20"/>
          <w:szCs w:val="20"/>
          <w:color w:val="auto"/>
        </w:rPr>
      </w:pPr>
      <w:r>
        <w:rPr>
          <w:rFonts w:ascii="Arial" w:cs="Arial" w:eastAsia="Arial" w:hAnsi="Arial"/>
          <w:sz w:val="17"/>
          <w:szCs w:val="17"/>
          <w:color w:val="231F20"/>
        </w:rPr>
        <w:t>(a)</w:t>
      </w:r>
      <w:r>
        <w:rPr>
          <w:sz w:val="20"/>
          <w:szCs w:val="20"/>
          <w:color w:val="auto"/>
        </w:rPr>
        <w:tab/>
      </w:r>
      <w:r>
        <w:rPr>
          <w:rFonts w:ascii="Arial" w:cs="Arial" w:eastAsia="Arial" w:hAnsi="Arial"/>
          <w:sz w:val="17"/>
          <w:szCs w:val="17"/>
          <w:color w:val="231F20"/>
        </w:rPr>
        <w:t>“</w:t>
      </w:r>
      <w:r>
        <w:rPr>
          <w:rFonts w:ascii="Arial" w:cs="Arial" w:eastAsia="Arial" w:hAnsi="Arial"/>
          <w:sz w:val="17"/>
          <w:szCs w:val="17"/>
          <w:b w:val="1"/>
          <w:bCs w:val="1"/>
          <w:color w:val="231F20"/>
        </w:rPr>
        <w:t>Option</w:t>
      </w:r>
      <w:r>
        <w:rPr>
          <w:rFonts w:ascii="Arial" w:cs="Arial" w:eastAsia="Arial" w:hAnsi="Arial"/>
          <w:sz w:val="17"/>
          <w:szCs w:val="17"/>
          <w:color w:val="231F20"/>
        </w:rPr>
        <w:t>” shall mean rights, options or warrants to subscribe for, purchase or otherwise acquire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231F20"/>
        </w:rPr>
        <w:t>Common Stock or Convertible Securities.</w:t>
      </w:r>
    </w:p>
    <w:p>
      <w:pPr>
        <w:spacing w:after="0" w:line="218" w:lineRule="exact"/>
        <w:rPr>
          <w:sz w:val="20"/>
          <w:szCs w:val="20"/>
          <w:color w:val="auto"/>
        </w:rPr>
      </w:pPr>
    </w:p>
    <w:p>
      <w:pPr>
        <w:ind w:left="3880" w:hanging="644"/>
        <w:spacing w:after="0"/>
        <w:tabs>
          <w:tab w:leader="none" w:pos="3880" w:val="left"/>
        </w:tabs>
        <w:numPr>
          <w:ilvl w:val="0"/>
          <w:numId w:val="142"/>
        </w:numPr>
        <w:rPr>
          <w:rFonts w:ascii="Arial" w:cs="Arial" w:eastAsia="Arial" w:hAnsi="Arial"/>
          <w:sz w:val="16"/>
          <w:szCs w:val="16"/>
          <w:color w:val="231F20"/>
        </w:rPr>
      </w:pPr>
      <w:r>
        <w:rPr>
          <w:rFonts w:ascii="Arial" w:cs="Arial" w:eastAsia="Arial" w:hAnsi="Arial"/>
          <w:sz w:val="16"/>
          <w:szCs w:val="16"/>
          <w:color w:val="231F20"/>
        </w:rPr>
        <w:t>“</w:t>
      </w:r>
      <w:r>
        <w:rPr>
          <w:rFonts w:ascii="Arial" w:cs="Arial" w:eastAsia="Arial" w:hAnsi="Arial"/>
          <w:sz w:val="16"/>
          <w:szCs w:val="16"/>
          <w:b w:val="1"/>
          <w:bCs w:val="1"/>
          <w:color w:val="231F20"/>
        </w:rPr>
        <w:t>Series C Original Issue Date</w:t>
      </w:r>
      <w:r>
        <w:rPr>
          <w:rFonts w:ascii="Arial" w:cs="Arial" w:eastAsia="Arial" w:hAnsi="Arial"/>
          <w:sz w:val="16"/>
          <w:szCs w:val="16"/>
          <w:color w:val="231F20"/>
        </w:rPr>
        <w:t>” shall mean the date on which the first share of Series C Preferred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231F20"/>
        </w:rPr>
        <w:t>Stock was issued.</w:t>
      </w:r>
    </w:p>
    <w:p>
      <w:pPr>
        <w:spacing w:after="0" w:line="205" w:lineRule="exact"/>
        <w:rPr>
          <w:sz w:val="20"/>
          <w:szCs w:val="20"/>
          <w:color w:val="auto"/>
        </w:rPr>
      </w:pPr>
    </w:p>
    <w:p>
      <w:pPr>
        <w:ind w:firstLine="3236"/>
        <w:spacing w:after="0" w:line="280" w:lineRule="auto"/>
        <w:tabs>
          <w:tab w:leader="none" w:pos="3907" w:val="left"/>
        </w:tabs>
        <w:numPr>
          <w:ilvl w:val="0"/>
          <w:numId w:val="143"/>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color w:val="231F20"/>
        </w:rPr>
        <w:t>Convertible Securities</w:t>
      </w:r>
      <w:r>
        <w:rPr>
          <w:rFonts w:ascii="Arial" w:cs="Arial" w:eastAsia="Arial" w:hAnsi="Arial"/>
          <w:sz w:val="18"/>
          <w:szCs w:val="18"/>
          <w:color w:val="231F20"/>
        </w:rPr>
        <w:t>” shall mean any evidences of indebtedness, shares or other securities directly or indirectly convertible into or exchangeable for Common Stock, but excluding Options.</w:t>
      </w:r>
    </w:p>
    <w:p>
      <w:pPr>
        <w:spacing w:after="0" w:line="176" w:lineRule="exact"/>
        <w:rPr>
          <w:rFonts w:ascii="Arial" w:cs="Arial" w:eastAsia="Arial" w:hAnsi="Arial"/>
          <w:sz w:val="18"/>
          <w:szCs w:val="18"/>
          <w:color w:val="231F20"/>
        </w:rPr>
      </w:pPr>
    </w:p>
    <w:p>
      <w:pPr>
        <w:jc w:val="both"/>
        <w:ind w:firstLine="3236"/>
        <w:spacing w:after="0" w:line="259" w:lineRule="auto"/>
        <w:tabs>
          <w:tab w:leader="none" w:pos="3881" w:val="left"/>
        </w:tabs>
        <w:numPr>
          <w:ilvl w:val="0"/>
          <w:numId w:val="143"/>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color w:val="231F20"/>
        </w:rPr>
        <w:t>Additional Shares of Common Stock</w:t>
      </w:r>
      <w:r>
        <w:rPr>
          <w:rFonts w:ascii="Arial" w:cs="Arial" w:eastAsia="Arial" w:hAnsi="Arial"/>
          <w:sz w:val="18"/>
          <w:szCs w:val="18"/>
          <w:color w:val="231F20"/>
        </w:rPr>
        <w:t xml:space="preserve">” shall mean all shares of Common Stock issued (or, pursuant to </w:t>
      </w:r>
      <w:r>
        <w:rPr>
          <w:rFonts w:ascii="Arial" w:cs="Arial" w:eastAsia="Arial" w:hAnsi="Arial"/>
          <w:sz w:val="18"/>
          <w:szCs w:val="18"/>
          <w:u w:val="single" w:color="auto"/>
          <w:color w:val="231F20"/>
        </w:rPr>
        <w:t>Section 4.4.3</w:t>
      </w:r>
      <w:r>
        <w:rPr>
          <w:rFonts w:ascii="Arial" w:cs="Arial" w:eastAsia="Arial" w:hAnsi="Arial"/>
          <w:sz w:val="18"/>
          <w:szCs w:val="18"/>
          <w:color w:val="231F20"/>
        </w:rPr>
        <w:t xml:space="preserve"> below, deemed to be issued) by the Corporation after the Series C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231F20"/>
        </w:rPr>
        <w:t>Exempted Securities</w:t>
      </w:r>
      <w:r>
        <w:rPr>
          <w:rFonts w:ascii="Arial" w:cs="Arial" w:eastAsia="Arial" w:hAnsi="Arial"/>
          <w:sz w:val="18"/>
          <w:szCs w:val="18"/>
          <w:color w:val="231F20"/>
        </w:rPr>
        <w:t>”):</w:t>
      </w:r>
    </w:p>
    <w:p>
      <w:pPr>
        <w:spacing w:after="0" w:line="200" w:lineRule="exact"/>
        <w:rPr>
          <w:rFonts w:ascii="Arial" w:cs="Arial" w:eastAsia="Arial" w:hAnsi="Arial"/>
          <w:sz w:val="18"/>
          <w:szCs w:val="18"/>
          <w:color w:val="231F20"/>
        </w:rPr>
      </w:pPr>
    </w:p>
    <w:p>
      <w:pPr>
        <w:jc w:val="both"/>
        <w:ind w:left="4520" w:right="20" w:hanging="638"/>
        <w:spacing w:after="0" w:line="262" w:lineRule="auto"/>
        <w:tabs>
          <w:tab w:leader="none" w:pos="4520" w:val="left"/>
        </w:tabs>
        <w:numPr>
          <w:ilvl w:val="1"/>
          <w:numId w:val="143"/>
        </w:numPr>
        <w:rPr>
          <w:rFonts w:ascii="Arial" w:cs="Arial" w:eastAsia="Arial" w:hAnsi="Arial"/>
          <w:sz w:val="18"/>
          <w:szCs w:val="18"/>
          <w:color w:val="231F20"/>
        </w:rPr>
      </w:pPr>
      <w:r>
        <w:rPr>
          <w:rFonts w:ascii="Arial" w:cs="Arial" w:eastAsia="Arial" w:hAnsi="Arial"/>
          <w:sz w:val="18"/>
          <w:szCs w:val="18"/>
          <w:color w:val="231F20"/>
        </w:rPr>
        <w:t>shares of Common Stock, Options or Convertible Securities issued as a dividend or distribution on Preferred Stock that are outstanding as of immediately following the Closing (as defined in the Purchase Agreement);</w:t>
      </w:r>
    </w:p>
    <w:p>
      <w:pPr>
        <w:spacing w:after="0" w:line="196" w:lineRule="exact"/>
        <w:rPr>
          <w:rFonts w:ascii="Arial" w:cs="Arial" w:eastAsia="Arial" w:hAnsi="Arial"/>
          <w:sz w:val="18"/>
          <w:szCs w:val="18"/>
          <w:color w:val="231F20"/>
        </w:rPr>
      </w:pPr>
    </w:p>
    <w:p>
      <w:pPr>
        <w:jc w:val="both"/>
        <w:ind w:left="4520" w:hanging="638"/>
        <w:spacing w:after="0" w:line="258" w:lineRule="auto"/>
        <w:tabs>
          <w:tab w:leader="none" w:pos="4520" w:val="left"/>
        </w:tabs>
        <w:numPr>
          <w:ilvl w:val="1"/>
          <w:numId w:val="143"/>
        </w:numPr>
        <w:rPr>
          <w:rFonts w:ascii="Arial" w:cs="Arial" w:eastAsia="Arial" w:hAnsi="Arial"/>
          <w:sz w:val="18"/>
          <w:szCs w:val="18"/>
          <w:color w:val="231F20"/>
        </w:rPr>
      </w:pPr>
      <w:r>
        <w:rPr>
          <w:rFonts w:ascii="Arial" w:cs="Arial" w:eastAsia="Arial" w:hAnsi="Arial"/>
          <w:sz w:val="18"/>
          <w:szCs w:val="18"/>
          <w:color w:val="231F20"/>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231F20"/>
        </w:rPr>
        <w:t>Section 4.5</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4.6</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4.7</w:t>
      </w:r>
      <w:r>
        <w:rPr>
          <w:rFonts w:ascii="Arial" w:cs="Arial" w:eastAsia="Arial" w:hAnsi="Arial"/>
          <w:sz w:val="18"/>
          <w:szCs w:val="18"/>
          <w:color w:val="231F20"/>
        </w:rPr>
        <w:t xml:space="preserve"> or </w:t>
      </w:r>
      <w:r>
        <w:rPr>
          <w:rFonts w:ascii="Arial" w:cs="Arial" w:eastAsia="Arial" w:hAnsi="Arial"/>
          <w:sz w:val="18"/>
          <w:szCs w:val="18"/>
          <w:u w:val="single" w:color="auto"/>
          <w:color w:val="231F20"/>
        </w:rPr>
        <w:t>4.8</w:t>
      </w:r>
      <w:r>
        <w:rPr>
          <w:rFonts w:ascii="Arial" w:cs="Arial" w:eastAsia="Arial" w:hAnsi="Arial"/>
          <w:sz w:val="18"/>
          <w:szCs w:val="18"/>
          <w:color w:val="231F20"/>
        </w:rPr>
        <w:t xml:space="preserve"> and approved by the Board, including at least two (2) Preferred Directors;</w:t>
      </w:r>
    </w:p>
    <w:p>
      <w:pPr>
        <w:spacing w:after="0" w:line="186" w:lineRule="exact"/>
        <w:rPr>
          <w:rFonts w:ascii="Arial" w:cs="Arial" w:eastAsia="Arial" w:hAnsi="Arial"/>
          <w:sz w:val="18"/>
          <w:szCs w:val="18"/>
          <w:color w:val="231F20"/>
        </w:rPr>
      </w:pPr>
    </w:p>
    <w:p>
      <w:pPr>
        <w:jc w:val="both"/>
        <w:ind w:left="4520" w:hanging="638"/>
        <w:spacing w:after="0" w:line="253" w:lineRule="auto"/>
        <w:tabs>
          <w:tab w:leader="none" w:pos="4520" w:val="left"/>
        </w:tabs>
        <w:numPr>
          <w:ilvl w:val="1"/>
          <w:numId w:val="143"/>
        </w:numPr>
        <w:rPr>
          <w:rFonts w:ascii="Arial" w:cs="Arial" w:eastAsia="Arial" w:hAnsi="Arial"/>
          <w:sz w:val="18"/>
          <w:szCs w:val="18"/>
          <w:color w:val="231F20"/>
        </w:rPr>
      </w:pPr>
      <w:r>
        <w:rPr>
          <w:rFonts w:ascii="Arial" w:cs="Arial" w:eastAsia="Arial" w:hAnsi="Arial"/>
          <w:sz w:val="18"/>
          <w:szCs w:val="18"/>
          <w:color w:val="231F20"/>
        </w:rPr>
        <w:t>shares of Common Stock or Options issued to employees or directors of, or consultants or advisors to, the Corporation or any of its subsidiaries pursuant to (A) the Century Therapeutics, Inc. 2018 Stock Option and Grant Plan (as may be amended from time to time, the “</w:t>
      </w:r>
      <w:r>
        <w:rPr>
          <w:rFonts w:ascii="Arial" w:cs="Arial" w:eastAsia="Arial" w:hAnsi="Arial"/>
          <w:sz w:val="18"/>
          <w:szCs w:val="18"/>
          <w:b w:val="1"/>
          <w:bCs w:val="1"/>
          <w:color w:val="231F20"/>
        </w:rPr>
        <w:t>Stock Plan</w:t>
      </w:r>
      <w:r>
        <w:rPr>
          <w:rFonts w:ascii="Arial" w:cs="Arial" w:eastAsia="Arial" w:hAnsi="Arial"/>
          <w:sz w:val="18"/>
          <w:szCs w:val="18"/>
          <w:color w:val="231F20"/>
        </w:rPr>
        <w:t>”), which was assumed by the Corporation in connection the merger of Century Therapeutics, Inc. with and into the Corporation, or (B) any other plan, agreement or arrangement that is approved by the Board, including at least two (2) Preferred Directors;</w:t>
      </w:r>
    </w:p>
    <w:p>
      <w:pPr>
        <w:spacing w:after="0" w:line="194" w:lineRule="exact"/>
        <w:rPr>
          <w:rFonts w:ascii="Arial" w:cs="Arial" w:eastAsia="Arial" w:hAnsi="Arial"/>
          <w:sz w:val="18"/>
          <w:szCs w:val="18"/>
          <w:color w:val="231F20"/>
        </w:rPr>
      </w:pPr>
    </w:p>
    <w:p>
      <w:pPr>
        <w:ind w:left="4520" w:hanging="638"/>
        <w:spacing w:after="0"/>
        <w:tabs>
          <w:tab w:leader="none" w:pos="4520" w:val="left"/>
        </w:tabs>
        <w:numPr>
          <w:ilvl w:val="1"/>
          <w:numId w:val="143"/>
        </w:numPr>
        <w:rPr>
          <w:rFonts w:ascii="Arial" w:cs="Arial" w:eastAsia="Arial" w:hAnsi="Arial"/>
          <w:sz w:val="18"/>
          <w:szCs w:val="18"/>
          <w:color w:val="231F20"/>
        </w:rPr>
      </w:pPr>
      <w:r>
        <w:rPr>
          <w:rFonts w:ascii="Arial" w:cs="Arial" w:eastAsia="Arial" w:hAnsi="Arial"/>
          <w:sz w:val="18"/>
          <w:szCs w:val="18"/>
          <w:color w:val="231F20"/>
        </w:rPr>
        <w:t>shares of Common Stock issued in connection with a Qualified IPO;</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9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86" w:right="439" w:bottom="1440" w:gutter="0" w:footer="0" w:header="0"/>
        </w:sectPr>
      </w:pPr>
    </w:p>
    <w:bookmarkStart w:id="253" w:name="page254"/>
    <w:bookmarkEnd w:id="253"/>
    <w:p>
      <w:pPr>
        <w:ind w:left="3400" w:hanging="638"/>
        <w:spacing w:after="0"/>
        <w:tabs>
          <w:tab w:leader="none" w:pos="3400" w:val="left"/>
        </w:tabs>
        <w:numPr>
          <w:ilvl w:val="0"/>
          <w:numId w:val="144"/>
        </w:numPr>
        <w:rPr>
          <w:rFonts w:ascii="Arial" w:cs="Arial" w:eastAsia="Arial" w:hAnsi="Arial"/>
          <w:sz w:val="18"/>
          <w:szCs w:val="18"/>
          <w:color w:val="231F20"/>
        </w:rPr>
      </w:pPr>
      <w:r>
        <w:rPr>
          <w:rFonts w:ascii="Arial" w:cs="Arial" w:eastAsia="Arial" w:hAnsi="Arial"/>
          <w:sz w:val="18"/>
          <w:szCs w:val="18"/>
          <w:color w:val="231F20"/>
        </w:rPr>
        <w:t>shares of Common Stock issued upon conversion of the Preferred Stock;</w:t>
      </w:r>
    </w:p>
    <w:p>
      <w:pPr>
        <w:spacing w:after="0" w:line="236" w:lineRule="exact"/>
        <w:rPr>
          <w:rFonts w:ascii="Arial" w:cs="Arial" w:eastAsia="Arial" w:hAnsi="Arial"/>
          <w:sz w:val="18"/>
          <w:szCs w:val="18"/>
          <w:color w:val="231F20"/>
        </w:rPr>
      </w:pPr>
    </w:p>
    <w:p>
      <w:pPr>
        <w:jc w:val="both"/>
        <w:ind w:left="3400" w:hanging="638"/>
        <w:spacing w:after="0" w:line="256" w:lineRule="auto"/>
        <w:tabs>
          <w:tab w:leader="none" w:pos="3400" w:val="left"/>
        </w:tabs>
        <w:numPr>
          <w:ilvl w:val="0"/>
          <w:numId w:val="144"/>
        </w:numPr>
        <w:rPr>
          <w:rFonts w:ascii="Arial" w:cs="Arial" w:eastAsia="Arial" w:hAnsi="Arial"/>
          <w:sz w:val="18"/>
          <w:szCs w:val="18"/>
          <w:color w:val="231F20"/>
        </w:rPr>
      </w:pPr>
      <w:r>
        <w:rPr>
          <w:rFonts w:ascii="Arial" w:cs="Arial" w:eastAsia="Arial" w:hAnsi="Arial"/>
          <w:sz w:val="18"/>
          <w:szCs w:val="18"/>
          <w:color w:val="231F20"/>
        </w:rPr>
        <w:t>shares of Common Stock or Convertible Securities actually issued upon the exercise of Options or shares of Common Stock actually issued upon the conversion or exchange of Convertible Securities outstanding as of the date of the Closing or issued thereafter, in each case provided such issuance is pursuant to the terms of such Option or Convertible Security;</w:t>
      </w:r>
    </w:p>
    <w:p>
      <w:pPr>
        <w:spacing w:after="0" w:line="187" w:lineRule="exact"/>
        <w:rPr>
          <w:rFonts w:ascii="Arial" w:cs="Arial" w:eastAsia="Arial" w:hAnsi="Arial"/>
          <w:sz w:val="18"/>
          <w:szCs w:val="18"/>
          <w:color w:val="231F20"/>
        </w:rPr>
      </w:pPr>
    </w:p>
    <w:p>
      <w:pPr>
        <w:jc w:val="both"/>
        <w:ind w:left="3400" w:hanging="638"/>
        <w:spacing w:after="0" w:line="256" w:lineRule="auto"/>
        <w:tabs>
          <w:tab w:leader="none" w:pos="3400" w:val="left"/>
        </w:tabs>
        <w:numPr>
          <w:ilvl w:val="0"/>
          <w:numId w:val="144"/>
        </w:numPr>
        <w:rPr>
          <w:rFonts w:ascii="Arial" w:cs="Arial" w:eastAsia="Arial" w:hAnsi="Arial"/>
          <w:sz w:val="18"/>
          <w:szCs w:val="18"/>
          <w:color w:val="231F20"/>
        </w:rPr>
      </w:pPr>
      <w:r>
        <w:rPr>
          <w:rFonts w:ascii="Arial" w:cs="Arial" w:eastAsia="Arial" w:hAnsi="Arial"/>
          <w:sz w:val="18"/>
          <w:szCs w:val="18"/>
          <w:color w:val="231F20"/>
        </w:rPr>
        <w:t>shares of Common Stock, Options or Convertible Securities issued to banks, equipment lessors or other financial institutions, or to real property lessors, pursuant to a debt financing, equipment leasing, commercial credit arrangements, real property leasing transaction or similar transaction approved by the Board, including at least two (2) Preferred Directors;</w:t>
      </w:r>
    </w:p>
    <w:p>
      <w:pPr>
        <w:spacing w:after="0" w:line="200" w:lineRule="exact"/>
        <w:rPr>
          <w:rFonts w:ascii="Arial" w:cs="Arial" w:eastAsia="Arial" w:hAnsi="Arial"/>
          <w:sz w:val="18"/>
          <w:szCs w:val="18"/>
          <w:color w:val="231F20"/>
        </w:rPr>
      </w:pPr>
    </w:p>
    <w:p>
      <w:pPr>
        <w:jc w:val="both"/>
        <w:ind w:left="3400" w:hanging="638"/>
        <w:spacing w:after="0" w:line="300" w:lineRule="auto"/>
        <w:tabs>
          <w:tab w:leader="none" w:pos="3400" w:val="left"/>
        </w:tabs>
        <w:numPr>
          <w:ilvl w:val="0"/>
          <w:numId w:val="144"/>
        </w:numPr>
        <w:rPr>
          <w:rFonts w:ascii="Arial" w:cs="Arial" w:eastAsia="Arial" w:hAnsi="Arial"/>
          <w:sz w:val="16"/>
          <w:szCs w:val="16"/>
          <w:color w:val="231F20"/>
        </w:rPr>
      </w:pPr>
      <w:r>
        <w:rPr>
          <w:rFonts w:ascii="Arial" w:cs="Arial" w:eastAsia="Arial" w:hAnsi="Arial"/>
          <w:sz w:val="16"/>
          <w:szCs w:val="16"/>
          <w:color w:val="231F20"/>
        </w:rPr>
        <w:t xml:space="preserve">shares of Common Stock, Options or Convertible Securities issued pursuant to the acquisition of another corporation by the Corporation by merger, purchase of substantially all of the assets, reorganization or other business combination; </w:t>
      </w:r>
      <w:r>
        <w:rPr>
          <w:rFonts w:ascii="Arial" w:cs="Arial" w:eastAsia="Arial" w:hAnsi="Arial"/>
          <w:sz w:val="16"/>
          <w:szCs w:val="16"/>
          <w:u w:val="single" w:color="auto"/>
          <w:color w:val="231F20"/>
        </w:rPr>
        <w:t>provided</w:t>
      </w:r>
      <w:r>
        <w:rPr>
          <w:rFonts w:ascii="Arial" w:cs="Arial" w:eastAsia="Arial" w:hAnsi="Arial"/>
          <w:sz w:val="16"/>
          <w:szCs w:val="16"/>
          <w:color w:val="231F20"/>
        </w:rPr>
        <w:t xml:space="preserve"> that such issuances are approved by the Board, including at least two (2) Preferred Directors; or</w:t>
      </w:r>
    </w:p>
    <w:p>
      <w:pPr>
        <w:spacing w:after="0" w:line="169" w:lineRule="exact"/>
        <w:rPr>
          <w:rFonts w:ascii="Arial" w:cs="Arial" w:eastAsia="Arial" w:hAnsi="Arial"/>
          <w:sz w:val="16"/>
          <w:szCs w:val="16"/>
          <w:color w:val="231F20"/>
        </w:rPr>
      </w:pPr>
    </w:p>
    <w:p>
      <w:pPr>
        <w:jc w:val="both"/>
        <w:ind w:left="3400" w:hanging="638"/>
        <w:spacing w:after="0" w:line="262" w:lineRule="auto"/>
        <w:tabs>
          <w:tab w:leader="none" w:pos="3400" w:val="left"/>
        </w:tabs>
        <w:numPr>
          <w:ilvl w:val="0"/>
          <w:numId w:val="144"/>
        </w:numPr>
        <w:rPr>
          <w:rFonts w:ascii="Arial" w:cs="Arial" w:eastAsia="Arial" w:hAnsi="Arial"/>
          <w:sz w:val="18"/>
          <w:szCs w:val="18"/>
          <w:color w:val="231F20"/>
        </w:rPr>
      </w:pPr>
      <w:r>
        <w:rPr>
          <w:rFonts w:ascii="Arial" w:cs="Arial" w:eastAsia="Arial" w:hAnsi="Arial"/>
          <w:sz w:val="18"/>
          <w:szCs w:val="18"/>
          <w:color w:val="231F20"/>
        </w:rPr>
        <w:t>shares of Common Stock, Options or Convertible Securities issued in connection with licenses, strategic partnerships or similar transactions approved by the Board, including at least two (2) Preferred Directors; or</w:t>
      </w:r>
    </w:p>
    <w:p>
      <w:pPr>
        <w:spacing w:after="0" w:line="183" w:lineRule="exact"/>
        <w:rPr>
          <w:rFonts w:ascii="Arial" w:cs="Arial" w:eastAsia="Arial" w:hAnsi="Arial"/>
          <w:sz w:val="18"/>
          <w:szCs w:val="18"/>
          <w:color w:val="231F20"/>
        </w:rPr>
      </w:pPr>
    </w:p>
    <w:p>
      <w:pPr>
        <w:jc w:val="both"/>
        <w:ind w:left="3400" w:right="20" w:hanging="638"/>
        <w:spacing w:after="0" w:line="262" w:lineRule="auto"/>
        <w:tabs>
          <w:tab w:leader="none" w:pos="3400" w:val="left"/>
        </w:tabs>
        <w:numPr>
          <w:ilvl w:val="0"/>
          <w:numId w:val="144"/>
        </w:numPr>
        <w:rPr>
          <w:rFonts w:ascii="Arial" w:cs="Arial" w:eastAsia="Arial" w:hAnsi="Arial"/>
          <w:sz w:val="18"/>
          <w:szCs w:val="18"/>
          <w:color w:val="231F20"/>
        </w:rPr>
      </w:pPr>
      <w:r>
        <w:rPr>
          <w:rFonts w:ascii="Arial" w:cs="Arial" w:eastAsia="Arial" w:hAnsi="Arial"/>
          <w:sz w:val="18"/>
          <w:szCs w:val="18"/>
          <w:color w:val="231F20"/>
        </w:rPr>
        <w:t>shares of Common Stock, Options or Convertible Securities that are deemed at the time of issuance to be “Exempt Securities” by the written consent or affirmative vote of the Preferred Threshold.</w:t>
      </w:r>
    </w:p>
    <w:p>
      <w:pPr>
        <w:spacing w:after="0" w:line="18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176530</wp:posOffset>
            </wp:positionV>
            <wp:extent cx="71329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020"/>
          </w:cols>
          <w:pgMar w:left="1440" w:top="690" w:right="439" w:bottom="1440" w:gutter="0" w:footer="0" w:header="0"/>
        </w:sectPr>
      </w:pPr>
    </w:p>
    <w:bookmarkStart w:id="254" w:name="page255"/>
    <w:bookmarkEnd w:id="254"/>
    <w:p>
      <w:pPr>
        <w:jc w:val="both"/>
        <w:ind w:firstLine="2583"/>
        <w:spacing w:after="0" w:line="258" w:lineRule="auto"/>
        <w:rPr>
          <w:sz w:val="20"/>
          <w:szCs w:val="20"/>
          <w:color w:val="auto"/>
        </w:rPr>
      </w:pPr>
      <w:r>
        <w:rPr>
          <w:rFonts w:ascii="Arial" w:cs="Arial" w:eastAsia="Arial" w:hAnsi="Arial"/>
          <w:sz w:val="18"/>
          <w:szCs w:val="18"/>
          <w:color w:val="231F20"/>
        </w:rPr>
        <w:t xml:space="preserve">4.4.2. </w:t>
      </w:r>
      <w:r>
        <w:rPr>
          <w:rFonts w:ascii="Arial" w:cs="Arial" w:eastAsia="Arial" w:hAnsi="Arial"/>
          <w:sz w:val="18"/>
          <w:szCs w:val="18"/>
          <w:u w:val="single" w:color="auto"/>
          <w:color w:val="231F20"/>
        </w:rPr>
        <w:t>No Adjustment of Conversion Price</w:t>
      </w:r>
      <w:r>
        <w:rPr>
          <w:rFonts w:ascii="Arial" w:cs="Arial" w:eastAsia="Arial" w:hAnsi="Arial"/>
          <w:sz w:val="18"/>
          <w:szCs w:val="18"/>
          <w:color w:val="231F20"/>
        </w:rPr>
        <w:t>. No adjustment in the applicable Conversion Price for a series of Preferred Stock shall be made as the result of the issuance or deemed issuance of Additional Shares of Common Stock if the Corporation receives written notice from the holders of a majority of the outstanding shares of such series of Preferred Stock agreeing that no such adjustment shall be made as the result of the issuance or deemed issuance of such Additional Shares of Common Stock.</w:t>
      </w:r>
    </w:p>
    <w:p>
      <w:pPr>
        <w:spacing w:after="0" w:line="200"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231F20"/>
        </w:rPr>
        <w:t>4.4.3.</w:t>
      </w:r>
      <w:r>
        <w:rPr>
          <w:sz w:val="20"/>
          <w:szCs w:val="20"/>
          <w:color w:val="auto"/>
        </w:rPr>
        <w:tab/>
      </w:r>
      <w:r>
        <w:rPr>
          <w:rFonts w:ascii="Arial" w:cs="Arial" w:eastAsia="Arial" w:hAnsi="Arial"/>
          <w:sz w:val="16"/>
          <w:szCs w:val="16"/>
          <w:u w:val="single" w:color="auto"/>
          <w:color w:val="231F20"/>
        </w:rPr>
        <w:t>Deemed Issue of Additional Shares of Common Stock.</w:t>
      </w:r>
    </w:p>
    <w:p>
      <w:pPr>
        <w:spacing w:after="0" w:line="223" w:lineRule="exact"/>
        <w:rPr>
          <w:sz w:val="20"/>
          <w:szCs w:val="20"/>
          <w:color w:val="auto"/>
        </w:rPr>
      </w:pPr>
    </w:p>
    <w:p>
      <w:pPr>
        <w:jc w:val="both"/>
        <w:ind w:firstLine="3236"/>
        <w:spacing w:after="0" w:line="253" w:lineRule="auto"/>
        <w:tabs>
          <w:tab w:leader="none" w:pos="3858" w:val="left"/>
        </w:tabs>
        <w:numPr>
          <w:ilvl w:val="0"/>
          <w:numId w:val="145"/>
        </w:numPr>
        <w:rPr>
          <w:rFonts w:ascii="Arial" w:cs="Arial" w:eastAsia="Arial" w:hAnsi="Arial"/>
          <w:sz w:val="18"/>
          <w:szCs w:val="18"/>
          <w:color w:val="231F20"/>
        </w:rPr>
      </w:pPr>
      <w:r>
        <w:rPr>
          <w:rFonts w:ascii="Arial" w:cs="Arial" w:eastAsia="Arial" w:hAnsi="Arial"/>
          <w:sz w:val="18"/>
          <w:szCs w:val="18"/>
          <w:color w:val="231F20"/>
        </w:rPr>
        <w:t>If the Corporation at any time or from time to time after the Series C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205" w:lineRule="exact"/>
        <w:rPr>
          <w:rFonts w:ascii="Arial" w:cs="Arial" w:eastAsia="Arial" w:hAnsi="Arial"/>
          <w:sz w:val="18"/>
          <w:szCs w:val="18"/>
          <w:color w:val="231F20"/>
        </w:rPr>
      </w:pPr>
    </w:p>
    <w:p>
      <w:pPr>
        <w:jc w:val="both"/>
        <w:ind w:firstLine="3236"/>
        <w:spacing w:after="0" w:line="285" w:lineRule="auto"/>
        <w:tabs>
          <w:tab w:leader="none" w:pos="3868" w:val="left"/>
        </w:tabs>
        <w:numPr>
          <w:ilvl w:val="0"/>
          <w:numId w:val="145"/>
        </w:numPr>
        <w:rPr>
          <w:rFonts w:ascii="Arial" w:cs="Arial" w:eastAsia="Arial" w:hAnsi="Arial"/>
          <w:sz w:val="16"/>
          <w:szCs w:val="16"/>
          <w:color w:val="231F20"/>
        </w:rPr>
      </w:pPr>
      <w:r>
        <w:rPr>
          <w:rFonts w:ascii="Arial" w:cs="Arial" w:eastAsia="Arial" w:hAnsi="Arial"/>
          <w:sz w:val="16"/>
          <w:szCs w:val="16"/>
          <w:color w:val="231F20"/>
        </w:rPr>
        <w:t xml:space="preserve">If the terms of any Option or Convertible Security, the issuance of which resulted in an adjustment to the applicable Conversion Price for a series of Preferred Stock pursuant to the terms of </w:t>
      </w:r>
      <w:r>
        <w:rPr>
          <w:rFonts w:ascii="Arial" w:cs="Arial" w:eastAsia="Arial" w:hAnsi="Arial"/>
          <w:sz w:val="16"/>
          <w:szCs w:val="16"/>
          <w:u w:val="single" w:color="auto"/>
          <w:color w:val="231F20"/>
        </w:rPr>
        <w:t>Section 4.4.4</w:t>
      </w:r>
      <w:r>
        <w:rPr>
          <w:rFonts w:ascii="Arial" w:cs="Arial" w:eastAsia="Arial" w:hAnsi="Arial"/>
          <w:sz w:val="16"/>
          <w:szCs w:val="16"/>
          <w:color w:val="231F20"/>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for a series of Preferred Stock as would have obtained had such revised terms been in effect upon the original date of issuance of such Option or Convertible Security, Notwithstanding the foregoing, no readjustment pursuant to this clause (b) shall have the effect of increasing the applicable Conversion Price for such series of Preferred Stock to an amount which exceeds the lower of (i) the Conversion Price in effect immediately prior to the original adjustment made as a result of the issuance of such Option or Convertible Security, or (ii) the applicable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69" w:lineRule="exact"/>
        <w:rPr>
          <w:rFonts w:ascii="Arial" w:cs="Arial" w:eastAsia="Arial" w:hAnsi="Arial"/>
          <w:sz w:val="16"/>
          <w:szCs w:val="16"/>
          <w:color w:val="231F20"/>
        </w:rPr>
      </w:pPr>
    </w:p>
    <w:p>
      <w:pPr>
        <w:ind w:left="3860" w:hanging="624"/>
        <w:spacing w:after="0"/>
        <w:tabs>
          <w:tab w:leader="none" w:pos="3860" w:val="left"/>
        </w:tabs>
        <w:numPr>
          <w:ilvl w:val="0"/>
          <w:numId w:val="145"/>
        </w:numPr>
        <w:rPr>
          <w:rFonts w:ascii="Arial" w:cs="Arial" w:eastAsia="Arial" w:hAnsi="Arial"/>
          <w:sz w:val="17"/>
          <w:szCs w:val="17"/>
          <w:color w:val="231F20"/>
        </w:rPr>
      </w:pPr>
      <w:r>
        <w:rPr>
          <w:rFonts w:ascii="Arial" w:cs="Arial" w:eastAsia="Arial" w:hAnsi="Arial"/>
          <w:sz w:val="17"/>
          <w:szCs w:val="17"/>
          <w:color w:val="231F20"/>
        </w:rPr>
        <w:t>If the terms of any Option or Convertible Security (excluding Options or Convertible Securities</w:t>
      </w:r>
    </w:p>
    <w:p>
      <w:pPr>
        <w:spacing w:after="0" w:line="34" w:lineRule="exact"/>
        <w:rPr>
          <w:rFonts w:ascii="Arial" w:cs="Arial" w:eastAsia="Arial" w:hAnsi="Arial"/>
          <w:sz w:val="17"/>
          <w:szCs w:val="17"/>
          <w:color w:val="231F20"/>
        </w:rPr>
      </w:pPr>
    </w:p>
    <w:p>
      <w:pPr>
        <w:spacing w:after="0"/>
        <w:rPr>
          <w:rFonts w:ascii="Arial" w:cs="Arial" w:eastAsia="Arial" w:hAnsi="Arial"/>
          <w:sz w:val="17"/>
          <w:szCs w:val="17"/>
          <w:color w:val="231F20"/>
        </w:rPr>
      </w:pPr>
      <w:r>
        <w:rPr>
          <w:rFonts w:ascii="Arial" w:cs="Arial" w:eastAsia="Arial" w:hAnsi="Arial"/>
          <w:sz w:val="18"/>
          <w:szCs w:val="18"/>
          <w:color w:val="231F20"/>
        </w:rPr>
        <w:t>which are themselves Exempted Securities), the</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255" w:name="page256"/>
    <w:bookmarkEnd w:id="255"/>
    <w:p>
      <w:pPr>
        <w:jc w:val="both"/>
        <w:spacing w:after="0" w:line="288" w:lineRule="auto"/>
        <w:rPr>
          <w:sz w:val="20"/>
          <w:szCs w:val="20"/>
          <w:color w:val="auto"/>
        </w:rPr>
      </w:pPr>
      <w:r>
        <w:rPr>
          <w:rFonts w:ascii="Arial" w:cs="Arial" w:eastAsia="Arial" w:hAnsi="Arial"/>
          <w:sz w:val="16"/>
          <w:szCs w:val="16"/>
          <w:color w:val="231F20"/>
        </w:rPr>
        <w:t xml:space="preserve">issuance of which did not result in an adjustment to the applicable Conversion Price for such series of Preferred Stock pursuant to the terms of </w:t>
      </w:r>
      <w:r>
        <w:rPr>
          <w:rFonts w:ascii="Arial" w:cs="Arial" w:eastAsia="Arial" w:hAnsi="Arial"/>
          <w:sz w:val="16"/>
          <w:szCs w:val="16"/>
          <w:u w:val="single" w:color="auto"/>
          <w:color w:val="231F20"/>
        </w:rPr>
        <w:t>Section</w:t>
      </w:r>
      <w:r>
        <w:rPr>
          <w:rFonts w:ascii="Arial" w:cs="Arial" w:eastAsia="Arial" w:hAnsi="Arial"/>
          <w:sz w:val="16"/>
          <w:szCs w:val="16"/>
          <w:color w:val="231F20"/>
        </w:rPr>
        <w:t xml:space="preserve"> </w:t>
      </w:r>
      <w:r>
        <w:rPr>
          <w:rFonts w:ascii="Arial" w:cs="Arial" w:eastAsia="Arial" w:hAnsi="Arial"/>
          <w:sz w:val="16"/>
          <w:szCs w:val="16"/>
          <w:u w:val="single" w:color="auto"/>
          <w:color w:val="231F20"/>
        </w:rPr>
        <w:t>4.4.4</w:t>
      </w:r>
      <w:r>
        <w:rPr>
          <w:rFonts w:ascii="Arial" w:cs="Arial" w:eastAsia="Arial" w:hAnsi="Arial"/>
          <w:sz w:val="16"/>
          <w:szCs w:val="16"/>
          <w:color w:val="231F20"/>
        </w:rPr>
        <w:t xml:space="preserve"> (either because the consideration per share (determined pursuant to </w:t>
      </w:r>
      <w:r>
        <w:rPr>
          <w:rFonts w:ascii="Arial" w:cs="Arial" w:eastAsia="Arial" w:hAnsi="Arial"/>
          <w:sz w:val="16"/>
          <w:szCs w:val="16"/>
          <w:u w:val="single" w:color="auto"/>
          <w:color w:val="231F20"/>
        </w:rPr>
        <w:t>Section 4.4.5</w:t>
      </w:r>
      <w:r>
        <w:rPr>
          <w:rFonts w:ascii="Arial" w:cs="Arial" w:eastAsia="Arial" w:hAnsi="Arial"/>
          <w:sz w:val="16"/>
          <w:szCs w:val="16"/>
          <w:color w:val="231F20"/>
        </w:rPr>
        <w:t xml:space="preserve">) of the Additional Shares of Common Stock subject thereto was equal to or greater than the Conversion Price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231F20"/>
        </w:rPr>
        <w:t>Section 4.4.3(a)</w:t>
      </w:r>
      <w:r>
        <w:rPr>
          <w:rFonts w:ascii="Arial" w:cs="Arial" w:eastAsia="Arial" w:hAnsi="Arial"/>
          <w:sz w:val="16"/>
          <w:szCs w:val="16"/>
          <w:color w:val="231F20"/>
        </w:rPr>
        <w:t>) shall be deemed to have been issued effective upon such increase or decrease becoming effective.</w:t>
      </w:r>
    </w:p>
    <w:p>
      <w:pPr>
        <w:spacing w:after="0" w:line="165" w:lineRule="exact"/>
        <w:rPr>
          <w:sz w:val="20"/>
          <w:szCs w:val="20"/>
          <w:color w:val="auto"/>
        </w:rPr>
      </w:pPr>
    </w:p>
    <w:p>
      <w:pPr>
        <w:jc w:val="both"/>
        <w:ind w:firstLine="3236"/>
        <w:spacing w:after="0" w:line="278" w:lineRule="auto"/>
        <w:tabs>
          <w:tab w:leader="none" w:pos="3868" w:val="left"/>
        </w:tabs>
        <w:numPr>
          <w:ilvl w:val="0"/>
          <w:numId w:val="146"/>
        </w:numPr>
        <w:rPr>
          <w:rFonts w:ascii="Arial" w:cs="Arial" w:eastAsia="Arial" w:hAnsi="Arial"/>
          <w:sz w:val="17"/>
          <w:szCs w:val="17"/>
          <w:color w:val="231F20"/>
        </w:rPr>
      </w:pPr>
      <w:r>
        <w:rPr>
          <w:rFonts w:ascii="Arial" w:cs="Arial" w:eastAsia="Arial" w:hAnsi="Arial"/>
          <w:sz w:val="17"/>
          <w:szCs w:val="17"/>
          <w:color w:val="231F20"/>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of any series of Preferred Stock pursuant to the terms of </w:t>
      </w:r>
      <w:r>
        <w:rPr>
          <w:rFonts w:ascii="Arial" w:cs="Arial" w:eastAsia="Arial" w:hAnsi="Arial"/>
          <w:sz w:val="17"/>
          <w:szCs w:val="17"/>
          <w:u w:val="single" w:color="auto"/>
          <w:color w:val="231F20"/>
        </w:rPr>
        <w:t>Section 4.4.4</w:t>
      </w:r>
      <w:r>
        <w:rPr>
          <w:rFonts w:ascii="Arial" w:cs="Arial" w:eastAsia="Arial" w:hAnsi="Arial"/>
          <w:sz w:val="17"/>
          <w:szCs w:val="17"/>
          <w:color w:val="231F20"/>
        </w:rPr>
        <w:t>, the applicable Conversion Price shall be readjusted to such Conversion Price as would have obtained had such Option or Convertible Security (or portion thereof) never been issued.</w:t>
      </w:r>
    </w:p>
    <w:p>
      <w:pPr>
        <w:spacing w:after="0" w:line="183" w:lineRule="exact"/>
        <w:rPr>
          <w:rFonts w:ascii="Arial" w:cs="Arial" w:eastAsia="Arial" w:hAnsi="Arial"/>
          <w:sz w:val="17"/>
          <w:szCs w:val="17"/>
          <w:color w:val="231F20"/>
        </w:rPr>
      </w:pPr>
    </w:p>
    <w:p>
      <w:pPr>
        <w:jc w:val="both"/>
        <w:ind w:firstLine="3236"/>
        <w:spacing w:after="0" w:line="286" w:lineRule="auto"/>
        <w:tabs>
          <w:tab w:leader="none" w:pos="3867" w:val="left"/>
        </w:tabs>
        <w:numPr>
          <w:ilvl w:val="0"/>
          <w:numId w:val="146"/>
        </w:numPr>
        <w:rPr>
          <w:rFonts w:ascii="Arial" w:cs="Arial" w:eastAsia="Arial" w:hAnsi="Arial"/>
          <w:sz w:val="16"/>
          <w:szCs w:val="16"/>
          <w:color w:val="231F20"/>
        </w:rPr>
      </w:pPr>
      <w:r>
        <w:rPr>
          <w:rFonts w:ascii="Arial" w:cs="Arial" w:eastAsia="Arial" w:hAnsi="Arial"/>
          <w:sz w:val="16"/>
          <w:szCs w:val="16"/>
          <w:color w:val="231F20"/>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of any series of Preferred Stock provided for in this </w:t>
      </w:r>
      <w:r>
        <w:rPr>
          <w:rFonts w:ascii="Arial" w:cs="Arial" w:eastAsia="Arial" w:hAnsi="Arial"/>
          <w:sz w:val="16"/>
          <w:szCs w:val="16"/>
          <w:u w:val="single" w:color="auto"/>
          <w:color w:val="231F20"/>
        </w:rPr>
        <w:t>Section 4.4.3</w:t>
      </w:r>
      <w:r>
        <w:rPr>
          <w:rFonts w:ascii="Arial" w:cs="Arial" w:eastAsia="Arial" w:hAnsi="Arial"/>
          <w:sz w:val="16"/>
          <w:szCs w:val="16"/>
          <w:color w:val="231F20"/>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231F20"/>
        </w:rPr>
        <w:t>Section 4.4.3</w:t>
      </w:r>
      <w:r>
        <w:rPr>
          <w:rFonts w:ascii="Arial" w:cs="Arial" w:eastAsia="Arial" w:hAnsi="Arial"/>
          <w:sz w:val="16"/>
          <w:szCs w:val="16"/>
          <w:color w:val="231F20"/>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of any series of Preferred Stock that would result under the terms of this </w:t>
      </w:r>
      <w:r>
        <w:rPr>
          <w:rFonts w:ascii="Arial" w:cs="Arial" w:eastAsia="Arial" w:hAnsi="Arial"/>
          <w:sz w:val="16"/>
          <w:szCs w:val="16"/>
          <w:u w:val="single" w:color="auto"/>
          <w:color w:val="231F20"/>
        </w:rPr>
        <w:t>Section 4.4.3</w:t>
      </w:r>
      <w:r>
        <w:rPr>
          <w:rFonts w:ascii="Arial" w:cs="Arial" w:eastAsia="Arial" w:hAnsi="Arial"/>
          <w:sz w:val="16"/>
          <w:szCs w:val="16"/>
          <w:color w:val="231F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171" w:lineRule="exact"/>
        <w:rPr>
          <w:sz w:val="20"/>
          <w:szCs w:val="20"/>
          <w:color w:val="auto"/>
        </w:rPr>
      </w:pPr>
    </w:p>
    <w:p>
      <w:pPr>
        <w:jc w:val="both"/>
        <w:ind w:firstLine="2583"/>
        <w:spacing w:after="0" w:line="258" w:lineRule="auto"/>
        <w:rPr>
          <w:sz w:val="20"/>
          <w:szCs w:val="20"/>
          <w:color w:val="auto"/>
        </w:rPr>
      </w:pPr>
      <w:r>
        <w:rPr>
          <w:rFonts w:ascii="Arial" w:cs="Arial" w:eastAsia="Arial" w:hAnsi="Arial"/>
          <w:sz w:val="18"/>
          <w:szCs w:val="18"/>
          <w:color w:val="231F20"/>
        </w:rPr>
        <w:t xml:space="preserve">4.4.4. </w:t>
      </w:r>
      <w:r>
        <w:rPr>
          <w:rFonts w:ascii="Arial" w:cs="Arial" w:eastAsia="Arial" w:hAnsi="Arial"/>
          <w:sz w:val="18"/>
          <w:szCs w:val="18"/>
          <w:u w:val="single" w:color="auto"/>
          <w:color w:val="231F20"/>
        </w:rPr>
        <w:t>Adjustment of Conversion Price Upon Issuance of Additional Shares of Common Stock</w:t>
      </w:r>
      <w:r>
        <w:rPr>
          <w:rFonts w:ascii="Arial" w:cs="Arial" w:eastAsia="Arial" w:hAnsi="Arial"/>
          <w:sz w:val="18"/>
          <w:szCs w:val="18"/>
          <w:color w:val="231F20"/>
        </w:rPr>
        <w:t xml:space="preserve">. In the event the Corporation shall at any time or from time to time after the Series C Original Issue Date issue Additional Shares of Common Stock (including Additional Shares of Common Stock deemed to be issued pursuant to </w:t>
      </w:r>
      <w:r>
        <w:rPr>
          <w:rFonts w:ascii="Arial" w:cs="Arial" w:eastAsia="Arial" w:hAnsi="Arial"/>
          <w:sz w:val="18"/>
          <w:szCs w:val="18"/>
          <w:u w:val="single" w:color="auto"/>
          <w:color w:val="231F20"/>
        </w:rPr>
        <w:t>Section 4.4.3</w:t>
      </w:r>
      <w:r>
        <w:rPr>
          <w:rFonts w:ascii="Arial" w:cs="Arial" w:eastAsia="Arial" w:hAnsi="Arial"/>
          <w:sz w:val="18"/>
          <w:szCs w:val="18"/>
          <w:color w:val="231F20"/>
        </w:rPr>
        <w:t>), without consideration or for a consideration per share less than the applicable Conversion Price for a series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56" w:name="page257"/>
    <w:bookmarkEnd w:id="256"/>
    <w:p>
      <w:pPr>
        <w:spacing w:after="0" w:line="275" w:lineRule="auto"/>
        <w:rPr>
          <w:sz w:val="20"/>
          <w:szCs w:val="20"/>
          <w:color w:val="auto"/>
        </w:rPr>
      </w:pPr>
      <w:r>
        <w:rPr>
          <w:rFonts w:ascii="Arial" w:cs="Arial" w:eastAsia="Arial" w:hAnsi="Arial"/>
          <w:sz w:val="18"/>
          <w:szCs w:val="18"/>
          <w:color w:val="231F20"/>
        </w:rPr>
        <w:t>of Preferred Stock in effect immediately prior to such issue, then such Conversion Price shall be reduced, concurrently with such issue, to a price (calculated to the nearest one-hundredth of a cent) determined in accordance with the following formula:</w:t>
      </w:r>
    </w:p>
    <w:p>
      <w:pPr>
        <w:spacing w:after="0" w:line="248" w:lineRule="exact"/>
        <w:rPr>
          <w:sz w:val="20"/>
          <w:szCs w:val="20"/>
          <w:color w:val="auto"/>
        </w:rPr>
      </w:pPr>
    </w:p>
    <w:p>
      <w:pPr>
        <w:ind w:left="3720"/>
        <w:spacing w:after="0"/>
        <w:rPr>
          <w:sz w:val="20"/>
          <w:szCs w:val="20"/>
          <w:color w:val="auto"/>
        </w:rPr>
      </w:pPr>
      <w:r>
        <w:rPr>
          <w:rFonts w:ascii="Arial" w:cs="Arial" w:eastAsia="Arial" w:hAnsi="Arial"/>
          <w:sz w:val="18"/>
          <w:szCs w:val="18"/>
          <w:color w:val="231F20"/>
        </w:rPr>
        <w:t xml:space="preserve">CP2 </w:t>
      </w:r>
      <w:r>
        <w:rPr>
          <w:rFonts w:ascii="Arial" w:cs="Arial" w:eastAsia="Arial" w:hAnsi="Arial"/>
          <w:sz w:val="18"/>
          <w:szCs w:val="18"/>
          <w:b w:val="1"/>
          <w:bCs w:val="1"/>
          <w:color w:val="231F20"/>
        </w:rPr>
        <w:t>=</w:t>
      </w:r>
      <w:r>
        <w:rPr>
          <w:rFonts w:ascii="Arial" w:cs="Arial" w:eastAsia="Arial" w:hAnsi="Arial"/>
          <w:sz w:val="18"/>
          <w:szCs w:val="18"/>
          <w:color w:val="231F20"/>
        </w:rPr>
        <w:t xml:space="preserve"> CP1* (A + B)÷(A + C).</w:t>
      </w:r>
    </w:p>
    <w:p>
      <w:pPr>
        <w:spacing w:after="0" w:line="308" w:lineRule="exact"/>
        <w:rPr>
          <w:sz w:val="20"/>
          <w:szCs w:val="20"/>
          <w:color w:val="auto"/>
        </w:rPr>
      </w:pPr>
    </w:p>
    <w:p>
      <w:pPr>
        <w:ind w:left="1940"/>
        <w:spacing w:after="0"/>
        <w:rPr>
          <w:sz w:val="20"/>
          <w:szCs w:val="20"/>
          <w:color w:val="auto"/>
        </w:rPr>
      </w:pPr>
      <w:r>
        <w:rPr>
          <w:rFonts w:ascii="Arial" w:cs="Arial" w:eastAsia="Arial" w:hAnsi="Arial"/>
          <w:sz w:val="18"/>
          <w:szCs w:val="18"/>
          <w:color w:val="231F20"/>
        </w:rPr>
        <w:t>For purposes of the foregoing formula, the following definitions shall apply:</w:t>
      </w:r>
    </w:p>
    <w:p>
      <w:pPr>
        <w:spacing w:after="0" w:line="237" w:lineRule="exact"/>
        <w:rPr>
          <w:sz w:val="20"/>
          <w:szCs w:val="20"/>
          <w:color w:val="auto"/>
        </w:rPr>
      </w:pPr>
    </w:p>
    <w:p>
      <w:pPr>
        <w:ind w:right="20" w:firstLine="3236"/>
        <w:spacing w:after="0" w:line="275" w:lineRule="auto"/>
        <w:tabs>
          <w:tab w:leader="none" w:pos="3894" w:val="left"/>
        </w:tabs>
        <w:numPr>
          <w:ilvl w:val="0"/>
          <w:numId w:val="147"/>
        </w:numPr>
        <w:rPr>
          <w:rFonts w:ascii="Arial" w:cs="Arial" w:eastAsia="Arial" w:hAnsi="Arial"/>
          <w:sz w:val="18"/>
          <w:szCs w:val="18"/>
          <w:color w:val="231F20"/>
        </w:rPr>
      </w:pPr>
      <w:r>
        <w:rPr>
          <w:rFonts w:ascii="Arial" w:cs="Arial" w:eastAsia="Arial" w:hAnsi="Arial"/>
          <w:sz w:val="18"/>
          <w:szCs w:val="18"/>
          <w:color w:val="231F20"/>
        </w:rPr>
        <w:t>“CP2” shall mean the applicable Conversion Price in effect immediately after such issuance or deemed issuance of Additional Shares of Common Stock</w:t>
      </w:r>
    </w:p>
    <w:p>
      <w:pPr>
        <w:spacing w:after="0" w:line="184" w:lineRule="exact"/>
        <w:rPr>
          <w:rFonts w:ascii="Arial" w:cs="Arial" w:eastAsia="Arial" w:hAnsi="Arial"/>
          <w:sz w:val="18"/>
          <w:szCs w:val="18"/>
          <w:color w:val="231F20"/>
        </w:rPr>
      </w:pPr>
    </w:p>
    <w:p>
      <w:pPr>
        <w:ind w:firstLine="3236"/>
        <w:spacing w:after="0" w:line="275" w:lineRule="auto"/>
        <w:tabs>
          <w:tab w:leader="none" w:pos="3854" w:val="left"/>
        </w:tabs>
        <w:numPr>
          <w:ilvl w:val="0"/>
          <w:numId w:val="147"/>
        </w:numPr>
        <w:rPr>
          <w:rFonts w:ascii="Arial" w:cs="Arial" w:eastAsia="Arial" w:hAnsi="Arial"/>
          <w:sz w:val="18"/>
          <w:szCs w:val="18"/>
          <w:color w:val="231F20"/>
        </w:rPr>
      </w:pPr>
      <w:r>
        <w:rPr>
          <w:rFonts w:ascii="Arial" w:cs="Arial" w:eastAsia="Arial" w:hAnsi="Arial"/>
          <w:sz w:val="18"/>
          <w:szCs w:val="18"/>
          <w:color w:val="231F20"/>
        </w:rPr>
        <w:t>“CP1” shall mean the applicable Conversion Price in effect immediately prior to such issuance or deemed issuance of Additional Shares of Common Stock;</w:t>
      </w:r>
    </w:p>
    <w:p>
      <w:pPr>
        <w:spacing w:after="0" w:line="171" w:lineRule="exact"/>
        <w:rPr>
          <w:rFonts w:ascii="Arial" w:cs="Arial" w:eastAsia="Arial" w:hAnsi="Arial"/>
          <w:sz w:val="18"/>
          <w:szCs w:val="18"/>
          <w:color w:val="231F20"/>
        </w:rPr>
      </w:pPr>
    </w:p>
    <w:p>
      <w:pPr>
        <w:jc w:val="both"/>
        <w:ind w:firstLine="3236"/>
        <w:spacing w:after="0" w:line="278" w:lineRule="auto"/>
        <w:tabs>
          <w:tab w:leader="none" w:pos="3894" w:val="left"/>
        </w:tabs>
        <w:numPr>
          <w:ilvl w:val="0"/>
          <w:numId w:val="147"/>
        </w:numPr>
        <w:rPr>
          <w:rFonts w:ascii="Arial" w:cs="Arial" w:eastAsia="Arial" w:hAnsi="Arial"/>
          <w:sz w:val="17"/>
          <w:szCs w:val="17"/>
          <w:color w:val="231F20"/>
        </w:rPr>
      </w:pPr>
      <w:r>
        <w:rPr>
          <w:rFonts w:ascii="Arial" w:cs="Arial" w:eastAsia="Arial" w:hAnsi="Arial"/>
          <w:sz w:val="17"/>
          <w:szCs w:val="17"/>
          <w:color w:val="231F20"/>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0" w:lineRule="exact"/>
        <w:rPr>
          <w:rFonts w:ascii="Arial" w:cs="Arial" w:eastAsia="Arial" w:hAnsi="Arial"/>
          <w:sz w:val="17"/>
          <w:szCs w:val="17"/>
          <w:color w:val="231F20"/>
        </w:rPr>
      </w:pPr>
    </w:p>
    <w:p>
      <w:pPr>
        <w:jc w:val="both"/>
        <w:ind w:firstLine="3236"/>
        <w:spacing w:after="0" w:line="262" w:lineRule="auto"/>
        <w:tabs>
          <w:tab w:leader="none" w:pos="3904" w:val="left"/>
        </w:tabs>
        <w:numPr>
          <w:ilvl w:val="0"/>
          <w:numId w:val="147"/>
        </w:numPr>
        <w:rPr>
          <w:rFonts w:ascii="Arial" w:cs="Arial" w:eastAsia="Arial" w:hAnsi="Arial"/>
          <w:sz w:val="18"/>
          <w:szCs w:val="18"/>
          <w:color w:val="231F20"/>
        </w:rPr>
      </w:pPr>
      <w:r>
        <w:rPr>
          <w:rFonts w:ascii="Arial" w:cs="Arial" w:eastAsia="Arial" w:hAnsi="Arial"/>
          <w:sz w:val="18"/>
          <w:szCs w:val="18"/>
          <w:color w:val="231F20"/>
        </w:rPr>
        <w:t>“B” shall mean the number of shares of Common Stock that would have been issued if such Additional Shares of Common Stock had been issued or deemed issued at a price per share equal to CP1 (determined by dividing the aggregate consideration received by the Corporation in respect of such issue by CP1); and</w:t>
      </w:r>
    </w:p>
    <w:p>
      <w:pPr>
        <w:spacing w:after="0" w:line="196" w:lineRule="exact"/>
        <w:rPr>
          <w:rFonts w:ascii="Arial" w:cs="Arial" w:eastAsia="Arial" w:hAnsi="Arial"/>
          <w:sz w:val="18"/>
          <w:szCs w:val="18"/>
          <w:color w:val="231F20"/>
        </w:rPr>
      </w:pPr>
    </w:p>
    <w:p>
      <w:pPr>
        <w:ind w:left="3880" w:hanging="644"/>
        <w:spacing w:after="0"/>
        <w:tabs>
          <w:tab w:leader="none" w:pos="3880" w:val="left"/>
        </w:tabs>
        <w:numPr>
          <w:ilvl w:val="0"/>
          <w:numId w:val="147"/>
        </w:numPr>
        <w:rPr>
          <w:rFonts w:ascii="Arial" w:cs="Arial" w:eastAsia="Arial" w:hAnsi="Arial"/>
          <w:sz w:val="16"/>
          <w:szCs w:val="16"/>
          <w:color w:val="231F20"/>
        </w:rPr>
      </w:pPr>
      <w:r>
        <w:rPr>
          <w:rFonts w:ascii="Arial" w:cs="Arial" w:eastAsia="Arial" w:hAnsi="Arial"/>
          <w:sz w:val="16"/>
          <w:szCs w:val="16"/>
          <w:color w:val="231F20"/>
        </w:rPr>
        <w:t>“C” shall mean the number of such Additional Shares of Common Stock issued in such transaction.</w:t>
      </w:r>
    </w:p>
    <w:p>
      <w:pPr>
        <w:spacing w:after="0" w:line="260" w:lineRule="exact"/>
        <w:rPr>
          <w:sz w:val="20"/>
          <w:szCs w:val="20"/>
          <w:color w:val="auto"/>
        </w:rPr>
      </w:pPr>
    </w:p>
    <w:p>
      <w:pPr>
        <w:ind w:left="2600"/>
        <w:spacing w:after="0"/>
        <w:tabs>
          <w:tab w:leader="none" w:pos="3260" w:val="left"/>
        </w:tabs>
        <w:rPr>
          <w:sz w:val="20"/>
          <w:szCs w:val="20"/>
          <w:color w:val="auto"/>
        </w:rPr>
      </w:pPr>
      <w:r>
        <w:rPr>
          <w:rFonts w:ascii="Arial" w:cs="Arial" w:eastAsia="Arial" w:hAnsi="Arial"/>
          <w:sz w:val="18"/>
          <w:szCs w:val="18"/>
          <w:color w:val="231F20"/>
        </w:rPr>
        <w:t>4.4.5.</w:t>
      </w:r>
      <w:r>
        <w:rPr>
          <w:sz w:val="20"/>
          <w:szCs w:val="20"/>
          <w:color w:val="auto"/>
        </w:rPr>
        <w:tab/>
      </w:r>
      <w:r>
        <w:rPr>
          <w:rFonts w:ascii="Arial" w:cs="Arial" w:eastAsia="Arial" w:hAnsi="Arial"/>
          <w:sz w:val="17"/>
          <w:szCs w:val="17"/>
          <w:u w:val="single" w:color="auto"/>
          <w:color w:val="231F20"/>
        </w:rPr>
        <w:t>Determination of Consideration</w:t>
      </w:r>
      <w:r>
        <w:rPr>
          <w:rFonts w:ascii="Arial" w:cs="Arial" w:eastAsia="Arial" w:hAnsi="Arial"/>
          <w:sz w:val="17"/>
          <w:szCs w:val="17"/>
          <w:color w:val="231F20"/>
        </w:rPr>
        <w:t>. For purposes of this</w:t>
      </w:r>
      <w:r>
        <w:rPr>
          <w:rFonts w:ascii="Arial" w:cs="Arial" w:eastAsia="Arial" w:hAnsi="Arial"/>
          <w:sz w:val="17"/>
          <w:szCs w:val="17"/>
          <w:u w:val="single" w:color="auto"/>
          <w:color w:val="231F20"/>
        </w:rPr>
        <w:t xml:space="preserve"> Section 4.4</w:t>
      </w:r>
      <w:r>
        <w:rPr>
          <w:rFonts w:ascii="Arial" w:cs="Arial" w:eastAsia="Arial" w:hAnsi="Arial"/>
          <w:sz w:val="17"/>
          <w:szCs w:val="17"/>
          <w:color w:val="231F20"/>
        </w:rPr>
        <w:t>, the consideration received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Corporation for the issuance or deemed issuance of any Additional Shares of Common Stock shall be computed as follows:</w:t>
      </w:r>
    </w:p>
    <w:p>
      <w:pPr>
        <w:spacing w:after="0" w:line="222" w:lineRule="exact"/>
        <w:rPr>
          <w:sz w:val="20"/>
          <w:szCs w:val="20"/>
          <w:color w:val="auto"/>
        </w:rPr>
      </w:pPr>
    </w:p>
    <w:p>
      <w:pPr>
        <w:ind w:left="4520" w:hanging="638"/>
        <w:spacing w:after="0"/>
        <w:tabs>
          <w:tab w:leader="none" w:pos="4520" w:val="left"/>
        </w:tabs>
        <w:numPr>
          <w:ilvl w:val="0"/>
          <w:numId w:val="148"/>
        </w:numPr>
        <w:rPr>
          <w:rFonts w:ascii="Arial" w:cs="Arial" w:eastAsia="Arial" w:hAnsi="Arial"/>
          <w:sz w:val="18"/>
          <w:szCs w:val="18"/>
          <w:color w:val="231F20"/>
        </w:rPr>
      </w:pPr>
      <w:r>
        <w:rPr>
          <w:rFonts w:ascii="Arial" w:cs="Arial" w:eastAsia="Arial" w:hAnsi="Arial"/>
          <w:sz w:val="18"/>
          <w:szCs w:val="18"/>
          <w:u w:val="single" w:color="auto"/>
          <w:color w:val="231F20"/>
        </w:rPr>
        <w:t>Cash and Property</w:t>
      </w:r>
      <w:r>
        <w:rPr>
          <w:rFonts w:ascii="Arial" w:cs="Arial" w:eastAsia="Arial" w:hAnsi="Arial"/>
          <w:sz w:val="18"/>
          <w:szCs w:val="18"/>
          <w:color w:val="231F20"/>
        </w:rPr>
        <w:t>: Such consideration shall:</w:t>
      </w:r>
    </w:p>
    <w:p>
      <w:pPr>
        <w:spacing w:after="0" w:line="223" w:lineRule="exact"/>
        <w:rPr>
          <w:rFonts w:ascii="Arial" w:cs="Arial" w:eastAsia="Arial" w:hAnsi="Arial"/>
          <w:sz w:val="18"/>
          <w:szCs w:val="18"/>
          <w:color w:val="231F20"/>
        </w:rPr>
      </w:pPr>
    </w:p>
    <w:p>
      <w:pPr>
        <w:jc w:val="both"/>
        <w:ind w:left="5180" w:hanging="652"/>
        <w:spacing w:after="0" w:line="262" w:lineRule="auto"/>
        <w:tabs>
          <w:tab w:leader="none" w:pos="5180" w:val="left"/>
        </w:tabs>
        <w:numPr>
          <w:ilvl w:val="1"/>
          <w:numId w:val="148"/>
        </w:numPr>
        <w:rPr>
          <w:rFonts w:ascii="Arial" w:cs="Arial" w:eastAsia="Arial" w:hAnsi="Arial"/>
          <w:sz w:val="18"/>
          <w:szCs w:val="18"/>
          <w:color w:val="231F20"/>
        </w:rPr>
      </w:pPr>
      <w:r>
        <w:rPr>
          <w:rFonts w:ascii="Arial" w:cs="Arial" w:eastAsia="Arial" w:hAnsi="Arial"/>
          <w:sz w:val="18"/>
          <w:szCs w:val="18"/>
          <w:color w:val="231F20"/>
        </w:rPr>
        <w:t>insofar as it consists of cash, be computed at the aggregate amount of cash received by the Corporation, excluding amounts paid or payable for accrued interest;</w:t>
      </w:r>
    </w:p>
    <w:p>
      <w:pPr>
        <w:spacing w:after="0" w:line="196" w:lineRule="exact"/>
        <w:rPr>
          <w:rFonts w:ascii="Arial" w:cs="Arial" w:eastAsia="Arial" w:hAnsi="Arial"/>
          <w:sz w:val="18"/>
          <w:szCs w:val="18"/>
          <w:color w:val="231F20"/>
        </w:rPr>
      </w:pPr>
    </w:p>
    <w:p>
      <w:pPr>
        <w:jc w:val="both"/>
        <w:ind w:left="5180" w:hanging="652"/>
        <w:spacing w:after="0" w:line="262" w:lineRule="auto"/>
        <w:tabs>
          <w:tab w:leader="none" w:pos="5180" w:val="left"/>
        </w:tabs>
        <w:numPr>
          <w:ilvl w:val="1"/>
          <w:numId w:val="148"/>
        </w:numPr>
        <w:rPr>
          <w:rFonts w:ascii="Arial" w:cs="Arial" w:eastAsia="Arial" w:hAnsi="Arial"/>
          <w:sz w:val="18"/>
          <w:szCs w:val="18"/>
          <w:color w:val="231F20"/>
        </w:rPr>
      </w:pPr>
      <w:r>
        <w:rPr>
          <w:rFonts w:ascii="Arial" w:cs="Arial" w:eastAsia="Arial" w:hAnsi="Arial"/>
          <w:sz w:val="18"/>
          <w:szCs w:val="18"/>
          <w:color w:val="231F20"/>
        </w:rPr>
        <w:t>insofar as it consists of property other than cash, be computed at the fair market value thereof at the time of such issue, as determined in good faith by the Board; and</w:t>
      </w:r>
    </w:p>
    <w:p>
      <w:pPr>
        <w:spacing w:after="0" w:line="196" w:lineRule="exact"/>
        <w:rPr>
          <w:rFonts w:ascii="Arial" w:cs="Arial" w:eastAsia="Arial" w:hAnsi="Arial"/>
          <w:sz w:val="18"/>
          <w:szCs w:val="18"/>
          <w:color w:val="231F20"/>
        </w:rPr>
      </w:pPr>
    </w:p>
    <w:p>
      <w:pPr>
        <w:ind w:left="5180" w:right="20" w:hanging="652"/>
        <w:spacing w:after="0" w:line="275" w:lineRule="auto"/>
        <w:tabs>
          <w:tab w:leader="none" w:pos="5180" w:val="left"/>
        </w:tabs>
        <w:numPr>
          <w:ilvl w:val="1"/>
          <w:numId w:val="148"/>
        </w:numPr>
        <w:rPr>
          <w:rFonts w:ascii="Arial" w:cs="Arial" w:eastAsia="Arial" w:hAnsi="Arial"/>
          <w:sz w:val="18"/>
          <w:szCs w:val="18"/>
          <w:color w:val="231F20"/>
        </w:rPr>
      </w:pPr>
      <w:r>
        <w:rPr>
          <w:rFonts w:ascii="Arial" w:cs="Arial" w:eastAsia="Arial" w:hAnsi="Arial"/>
          <w:sz w:val="18"/>
          <w:szCs w:val="18"/>
          <w:color w:val="231F20"/>
        </w:rPr>
        <w:t>in the event Additional Shares of Common Stock are issued together with other shares or</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5" w:right="439" w:bottom="1440" w:gutter="0" w:footer="0" w:header="0"/>
        </w:sectPr>
      </w:pPr>
    </w:p>
    <w:bookmarkStart w:id="257" w:name="page258"/>
    <w:bookmarkEnd w:id="257"/>
    <w:p>
      <w:pPr>
        <w:jc w:val="both"/>
        <w:ind w:left="5180"/>
        <w:spacing w:after="0" w:line="285" w:lineRule="auto"/>
        <w:rPr>
          <w:sz w:val="20"/>
          <w:szCs w:val="20"/>
          <w:color w:val="auto"/>
        </w:rPr>
      </w:pPr>
      <w:r>
        <w:rPr>
          <w:rFonts w:ascii="Arial" w:cs="Arial" w:eastAsia="Arial" w:hAnsi="Arial"/>
          <w:sz w:val="17"/>
          <w:szCs w:val="17"/>
          <w:color w:val="231F20"/>
        </w:rPr>
        <w:t>securities or other assets of the Corporation for consideration which covers both, be the proportion of such consideration so received, computed as provided in clauses (i) and (ii) above, as determined in good faith by the Board.</w:t>
      </w:r>
    </w:p>
    <w:p>
      <w:pPr>
        <w:spacing w:after="0" w:line="191" w:lineRule="exact"/>
        <w:rPr>
          <w:sz w:val="20"/>
          <w:szCs w:val="20"/>
          <w:color w:val="auto"/>
        </w:rPr>
      </w:pPr>
    </w:p>
    <w:p>
      <w:pPr>
        <w:jc w:val="both"/>
        <w:ind w:firstLine="3882"/>
        <w:spacing w:after="0" w:line="262" w:lineRule="auto"/>
        <w:tabs>
          <w:tab w:leader="none" w:pos="4487" w:val="left"/>
        </w:tabs>
        <w:numPr>
          <w:ilvl w:val="0"/>
          <w:numId w:val="149"/>
        </w:numPr>
        <w:rPr>
          <w:rFonts w:ascii="Arial" w:cs="Arial" w:eastAsia="Arial" w:hAnsi="Arial"/>
          <w:sz w:val="18"/>
          <w:szCs w:val="18"/>
          <w:color w:val="231F20"/>
        </w:rPr>
      </w:pPr>
      <w:r>
        <w:rPr>
          <w:rFonts w:ascii="Arial" w:cs="Arial" w:eastAsia="Arial" w:hAnsi="Arial"/>
          <w:sz w:val="18"/>
          <w:szCs w:val="18"/>
          <w:u w:val="single" w:color="auto"/>
          <w:color w:val="231F20"/>
        </w:rPr>
        <w:t>Options and Convertible Securities</w:t>
      </w:r>
      <w:r>
        <w:rPr>
          <w:rFonts w:ascii="Arial" w:cs="Arial" w:eastAsia="Arial" w:hAnsi="Arial"/>
          <w:sz w:val="18"/>
          <w:szCs w:val="18"/>
          <w:color w:val="231F20"/>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231F20"/>
        </w:rPr>
        <w:t>Section 4.4.3</w:t>
      </w:r>
      <w:r>
        <w:rPr>
          <w:rFonts w:ascii="Arial" w:cs="Arial" w:eastAsia="Arial" w:hAnsi="Arial"/>
          <w:sz w:val="18"/>
          <w:szCs w:val="18"/>
          <w:color w:val="231F20"/>
        </w:rPr>
        <w:t>, relating to Options and Convertible Securities, shall be determined by dividing:</w:t>
      </w:r>
    </w:p>
    <w:p>
      <w:pPr>
        <w:spacing w:after="0" w:line="183" w:lineRule="exact"/>
        <w:rPr>
          <w:rFonts w:ascii="Arial" w:cs="Arial" w:eastAsia="Arial" w:hAnsi="Arial"/>
          <w:sz w:val="18"/>
          <w:szCs w:val="18"/>
          <w:color w:val="231F20"/>
        </w:rPr>
      </w:pPr>
    </w:p>
    <w:p>
      <w:pPr>
        <w:jc w:val="both"/>
        <w:ind w:left="5180" w:hanging="652"/>
        <w:spacing w:after="0" w:line="269" w:lineRule="auto"/>
        <w:tabs>
          <w:tab w:leader="none" w:pos="5180" w:val="left"/>
        </w:tabs>
        <w:numPr>
          <w:ilvl w:val="1"/>
          <w:numId w:val="149"/>
        </w:numPr>
        <w:rPr>
          <w:rFonts w:ascii="Arial" w:cs="Arial" w:eastAsia="Arial" w:hAnsi="Arial"/>
          <w:sz w:val="17"/>
          <w:szCs w:val="17"/>
          <w:color w:val="231F20"/>
        </w:rPr>
      </w:pPr>
      <w:r>
        <w:rPr>
          <w:rFonts w:ascii="Arial" w:cs="Arial" w:eastAsia="Arial" w:hAnsi="Arial"/>
          <w:sz w:val="17"/>
          <w:szCs w:val="17"/>
          <w:color w:val="231F20"/>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93" w:lineRule="exact"/>
        <w:rPr>
          <w:rFonts w:ascii="Arial" w:cs="Arial" w:eastAsia="Arial" w:hAnsi="Arial"/>
          <w:sz w:val="17"/>
          <w:szCs w:val="17"/>
          <w:color w:val="231F20"/>
        </w:rPr>
      </w:pPr>
    </w:p>
    <w:p>
      <w:pPr>
        <w:jc w:val="both"/>
        <w:ind w:left="5180" w:hanging="652"/>
        <w:spacing w:after="0" w:line="292" w:lineRule="auto"/>
        <w:tabs>
          <w:tab w:leader="none" w:pos="5180" w:val="left"/>
        </w:tabs>
        <w:numPr>
          <w:ilvl w:val="1"/>
          <w:numId w:val="149"/>
        </w:numPr>
        <w:rPr>
          <w:rFonts w:ascii="Arial" w:cs="Arial" w:eastAsia="Arial" w:hAnsi="Arial"/>
          <w:sz w:val="16"/>
          <w:szCs w:val="16"/>
          <w:color w:val="231F20"/>
        </w:rPr>
      </w:pPr>
      <w:r>
        <w:rPr>
          <w:rFonts w:ascii="Arial" w:cs="Arial" w:eastAsia="Arial" w:hAnsi="Arial"/>
          <w:sz w:val="16"/>
          <w:szCs w:val="16"/>
          <w:color w:val="231F20"/>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77" w:lineRule="exact"/>
        <w:rPr>
          <w:sz w:val="20"/>
          <w:szCs w:val="20"/>
          <w:color w:val="auto"/>
        </w:rPr>
      </w:pPr>
    </w:p>
    <w:p>
      <w:pPr>
        <w:jc w:val="both"/>
        <w:ind w:firstLine="2583"/>
        <w:spacing w:after="0" w:line="258" w:lineRule="auto"/>
        <w:rPr>
          <w:sz w:val="20"/>
          <w:szCs w:val="20"/>
          <w:color w:val="auto"/>
        </w:rPr>
      </w:pPr>
      <w:r>
        <w:rPr>
          <w:rFonts w:ascii="Arial" w:cs="Arial" w:eastAsia="Arial" w:hAnsi="Arial"/>
          <w:sz w:val="18"/>
          <w:szCs w:val="18"/>
          <w:color w:val="231F20"/>
        </w:rPr>
        <w:t xml:space="preserve">4.4.6. </w:t>
      </w:r>
      <w:r>
        <w:rPr>
          <w:rFonts w:ascii="Arial" w:cs="Arial" w:eastAsia="Arial" w:hAnsi="Arial"/>
          <w:sz w:val="18"/>
          <w:szCs w:val="18"/>
          <w:u w:val="single" w:color="auto"/>
          <w:color w:val="231F20"/>
        </w:rPr>
        <w:t>Multiple Closing Dates</w:t>
      </w:r>
      <w:r>
        <w:rPr>
          <w:rFonts w:ascii="Arial" w:cs="Arial" w:eastAsia="Arial" w:hAnsi="Arial"/>
          <w:sz w:val="18"/>
          <w:szCs w:val="18"/>
          <w:color w:val="231F20"/>
        </w:rPr>
        <w:t xml:space="preserve">. In the event the Corporation shall issue on more than one date Additional Shares of Common Stock that are a part of one transaction or a series of related transactions and that would result in an adjustment to the applicable Conversion Price for a series of Preferred Stock pursuant to the terms of </w:t>
      </w:r>
      <w:r>
        <w:rPr>
          <w:rFonts w:ascii="Arial" w:cs="Arial" w:eastAsia="Arial" w:hAnsi="Arial"/>
          <w:sz w:val="18"/>
          <w:szCs w:val="18"/>
          <w:u w:val="single" w:color="auto"/>
          <w:color w:val="231F20"/>
        </w:rPr>
        <w:t>Section 4.4.4</w:t>
      </w:r>
      <w:r>
        <w:rPr>
          <w:rFonts w:ascii="Arial" w:cs="Arial" w:eastAsia="Arial" w:hAnsi="Arial"/>
          <w:sz w:val="18"/>
          <w:szCs w:val="18"/>
          <w:color w:val="231F20"/>
        </w:rPr>
        <w:t>, and such issuance dates occur within a period of no more than ninety (90) days from the first such issuance</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32" w:right="439" w:bottom="1440" w:gutter="0" w:footer="0" w:header="0"/>
        </w:sectPr>
      </w:pPr>
    </w:p>
    <w:bookmarkStart w:id="258" w:name="page259"/>
    <w:bookmarkEnd w:id="258"/>
    <w:p>
      <w:pPr>
        <w:jc w:val="both"/>
        <w:spacing w:after="0" w:line="262" w:lineRule="auto"/>
        <w:rPr>
          <w:sz w:val="20"/>
          <w:szCs w:val="20"/>
          <w:color w:val="auto"/>
        </w:rPr>
      </w:pPr>
      <w:r>
        <w:rPr>
          <w:rFonts w:ascii="Arial" w:cs="Arial" w:eastAsia="Arial" w:hAnsi="Arial"/>
          <w:sz w:val="18"/>
          <w:szCs w:val="18"/>
          <w:color w:val="231F20"/>
        </w:rPr>
        <w:t>to the final such issuance, then, upon the final such issuance, such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7" w:lineRule="exact"/>
        <w:rPr>
          <w:sz w:val="20"/>
          <w:szCs w:val="20"/>
          <w:color w:val="auto"/>
        </w:rPr>
      </w:pPr>
    </w:p>
    <w:p>
      <w:pPr>
        <w:jc w:val="both"/>
        <w:ind w:firstLine="1937"/>
        <w:spacing w:after="0" w:line="269" w:lineRule="auto"/>
        <w:rPr>
          <w:sz w:val="20"/>
          <w:szCs w:val="20"/>
          <w:color w:val="auto"/>
        </w:rPr>
      </w:pPr>
      <w:r>
        <w:rPr>
          <w:rFonts w:ascii="Arial" w:cs="Arial" w:eastAsia="Arial" w:hAnsi="Arial"/>
          <w:sz w:val="17"/>
          <w:szCs w:val="17"/>
          <w:color w:val="231F20"/>
        </w:rPr>
        <w:t xml:space="preserve">4.5. </w:t>
      </w:r>
      <w:r>
        <w:rPr>
          <w:rFonts w:ascii="Arial" w:cs="Arial" w:eastAsia="Arial" w:hAnsi="Arial"/>
          <w:sz w:val="17"/>
          <w:szCs w:val="17"/>
          <w:u w:val="single" w:color="auto"/>
          <w:color w:val="231F20"/>
        </w:rPr>
        <w:t>Adjustment for Stock Splits and Combinations</w:t>
      </w:r>
      <w:r>
        <w:rPr>
          <w:rFonts w:ascii="Arial" w:cs="Arial" w:eastAsia="Arial" w:hAnsi="Arial"/>
          <w:sz w:val="17"/>
          <w:szCs w:val="17"/>
          <w:color w:val="231F20"/>
        </w:rPr>
        <w:t>. If the Corporation shall at any time or from time to time after the Series C Original Issue Date effect a subdivision of the outstanding Common Stock, the applicable Conversion Price for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applicable Conversion Price for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94" w:lineRule="exact"/>
        <w:rPr>
          <w:sz w:val="20"/>
          <w:szCs w:val="20"/>
          <w:color w:val="auto"/>
        </w:rPr>
      </w:pPr>
    </w:p>
    <w:p>
      <w:pPr>
        <w:jc w:val="both"/>
        <w:ind w:firstLine="1937"/>
        <w:spacing w:after="0" w:line="254" w:lineRule="auto"/>
        <w:rPr>
          <w:sz w:val="20"/>
          <w:szCs w:val="20"/>
          <w:color w:val="auto"/>
        </w:rPr>
      </w:pPr>
      <w:r>
        <w:rPr>
          <w:rFonts w:ascii="Arial" w:cs="Arial" w:eastAsia="Arial" w:hAnsi="Arial"/>
          <w:sz w:val="18"/>
          <w:szCs w:val="18"/>
          <w:color w:val="231F20"/>
        </w:rPr>
        <w:t xml:space="preserve">4.6. </w:t>
      </w:r>
      <w:r>
        <w:rPr>
          <w:rFonts w:ascii="Arial" w:cs="Arial" w:eastAsia="Arial" w:hAnsi="Arial"/>
          <w:sz w:val="18"/>
          <w:szCs w:val="18"/>
          <w:u w:val="single" w:color="auto"/>
          <w:color w:val="231F20"/>
        </w:rPr>
        <w:t>Adjustment for Certain Dividends and Distributions</w:t>
      </w:r>
      <w:r>
        <w:rPr>
          <w:rFonts w:ascii="Arial" w:cs="Arial" w:eastAsia="Arial" w:hAnsi="Arial"/>
          <w:sz w:val="18"/>
          <w:szCs w:val="18"/>
          <w:color w:val="231F20"/>
        </w:rPr>
        <w:t>.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for each series of Preferred Stock in effect immediately before such event shall be decreased as of the time of such issuance or, in the event such a record date shall have been fixed, as of the close of business on such record date, by multiplying such Conversion Price for such series then in effect by a fraction:</w:t>
      </w:r>
    </w:p>
    <w:p>
      <w:pPr>
        <w:spacing w:after="0" w:line="192" w:lineRule="exact"/>
        <w:rPr>
          <w:sz w:val="20"/>
          <w:szCs w:val="20"/>
          <w:color w:val="auto"/>
        </w:rPr>
      </w:pPr>
    </w:p>
    <w:p>
      <w:pPr>
        <w:ind w:firstLine="1945"/>
        <w:spacing w:after="0" w:line="275" w:lineRule="auto"/>
        <w:tabs>
          <w:tab w:leader="none" w:pos="2696" w:val="left"/>
        </w:tabs>
        <w:numPr>
          <w:ilvl w:val="0"/>
          <w:numId w:val="150"/>
        </w:numPr>
        <w:rPr>
          <w:rFonts w:ascii="Arial" w:cs="Arial" w:eastAsia="Arial" w:hAnsi="Arial"/>
          <w:sz w:val="18"/>
          <w:szCs w:val="18"/>
          <w:color w:val="231F20"/>
        </w:rPr>
      </w:pPr>
      <w:r>
        <w:rPr>
          <w:rFonts w:ascii="Arial" w:cs="Arial" w:eastAsia="Arial" w:hAnsi="Arial"/>
          <w:sz w:val="18"/>
          <w:szCs w:val="18"/>
          <w:color w:val="231F20"/>
        </w:rPr>
        <w:t>the numerator of which shall be the total number of shares of Common Stock issued and outstanding immediately prior to the time of such issuance or the close of business on such record date, and</w:t>
      </w:r>
    </w:p>
    <w:p>
      <w:pPr>
        <w:spacing w:after="0" w:line="184" w:lineRule="exact"/>
        <w:rPr>
          <w:rFonts w:ascii="Arial" w:cs="Arial" w:eastAsia="Arial" w:hAnsi="Arial"/>
          <w:sz w:val="18"/>
          <w:szCs w:val="18"/>
          <w:color w:val="231F20"/>
        </w:rPr>
      </w:pPr>
    </w:p>
    <w:p>
      <w:pPr>
        <w:jc w:val="both"/>
        <w:ind w:right="20" w:firstLine="1945"/>
        <w:spacing w:after="0" w:line="262" w:lineRule="auto"/>
        <w:tabs>
          <w:tab w:leader="none" w:pos="2693" w:val="left"/>
        </w:tabs>
        <w:numPr>
          <w:ilvl w:val="0"/>
          <w:numId w:val="150"/>
        </w:numPr>
        <w:rPr>
          <w:rFonts w:ascii="Arial" w:cs="Arial" w:eastAsia="Arial" w:hAnsi="Arial"/>
          <w:sz w:val="18"/>
          <w:szCs w:val="18"/>
          <w:color w:val="231F20"/>
        </w:rPr>
      </w:pPr>
      <w:r>
        <w:rPr>
          <w:rFonts w:ascii="Arial" w:cs="Arial" w:eastAsia="Arial" w:hAnsi="Arial"/>
          <w:sz w:val="18"/>
          <w:szCs w:val="18"/>
          <w:color w:val="231F20"/>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97" w:lineRule="exact"/>
        <w:rPr>
          <w:sz w:val="20"/>
          <w:szCs w:val="20"/>
          <w:color w:val="auto"/>
        </w:rPr>
      </w:pPr>
    </w:p>
    <w:p>
      <w:pPr>
        <w:jc w:val="both"/>
        <w:ind w:firstLine="1937"/>
        <w:spacing w:after="0" w:line="292" w:lineRule="auto"/>
        <w:rPr>
          <w:sz w:val="20"/>
          <w:szCs w:val="20"/>
          <w:color w:val="auto"/>
        </w:rPr>
      </w:pPr>
      <w:r>
        <w:rPr>
          <w:rFonts w:ascii="Arial" w:cs="Arial" w:eastAsia="Arial" w:hAnsi="Arial"/>
          <w:sz w:val="16"/>
          <w:szCs w:val="16"/>
          <w:color w:val="231F20"/>
        </w:rPr>
        <w:t>Notwithstanding the foregoing, (a) if such record date shall have been fixed and such dividend is not fully paid or if such distribution is not fully made on the date fixed therefor, the applicable Conversion Price for each series of Preferred Stock shall be recomputed accordingly as of the close of business on such record date and thereafter the Conversion Price shall be adjusted pursuant to this subsection as of the time of actual payment of such dividends or distributions; and (b) that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9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5" w:right="439" w:bottom="1440" w:gutter="0" w:footer="0" w:header="0"/>
        </w:sectPr>
      </w:pPr>
    </w:p>
    <w:bookmarkStart w:id="259" w:name="page260"/>
    <w:bookmarkEnd w:id="259"/>
    <w:p>
      <w:pPr>
        <w:jc w:val="both"/>
        <w:ind w:firstLine="1937"/>
        <w:spacing w:after="0" w:line="271" w:lineRule="auto"/>
        <w:rPr>
          <w:sz w:val="20"/>
          <w:szCs w:val="20"/>
          <w:color w:val="auto"/>
        </w:rPr>
      </w:pPr>
      <w:r>
        <w:rPr>
          <w:rFonts w:ascii="Arial" w:cs="Arial" w:eastAsia="Arial" w:hAnsi="Arial"/>
          <w:sz w:val="17"/>
          <w:szCs w:val="17"/>
          <w:color w:val="231F20"/>
        </w:rPr>
        <w:t xml:space="preserve">4.7. </w:t>
      </w:r>
      <w:r>
        <w:rPr>
          <w:rFonts w:ascii="Arial" w:cs="Arial" w:eastAsia="Arial" w:hAnsi="Arial"/>
          <w:sz w:val="17"/>
          <w:szCs w:val="17"/>
          <w:u w:val="single" w:color="auto"/>
          <w:color w:val="231F20"/>
        </w:rPr>
        <w:t>Adjustments for Other Dividends and Distributions</w:t>
      </w:r>
      <w:r>
        <w:rPr>
          <w:rFonts w:ascii="Arial" w:cs="Arial" w:eastAsia="Arial" w:hAnsi="Arial"/>
          <w:sz w:val="17"/>
          <w:szCs w:val="17"/>
          <w:color w:val="231F20"/>
        </w:rPr>
        <w:t xml:space="preserve">.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231F20"/>
        </w:rPr>
        <w:t>Section 1</w:t>
      </w:r>
      <w:r>
        <w:rPr>
          <w:rFonts w:ascii="Arial" w:cs="Arial" w:eastAsia="Arial" w:hAnsi="Arial"/>
          <w:sz w:val="17"/>
          <w:szCs w:val="17"/>
          <w:color w:val="231F20"/>
        </w:rPr>
        <w:t xml:space="preserve"> do not apply to such dividend or distribution, then and in each such event the holders of each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90" w:lineRule="exact"/>
        <w:rPr>
          <w:sz w:val="20"/>
          <w:szCs w:val="20"/>
          <w:color w:val="auto"/>
        </w:rPr>
      </w:pPr>
    </w:p>
    <w:p>
      <w:pPr>
        <w:jc w:val="both"/>
        <w:ind w:firstLine="1937"/>
        <w:spacing w:after="0" w:line="285" w:lineRule="auto"/>
        <w:rPr>
          <w:sz w:val="20"/>
          <w:szCs w:val="20"/>
          <w:color w:val="auto"/>
        </w:rPr>
      </w:pPr>
      <w:r>
        <w:rPr>
          <w:rFonts w:ascii="Arial" w:cs="Arial" w:eastAsia="Arial" w:hAnsi="Arial"/>
          <w:sz w:val="16"/>
          <w:szCs w:val="16"/>
          <w:color w:val="231F20"/>
        </w:rPr>
        <w:t xml:space="preserve">4.8. </w:t>
      </w:r>
      <w:r>
        <w:rPr>
          <w:rFonts w:ascii="Arial" w:cs="Arial" w:eastAsia="Arial" w:hAnsi="Arial"/>
          <w:sz w:val="16"/>
          <w:szCs w:val="16"/>
          <w:u w:val="single" w:color="auto"/>
          <w:color w:val="231F20"/>
        </w:rPr>
        <w:t>Adjustment for Merger or Reorganization, etc</w:t>
      </w:r>
      <w:r>
        <w:rPr>
          <w:rFonts w:ascii="Arial" w:cs="Arial" w:eastAsia="Arial" w:hAnsi="Arial"/>
          <w:sz w:val="16"/>
          <w:szCs w:val="16"/>
          <w:color w:val="231F20"/>
        </w:rPr>
        <w:t xml:space="preserve">. Subject to the provisions of </w:t>
      </w:r>
      <w:r>
        <w:rPr>
          <w:rFonts w:ascii="Arial" w:cs="Arial" w:eastAsia="Arial" w:hAnsi="Arial"/>
          <w:sz w:val="16"/>
          <w:szCs w:val="16"/>
          <w:u w:val="single" w:color="auto"/>
          <w:color w:val="231F20"/>
        </w:rPr>
        <w:t>Section 2.3</w:t>
      </w:r>
      <w:r>
        <w:rPr>
          <w:rFonts w:ascii="Arial" w:cs="Arial" w:eastAsia="Arial" w:hAnsi="Arial"/>
          <w:sz w:val="16"/>
          <w:szCs w:val="16"/>
          <w:color w:val="231F20"/>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6"/>
          <w:szCs w:val="16"/>
          <w:u w:val="single" w:color="auto"/>
          <w:color w:val="231F20"/>
        </w:rPr>
        <w:t>Sections 4.4</w:t>
      </w:r>
      <w:r>
        <w:rPr>
          <w:rFonts w:ascii="Arial" w:cs="Arial" w:eastAsia="Arial" w:hAnsi="Arial"/>
          <w:sz w:val="16"/>
          <w:szCs w:val="16"/>
          <w:color w:val="231F20"/>
        </w:rPr>
        <w:t xml:space="preserve">, </w:t>
      </w:r>
      <w:r>
        <w:rPr>
          <w:rFonts w:ascii="Arial" w:cs="Arial" w:eastAsia="Arial" w:hAnsi="Arial"/>
          <w:sz w:val="16"/>
          <w:szCs w:val="16"/>
          <w:u w:val="single" w:color="auto"/>
          <w:color w:val="231F20"/>
        </w:rPr>
        <w:t>4.6</w:t>
      </w:r>
      <w:r>
        <w:rPr>
          <w:rFonts w:ascii="Arial" w:cs="Arial" w:eastAsia="Arial" w:hAnsi="Arial"/>
          <w:sz w:val="16"/>
          <w:szCs w:val="16"/>
          <w:color w:val="231F20"/>
        </w:rPr>
        <w:t xml:space="preserve"> or </w:t>
      </w:r>
      <w:r>
        <w:rPr>
          <w:rFonts w:ascii="Arial" w:cs="Arial" w:eastAsia="Arial" w:hAnsi="Arial"/>
          <w:sz w:val="16"/>
          <w:szCs w:val="16"/>
          <w:u w:val="single" w:color="auto"/>
          <w:color w:val="231F20"/>
        </w:rPr>
        <w:t>4.7</w:t>
      </w:r>
      <w:r>
        <w:rPr>
          <w:rFonts w:ascii="Arial" w:cs="Arial" w:eastAsia="Arial" w:hAnsi="Arial"/>
          <w:sz w:val="16"/>
          <w:szCs w:val="16"/>
          <w:color w:val="231F20"/>
        </w:rPr>
        <w:t xml:space="preserve">), then, following any such reorganization, recapitalization, reclassification, consolidation or merger, each share of a series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Arial" w:cs="Arial" w:eastAsia="Arial" w:hAnsi="Arial"/>
          <w:sz w:val="16"/>
          <w:szCs w:val="16"/>
          <w:u w:val="single" w:color="auto"/>
          <w:color w:val="231F20"/>
        </w:rPr>
        <w:t>Section 4</w:t>
      </w:r>
      <w:r>
        <w:rPr>
          <w:rFonts w:ascii="Arial" w:cs="Arial" w:eastAsia="Arial" w:hAnsi="Arial"/>
          <w:sz w:val="16"/>
          <w:szCs w:val="16"/>
          <w:color w:val="231F20"/>
        </w:rPr>
        <w:t xml:space="preserve"> with respect to the rights and interests thereafter of the holders of such series of Preferred Stock, to the end that the provisions set forth in this </w:t>
      </w:r>
      <w:r>
        <w:rPr>
          <w:rFonts w:ascii="Arial" w:cs="Arial" w:eastAsia="Arial" w:hAnsi="Arial"/>
          <w:sz w:val="16"/>
          <w:szCs w:val="16"/>
          <w:u w:val="single" w:color="auto"/>
          <w:color w:val="231F20"/>
        </w:rPr>
        <w:t>Section 4</w:t>
      </w:r>
      <w:r>
        <w:rPr>
          <w:rFonts w:ascii="Arial" w:cs="Arial" w:eastAsia="Arial" w:hAnsi="Arial"/>
          <w:sz w:val="16"/>
          <w:szCs w:val="16"/>
          <w:color w:val="231F20"/>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such Preferred Stock, For the avoidance of doubt, nothing in this </w:t>
      </w:r>
      <w:r>
        <w:rPr>
          <w:rFonts w:ascii="Arial" w:cs="Arial" w:eastAsia="Arial" w:hAnsi="Arial"/>
          <w:sz w:val="16"/>
          <w:szCs w:val="16"/>
          <w:u w:val="single" w:color="auto"/>
          <w:color w:val="231F20"/>
        </w:rPr>
        <w:t>Section 4.8</w:t>
      </w:r>
      <w:r>
        <w:rPr>
          <w:rFonts w:ascii="Arial" w:cs="Arial" w:eastAsia="Arial" w:hAnsi="Arial"/>
          <w:sz w:val="16"/>
          <w:szCs w:val="16"/>
          <w:color w:val="231F20"/>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6"/>
          <w:szCs w:val="16"/>
          <w:u w:val="single" w:color="auto"/>
          <w:color w:val="231F20"/>
        </w:rPr>
        <w:t>Section 4.8</w:t>
      </w:r>
      <w:r>
        <w:rPr>
          <w:rFonts w:ascii="Arial" w:cs="Arial" w:eastAsia="Arial" w:hAnsi="Arial"/>
          <w:sz w:val="16"/>
          <w:szCs w:val="16"/>
          <w:color w:val="231F20"/>
        </w:rPr>
        <w:t xml:space="preserve"> be deemed conclusive evidence of the fair value of the shares of Preferred Stock in any such appraisal proceeding.</w:t>
      </w:r>
    </w:p>
    <w:p>
      <w:pPr>
        <w:spacing w:after="0" w:line="183" w:lineRule="exact"/>
        <w:rPr>
          <w:sz w:val="20"/>
          <w:szCs w:val="20"/>
          <w:color w:val="auto"/>
        </w:rPr>
      </w:pPr>
    </w:p>
    <w:p>
      <w:pPr>
        <w:jc w:val="both"/>
        <w:ind w:firstLine="1937"/>
        <w:spacing w:after="0" w:line="270" w:lineRule="auto"/>
        <w:rPr>
          <w:sz w:val="20"/>
          <w:szCs w:val="20"/>
          <w:color w:val="auto"/>
        </w:rPr>
      </w:pPr>
      <w:r>
        <w:rPr>
          <w:rFonts w:ascii="Arial" w:cs="Arial" w:eastAsia="Arial" w:hAnsi="Arial"/>
          <w:sz w:val="17"/>
          <w:szCs w:val="17"/>
          <w:color w:val="231F20"/>
        </w:rPr>
        <w:t xml:space="preserve">4.9. </w:t>
      </w:r>
      <w:r>
        <w:rPr>
          <w:rFonts w:ascii="Arial" w:cs="Arial" w:eastAsia="Arial" w:hAnsi="Arial"/>
          <w:sz w:val="17"/>
          <w:szCs w:val="17"/>
          <w:u w:val="single" w:color="auto"/>
          <w:color w:val="231F20"/>
        </w:rPr>
        <w:t>Certificate as to Adjustments</w:t>
      </w:r>
      <w:r>
        <w:rPr>
          <w:rFonts w:ascii="Arial" w:cs="Arial" w:eastAsia="Arial" w:hAnsi="Arial"/>
          <w:sz w:val="17"/>
          <w:szCs w:val="17"/>
          <w:color w:val="231F20"/>
        </w:rPr>
        <w:t xml:space="preserve">. Upon the occurrence of each adjustment or readjustment of the applicable Conversion Price of a series of Preferred Stock pursuant to this </w:t>
      </w:r>
      <w:r>
        <w:rPr>
          <w:rFonts w:ascii="Arial" w:cs="Arial" w:eastAsia="Arial" w:hAnsi="Arial"/>
          <w:sz w:val="17"/>
          <w:szCs w:val="17"/>
          <w:u w:val="single" w:color="auto"/>
          <w:color w:val="231F20"/>
        </w:rPr>
        <w:t>Section 4</w:t>
      </w:r>
      <w:r>
        <w:rPr>
          <w:rFonts w:ascii="Arial" w:cs="Arial" w:eastAsia="Arial" w:hAnsi="Arial"/>
          <w:sz w:val="17"/>
          <w:szCs w:val="17"/>
          <w:color w:val="231F20"/>
        </w:rPr>
        <w:t>, the Corporation at its expense shall, as promptly as reasonably practicable but in any event not later than ten (10)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Preferred Stock is convertible) and showing in detail the facts upon which such adjustment or readjustment is based. The Corporation shall, as promptly as reasonably practicable after the written request at any time of any holder of a series of Preferred Stock (but in any event not later than ten (10) days thereafter), furnish or cause to be furnished to such holder a certificate setting forth (i) the applicable Conversion Price for such series of Preferred Stock then in effect, and (ii) the number of shares of Common Stock and the</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color w:val="231F20"/>
        </w:rPr>
        <w:t>amount, if any, of other securities, cash or property which then would be received upon the conversion of such series of Preferred Stock.</w:t>
      </w:r>
    </w:p>
    <w:p>
      <w:pPr>
        <w:spacing w:after="0" w:line="237" w:lineRule="exact"/>
        <w:rPr>
          <w:sz w:val="20"/>
          <w:szCs w:val="20"/>
          <w:color w:val="auto"/>
        </w:rPr>
      </w:pPr>
    </w:p>
    <w:p>
      <w:pPr>
        <w:ind w:left="3040"/>
        <w:spacing w:after="0"/>
        <w:tabs>
          <w:tab w:leader="none" w:pos="3660" w:val="left"/>
        </w:tabs>
        <w:rPr>
          <w:sz w:val="20"/>
          <w:szCs w:val="20"/>
          <w:color w:val="auto"/>
        </w:rPr>
      </w:pPr>
      <w:r>
        <w:rPr>
          <w:rFonts w:ascii="Arial" w:cs="Arial" w:eastAsia="Arial" w:hAnsi="Arial"/>
          <w:sz w:val="18"/>
          <w:szCs w:val="18"/>
          <w:color w:val="231F20"/>
        </w:rPr>
        <w:t>4.10.</w:t>
      </w:r>
      <w:r>
        <w:rPr>
          <w:sz w:val="20"/>
          <w:szCs w:val="20"/>
          <w:color w:val="auto"/>
        </w:rPr>
        <w:tab/>
      </w:r>
      <w:r>
        <w:rPr>
          <w:rFonts w:ascii="Arial" w:cs="Arial" w:eastAsia="Arial" w:hAnsi="Arial"/>
          <w:sz w:val="16"/>
          <w:szCs w:val="16"/>
          <w:u w:val="single" w:color="auto"/>
          <w:color w:val="231F20"/>
        </w:rPr>
        <w:t>Notice of Record Date</w:t>
      </w:r>
      <w:r>
        <w:rPr>
          <w:rFonts w:ascii="Arial" w:cs="Arial" w:eastAsia="Arial" w:hAnsi="Arial"/>
          <w:sz w:val="16"/>
          <w:szCs w:val="16"/>
          <w:color w:val="231F20"/>
        </w:rPr>
        <w:t>. In the event:</w:t>
      </w:r>
    </w:p>
    <w:p>
      <w:pPr>
        <w:spacing w:after="0" w:line="223" w:lineRule="exact"/>
        <w:rPr>
          <w:sz w:val="20"/>
          <w:szCs w:val="20"/>
          <w:color w:val="auto"/>
        </w:rPr>
      </w:pPr>
    </w:p>
    <w:p>
      <w:pPr>
        <w:jc w:val="both"/>
        <w:ind w:firstLine="1945"/>
        <w:spacing w:after="0" w:line="285" w:lineRule="auto"/>
        <w:tabs>
          <w:tab w:leader="none" w:pos="2683" w:val="left"/>
        </w:tabs>
        <w:numPr>
          <w:ilvl w:val="0"/>
          <w:numId w:val="151"/>
        </w:numPr>
        <w:rPr>
          <w:rFonts w:ascii="Arial" w:cs="Arial" w:eastAsia="Arial" w:hAnsi="Arial"/>
          <w:sz w:val="17"/>
          <w:szCs w:val="17"/>
          <w:color w:val="231F20"/>
        </w:rPr>
      </w:pPr>
      <w:r>
        <w:rPr>
          <w:rFonts w:ascii="Arial" w:cs="Arial" w:eastAsia="Arial" w:hAnsi="Arial"/>
          <w:sz w:val="17"/>
          <w:szCs w:val="17"/>
          <w:color w:val="231F20"/>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78" w:lineRule="exact"/>
        <w:rPr>
          <w:rFonts w:ascii="Arial" w:cs="Arial" w:eastAsia="Arial" w:hAnsi="Arial"/>
          <w:sz w:val="17"/>
          <w:szCs w:val="17"/>
          <w:color w:val="231F20"/>
        </w:rPr>
      </w:pPr>
    </w:p>
    <w:p>
      <w:pPr>
        <w:ind w:left="2700" w:hanging="755"/>
        <w:spacing w:after="0"/>
        <w:tabs>
          <w:tab w:leader="none" w:pos="2700" w:val="left"/>
        </w:tabs>
        <w:numPr>
          <w:ilvl w:val="0"/>
          <w:numId w:val="151"/>
        </w:numPr>
        <w:rPr>
          <w:rFonts w:ascii="Arial" w:cs="Arial" w:eastAsia="Arial" w:hAnsi="Arial"/>
          <w:sz w:val="16"/>
          <w:szCs w:val="16"/>
          <w:color w:val="231F20"/>
        </w:rPr>
      </w:pPr>
      <w:r>
        <w:rPr>
          <w:rFonts w:ascii="Arial" w:cs="Arial" w:eastAsia="Arial" w:hAnsi="Arial"/>
          <w:sz w:val="16"/>
          <w:szCs w:val="16"/>
          <w:color w:val="231F20"/>
        </w:rPr>
        <w:t>of any capital reorganization of the Corporation, any reclassification of the Common Stock of the Corporation, or any</w:t>
      </w:r>
    </w:p>
    <w:p>
      <w:pPr>
        <w:spacing w:after="0" w:line="45" w:lineRule="exact"/>
        <w:rPr>
          <w:rFonts w:ascii="Arial" w:cs="Arial" w:eastAsia="Arial" w:hAnsi="Arial"/>
          <w:sz w:val="16"/>
          <w:szCs w:val="16"/>
          <w:color w:val="231F20"/>
        </w:rPr>
      </w:pPr>
    </w:p>
    <w:p>
      <w:pPr>
        <w:spacing w:after="0"/>
        <w:rPr>
          <w:rFonts w:ascii="Arial" w:cs="Arial" w:eastAsia="Arial" w:hAnsi="Arial"/>
          <w:sz w:val="16"/>
          <w:szCs w:val="16"/>
          <w:color w:val="231F20"/>
        </w:rPr>
      </w:pPr>
      <w:r>
        <w:rPr>
          <w:rFonts w:ascii="Arial" w:cs="Arial" w:eastAsia="Arial" w:hAnsi="Arial"/>
          <w:sz w:val="18"/>
          <w:szCs w:val="18"/>
          <w:color w:val="231F20"/>
        </w:rPr>
        <w:t>Deemed Liquidation Event; or</w:t>
      </w:r>
    </w:p>
    <w:p>
      <w:pPr>
        <w:spacing w:after="0" w:line="222" w:lineRule="exact"/>
        <w:rPr>
          <w:rFonts w:ascii="Arial" w:cs="Arial" w:eastAsia="Arial" w:hAnsi="Arial"/>
          <w:sz w:val="16"/>
          <w:szCs w:val="16"/>
          <w:color w:val="231F20"/>
        </w:rPr>
      </w:pPr>
    </w:p>
    <w:p>
      <w:pPr>
        <w:jc w:val="both"/>
        <w:ind w:firstLine="1945"/>
        <w:spacing w:after="0" w:line="269" w:lineRule="auto"/>
        <w:tabs>
          <w:tab w:leader="none" w:pos="2683" w:val="left"/>
        </w:tabs>
        <w:numPr>
          <w:ilvl w:val="0"/>
          <w:numId w:val="151"/>
        </w:numPr>
        <w:rPr>
          <w:rFonts w:ascii="Arial" w:cs="Arial" w:eastAsia="Arial" w:hAnsi="Arial"/>
          <w:sz w:val="17"/>
          <w:szCs w:val="17"/>
          <w:color w:val="231F20"/>
        </w:rPr>
      </w:pPr>
      <w:r>
        <w:rPr>
          <w:rFonts w:ascii="Arial" w:cs="Arial" w:eastAsia="Arial" w:hAnsi="Arial"/>
          <w:sz w:val="17"/>
          <w:szCs w:val="17"/>
          <w:color w:val="231F20"/>
        </w:rPr>
        <w:t>of the voluntary or involuntary dissolution, liquidation or winding-up of the Corporation, 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94" w:lineRule="exact"/>
        <w:rPr>
          <w:sz w:val="20"/>
          <w:szCs w:val="20"/>
          <w:color w:val="auto"/>
        </w:rPr>
      </w:pPr>
    </w:p>
    <w:p>
      <w:pPr>
        <w:ind w:left="3040" w:hanging="651"/>
        <w:spacing w:after="0"/>
        <w:tabs>
          <w:tab w:leader="none" w:pos="3040" w:val="left"/>
        </w:tabs>
        <w:numPr>
          <w:ilvl w:val="0"/>
          <w:numId w:val="152"/>
        </w:numPr>
        <w:rPr>
          <w:rFonts w:ascii="Arial" w:cs="Arial" w:eastAsia="Arial" w:hAnsi="Arial"/>
          <w:sz w:val="18"/>
          <w:szCs w:val="18"/>
          <w:b w:val="1"/>
          <w:bCs w:val="1"/>
          <w:color w:val="231F20"/>
        </w:rPr>
      </w:pPr>
      <w:r>
        <w:rPr>
          <w:rFonts w:ascii="Arial" w:cs="Arial" w:eastAsia="Arial" w:hAnsi="Arial"/>
          <w:sz w:val="18"/>
          <w:szCs w:val="18"/>
          <w:u w:val="single" w:color="auto"/>
          <w:color w:val="231F20"/>
        </w:rPr>
        <w:t>Mandatory Conversion.</w:t>
      </w:r>
    </w:p>
    <w:p>
      <w:pPr>
        <w:spacing w:after="0" w:line="223" w:lineRule="exact"/>
        <w:rPr>
          <w:sz w:val="20"/>
          <w:szCs w:val="20"/>
          <w:color w:val="auto"/>
        </w:rPr>
      </w:pPr>
    </w:p>
    <w:p>
      <w:pPr>
        <w:jc w:val="both"/>
        <w:ind w:firstLine="1937"/>
        <w:spacing w:after="0" w:line="269" w:lineRule="auto"/>
        <w:rPr>
          <w:sz w:val="20"/>
          <w:szCs w:val="20"/>
          <w:color w:val="auto"/>
        </w:rPr>
      </w:pPr>
      <w:r>
        <w:rPr>
          <w:rFonts w:ascii="Arial" w:cs="Arial" w:eastAsia="Arial" w:hAnsi="Arial"/>
          <w:sz w:val="17"/>
          <w:szCs w:val="17"/>
          <w:color w:val="231F20"/>
        </w:rPr>
        <w:t xml:space="preserve">5.1. </w:t>
      </w:r>
      <w:r>
        <w:rPr>
          <w:rFonts w:ascii="Arial" w:cs="Arial" w:eastAsia="Arial" w:hAnsi="Arial"/>
          <w:sz w:val="17"/>
          <w:szCs w:val="17"/>
          <w:u w:val="single" w:color="auto"/>
          <w:color w:val="231F20"/>
        </w:rPr>
        <w:t>Trigger Events</w:t>
      </w:r>
      <w:r>
        <w:rPr>
          <w:rFonts w:ascii="Arial" w:cs="Arial" w:eastAsia="Arial" w:hAnsi="Arial"/>
          <w:sz w:val="17"/>
          <w:szCs w:val="17"/>
          <w:color w:val="231F20"/>
        </w:rPr>
        <w:t>. Upon either (a) the closing of the sale of shares of Common Stock to the public at a price per share at least equal to $6.4720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resulting in at least $50,000,000 of proceeds, net of the underwriting discount and commissions, to the Corporation (a “</w:t>
      </w:r>
      <w:r>
        <w:rPr>
          <w:rFonts w:ascii="Arial" w:cs="Arial" w:eastAsia="Arial" w:hAnsi="Arial"/>
          <w:sz w:val="17"/>
          <w:szCs w:val="17"/>
          <w:b w:val="1"/>
          <w:bCs w:val="1"/>
          <w:color w:val="231F20"/>
        </w:rPr>
        <w:t>Qualified</w:t>
      </w:r>
      <w:r>
        <w:rPr>
          <w:rFonts w:ascii="Arial" w:cs="Arial" w:eastAsia="Arial" w:hAnsi="Arial"/>
          <w:sz w:val="17"/>
          <w:szCs w:val="17"/>
          <w:color w:val="231F20"/>
        </w:rPr>
        <w:t xml:space="preserve"> </w:t>
      </w:r>
      <w:r>
        <w:rPr>
          <w:rFonts w:ascii="Arial" w:cs="Arial" w:eastAsia="Arial" w:hAnsi="Arial"/>
          <w:sz w:val="17"/>
          <w:szCs w:val="17"/>
          <w:b w:val="1"/>
          <w:bCs w:val="1"/>
          <w:color w:val="231F20"/>
        </w:rPr>
        <w:t>IPO</w:t>
      </w:r>
      <w:r>
        <w:rPr>
          <w:rFonts w:ascii="Arial" w:cs="Arial" w:eastAsia="Arial" w:hAnsi="Arial"/>
          <w:sz w:val="17"/>
          <w:szCs w:val="17"/>
          <w:color w:val="231F20"/>
        </w:rPr>
        <w:t>”) or (b) the date and time, or the occurrence of an event, specified by vote or written consent of each of (i) the Preferred Threshold and (ii) the</w:t>
      </w:r>
      <w:r>
        <w:rPr>
          <w:rFonts w:ascii="Arial" w:cs="Arial" w:eastAsia="Arial" w:hAnsi="Arial"/>
          <w:sz w:val="17"/>
          <w:szCs w:val="17"/>
          <w:b w:val="1"/>
          <w:bCs w:val="1"/>
          <w:color w:val="231F20"/>
        </w:rPr>
        <w:t xml:space="preserve"> </w:t>
      </w:r>
      <w:r>
        <w:rPr>
          <w:rFonts w:ascii="Arial" w:cs="Arial" w:eastAsia="Arial" w:hAnsi="Arial"/>
          <w:sz w:val="17"/>
          <w:szCs w:val="17"/>
          <w:color w:val="231F20"/>
        </w:rPr>
        <w:t>holders of a majority of the outstanding shares of Series C Preferred Stock, voting as a separate class (the time of such closing or the date and time specified or the time of the event specified in such vote or written consent is referred to herein as the “</w:t>
      </w:r>
      <w:r>
        <w:rPr>
          <w:rFonts w:ascii="Arial" w:cs="Arial" w:eastAsia="Arial" w:hAnsi="Arial"/>
          <w:sz w:val="17"/>
          <w:szCs w:val="17"/>
          <w:b w:val="1"/>
          <w:bCs w:val="1"/>
          <w:color w:val="231F20"/>
        </w:rPr>
        <w:t>Mandatory Conversion Time</w:t>
      </w:r>
      <w:r>
        <w:rPr>
          <w:rFonts w:ascii="Arial" w:cs="Arial" w:eastAsia="Arial" w:hAnsi="Arial"/>
          <w:sz w:val="17"/>
          <w:szCs w:val="17"/>
          <w:color w:val="231F20"/>
        </w:rPr>
        <w:t xml:space="preserve">”), then (A) all outstanding shares of Preferred Stock shall automatically be converted into shares of Common Stock, at the then effective conversion rate as calculated pursuant to </w:t>
      </w:r>
      <w:r>
        <w:rPr>
          <w:rFonts w:ascii="Arial" w:cs="Arial" w:eastAsia="Arial" w:hAnsi="Arial"/>
          <w:sz w:val="17"/>
          <w:szCs w:val="17"/>
          <w:u w:val="single" w:color="auto"/>
          <w:color w:val="231F20"/>
        </w:rPr>
        <w:t>Section 4.1.1</w:t>
      </w:r>
      <w:r>
        <w:rPr>
          <w:rFonts w:ascii="Arial" w:cs="Arial" w:eastAsia="Arial" w:hAnsi="Arial"/>
          <w:sz w:val="17"/>
          <w:szCs w:val="17"/>
          <w:color w:val="231F20"/>
        </w:rPr>
        <w:t xml:space="preserve"> and (B) such shares may not be reissued by the Corporation.</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9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5" w:right="439" w:bottom="1440" w:gutter="0" w:footer="0" w:header="0"/>
        </w:sectPr>
      </w:pPr>
    </w:p>
    <w:bookmarkStart w:id="261" w:name="page262"/>
    <w:bookmarkEnd w:id="261"/>
    <w:p>
      <w:pPr>
        <w:jc w:val="both"/>
        <w:ind w:firstLine="1937"/>
        <w:spacing w:after="0" w:line="284" w:lineRule="auto"/>
        <w:rPr>
          <w:sz w:val="20"/>
          <w:szCs w:val="20"/>
          <w:color w:val="auto"/>
        </w:rPr>
      </w:pPr>
      <w:r>
        <w:rPr>
          <w:rFonts w:ascii="Arial" w:cs="Arial" w:eastAsia="Arial" w:hAnsi="Arial"/>
          <w:sz w:val="16"/>
          <w:szCs w:val="16"/>
          <w:color w:val="231F20"/>
        </w:rPr>
        <w:t xml:space="preserve">5.2. </w:t>
      </w:r>
      <w:r>
        <w:rPr>
          <w:rFonts w:ascii="Arial" w:cs="Arial" w:eastAsia="Arial" w:hAnsi="Arial"/>
          <w:sz w:val="16"/>
          <w:szCs w:val="16"/>
          <w:u w:val="single" w:color="auto"/>
          <w:color w:val="231F20"/>
        </w:rPr>
        <w:t>Procedural Requirements</w:t>
      </w:r>
      <w:r>
        <w:rPr>
          <w:rFonts w:ascii="Arial" w:cs="Arial" w:eastAsia="Arial" w:hAnsi="Arial"/>
          <w:sz w:val="16"/>
          <w:szCs w:val="16"/>
          <w:color w:val="231F20"/>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231F20"/>
        </w:rPr>
        <w:t>Section 5.</w:t>
      </w:r>
      <w:r>
        <w:rPr>
          <w:rFonts w:ascii="Arial" w:cs="Arial" w:eastAsia="Arial" w:hAnsi="Arial"/>
          <w:sz w:val="16"/>
          <w:szCs w:val="16"/>
          <w:color w:val="231F20"/>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231F20"/>
        </w:rPr>
        <w:t>Section 5.1</w:t>
      </w:r>
      <w:r>
        <w:rPr>
          <w:rFonts w:ascii="Arial" w:cs="Arial" w:eastAsia="Arial" w:hAnsi="Arial"/>
          <w:sz w:val="16"/>
          <w:szCs w:val="16"/>
          <w:color w:val="231F20"/>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231F20"/>
        </w:rPr>
        <w:t>Section 5.2</w:t>
      </w:r>
      <w:r>
        <w:rPr>
          <w:rFonts w:ascii="Arial" w:cs="Arial" w:eastAsia="Arial" w:hAnsi="Arial"/>
          <w:sz w:val="16"/>
          <w:szCs w:val="16"/>
          <w:color w:val="231F20"/>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6"/>
          <w:szCs w:val="16"/>
          <w:u w:val="single" w:color="auto"/>
          <w:color w:val="231F20"/>
        </w:rPr>
        <w:t>Section 4.2</w:t>
      </w:r>
      <w:r>
        <w:rPr>
          <w:rFonts w:ascii="Arial" w:cs="Arial" w:eastAsia="Arial" w:hAnsi="Arial"/>
          <w:sz w:val="16"/>
          <w:szCs w:val="16"/>
          <w:color w:val="231F20"/>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399" w:lineRule="exact"/>
        <w:rPr>
          <w:sz w:val="20"/>
          <w:szCs w:val="20"/>
          <w:color w:val="auto"/>
        </w:rPr>
      </w:pPr>
    </w:p>
    <w:p>
      <w:pPr>
        <w:jc w:val="both"/>
        <w:ind w:firstLine="1945"/>
        <w:spacing w:after="0" w:line="274" w:lineRule="auto"/>
        <w:tabs>
          <w:tab w:leader="none" w:pos="2797" w:val="left"/>
        </w:tabs>
        <w:numPr>
          <w:ilvl w:val="0"/>
          <w:numId w:val="153"/>
        </w:numPr>
        <w:rPr>
          <w:rFonts w:ascii="Arial" w:cs="Arial" w:eastAsia="Arial" w:hAnsi="Arial"/>
          <w:sz w:val="17"/>
          <w:szCs w:val="17"/>
          <w:b w:val="1"/>
          <w:bCs w:val="1"/>
          <w:color w:val="231F20"/>
        </w:rPr>
      </w:pPr>
      <w:r>
        <w:rPr>
          <w:rFonts w:ascii="Arial" w:cs="Arial" w:eastAsia="Arial" w:hAnsi="Arial"/>
          <w:sz w:val="17"/>
          <w:szCs w:val="17"/>
          <w:u w:val="single" w:color="auto"/>
          <w:color w:val="231F20"/>
        </w:rPr>
        <w:t>Redemption</w:t>
      </w:r>
      <w:r>
        <w:rPr>
          <w:rFonts w:ascii="Arial" w:cs="Arial" w:eastAsia="Arial" w:hAnsi="Arial"/>
          <w:sz w:val="17"/>
          <w:szCs w:val="17"/>
          <w:color w:val="231F20"/>
        </w:rPr>
        <w:t>. The Preferred Stock is not mandatorily redeemable. Any shares of Preferred Stock or Common Stock that are not reserved for issuance under (A) the Stock Plan, or (B) any other plan, agreement or arrangement that is approved by the Board, including at least two (2) Preferred Directors,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or Common Stock following redemption.</w:t>
      </w:r>
    </w:p>
    <w:p>
      <w:pPr>
        <w:spacing w:after="0" w:line="175" w:lineRule="exact"/>
        <w:rPr>
          <w:rFonts w:ascii="Arial" w:cs="Arial" w:eastAsia="Arial" w:hAnsi="Arial"/>
          <w:sz w:val="17"/>
          <w:szCs w:val="17"/>
          <w:b w:val="1"/>
          <w:bCs w:val="1"/>
          <w:color w:val="231F20"/>
        </w:rPr>
      </w:pPr>
    </w:p>
    <w:p>
      <w:pPr>
        <w:jc w:val="both"/>
        <w:ind w:firstLine="1945"/>
        <w:spacing w:after="0" w:line="256" w:lineRule="auto"/>
        <w:tabs>
          <w:tab w:leader="none" w:pos="2681" w:val="left"/>
        </w:tabs>
        <w:numPr>
          <w:ilvl w:val="0"/>
          <w:numId w:val="153"/>
        </w:numPr>
        <w:rPr>
          <w:rFonts w:ascii="Arial" w:cs="Arial" w:eastAsia="Arial" w:hAnsi="Arial"/>
          <w:sz w:val="18"/>
          <w:szCs w:val="18"/>
          <w:b w:val="1"/>
          <w:bCs w:val="1"/>
          <w:color w:val="231F20"/>
        </w:rPr>
      </w:pPr>
      <w:r>
        <w:rPr>
          <w:rFonts w:ascii="Arial" w:cs="Arial" w:eastAsia="Arial" w:hAnsi="Arial"/>
          <w:sz w:val="18"/>
          <w:szCs w:val="18"/>
          <w:u w:val="single" w:color="auto"/>
          <w:color w:val="231F20"/>
        </w:rPr>
        <w:t>Waiver</w:t>
      </w:r>
      <w:r>
        <w:rPr>
          <w:rFonts w:ascii="Arial" w:cs="Arial" w:eastAsia="Arial" w:hAnsi="Arial"/>
          <w:sz w:val="18"/>
          <w:szCs w:val="18"/>
          <w:color w:val="231F20"/>
        </w:rPr>
        <w:t xml:space="preserve">. Subject to </w:t>
      </w:r>
      <w:r>
        <w:rPr>
          <w:rFonts w:ascii="Arial" w:cs="Arial" w:eastAsia="Arial" w:hAnsi="Arial"/>
          <w:sz w:val="18"/>
          <w:szCs w:val="18"/>
          <w:u w:val="single" w:color="auto"/>
          <w:color w:val="231F20"/>
        </w:rPr>
        <w:t>Section 3.5</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3.6</w:t>
      </w:r>
      <w:r>
        <w:rPr>
          <w:rFonts w:ascii="Arial" w:cs="Arial" w:eastAsia="Arial" w:hAnsi="Arial"/>
          <w:sz w:val="18"/>
          <w:szCs w:val="18"/>
          <w:color w:val="231F20"/>
        </w:rPr>
        <w:t xml:space="preserve">, and </w:t>
      </w:r>
      <w:r>
        <w:rPr>
          <w:rFonts w:ascii="Arial" w:cs="Arial" w:eastAsia="Arial" w:hAnsi="Arial"/>
          <w:sz w:val="18"/>
          <w:szCs w:val="18"/>
          <w:u w:val="single" w:color="auto"/>
          <w:color w:val="231F20"/>
        </w:rPr>
        <w:t>3.7</w:t>
      </w:r>
      <w:r>
        <w:rPr>
          <w:rFonts w:ascii="Arial" w:cs="Arial" w:eastAsia="Arial" w:hAnsi="Arial"/>
          <w:sz w:val="18"/>
          <w:szCs w:val="18"/>
          <w:color w:val="231F20"/>
        </w:rPr>
        <w:t>, any of the rights, powers, preferences and other terms of the Preferred Stock set forth herein may be waived on behalf of all holders of Preferred Stock by the affirmative written consent or vote of the Preferred Threshold except for (i) the provisions herein that require the affirmative written consent or vote of the Super Preferred Threshold, which provisions may be waived on behalf of all holders of Preferred Stock by the affirmative written consent or vote of the Super Preferred Threshold, and (ii) in addition to the affirmative written consent or vote of the Preferred Threshold, the waiver of Section 2.3.1 or</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262" w:name="page263"/>
    <w:bookmarkEnd w:id="262"/>
    <w:p>
      <w:pPr>
        <w:ind w:right="20"/>
        <w:spacing w:after="0" w:line="275" w:lineRule="auto"/>
        <w:rPr>
          <w:sz w:val="20"/>
          <w:szCs w:val="20"/>
          <w:color w:val="auto"/>
        </w:rPr>
      </w:pPr>
      <w:r>
        <w:rPr>
          <w:rFonts w:ascii="Arial" w:cs="Arial" w:eastAsia="Arial" w:hAnsi="Arial"/>
          <w:sz w:val="18"/>
          <w:szCs w:val="18"/>
          <w:color w:val="231F20"/>
        </w:rPr>
        <w:t>Section 5.1 shall require the affirmative written consent or vote of the holders of a majority of the outstanding shares of Series C Preferred Stock, voting as a separate class.</w:t>
      </w:r>
    </w:p>
    <w:p>
      <w:pPr>
        <w:spacing w:after="0" w:line="171" w:lineRule="exact"/>
        <w:rPr>
          <w:sz w:val="20"/>
          <w:szCs w:val="20"/>
          <w:color w:val="auto"/>
        </w:rPr>
      </w:pPr>
    </w:p>
    <w:p>
      <w:pPr>
        <w:jc w:val="both"/>
        <w:ind w:firstLine="1945"/>
        <w:spacing w:after="0" w:line="258" w:lineRule="auto"/>
        <w:tabs>
          <w:tab w:leader="none" w:pos="2726" w:val="left"/>
        </w:tabs>
        <w:numPr>
          <w:ilvl w:val="0"/>
          <w:numId w:val="154"/>
        </w:numPr>
        <w:rPr>
          <w:rFonts w:ascii="Arial" w:cs="Arial" w:eastAsia="Arial" w:hAnsi="Arial"/>
          <w:sz w:val="18"/>
          <w:szCs w:val="18"/>
          <w:b w:val="1"/>
          <w:bCs w:val="1"/>
          <w:color w:val="231F20"/>
        </w:rPr>
      </w:pPr>
      <w:r>
        <w:rPr>
          <w:rFonts w:ascii="Arial" w:cs="Arial" w:eastAsia="Arial" w:hAnsi="Arial"/>
          <w:sz w:val="18"/>
          <w:szCs w:val="18"/>
          <w:u w:val="single" w:color="auto"/>
          <w:color w:val="231F20"/>
        </w:rPr>
        <w:t>Notices</w:t>
      </w:r>
      <w:r>
        <w:rPr>
          <w:rFonts w:ascii="Arial" w:cs="Arial" w:eastAsia="Arial" w:hAnsi="Arial"/>
          <w:sz w:val="18"/>
          <w:szCs w:val="18"/>
          <w:color w:val="231F20"/>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the first business day after such mailing or electronic transmission.</w:t>
      </w:r>
    </w:p>
    <w:p>
      <w:pPr>
        <w:spacing w:after="0" w:line="196" w:lineRule="exact"/>
        <w:rPr>
          <w:sz w:val="20"/>
          <w:szCs w:val="20"/>
          <w:color w:val="auto"/>
        </w:rPr>
      </w:pPr>
    </w:p>
    <w:p>
      <w:pPr>
        <w:jc w:val="both"/>
        <w:ind w:firstLine="1937"/>
        <w:spacing w:after="0" w:line="265" w:lineRule="auto"/>
        <w:rPr>
          <w:sz w:val="20"/>
          <w:szCs w:val="20"/>
          <w:color w:val="auto"/>
        </w:rPr>
      </w:pPr>
      <w:r>
        <w:rPr>
          <w:rFonts w:ascii="Arial" w:cs="Arial" w:eastAsia="Arial" w:hAnsi="Arial"/>
          <w:sz w:val="18"/>
          <w:szCs w:val="18"/>
          <w:b w:val="1"/>
          <w:bCs w:val="1"/>
          <w:color w:val="231F20"/>
        </w:rPr>
        <w:t xml:space="preserve">FIFTH: </w:t>
      </w:r>
      <w:r>
        <w:rPr>
          <w:rFonts w:ascii="Arial" w:cs="Arial" w:eastAsia="Arial" w:hAnsi="Arial"/>
          <w:sz w:val="18"/>
          <w:szCs w:val="18"/>
          <w:color w:val="231F20"/>
        </w:rPr>
        <w:t>Subject to any additional vote required by this Certificate of Incorporation or Bylaws, in furtherance and not in</w:t>
      </w:r>
      <w:r>
        <w:rPr>
          <w:rFonts w:ascii="Arial" w:cs="Arial" w:eastAsia="Arial" w:hAnsi="Arial"/>
          <w:sz w:val="18"/>
          <w:szCs w:val="18"/>
          <w:b w:val="1"/>
          <w:bCs w:val="1"/>
          <w:color w:val="231F20"/>
        </w:rPr>
        <w:t xml:space="preserve"> </w:t>
      </w:r>
      <w:r>
        <w:rPr>
          <w:rFonts w:ascii="Arial" w:cs="Arial" w:eastAsia="Arial" w:hAnsi="Arial"/>
          <w:sz w:val="18"/>
          <w:szCs w:val="18"/>
          <w:color w:val="231F20"/>
        </w:rPr>
        <w:t>limitation of the powers conferred by statute, the Board is expressly authorized to make, repeal, alter, amend and rescind any or all of the Bylaws of the Corporation.</w:t>
      </w:r>
    </w:p>
    <w:p>
      <w:pPr>
        <w:spacing w:after="0" w:line="175" w:lineRule="exact"/>
        <w:rPr>
          <w:sz w:val="20"/>
          <w:szCs w:val="20"/>
          <w:color w:val="auto"/>
        </w:rPr>
      </w:pPr>
    </w:p>
    <w:p>
      <w:pPr>
        <w:jc w:val="both"/>
        <w:ind w:right="20" w:firstLine="1937"/>
        <w:spacing w:after="0" w:line="265" w:lineRule="auto"/>
        <w:rPr>
          <w:sz w:val="20"/>
          <w:szCs w:val="20"/>
          <w:color w:val="auto"/>
        </w:rPr>
      </w:pPr>
      <w:r>
        <w:rPr>
          <w:rFonts w:ascii="Arial" w:cs="Arial" w:eastAsia="Arial" w:hAnsi="Arial"/>
          <w:sz w:val="18"/>
          <w:szCs w:val="18"/>
          <w:b w:val="1"/>
          <w:bCs w:val="1"/>
          <w:color w:val="231F20"/>
        </w:rPr>
        <w:t xml:space="preserve">SIXTH: </w:t>
      </w:r>
      <w:r>
        <w:rPr>
          <w:rFonts w:ascii="Arial" w:cs="Arial" w:eastAsia="Arial" w:hAnsi="Arial"/>
          <w:sz w:val="18"/>
          <w:szCs w:val="18"/>
          <w:color w:val="231F20"/>
        </w:rPr>
        <w:t>The initial number of directors of the Corporation shall be seven. Subject to any additional vote required by this</w:t>
      </w:r>
      <w:r>
        <w:rPr>
          <w:rFonts w:ascii="Arial" w:cs="Arial" w:eastAsia="Arial" w:hAnsi="Arial"/>
          <w:sz w:val="18"/>
          <w:szCs w:val="18"/>
          <w:b w:val="1"/>
          <w:bCs w:val="1"/>
          <w:color w:val="231F20"/>
        </w:rPr>
        <w:t xml:space="preserve"> </w:t>
      </w:r>
      <w:r>
        <w:rPr>
          <w:rFonts w:ascii="Arial" w:cs="Arial" w:eastAsia="Arial" w:hAnsi="Arial"/>
          <w:sz w:val="18"/>
          <w:szCs w:val="18"/>
          <w:color w:val="231F20"/>
        </w:rPr>
        <w:t>Certificate of Incorporation, the number of directors of the Corporation shall be increased or decreased in the manner set forth in the Bylaws of the Corporation.</w:t>
      </w:r>
    </w:p>
    <w:p>
      <w:pPr>
        <w:spacing w:after="0" w:line="175"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231F20"/>
        </w:rPr>
        <w:t xml:space="preserve">SEVENTH: </w:t>
      </w:r>
      <w:r>
        <w:rPr>
          <w:rFonts w:ascii="Arial" w:cs="Arial" w:eastAsia="Arial" w:hAnsi="Arial"/>
          <w:sz w:val="17"/>
          <w:szCs w:val="17"/>
          <w:color w:val="231F20"/>
        </w:rPr>
        <w:t>Elections of directors need not be by written ballot unless the Bylaws of the Corporation shall so provide.</w:t>
      </w:r>
    </w:p>
    <w:p>
      <w:pPr>
        <w:spacing w:after="0" w:line="248" w:lineRule="exact"/>
        <w:rPr>
          <w:sz w:val="20"/>
          <w:szCs w:val="20"/>
          <w:color w:val="auto"/>
        </w:rPr>
      </w:pPr>
    </w:p>
    <w:p>
      <w:pPr>
        <w:jc w:val="both"/>
        <w:ind w:firstLine="1937"/>
        <w:spacing w:after="0" w:line="265" w:lineRule="auto"/>
        <w:rPr>
          <w:sz w:val="20"/>
          <w:szCs w:val="20"/>
          <w:color w:val="auto"/>
        </w:rPr>
      </w:pPr>
      <w:r>
        <w:rPr>
          <w:rFonts w:ascii="Arial" w:cs="Arial" w:eastAsia="Arial" w:hAnsi="Arial"/>
          <w:sz w:val="18"/>
          <w:szCs w:val="18"/>
          <w:b w:val="1"/>
          <w:bCs w:val="1"/>
          <w:color w:val="231F20"/>
        </w:rPr>
        <w:t xml:space="preserve">EIGHTH: </w:t>
      </w:r>
      <w:r>
        <w:rPr>
          <w:rFonts w:ascii="Arial" w:cs="Arial" w:eastAsia="Arial" w:hAnsi="Arial"/>
          <w:sz w:val="18"/>
          <w:szCs w:val="18"/>
          <w:color w:val="231F20"/>
        </w:rPr>
        <w:t>Meetings of stockholders may be held within or without the State of Delaware, as the Bylaws of the Corporation</w:t>
      </w:r>
      <w:r>
        <w:rPr>
          <w:rFonts w:ascii="Arial" w:cs="Arial" w:eastAsia="Arial" w:hAnsi="Arial"/>
          <w:sz w:val="18"/>
          <w:szCs w:val="18"/>
          <w:b w:val="1"/>
          <w:bCs w:val="1"/>
          <w:color w:val="231F20"/>
        </w:rPr>
        <w:t xml:space="preserve"> </w:t>
      </w:r>
      <w:r>
        <w:rPr>
          <w:rFonts w:ascii="Arial" w:cs="Arial" w:eastAsia="Arial" w:hAnsi="Arial"/>
          <w:sz w:val="18"/>
          <w:szCs w:val="18"/>
          <w:color w:val="231F20"/>
        </w:rPr>
        <w:t>may provide. The books of the Corporation may be kept outside the State of Delaware at such place or places as may be designated from time to time by the Board or in the Bylaws of the Corporation.</w:t>
      </w:r>
    </w:p>
    <w:p>
      <w:pPr>
        <w:spacing w:after="0" w:line="175" w:lineRule="exact"/>
        <w:rPr>
          <w:sz w:val="20"/>
          <w:szCs w:val="20"/>
          <w:color w:val="auto"/>
        </w:rPr>
      </w:pPr>
    </w:p>
    <w:p>
      <w:pPr>
        <w:jc w:val="both"/>
        <w:ind w:firstLine="1937"/>
        <w:spacing w:after="0" w:line="257" w:lineRule="auto"/>
        <w:rPr>
          <w:sz w:val="20"/>
          <w:szCs w:val="20"/>
          <w:color w:val="auto"/>
        </w:rPr>
      </w:pPr>
      <w:r>
        <w:rPr>
          <w:rFonts w:ascii="Arial" w:cs="Arial" w:eastAsia="Arial" w:hAnsi="Arial"/>
          <w:sz w:val="18"/>
          <w:szCs w:val="18"/>
          <w:b w:val="1"/>
          <w:bCs w:val="1"/>
          <w:color w:val="231F20"/>
        </w:rPr>
        <w:t xml:space="preserve">NINTH: </w:t>
      </w:r>
      <w:r>
        <w:rPr>
          <w:rFonts w:ascii="Arial" w:cs="Arial" w:eastAsia="Arial" w:hAnsi="Arial"/>
          <w:sz w:val="18"/>
          <w:szCs w:val="18"/>
          <w:color w:val="231F20"/>
        </w:rPr>
        <w:t>To the fullest extent permitted by law, a director of the Corporation shall not be personally liable to the Corporation or</w:t>
      </w:r>
      <w:r>
        <w:rPr>
          <w:rFonts w:ascii="Arial" w:cs="Arial" w:eastAsia="Arial" w:hAnsi="Arial"/>
          <w:sz w:val="18"/>
          <w:szCs w:val="18"/>
          <w:b w:val="1"/>
          <w:bCs w:val="1"/>
          <w:color w:val="231F20"/>
        </w:rPr>
        <w:t xml:space="preserve"> </w:t>
      </w:r>
      <w:r>
        <w:rPr>
          <w:rFonts w:ascii="Arial" w:cs="Arial" w:eastAsia="Arial" w:hAnsi="Arial"/>
          <w:sz w:val="18"/>
          <w:szCs w:val="18"/>
          <w:color w:val="231F20"/>
        </w:rPr>
        <w:t>its 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201" w:lineRule="exact"/>
        <w:rPr>
          <w:sz w:val="20"/>
          <w:szCs w:val="20"/>
          <w:color w:val="auto"/>
        </w:rPr>
      </w:pPr>
    </w:p>
    <w:p>
      <w:pPr>
        <w:jc w:val="both"/>
        <w:ind w:right="20" w:firstLine="1937"/>
        <w:spacing w:after="0" w:line="262" w:lineRule="auto"/>
        <w:rPr>
          <w:sz w:val="20"/>
          <w:szCs w:val="20"/>
          <w:color w:val="auto"/>
        </w:rPr>
      </w:pPr>
      <w:r>
        <w:rPr>
          <w:rFonts w:ascii="Arial" w:cs="Arial" w:eastAsia="Arial" w:hAnsi="Arial"/>
          <w:sz w:val="18"/>
          <w:szCs w:val="18"/>
          <w:color w:val="231F20"/>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231F20"/>
        </w:rPr>
        <w:t xml:space="preserve">TENTH: </w:t>
      </w:r>
      <w:r>
        <w:rPr>
          <w:rFonts w:ascii="Arial" w:cs="Arial" w:eastAsia="Arial" w:hAnsi="Arial"/>
          <w:sz w:val="18"/>
          <w:szCs w:val="18"/>
          <w:color w:val="231F20"/>
        </w:rPr>
        <w:t>The following indemnification provisions shall apply to the persons enumerated below.</w:t>
      </w:r>
    </w:p>
    <w:p>
      <w:pPr>
        <w:spacing w:after="0" w:line="227" w:lineRule="exact"/>
        <w:rPr>
          <w:sz w:val="20"/>
          <w:szCs w:val="20"/>
          <w:color w:val="auto"/>
        </w:rPr>
      </w:pPr>
    </w:p>
    <w:p>
      <w:pPr>
        <w:jc w:val="both"/>
        <w:ind w:firstLine="1945"/>
        <w:spacing w:after="0" w:line="262" w:lineRule="auto"/>
        <w:tabs>
          <w:tab w:leader="none" w:pos="2726" w:val="left"/>
        </w:tabs>
        <w:numPr>
          <w:ilvl w:val="0"/>
          <w:numId w:val="155"/>
        </w:numPr>
        <w:rPr>
          <w:rFonts w:ascii="Arial" w:cs="Arial" w:eastAsia="Arial" w:hAnsi="Arial"/>
          <w:sz w:val="18"/>
          <w:szCs w:val="18"/>
          <w:b w:val="1"/>
          <w:bCs w:val="1"/>
          <w:color w:val="231F20"/>
        </w:rPr>
      </w:pPr>
      <w:r>
        <w:rPr>
          <w:rFonts w:ascii="Arial" w:cs="Arial" w:eastAsia="Arial" w:hAnsi="Arial"/>
          <w:sz w:val="18"/>
          <w:szCs w:val="18"/>
          <w:u w:val="single" w:color="auto"/>
          <w:color w:val="231F20"/>
        </w:rPr>
        <w:t>Right to Indemnification of Directors and Officers</w:t>
      </w:r>
      <w:r>
        <w:rPr>
          <w:rFonts w:ascii="Arial" w:cs="Arial" w:eastAsia="Arial" w:hAnsi="Arial"/>
          <w:sz w:val="18"/>
          <w:szCs w:val="18"/>
          <w:color w:val="231F20"/>
        </w:rPr>
        <w:t>. The Corporation shall indemnify and hold harmless, to the fullest extent permitted by applicable law as it presently exists or may hereafter be amended, any person (an “</w:t>
      </w:r>
      <w:r>
        <w:rPr>
          <w:rFonts w:ascii="Arial" w:cs="Arial" w:eastAsia="Arial" w:hAnsi="Arial"/>
          <w:sz w:val="18"/>
          <w:szCs w:val="18"/>
          <w:b w:val="1"/>
          <w:bCs w:val="1"/>
          <w:color w:val="231F20"/>
        </w:rPr>
        <w:t>Indemnified Person</w:t>
      </w:r>
      <w:r>
        <w:rPr>
          <w:rFonts w:ascii="Arial" w:cs="Arial" w:eastAsia="Arial" w:hAnsi="Arial"/>
          <w:sz w:val="18"/>
          <w:szCs w:val="18"/>
          <w:color w:val="231F20"/>
        </w:rPr>
        <w:t>”) who was or is made or is threatened to be made a party or is otherwise involved in any action, suit or proceeding, whether</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9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63" w:name="page264"/>
    <w:bookmarkEnd w:id="263"/>
    <w:p>
      <w:pPr>
        <w:jc w:val="both"/>
        <w:spacing w:after="0" w:line="254" w:lineRule="auto"/>
        <w:rPr>
          <w:sz w:val="20"/>
          <w:szCs w:val="20"/>
          <w:color w:val="auto"/>
        </w:rPr>
      </w:pPr>
      <w:r>
        <w:rPr>
          <w:rFonts w:ascii="Arial" w:cs="Arial" w:eastAsia="Arial" w:hAnsi="Arial"/>
          <w:sz w:val="18"/>
          <w:szCs w:val="18"/>
          <w:color w:val="231F20"/>
        </w:rPr>
        <w:t>civil, criminal, administrative or investigative (a “</w:t>
      </w:r>
      <w:r>
        <w:rPr>
          <w:rFonts w:ascii="Arial" w:cs="Arial" w:eastAsia="Arial" w:hAnsi="Arial"/>
          <w:sz w:val="18"/>
          <w:szCs w:val="18"/>
          <w:b w:val="1"/>
          <w:bCs w:val="1"/>
          <w:color w:val="231F20"/>
        </w:rPr>
        <w:t>Proceeding</w:t>
      </w:r>
      <w:r>
        <w:rPr>
          <w:rFonts w:ascii="Arial" w:cs="Arial" w:eastAsia="Arial" w:hAnsi="Arial"/>
          <w:sz w:val="18"/>
          <w:szCs w:val="18"/>
          <w:color w:val="231F20"/>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Arial" w:cs="Arial" w:eastAsia="Arial" w:hAnsi="Arial"/>
          <w:sz w:val="18"/>
          <w:szCs w:val="18"/>
          <w:u w:val="single" w:color="auto"/>
          <w:color w:val="231F20"/>
        </w:rPr>
        <w:t>Section 3</w:t>
      </w:r>
      <w:r>
        <w:rPr>
          <w:rFonts w:ascii="Arial" w:cs="Arial" w:eastAsia="Arial" w:hAnsi="Arial"/>
          <w:sz w:val="18"/>
          <w:szCs w:val="18"/>
          <w:color w:val="231F20"/>
        </w:rPr>
        <w:t xml:space="preserve">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w:t>
      </w:r>
    </w:p>
    <w:p>
      <w:pPr>
        <w:spacing w:after="0" w:line="189" w:lineRule="exact"/>
        <w:rPr>
          <w:sz w:val="20"/>
          <w:szCs w:val="20"/>
          <w:color w:val="auto"/>
        </w:rPr>
      </w:pPr>
    </w:p>
    <w:p>
      <w:pPr>
        <w:jc w:val="both"/>
        <w:ind w:firstLine="1945"/>
        <w:spacing w:after="0" w:line="256" w:lineRule="auto"/>
        <w:tabs>
          <w:tab w:leader="none" w:pos="2739" w:val="left"/>
        </w:tabs>
        <w:numPr>
          <w:ilvl w:val="0"/>
          <w:numId w:val="156"/>
        </w:numPr>
        <w:rPr>
          <w:rFonts w:ascii="Arial" w:cs="Arial" w:eastAsia="Arial" w:hAnsi="Arial"/>
          <w:sz w:val="18"/>
          <w:szCs w:val="18"/>
          <w:b w:val="1"/>
          <w:bCs w:val="1"/>
          <w:color w:val="231F20"/>
        </w:rPr>
      </w:pPr>
      <w:r>
        <w:rPr>
          <w:rFonts w:ascii="Arial" w:cs="Arial" w:eastAsia="Arial" w:hAnsi="Arial"/>
          <w:sz w:val="18"/>
          <w:szCs w:val="18"/>
          <w:u w:val="single" w:color="auto"/>
          <w:color w:val="231F20"/>
        </w:rPr>
        <w:t>Prepayment of Expenses of Directors and Officers</w:t>
      </w:r>
      <w:r>
        <w:rPr>
          <w:rFonts w:ascii="Arial" w:cs="Arial" w:eastAsia="Arial" w:hAnsi="Arial"/>
          <w:sz w:val="18"/>
          <w:szCs w:val="18"/>
          <w:color w:val="231F20"/>
        </w:rPr>
        <w:t xml:space="preserve">.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231F20"/>
        </w:rPr>
        <w:t>provided</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however</w:t>
      </w:r>
      <w:r>
        <w:rPr>
          <w:rFonts w:ascii="Arial" w:cs="Arial" w:eastAsia="Arial" w:hAnsi="Arial"/>
          <w:sz w:val="18"/>
          <w:szCs w:val="18"/>
          <w:color w:val="231F20"/>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200" w:lineRule="exact"/>
        <w:rPr>
          <w:rFonts w:ascii="Arial" w:cs="Arial" w:eastAsia="Arial" w:hAnsi="Arial"/>
          <w:sz w:val="18"/>
          <w:szCs w:val="18"/>
          <w:b w:val="1"/>
          <w:bCs w:val="1"/>
          <w:color w:val="231F20"/>
        </w:rPr>
      </w:pPr>
    </w:p>
    <w:p>
      <w:pPr>
        <w:jc w:val="both"/>
        <w:ind w:firstLine="1945"/>
        <w:spacing w:after="0" w:line="256" w:lineRule="auto"/>
        <w:tabs>
          <w:tab w:leader="none" w:pos="2739" w:val="left"/>
        </w:tabs>
        <w:numPr>
          <w:ilvl w:val="0"/>
          <w:numId w:val="156"/>
        </w:numPr>
        <w:rPr>
          <w:rFonts w:ascii="Arial" w:cs="Arial" w:eastAsia="Arial" w:hAnsi="Arial"/>
          <w:sz w:val="18"/>
          <w:szCs w:val="18"/>
          <w:b w:val="1"/>
          <w:bCs w:val="1"/>
          <w:color w:val="231F20"/>
        </w:rPr>
      </w:pPr>
      <w:r>
        <w:rPr>
          <w:rFonts w:ascii="Arial" w:cs="Arial" w:eastAsia="Arial" w:hAnsi="Arial"/>
          <w:sz w:val="18"/>
          <w:szCs w:val="18"/>
          <w:u w:val="single" w:color="auto"/>
          <w:color w:val="231F20"/>
        </w:rPr>
        <w:t>Claims by Directors and Officers</w:t>
      </w:r>
      <w:r>
        <w:rPr>
          <w:rFonts w:ascii="Arial" w:cs="Arial" w:eastAsia="Arial" w:hAnsi="Arial"/>
          <w:sz w:val="18"/>
          <w:szCs w:val="18"/>
          <w:color w:val="231F20"/>
        </w:rPr>
        <w:t>. If a claim for indemnification or advancement of expenses under this Article Tenth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200" w:lineRule="exact"/>
        <w:rPr>
          <w:rFonts w:ascii="Arial" w:cs="Arial" w:eastAsia="Arial" w:hAnsi="Arial"/>
          <w:sz w:val="18"/>
          <w:szCs w:val="18"/>
          <w:b w:val="1"/>
          <w:bCs w:val="1"/>
          <w:color w:val="231F20"/>
        </w:rPr>
      </w:pPr>
    </w:p>
    <w:p>
      <w:pPr>
        <w:jc w:val="both"/>
        <w:ind w:firstLine="1945"/>
        <w:spacing w:after="0" w:line="269" w:lineRule="auto"/>
        <w:tabs>
          <w:tab w:leader="none" w:pos="2739" w:val="left"/>
        </w:tabs>
        <w:numPr>
          <w:ilvl w:val="0"/>
          <w:numId w:val="156"/>
        </w:numPr>
        <w:rPr>
          <w:rFonts w:ascii="Arial" w:cs="Arial" w:eastAsia="Arial" w:hAnsi="Arial"/>
          <w:sz w:val="17"/>
          <w:szCs w:val="17"/>
          <w:b w:val="1"/>
          <w:bCs w:val="1"/>
          <w:color w:val="231F20"/>
        </w:rPr>
      </w:pPr>
      <w:r>
        <w:rPr>
          <w:rFonts w:ascii="Arial" w:cs="Arial" w:eastAsia="Arial" w:hAnsi="Arial"/>
          <w:sz w:val="17"/>
          <w:szCs w:val="17"/>
          <w:u w:val="single" w:color="auto"/>
          <w:color w:val="231F20"/>
        </w:rPr>
        <w:t>Indemnification of Employees and Agents</w:t>
      </w:r>
      <w:r>
        <w:rPr>
          <w:rFonts w:ascii="Arial" w:cs="Arial" w:eastAsia="Arial" w:hAnsi="Arial"/>
          <w:sz w:val="17"/>
          <w:szCs w:val="17"/>
          <w:color w:val="231F20"/>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in its sole discretion. Notwithstanding the foregoing sentence, the Corporation shall not be required to indemnify a person in connection with a Proceeding initiated by such person if the Proceeding was not authorized in advance by the Board.</w:t>
      </w:r>
    </w:p>
    <w:p>
      <w:pPr>
        <w:spacing w:after="0" w:line="180" w:lineRule="exact"/>
        <w:rPr>
          <w:rFonts w:ascii="Arial" w:cs="Arial" w:eastAsia="Arial" w:hAnsi="Arial"/>
          <w:sz w:val="17"/>
          <w:szCs w:val="17"/>
          <w:b w:val="1"/>
          <w:bCs w:val="1"/>
          <w:color w:val="231F20"/>
        </w:rPr>
      </w:pPr>
    </w:p>
    <w:p>
      <w:pPr>
        <w:ind w:firstLine="1945"/>
        <w:spacing w:after="0" w:line="275" w:lineRule="auto"/>
        <w:tabs>
          <w:tab w:leader="none" w:pos="2726" w:val="left"/>
        </w:tabs>
        <w:numPr>
          <w:ilvl w:val="0"/>
          <w:numId w:val="156"/>
        </w:numPr>
        <w:rPr>
          <w:rFonts w:ascii="Arial" w:cs="Arial" w:eastAsia="Arial" w:hAnsi="Arial"/>
          <w:sz w:val="18"/>
          <w:szCs w:val="18"/>
          <w:b w:val="1"/>
          <w:bCs w:val="1"/>
          <w:color w:val="231F20"/>
        </w:rPr>
      </w:pPr>
      <w:r>
        <w:rPr>
          <w:rFonts w:ascii="Arial" w:cs="Arial" w:eastAsia="Arial" w:hAnsi="Arial"/>
          <w:sz w:val="18"/>
          <w:szCs w:val="18"/>
          <w:u w:val="single" w:color="auto"/>
          <w:color w:val="231F20"/>
        </w:rPr>
        <w:t>Advancement of Expenses of Employees and Agents</w:t>
      </w:r>
      <w:r>
        <w:rPr>
          <w:rFonts w:ascii="Arial" w:cs="Arial" w:eastAsia="Arial" w:hAnsi="Arial"/>
          <w:sz w:val="18"/>
          <w:szCs w:val="18"/>
          <w:color w:val="231F20"/>
        </w:rPr>
        <w:t>. The Corporation may pay the expenses (including attorneys’ fees) incurred by an employee or agent in defending any</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9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2" w:right="4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231F20"/>
        </w:rPr>
        <w:t>Proceeding in advance of its final disposition on such terms and conditions as may be determined by the Board.</w:t>
      </w:r>
    </w:p>
    <w:p>
      <w:pPr>
        <w:spacing w:after="0" w:line="223" w:lineRule="exact"/>
        <w:rPr>
          <w:sz w:val="20"/>
          <w:szCs w:val="20"/>
          <w:color w:val="auto"/>
        </w:rPr>
      </w:pPr>
    </w:p>
    <w:p>
      <w:pPr>
        <w:jc w:val="both"/>
        <w:ind w:firstLine="1945"/>
        <w:spacing w:after="0" w:line="262" w:lineRule="auto"/>
        <w:tabs>
          <w:tab w:leader="none" w:pos="2739" w:val="left"/>
        </w:tabs>
        <w:numPr>
          <w:ilvl w:val="0"/>
          <w:numId w:val="157"/>
        </w:numPr>
        <w:rPr>
          <w:rFonts w:ascii="Arial" w:cs="Arial" w:eastAsia="Arial" w:hAnsi="Arial"/>
          <w:sz w:val="18"/>
          <w:szCs w:val="18"/>
          <w:b w:val="1"/>
          <w:bCs w:val="1"/>
          <w:color w:val="231F20"/>
        </w:rPr>
      </w:pPr>
      <w:r>
        <w:rPr>
          <w:rFonts w:ascii="Arial" w:cs="Arial" w:eastAsia="Arial" w:hAnsi="Arial"/>
          <w:sz w:val="18"/>
          <w:szCs w:val="18"/>
          <w:u w:val="single" w:color="auto"/>
          <w:color w:val="231F20"/>
        </w:rPr>
        <w:t>Non-Exclusivity of Rights</w:t>
      </w:r>
      <w:r>
        <w:rPr>
          <w:rFonts w:ascii="Arial" w:cs="Arial" w:eastAsia="Arial" w:hAnsi="Arial"/>
          <w:sz w:val="18"/>
          <w:szCs w:val="18"/>
          <w:color w:val="231F20"/>
        </w:rPr>
        <w:t>. The rights conferred on any person by this Article Tenth shall not be exclusive of any other rights which such person may have or hereafter acquire under any statute, provision of the Certificate of Incorporation, the Bylaws of the Corporation, agreement, vote of stockholders or disinterested directors or otherwise.</w:t>
      </w:r>
    </w:p>
    <w:p>
      <w:pPr>
        <w:spacing w:after="0" w:line="196" w:lineRule="exact"/>
        <w:rPr>
          <w:rFonts w:ascii="Arial" w:cs="Arial" w:eastAsia="Arial" w:hAnsi="Arial"/>
          <w:sz w:val="18"/>
          <w:szCs w:val="18"/>
          <w:b w:val="1"/>
          <w:bCs w:val="1"/>
          <w:color w:val="231F20"/>
        </w:rPr>
      </w:pPr>
    </w:p>
    <w:p>
      <w:pPr>
        <w:jc w:val="both"/>
        <w:ind w:firstLine="1945"/>
        <w:spacing w:after="0" w:line="258" w:lineRule="auto"/>
        <w:tabs>
          <w:tab w:leader="none" w:pos="2645" w:val="left"/>
        </w:tabs>
        <w:numPr>
          <w:ilvl w:val="0"/>
          <w:numId w:val="157"/>
        </w:numPr>
        <w:rPr>
          <w:rFonts w:ascii="Arial" w:cs="Arial" w:eastAsia="Arial" w:hAnsi="Arial"/>
          <w:sz w:val="18"/>
          <w:szCs w:val="18"/>
          <w:b w:val="1"/>
          <w:bCs w:val="1"/>
          <w:color w:val="231F20"/>
        </w:rPr>
      </w:pPr>
      <w:r>
        <w:rPr>
          <w:rFonts w:ascii="Arial" w:cs="Arial" w:eastAsia="Arial" w:hAnsi="Arial"/>
          <w:sz w:val="18"/>
          <w:szCs w:val="18"/>
          <w:u w:val="single" w:color="auto"/>
          <w:color w:val="231F20"/>
        </w:rPr>
        <w:t>Other Indemnification</w:t>
      </w:r>
      <w:r>
        <w:rPr>
          <w:rFonts w:ascii="Arial" w:cs="Arial" w:eastAsia="Arial" w:hAnsi="Arial"/>
          <w:sz w:val="18"/>
          <w:szCs w:val="18"/>
          <w:color w:val="231F20"/>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6" w:lineRule="exact"/>
        <w:rPr>
          <w:rFonts w:ascii="Arial" w:cs="Arial" w:eastAsia="Arial" w:hAnsi="Arial"/>
          <w:sz w:val="18"/>
          <w:szCs w:val="18"/>
          <w:b w:val="1"/>
          <w:bCs w:val="1"/>
          <w:color w:val="231F20"/>
        </w:rPr>
      </w:pPr>
    </w:p>
    <w:p>
      <w:pPr>
        <w:jc w:val="both"/>
        <w:ind w:firstLine="1945"/>
        <w:spacing w:after="0" w:line="256" w:lineRule="auto"/>
        <w:tabs>
          <w:tab w:leader="none" w:pos="2726" w:val="left"/>
        </w:tabs>
        <w:numPr>
          <w:ilvl w:val="0"/>
          <w:numId w:val="157"/>
        </w:numPr>
        <w:rPr>
          <w:rFonts w:ascii="Arial" w:cs="Arial" w:eastAsia="Arial" w:hAnsi="Arial"/>
          <w:sz w:val="18"/>
          <w:szCs w:val="18"/>
          <w:b w:val="1"/>
          <w:bCs w:val="1"/>
          <w:color w:val="231F20"/>
        </w:rPr>
      </w:pPr>
      <w:r>
        <w:rPr>
          <w:rFonts w:ascii="Arial" w:cs="Arial" w:eastAsia="Arial" w:hAnsi="Arial"/>
          <w:sz w:val="18"/>
          <w:szCs w:val="18"/>
          <w:u w:val="single" w:color="auto"/>
          <w:color w:val="231F20"/>
        </w:rPr>
        <w:t>Insurance</w:t>
      </w:r>
      <w:r>
        <w:rPr>
          <w:rFonts w:ascii="Arial" w:cs="Arial" w:eastAsia="Arial" w:hAnsi="Arial"/>
          <w:sz w:val="18"/>
          <w:szCs w:val="18"/>
          <w:color w:val="231F20"/>
        </w:rPr>
        <w:t>. The Board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200" w:lineRule="exact"/>
        <w:rPr>
          <w:rFonts w:ascii="Arial" w:cs="Arial" w:eastAsia="Arial" w:hAnsi="Arial"/>
          <w:sz w:val="18"/>
          <w:szCs w:val="18"/>
          <w:b w:val="1"/>
          <w:bCs w:val="1"/>
          <w:color w:val="231F20"/>
        </w:rPr>
      </w:pPr>
    </w:p>
    <w:p>
      <w:pPr>
        <w:jc w:val="both"/>
        <w:ind w:firstLine="1945"/>
        <w:spacing w:after="0" w:line="262" w:lineRule="auto"/>
        <w:tabs>
          <w:tab w:leader="none" w:pos="2753" w:val="left"/>
        </w:tabs>
        <w:numPr>
          <w:ilvl w:val="0"/>
          <w:numId w:val="157"/>
        </w:numPr>
        <w:rPr>
          <w:rFonts w:ascii="Arial" w:cs="Arial" w:eastAsia="Arial" w:hAnsi="Arial"/>
          <w:sz w:val="18"/>
          <w:szCs w:val="18"/>
          <w:b w:val="1"/>
          <w:bCs w:val="1"/>
          <w:color w:val="231F20"/>
        </w:rPr>
      </w:pPr>
      <w:r>
        <w:rPr>
          <w:rFonts w:ascii="Arial" w:cs="Arial" w:eastAsia="Arial" w:hAnsi="Arial"/>
          <w:sz w:val="18"/>
          <w:szCs w:val="18"/>
          <w:u w:val="single" w:color="auto"/>
          <w:color w:val="231F20"/>
        </w:rPr>
        <w:t>Amendment or Repeal</w:t>
      </w:r>
      <w:r>
        <w:rPr>
          <w:rFonts w:ascii="Arial" w:cs="Arial" w:eastAsia="Arial" w:hAnsi="Arial"/>
          <w:sz w:val="18"/>
          <w:szCs w:val="18"/>
          <w:color w:val="231F20"/>
        </w:rPr>
        <w:t>. Any repeal or modification of the foregoing provisions of this Article Tenth shall not adversely affect any right or protection hereunder of any person in respect of any act or omission occurring prior to the time of such repeal or modification.</w:t>
      </w:r>
    </w:p>
    <w:p>
      <w:pPr>
        <w:spacing w:after="0" w:line="183" w:lineRule="exact"/>
        <w:rPr>
          <w:sz w:val="20"/>
          <w:szCs w:val="20"/>
          <w:color w:val="auto"/>
        </w:rPr>
      </w:pPr>
    </w:p>
    <w:p>
      <w:pPr>
        <w:ind w:left="1940"/>
        <w:spacing w:after="0"/>
        <w:rPr>
          <w:sz w:val="20"/>
          <w:szCs w:val="20"/>
          <w:color w:val="auto"/>
        </w:rPr>
      </w:pPr>
      <w:r>
        <w:rPr>
          <w:rFonts w:ascii="Arial" w:cs="Arial" w:eastAsia="Arial" w:hAnsi="Arial"/>
          <w:sz w:val="17"/>
          <w:szCs w:val="17"/>
          <w:color w:val="231F20"/>
        </w:rPr>
        <w:t>The rights provided hereunder shall inure to the benefit of any Indemnified Person and such person’s heirs, executors and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231F20"/>
        </w:rPr>
        <w:t>administrators.</w:t>
      </w:r>
    </w:p>
    <w:p>
      <w:pPr>
        <w:spacing w:after="0" w:line="218" w:lineRule="exact"/>
        <w:rPr>
          <w:sz w:val="20"/>
          <w:szCs w:val="20"/>
          <w:color w:val="auto"/>
        </w:rPr>
      </w:pPr>
    </w:p>
    <w:p>
      <w:pPr>
        <w:jc w:val="both"/>
        <w:ind w:firstLine="1937"/>
        <w:spacing w:after="0" w:line="252" w:lineRule="auto"/>
        <w:rPr>
          <w:sz w:val="20"/>
          <w:szCs w:val="20"/>
          <w:color w:val="auto"/>
        </w:rPr>
      </w:pPr>
      <w:r>
        <w:rPr>
          <w:rFonts w:ascii="Arial" w:cs="Arial" w:eastAsia="Arial" w:hAnsi="Arial"/>
          <w:sz w:val="18"/>
          <w:szCs w:val="18"/>
          <w:b w:val="1"/>
          <w:bCs w:val="1"/>
          <w:color w:val="231F20"/>
        </w:rPr>
        <w:t xml:space="preserve">ELEVENTH: </w:t>
      </w:r>
      <w:r>
        <w:rPr>
          <w:rFonts w:ascii="Arial" w:cs="Arial" w:eastAsia="Arial" w:hAnsi="Arial"/>
          <w:sz w:val="18"/>
          <w:szCs w:val="18"/>
          <w:color w:val="231F20"/>
        </w:rPr>
        <w:t>The Corporation renounces, to the fullest extent permitted by law, any interest or expectancy of the Corporation</w:t>
      </w:r>
      <w:r>
        <w:rPr>
          <w:rFonts w:ascii="Arial" w:cs="Arial" w:eastAsia="Arial" w:hAnsi="Arial"/>
          <w:sz w:val="18"/>
          <w:szCs w:val="18"/>
          <w:b w:val="1"/>
          <w:bCs w:val="1"/>
          <w:color w:val="231F20"/>
        </w:rPr>
        <w:t xml:space="preserve"> </w:t>
      </w:r>
      <w:r>
        <w:rPr>
          <w:rFonts w:ascii="Arial" w:cs="Arial" w:eastAsia="Arial" w:hAnsi="Arial"/>
          <w:sz w:val="18"/>
          <w:szCs w:val="18"/>
          <w:color w:val="231F20"/>
        </w:rPr>
        <w:t>in, or in being offered an opportunity to participate in, any Excluded Opportunity. An “</w:t>
      </w:r>
      <w:r>
        <w:rPr>
          <w:rFonts w:ascii="Arial" w:cs="Arial" w:eastAsia="Arial" w:hAnsi="Arial"/>
          <w:sz w:val="18"/>
          <w:szCs w:val="18"/>
          <w:b w:val="1"/>
          <w:bCs w:val="1"/>
          <w:color w:val="231F20"/>
        </w:rPr>
        <w:t>Excluded Opportunity</w:t>
      </w:r>
      <w:r>
        <w:rPr>
          <w:rFonts w:ascii="Arial" w:cs="Arial" w:eastAsia="Arial" w:hAnsi="Arial"/>
          <w:sz w:val="18"/>
          <w:szCs w:val="18"/>
          <w:color w:val="231F20"/>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8"/>
          <w:szCs w:val="18"/>
          <w:b w:val="1"/>
          <w:bCs w:val="1"/>
          <w:color w:val="231F20"/>
        </w:rPr>
        <w:t>Covered Persons</w:t>
      </w:r>
      <w:r>
        <w:rPr>
          <w:rFonts w:ascii="Arial" w:cs="Arial" w:eastAsia="Arial" w:hAnsi="Arial"/>
          <w:sz w:val="18"/>
          <w:szCs w:val="18"/>
          <w:color w:val="231F20"/>
        </w:rPr>
        <w:t>”),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Certificate of Incorporation, the affirmative vote of the holders of at least a majority of the shares of Preferred Stock then outstanding, will be required to amend or repeal, or to adopt any provisions inconsistent with this Article Eleventh.</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9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906" w:right="4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color w:val="231F20"/>
        </w:rPr>
        <w:t>* * *</w:t>
      </w:r>
    </w:p>
    <w:p>
      <w:pPr>
        <w:spacing w:after="0" w:line="223" w:lineRule="exact"/>
        <w:rPr>
          <w:sz w:val="20"/>
          <w:szCs w:val="20"/>
          <w:color w:val="auto"/>
        </w:rPr>
      </w:pPr>
    </w:p>
    <w:p>
      <w:pPr>
        <w:ind w:left="-120" w:firstLine="1945"/>
        <w:spacing w:after="0" w:line="275" w:lineRule="auto"/>
        <w:tabs>
          <w:tab w:leader="none" w:pos="2606" w:val="left"/>
        </w:tabs>
        <w:numPr>
          <w:ilvl w:val="0"/>
          <w:numId w:val="158"/>
        </w:numPr>
        <w:rPr>
          <w:rFonts w:ascii="Arial" w:cs="Arial" w:eastAsia="Arial" w:hAnsi="Arial"/>
          <w:sz w:val="18"/>
          <w:szCs w:val="18"/>
          <w:b w:val="1"/>
          <w:bCs w:val="1"/>
          <w:color w:val="231F20"/>
        </w:rPr>
      </w:pPr>
      <w:r>
        <w:rPr>
          <w:rFonts w:ascii="Arial" w:cs="Arial" w:eastAsia="Arial" w:hAnsi="Arial"/>
          <w:sz w:val="18"/>
          <w:szCs w:val="18"/>
          <w:color w:val="231F20"/>
        </w:rPr>
        <w:t>That the foregoing amendment and restatement was approved by the holders of the requisite number of shares of this corporation in accordance with Section 228 of the General Corporation Law.</w:t>
      </w:r>
    </w:p>
    <w:p>
      <w:pPr>
        <w:spacing w:after="0" w:line="171" w:lineRule="exact"/>
        <w:rPr>
          <w:rFonts w:ascii="Arial" w:cs="Arial" w:eastAsia="Arial" w:hAnsi="Arial"/>
          <w:sz w:val="18"/>
          <w:szCs w:val="18"/>
          <w:b w:val="1"/>
          <w:bCs w:val="1"/>
          <w:color w:val="231F20"/>
        </w:rPr>
      </w:pPr>
    </w:p>
    <w:p>
      <w:pPr>
        <w:ind w:left="-120" w:right="20" w:firstLine="1945"/>
        <w:spacing w:after="0" w:line="306" w:lineRule="auto"/>
        <w:tabs>
          <w:tab w:leader="none" w:pos="2633" w:val="left"/>
        </w:tabs>
        <w:numPr>
          <w:ilvl w:val="0"/>
          <w:numId w:val="158"/>
        </w:numPr>
        <w:rPr>
          <w:rFonts w:ascii="Arial" w:cs="Arial" w:eastAsia="Arial" w:hAnsi="Arial"/>
          <w:sz w:val="17"/>
          <w:szCs w:val="17"/>
          <w:b w:val="1"/>
          <w:bCs w:val="1"/>
          <w:color w:val="231F20"/>
        </w:rPr>
      </w:pPr>
      <w:r>
        <w:rPr>
          <w:rFonts w:ascii="Arial" w:cs="Arial" w:eastAsia="Arial" w:hAnsi="Arial"/>
          <w:sz w:val="17"/>
          <w:szCs w:val="17"/>
          <w:color w:val="231F20"/>
        </w:rPr>
        <w:t>That this Certificate of Incorporation, which restates and integrates and further amends the provisions of this Corporation’s Certificate of Incorporation, has been duly adopted in accordance with Sections 242 and 245 of the General Corporation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[Signature Page Follows]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168275</wp:posOffset>
            </wp:positionV>
            <wp:extent cx="71329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020"/>
          </w:cols>
          <w:pgMar w:left="440" w:top="690" w:right="439" w:bottom="1440" w:gutter="0" w:footer="0" w:header="0"/>
        </w:sectPr>
      </w:pPr>
    </w:p>
    <w:bookmarkStart w:id="266" w:name="page267"/>
    <w:bookmarkEnd w:id="266"/>
    <w:p>
      <w:pPr>
        <w:ind w:right="100" w:firstLine="1937"/>
        <w:spacing w:after="0" w:line="291" w:lineRule="auto"/>
        <w:rPr>
          <w:sz w:val="20"/>
          <w:szCs w:val="20"/>
          <w:color w:val="auto"/>
        </w:rPr>
      </w:pPr>
      <w:r>
        <w:rPr>
          <w:rFonts w:ascii="Arial" w:cs="Arial" w:eastAsia="Arial" w:hAnsi="Arial"/>
          <w:sz w:val="18"/>
          <w:szCs w:val="18"/>
          <w:b w:val="1"/>
          <w:bCs w:val="1"/>
          <w:color w:val="231F20"/>
        </w:rPr>
        <w:t>IN WITNESS WHEREOF</w:t>
      </w:r>
      <w:r>
        <w:rPr>
          <w:rFonts w:ascii="Arial" w:cs="Arial" w:eastAsia="Arial" w:hAnsi="Arial"/>
          <w:sz w:val="18"/>
          <w:szCs w:val="18"/>
          <w:color w:val="231F20"/>
        </w:rPr>
        <w:t>, this Amended and Restated Certificate of Incorporation has been executed by a duly authorized</w:t>
      </w:r>
      <w:r>
        <w:rPr>
          <w:rFonts w:ascii="Arial" w:cs="Arial" w:eastAsia="Arial" w:hAnsi="Arial"/>
          <w:sz w:val="18"/>
          <w:szCs w:val="18"/>
          <w:b w:val="1"/>
          <w:bCs w:val="1"/>
          <w:color w:val="231F20"/>
        </w:rPr>
        <w:t xml:space="preserve"> </w:t>
      </w:r>
      <w:r>
        <w:rPr>
          <w:rFonts w:ascii="Arial" w:cs="Arial" w:eastAsia="Arial" w:hAnsi="Arial"/>
          <w:sz w:val="18"/>
          <w:szCs w:val="18"/>
          <w:color w:val="231F20"/>
        </w:rPr>
        <w:t>officer of this corporation on this 25</w:t>
      </w:r>
      <w:r>
        <w:rPr>
          <w:rFonts w:ascii="Arial" w:cs="Arial" w:eastAsia="Arial" w:hAnsi="Arial"/>
          <w:sz w:val="29"/>
          <w:szCs w:val="29"/>
          <w:color w:val="231F20"/>
          <w:vertAlign w:val="superscript"/>
        </w:rPr>
        <w:t>th</w:t>
      </w:r>
      <w:r>
        <w:rPr>
          <w:rFonts w:ascii="Arial" w:cs="Arial" w:eastAsia="Arial" w:hAnsi="Arial"/>
          <w:sz w:val="18"/>
          <w:szCs w:val="18"/>
          <w:color w:val="231F20"/>
        </w:rPr>
        <w:t xml:space="preserve"> day of February, 2021.</w:t>
      </w:r>
    </w:p>
    <w:p>
      <w:pPr>
        <w:spacing w:after="0" w:line="35" w:lineRule="exact"/>
        <w:rPr>
          <w:sz w:val="20"/>
          <w:szCs w:val="20"/>
          <w:color w:val="auto"/>
        </w:rPr>
      </w:pPr>
    </w:p>
    <w:tbl>
      <w:tblPr>
        <w:tblLayout w:type="fixed"/>
        <w:tblInd w:w="69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194"/>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Osvaldo Flores, Ph.D.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 Series C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1329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CENTURYTX,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335" w:lineRule="exact"/>
        <w:rPr>
          <w:sz w:val="20"/>
          <w:szCs w:val="20"/>
          <w:color w:val="auto"/>
        </w:rPr>
      </w:pPr>
    </w:p>
    <w:p>
      <w:pPr>
        <w:ind w:left="1480" w:hanging="791"/>
        <w:spacing w:after="0"/>
        <w:tabs>
          <w:tab w:leader="none" w:pos="1480" w:val="left"/>
        </w:tabs>
        <w:numPr>
          <w:ilvl w:val="0"/>
          <w:numId w:val="159"/>
        </w:numPr>
        <w:rPr>
          <w:rFonts w:ascii="Arial" w:cs="Arial" w:eastAsia="Arial" w:hAnsi="Arial"/>
          <w:sz w:val="18"/>
          <w:szCs w:val="18"/>
          <w:color w:val="231E20"/>
        </w:rPr>
      </w:pPr>
      <w:r>
        <w:rPr>
          <w:rFonts w:ascii="Arial" w:cs="Arial" w:eastAsia="Arial" w:hAnsi="Arial"/>
          <w:sz w:val="18"/>
          <w:szCs w:val="18"/>
          <w:u w:val="single" w:color="auto"/>
          <w:color w:val="auto"/>
        </w:rPr>
        <w:t>Stockholders</w:t>
      </w:r>
    </w:p>
    <w:p>
      <w:pPr>
        <w:spacing w:after="0" w:line="223" w:lineRule="exact"/>
        <w:rPr>
          <w:rFonts w:ascii="Arial" w:cs="Arial" w:eastAsia="Arial" w:hAnsi="Arial"/>
          <w:sz w:val="18"/>
          <w:szCs w:val="18"/>
          <w:color w:val="231E20"/>
        </w:rPr>
      </w:pPr>
    </w:p>
    <w:p>
      <w:pPr>
        <w:jc w:val="both"/>
        <w:ind w:firstLine="1299"/>
        <w:spacing w:after="0" w:line="256" w:lineRule="auto"/>
        <w:tabs>
          <w:tab w:leader="none" w:pos="2086" w:val="left"/>
        </w:tabs>
        <w:numPr>
          <w:ilvl w:val="1"/>
          <w:numId w:val="159"/>
        </w:numPr>
        <w:rPr>
          <w:rFonts w:ascii="Arial" w:cs="Arial" w:eastAsia="Arial" w:hAnsi="Arial"/>
          <w:sz w:val="18"/>
          <w:szCs w:val="18"/>
          <w:color w:val="231E20"/>
        </w:rPr>
      </w:pP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shall be held for the election of directors each year at such place, date and time as shall be designated by the Board of Directors.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 or otherwise all the force and effect of an annual meeting.</w:t>
      </w:r>
    </w:p>
    <w:p>
      <w:pPr>
        <w:spacing w:after="0" w:line="187" w:lineRule="exact"/>
        <w:rPr>
          <w:rFonts w:ascii="Arial" w:cs="Arial" w:eastAsia="Arial" w:hAnsi="Arial"/>
          <w:sz w:val="18"/>
          <w:szCs w:val="18"/>
          <w:color w:val="231E20"/>
        </w:rPr>
      </w:pPr>
    </w:p>
    <w:p>
      <w:pPr>
        <w:jc w:val="both"/>
        <w:ind w:firstLine="1299"/>
        <w:spacing w:after="0" w:line="258" w:lineRule="auto"/>
        <w:tabs>
          <w:tab w:leader="none" w:pos="2083" w:val="left"/>
        </w:tabs>
        <w:numPr>
          <w:ilvl w:val="1"/>
          <w:numId w:val="159"/>
        </w:numPr>
        <w:rPr>
          <w:rFonts w:ascii="Arial" w:cs="Arial" w:eastAsia="Arial" w:hAnsi="Arial"/>
          <w:sz w:val="18"/>
          <w:szCs w:val="18"/>
          <w:color w:val="231E20"/>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w:t>
      </w:r>
    </w:p>
    <w:p>
      <w:pPr>
        <w:spacing w:after="0" w:line="186" w:lineRule="exact"/>
        <w:rPr>
          <w:rFonts w:ascii="Arial" w:cs="Arial" w:eastAsia="Arial" w:hAnsi="Arial"/>
          <w:sz w:val="18"/>
          <w:szCs w:val="18"/>
          <w:color w:val="231E20"/>
        </w:rPr>
      </w:pPr>
    </w:p>
    <w:p>
      <w:pPr>
        <w:jc w:val="both"/>
        <w:ind w:firstLine="1299"/>
        <w:spacing w:after="0" w:line="270" w:lineRule="auto"/>
        <w:tabs>
          <w:tab w:leader="none" w:pos="2073" w:val="left"/>
        </w:tabs>
        <w:numPr>
          <w:ilvl w:val="1"/>
          <w:numId w:val="159"/>
        </w:numPr>
        <w:rPr>
          <w:rFonts w:ascii="Arial" w:cs="Arial" w:eastAsia="Arial" w:hAnsi="Arial"/>
          <w:sz w:val="17"/>
          <w:szCs w:val="17"/>
          <w:color w:val="231E20"/>
        </w:rPr>
      </w:pP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 or by law) not less than ten (10) nor more than sixty (60) days before the meeting to each stockholder entitled to vote thereat and to each stockholder who, under the Certificate of Incorporation or under these Bylaw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w:t>
      </w:r>
    </w:p>
    <w:p>
      <w:pPr>
        <w:spacing w:after="0" w:line="178" w:lineRule="exact"/>
        <w:rPr>
          <w:sz w:val="20"/>
          <w:szCs w:val="20"/>
          <w:color w:val="auto"/>
        </w:rPr>
      </w:pPr>
    </w:p>
    <w:p>
      <w:pPr>
        <w:jc w:val="both"/>
        <w:ind w:firstLine="1291"/>
        <w:spacing w:after="0" w:line="256" w:lineRule="auto"/>
        <w:rPr>
          <w:sz w:val="20"/>
          <w:szCs w:val="20"/>
          <w:color w:val="auto"/>
        </w:rPr>
      </w:pPr>
      <w:r>
        <w:rPr>
          <w:rFonts w:ascii="Arial" w:cs="Arial" w:eastAsia="Arial" w:hAnsi="Arial"/>
          <w:sz w:val="18"/>
          <w:szCs w:val="18"/>
          <w:color w:val="auto"/>
        </w:rPr>
        <w:t>If a meeting is adjourned to another time or place, notice need not be given of the adjourned meeting if the time and place, if any, and the means of remote communications, if any, by which stockholders and proxyholders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9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8" w:name="page269"/>
    <w:bookmarkEnd w:id="268"/>
    <w:p>
      <w:pPr>
        <w:jc w:val="both"/>
        <w:ind w:firstLine="1299"/>
        <w:spacing w:after="0" w:line="278" w:lineRule="auto"/>
        <w:tabs>
          <w:tab w:leader="none" w:pos="2096" w:val="left"/>
        </w:tabs>
        <w:numPr>
          <w:ilvl w:val="0"/>
          <w:numId w:val="160"/>
        </w:numPr>
        <w:rPr>
          <w:rFonts w:ascii="Arial" w:cs="Arial" w:eastAsia="Arial" w:hAnsi="Arial"/>
          <w:sz w:val="17"/>
          <w:szCs w:val="17"/>
          <w:color w:val="231E20"/>
        </w:rPr>
      </w:pP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w:t>
      </w:r>
    </w:p>
    <w:p>
      <w:pPr>
        <w:spacing w:after="0" w:line="170" w:lineRule="exact"/>
        <w:rPr>
          <w:rFonts w:ascii="Arial" w:cs="Arial" w:eastAsia="Arial" w:hAnsi="Arial"/>
          <w:sz w:val="17"/>
          <w:szCs w:val="17"/>
          <w:color w:val="231E20"/>
        </w:rPr>
      </w:pPr>
    </w:p>
    <w:p>
      <w:pPr>
        <w:jc w:val="both"/>
        <w:ind w:firstLine="1299"/>
        <w:spacing w:after="0" w:line="271" w:lineRule="auto"/>
        <w:tabs>
          <w:tab w:leader="none" w:pos="2086" w:val="left"/>
        </w:tabs>
        <w:numPr>
          <w:ilvl w:val="0"/>
          <w:numId w:val="160"/>
        </w:numPr>
        <w:rPr>
          <w:rFonts w:ascii="Arial" w:cs="Arial" w:eastAsia="Arial" w:hAnsi="Arial"/>
          <w:sz w:val="17"/>
          <w:szCs w:val="17"/>
          <w:color w:val="231E20"/>
        </w:rPr>
      </w:pPr>
      <w:r>
        <w:rPr>
          <w:rFonts w:ascii="Arial" w:cs="Arial" w:eastAsia="Arial" w:hAnsi="Arial"/>
          <w:sz w:val="17"/>
          <w:szCs w:val="17"/>
          <w:u w:val="single" w:color="auto"/>
          <w:color w:val="auto"/>
        </w:rPr>
        <w:t>Voting and Proxies</w:t>
      </w:r>
      <w:r>
        <w:rPr>
          <w:rFonts w:ascii="Arial" w:cs="Arial" w:eastAsia="Arial" w:hAnsi="Arial"/>
          <w:sz w:val="17"/>
          <w:szCs w:val="17"/>
          <w:color w:val="auto"/>
        </w:rPr>
        <w:t>. Except as otherwise provided by the Certificate of Incorporation or by law,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w:t>
      </w:r>
    </w:p>
    <w:p>
      <w:pPr>
        <w:spacing w:after="0" w:line="176" w:lineRule="exact"/>
        <w:rPr>
          <w:rFonts w:ascii="Arial" w:cs="Arial" w:eastAsia="Arial" w:hAnsi="Arial"/>
          <w:sz w:val="17"/>
          <w:szCs w:val="17"/>
          <w:color w:val="231E20"/>
        </w:rPr>
      </w:pPr>
    </w:p>
    <w:p>
      <w:pPr>
        <w:jc w:val="both"/>
        <w:ind w:firstLine="1299"/>
        <w:spacing w:after="0" w:line="274" w:lineRule="auto"/>
        <w:tabs>
          <w:tab w:leader="none" w:pos="2103" w:val="left"/>
        </w:tabs>
        <w:numPr>
          <w:ilvl w:val="0"/>
          <w:numId w:val="160"/>
        </w:numPr>
        <w:rPr>
          <w:rFonts w:ascii="Arial" w:cs="Arial" w:eastAsia="Arial" w:hAnsi="Arial"/>
          <w:sz w:val="17"/>
          <w:szCs w:val="17"/>
          <w:color w:val="231E20"/>
        </w:rPr>
      </w:pPr>
      <w:r>
        <w:rPr>
          <w:rFonts w:ascii="Arial" w:cs="Arial" w:eastAsia="Arial" w:hAnsi="Arial"/>
          <w:sz w:val="17"/>
          <w:szCs w:val="17"/>
          <w:u w:val="single" w:color="auto"/>
          <w:color w:val="auto"/>
        </w:rPr>
        <w:t>Action at Meeting</w:t>
      </w:r>
      <w:r>
        <w:rPr>
          <w:rFonts w:ascii="Arial" w:cs="Arial" w:eastAsia="Arial" w:hAnsi="Arial"/>
          <w:sz w:val="17"/>
          <w:szCs w:val="17"/>
          <w:color w:val="auto"/>
        </w:rPr>
        <w:t>. When a quorum is present, any matter before the meeting shall be decided by vote of the holders of a majority of the shares of stock voting on such matter except where a larger vote is required by law, by the Certificate of Incorporation or by these Bylaw. Any election of directors by stockholders shall be determined by a plurality of the votes cast, except where a larger vote is required by law, by the Certificate of Incorporation or by these Bylaw. The Corporation shall not directly or indirectly vote any share of its own stock; provided, however, that the Corporation may vote shares which it holds in a fiduciary capacity to the extent permitted by law.</w:t>
      </w:r>
    </w:p>
    <w:p>
      <w:pPr>
        <w:spacing w:after="0" w:line="175" w:lineRule="exact"/>
        <w:rPr>
          <w:rFonts w:ascii="Arial" w:cs="Arial" w:eastAsia="Arial" w:hAnsi="Arial"/>
          <w:sz w:val="17"/>
          <w:szCs w:val="17"/>
          <w:color w:val="231E20"/>
        </w:rPr>
      </w:pPr>
    </w:p>
    <w:p>
      <w:pPr>
        <w:jc w:val="both"/>
        <w:ind w:firstLine="1299"/>
        <w:spacing w:after="0" w:line="258" w:lineRule="auto"/>
        <w:tabs>
          <w:tab w:leader="none" w:pos="2083" w:val="left"/>
        </w:tabs>
        <w:numPr>
          <w:ilvl w:val="0"/>
          <w:numId w:val="160"/>
        </w:numPr>
        <w:rPr>
          <w:rFonts w:ascii="Arial" w:cs="Arial" w:eastAsia="Arial" w:hAnsi="Arial"/>
          <w:sz w:val="18"/>
          <w:szCs w:val="18"/>
          <w:color w:val="231E20"/>
        </w:rPr>
      </w:pPr>
      <w:r>
        <w:rPr>
          <w:rFonts w:ascii="Arial" w:cs="Arial" w:eastAsia="Arial" w:hAnsi="Arial"/>
          <w:sz w:val="18"/>
          <w:szCs w:val="18"/>
          <w:u w:val="single" w:color="auto"/>
          <w:color w:val="auto"/>
        </w:rPr>
        <w:t>Presiding Officer</w:t>
      </w:r>
      <w:r>
        <w:rPr>
          <w:rFonts w:ascii="Arial" w:cs="Arial" w:eastAsia="Arial" w:hAnsi="Arial"/>
          <w:sz w:val="18"/>
          <w:szCs w:val="18"/>
          <w:color w:val="auto"/>
        </w:rPr>
        <w:t>. Meetings of stockholders shall be presided over by the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Chairman of the Board, the Vice Chairman of the Board or a President is unable to do so for any reason.</w:t>
      </w:r>
    </w:p>
    <w:p>
      <w:pPr>
        <w:spacing w:after="0" w:line="186" w:lineRule="exact"/>
        <w:rPr>
          <w:rFonts w:ascii="Arial" w:cs="Arial" w:eastAsia="Arial" w:hAnsi="Arial"/>
          <w:sz w:val="18"/>
          <w:szCs w:val="18"/>
          <w:color w:val="231E20"/>
        </w:rPr>
      </w:pPr>
    </w:p>
    <w:p>
      <w:pPr>
        <w:jc w:val="both"/>
        <w:ind w:firstLine="1299"/>
        <w:spacing w:after="0" w:line="270" w:lineRule="auto"/>
        <w:tabs>
          <w:tab w:leader="none" w:pos="2110" w:val="left"/>
        </w:tabs>
        <w:numPr>
          <w:ilvl w:val="0"/>
          <w:numId w:val="160"/>
        </w:numPr>
        <w:rPr>
          <w:rFonts w:ascii="Arial" w:cs="Arial" w:eastAsia="Arial" w:hAnsi="Arial"/>
          <w:sz w:val="17"/>
          <w:szCs w:val="17"/>
          <w:color w:val="231E20"/>
        </w:rPr>
      </w:pPr>
      <w:r>
        <w:rPr>
          <w:rFonts w:ascii="Arial" w:cs="Arial" w:eastAsia="Arial" w:hAnsi="Arial"/>
          <w:sz w:val="17"/>
          <w:szCs w:val="17"/>
          <w:u w:val="single" w:color="auto"/>
          <w:color w:val="auto"/>
        </w:rPr>
        <w:t>Conduct of Meetings</w:t>
      </w:r>
      <w:r>
        <w:rPr>
          <w:rFonts w:ascii="Arial" w:cs="Arial" w:eastAsia="Arial" w:hAnsi="Arial"/>
          <w:sz w:val="17"/>
          <w:szCs w:val="17"/>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69" w:name="page270"/>
    <w:bookmarkEnd w:id="269"/>
    <w:p>
      <w:pPr>
        <w:jc w:val="both"/>
        <w:spacing w:after="0" w:line="262" w:lineRule="auto"/>
        <w:rPr>
          <w:sz w:val="20"/>
          <w:szCs w:val="20"/>
          <w:color w:val="auto"/>
        </w:rPr>
      </w:pPr>
      <w:r>
        <w:rPr>
          <w:rFonts w:ascii="Arial" w:cs="Arial" w:eastAsia="Arial" w:hAnsi="Arial"/>
          <w:sz w:val="18"/>
          <w:szCs w:val="18"/>
          <w:color w:val="auto"/>
        </w:rPr>
        <w:t>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w:t>
      </w:r>
    </w:p>
    <w:p>
      <w:pPr>
        <w:spacing w:after="0" w:line="183" w:lineRule="exact"/>
        <w:rPr>
          <w:sz w:val="20"/>
          <w:szCs w:val="20"/>
          <w:color w:val="auto"/>
        </w:rPr>
      </w:pPr>
    </w:p>
    <w:p>
      <w:pPr>
        <w:jc w:val="both"/>
        <w:ind w:firstLine="1299"/>
        <w:spacing w:after="0" w:line="271" w:lineRule="auto"/>
        <w:tabs>
          <w:tab w:leader="none" w:pos="2079" w:val="left"/>
        </w:tabs>
        <w:numPr>
          <w:ilvl w:val="1"/>
          <w:numId w:val="161"/>
        </w:numPr>
        <w:rPr>
          <w:rFonts w:ascii="Arial" w:cs="Arial" w:eastAsia="Arial" w:hAnsi="Arial"/>
          <w:sz w:val="17"/>
          <w:szCs w:val="17"/>
          <w:color w:val="231E20"/>
        </w:rPr>
      </w:pP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Prompt notice of the taking of the corporate action without a meeting by less than unanimous written consent shall be given to those stockholders who have not consented in writing.</w:t>
      </w:r>
    </w:p>
    <w:p>
      <w:pPr>
        <w:spacing w:after="0" w:line="176" w:lineRule="exact"/>
        <w:rPr>
          <w:rFonts w:ascii="Arial" w:cs="Arial" w:eastAsia="Arial" w:hAnsi="Arial"/>
          <w:sz w:val="17"/>
          <w:szCs w:val="17"/>
          <w:color w:val="231E20"/>
        </w:rPr>
      </w:pPr>
    </w:p>
    <w:p>
      <w:pPr>
        <w:jc w:val="both"/>
        <w:ind w:firstLine="1299"/>
        <w:spacing w:after="0" w:line="272" w:lineRule="auto"/>
        <w:tabs>
          <w:tab w:leader="none" w:pos="2079" w:val="left"/>
        </w:tabs>
        <w:numPr>
          <w:ilvl w:val="1"/>
          <w:numId w:val="161"/>
        </w:numPr>
        <w:rPr>
          <w:rFonts w:ascii="Arial" w:cs="Arial" w:eastAsia="Arial" w:hAnsi="Arial"/>
          <w:sz w:val="17"/>
          <w:szCs w:val="17"/>
          <w:color w:val="231E20"/>
        </w:rPr>
      </w:pPr>
      <w:r>
        <w:rPr>
          <w:rFonts w:ascii="Arial" w:cs="Arial" w:eastAsia="Arial" w:hAnsi="Arial"/>
          <w:sz w:val="17"/>
          <w:szCs w:val="17"/>
          <w:u w:val="single" w:color="auto"/>
          <w:color w:val="auto"/>
        </w:rPr>
        <w:t>Stockholder Lists</w:t>
      </w:r>
      <w:r>
        <w:rPr>
          <w:rFonts w:ascii="Arial" w:cs="Arial" w:eastAsia="Arial" w:hAnsi="Arial"/>
          <w:sz w:val="17"/>
          <w:szCs w:val="17"/>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1(j)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177" w:lineRule="exact"/>
        <w:rPr>
          <w:rFonts w:ascii="Arial" w:cs="Arial" w:eastAsia="Arial" w:hAnsi="Arial"/>
          <w:sz w:val="17"/>
          <w:szCs w:val="17"/>
          <w:color w:val="231E20"/>
        </w:rPr>
      </w:pPr>
    </w:p>
    <w:p>
      <w:pPr>
        <w:ind w:left="1480" w:hanging="827"/>
        <w:spacing w:after="0"/>
        <w:tabs>
          <w:tab w:leader="none" w:pos="1480" w:val="left"/>
        </w:tabs>
        <w:numPr>
          <w:ilvl w:val="0"/>
          <w:numId w:val="162"/>
        </w:numPr>
        <w:rPr>
          <w:rFonts w:ascii="Arial" w:cs="Arial" w:eastAsia="Arial" w:hAnsi="Arial"/>
          <w:sz w:val="18"/>
          <w:szCs w:val="18"/>
          <w:color w:val="231E20"/>
        </w:rPr>
      </w:pPr>
      <w:r>
        <w:rPr>
          <w:rFonts w:ascii="Arial" w:cs="Arial" w:eastAsia="Arial" w:hAnsi="Arial"/>
          <w:sz w:val="18"/>
          <w:szCs w:val="18"/>
          <w:u w:val="single" w:color="auto"/>
          <w:color w:val="auto"/>
        </w:rPr>
        <w:t>Directors</w:t>
      </w:r>
    </w:p>
    <w:p>
      <w:pPr>
        <w:spacing w:after="0" w:line="223" w:lineRule="exact"/>
        <w:rPr>
          <w:rFonts w:ascii="Arial" w:cs="Arial" w:eastAsia="Arial" w:hAnsi="Arial"/>
          <w:sz w:val="18"/>
          <w:szCs w:val="18"/>
          <w:color w:val="231E20"/>
        </w:rPr>
      </w:pPr>
    </w:p>
    <w:p>
      <w:pPr>
        <w:jc w:val="both"/>
        <w:ind w:firstLine="1299"/>
        <w:spacing w:after="0" w:line="310" w:lineRule="auto"/>
        <w:tabs>
          <w:tab w:leader="none" w:pos="2073" w:val="left"/>
        </w:tabs>
        <w:numPr>
          <w:ilvl w:val="1"/>
          <w:numId w:val="162"/>
        </w:numPr>
        <w:rPr>
          <w:rFonts w:ascii="Arial" w:cs="Arial" w:eastAsia="Arial" w:hAnsi="Arial"/>
          <w:sz w:val="16"/>
          <w:szCs w:val="16"/>
          <w:color w:val="231E20"/>
        </w:rPr>
      </w:pPr>
      <w:r>
        <w:rPr>
          <w:rFonts w:ascii="Arial" w:cs="Arial" w:eastAsia="Arial" w:hAnsi="Arial"/>
          <w:sz w:val="16"/>
          <w:szCs w:val="16"/>
          <w:u w:val="single" w:color="auto"/>
          <w:color w:val="auto"/>
        </w:rPr>
        <w:t>Powers</w:t>
      </w:r>
      <w:r>
        <w:rPr>
          <w:rFonts w:ascii="Arial" w:cs="Arial" w:eastAsia="Arial" w:hAnsi="Arial"/>
          <w:sz w:val="16"/>
          <w:szCs w:val="16"/>
          <w:color w:val="auto"/>
        </w:rPr>
        <w:t>. The business of the Corporation shall be managed by or under the direction of a Board of Directors who may exercise all the powers of the Corporation except as otherwise provided by law, by the Certificate of Incorporation or by these Bylaw. In the event of a vacancy in the Board of Directors, the remaining directors, except as otherwise provided by law, may exercise the powers of the full Board until the vacancy is filled.</w:t>
      </w:r>
    </w:p>
    <w:p>
      <w:pPr>
        <w:spacing w:after="0" w:line="148" w:lineRule="exact"/>
        <w:rPr>
          <w:rFonts w:ascii="Arial" w:cs="Arial" w:eastAsia="Arial" w:hAnsi="Arial"/>
          <w:sz w:val="16"/>
          <w:szCs w:val="16"/>
          <w:color w:val="231E20"/>
        </w:rPr>
      </w:pPr>
    </w:p>
    <w:p>
      <w:pPr>
        <w:jc w:val="both"/>
        <w:ind w:firstLine="1299"/>
        <w:spacing w:after="0" w:line="262" w:lineRule="auto"/>
        <w:tabs>
          <w:tab w:leader="none" w:pos="2096" w:val="left"/>
        </w:tabs>
        <w:numPr>
          <w:ilvl w:val="1"/>
          <w:numId w:val="162"/>
        </w:numPr>
        <w:rPr>
          <w:rFonts w:ascii="Arial" w:cs="Arial" w:eastAsia="Arial" w:hAnsi="Arial"/>
          <w:sz w:val="18"/>
          <w:szCs w:val="18"/>
          <w:color w:val="231E20"/>
        </w:rPr>
      </w:pPr>
      <w:r>
        <w:rPr>
          <w:rFonts w:ascii="Arial" w:cs="Arial" w:eastAsia="Arial" w:hAnsi="Arial"/>
          <w:sz w:val="18"/>
          <w:szCs w:val="18"/>
          <w:u w:val="single" w:color="auto"/>
          <w:color w:val="auto"/>
        </w:rPr>
        <w:t>Number and Qualification</w:t>
      </w:r>
      <w:r>
        <w:rPr>
          <w:rFonts w:ascii="Arial" w:cs="Arial" w:eastAsia="Arial" w:hAnsi="Arial"/>
          <w:sz w:val="18"/>
          <w:szCs w:val="18"/>
          <w:color w:val="auto"/>
        </w:rPr>
        <w:t>. Unless otherwise provided in the Certificate of Incorporation or in these Bylaw, the number of directors which shall constitute the whole board shall be determined from time to time by resolution of the Board of Directors. Directors need not be stockholders.</w:t>
      </w:r>
    </w:p>
    <w:p>
      <w:pPr>
        <w:spacing w:after="0" w:line="183" w:lineRule="exact"/>
        <w:rPr>
          <w:rFonts w:ascii="Arial" w:cs="Arial" w:eastAsia="Arial" w:hAnsi="Arial"/>
          <w:sz w:val="18"/>
          <w:szCs w:val="18"/>
          <w:color w:val="231E20"/>
        </w:rPr>
      </w:pPr>
    </w:p>
    <w:p>
      <w:pPr>
        <w:jc w:val="both"/>
        <w:ind w:firstLine="1299"/>
        <w:spacing w:after="0" w:line="262" w:lineRule="auto"/>
        <w:tabs>
          <w:tab w:leader="none" w:pos="2086" w:val="left"/>
        </w:tabs>
        <w:numPr>
          <w:ilvl w:val="1"/>
          <w:numId w:val="162"/>
        </w:numPr>
        <w:rPr>
          <w:rFonts w:ascii="Arial" w:cs="Arial" w:eastAsia="Arial" w:hAnsi="Arial"/>
          <w:sz w:val="18"/>
          <w:szCs w:val="18"/>
          <w:color w:val="231E20"/>
        </w:rPr>
      </w:pPr>
      <w:r>
        <w:rPr>
          <w:rFonts w:ascii="Arial" w:cs="Arial" w:eastAsia="Arial" w:hAnsi="Arial"/>
          <w:sz w:val="18"/>
          <w:szCs w:val="18"/>
          <w:u w:val="single" w:color="auto"/>
          <w:color w:val="auto"/>
        </w:rPr>
        <w:t>Vacancies; Reduction of Board</w:t>
      </w:r>
      <w:r>
        <w:rPr>
          <w:rFonts w:ascii="Arial" w:cs="Arial" w:eastAsia="Arial" w:hAnsi="Arial"/>
          <w:sz w:val="18"/>
          <w:szCs w:val="18"/>
          <w:color w:val="auto"/>
        </w:rPr>
        <w: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70" w:name="page271"/>
    <w:bookmarkEnd w:id="270"/>
    <w:p>
      <w:pPr>
        <w:jc w:val="both"/>
        <w:ind w:firstLine="1299"/>
        <w:spacing w:after="0" w:line="258" w:lineRule="auto"/>
        <w:tabs>
          <w:tab w:leader="none" w:pos="2083" w:val="left"/>
        </w:tabs>
        <w:numPr>
          <w:ilvl w:val="0"/>
          <w:numId w:val="163"/>
        </w:numPr>
        <w:rPr>
          <w:rFonts w:ascii="Arial" w:cs="Arial" w:eastAsia="Arial" w:hAnsi="Arial"/>
          <w:sz w:val="18"/>
          <w:szCs w:val="18"/>
          <w:color w:val="231E20"/>
        </w:rPr>
      </w:pP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186" w:lineRule="exact"/>
        <w:rPr>
          <w:rFonts w:ascii="Arial" w:cs="Arial" w:eastAsia="Arial" w:hAnsi="Arial"/>
          <w:sz w:val="18"/>
          <w:szCs w:val="18"/>
          <w:color w:val="231E20"/>
        </w:rPr>
      </w:pPr>
    </w:p>
    <w:p>
      <w:pPr>
        <w:ind w:firstLine="1299"/>
        <w:spacing w:after="0" w:line="275" w:lineRule="auto"/>
        <w:tabs>
          <w:tab w:leader="none" w:pos="2073" w:val="left"/>
        </w:tabs>
        <w:numPr>
          <w:ilvl w:val="0"/>
          <w:numId w:val="163"/>
        </w:numPr>
        <w:rPr>
          <w:rFonts w:ascii="Arial" w:cs="Arial" w:eastAsia="Arial" w:hAnsi="Arial"/>
          <w:sz w:val="18"/>
          <w:szCs w:val="18"/>
          <w:color w:val="231E20"/>
        </w:rPr>
      </w:pPr>
      <w:r>
        <w:rPr>
          <w:rFonts w:ascii="Arial" w:cs="Arial" w:eastAsia="Arial" w:hAnsi="Arial"/>
          <w:sz w:val="18"/>
          <w:szCs w:val="18"/>
          <w:u w:val="single" w:color="auto"/>
          <w:color w:val="auto"/>
        </w:rPr>
        <w:t>Removal</w:t>
      </w:r>
      <w:r>
        <w:rPr>
          <w:rFonts w:ascii="Arial" w:cs="Arial" w:eastAsia="Arial" w:hAnsi="Arial"/>
          <w:sz w:val="18"/>
          <w:szCs w:val="18"/>
          <w:color w:val="auto"/>
        </w:rPr>
        <w:t>. To the extent permitted by law, a director may be removed from office with or without cause by vote of the holders of a majority of the shares of stock entitled to vote in the election of directors.</w:t>
      </w:r>
    </w:p>
    <w:p>
      <w:pPr>
        <w:spacing w:after="0" w:line="171" w:lineRule="exact"/>
        <w:rPr>
          <w:rFonts w:ascii="Arial" w:cs="Arial" w:eastAsia="Arial" w:hAnsi="Arial"/>
          <w:sz w:val="18"/>
          <w:szCs w:val="18"/>
          <w:color w:val="231E20"/>
        </w:rPr>
      </w:pPr>
    </w:p>
    <w:p>
      <w:pPr>
        <w:jc w:val="both"/>
        <w:ind w:firstLine="1299"/>
        <w:spacing w:after="0" w:line="254" w:lineRule="auto"/>
        <w:tabs>
          <w:tab w:leader="none" w:pos="2089" w:val="left"/>
        </w:tabs>
        <w:numPr>
          <w:ilvl w:val="0"/>
          <w:numId w:val="163"/>
        </w:numPr>
        <w:rPr>
          <w:rFonts w:ascii="Arial" w:cs="Arial" w:eastAsia="Arial" w:hAnsi="Arial"/>
          <w:sz w:val="18"/>
          <w:szCs w:val="18"/>
          <w:color w:val="231E20"/>
        </w:rPr>
      </w:pPr>
      <w:r>
        <w:rPr>
          <w:rFonts w:ascii="Arial" w:cs="Arial" w:eastAsia="Arial" w:hAnsi="Arial"/>
          <w:sz w:val="18"/>
          <w:szCs w:val="18"/>
          <w:u w:val="single" w:color="auto"/>
          <w:color w:val="auto"/>
        </w:rPr>
        <w:t>Meetings</w:t>
      </w:r>
      <w:r>
        <w:rPr>
          <w:rFonts w:ascii="Arial" w:cs="Arial" w:eastAsia="Arial" w:hAnsi="Arial"/>
          <w:sz w:val="18"/>
          <w:szCs w:val="18"/>
          <w:color w:val="auto"/>
        </w:rPr>
        <w:t>.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w:t>
      </w:r>
    </w:p>
    <w:p>
      <w:pPr>
        <w:spacing w:after="0" w:line="192" w:lineRule="exact"/>
        <w:rPr>
          <w:rFonts w:ascii="Arial" w:cs="Arial" w:eastAsia="Arial" w:hAnsi="Arial"/>
          <w:sz w:val="18"/>
          <w:szCs w:val="18"/>
          <w:color w:val="231E20"/>
        </w:rPr>
      </w:pPr>
    </w:p>
    <w:p>
      <w:pPr>
        <w:jc w:val="both"/>
        <w:ind w:firstLine="1299"/>
        <w:spacing w:after="0" w:line="274" w:lineRule="auto"/>
        <w:tabs>
          <w:tab w:leader="none" w:pos="2083" w:val="left"/>
        </w:tabs>
        <w:numPr>
          <w:ilvl w:val="0"/>
          <w:numId w:val="163"/>
        </w:numPr>
        <w:rPr>
          <w:rFonts w:ascii="Arial" w:cs="Arial" w:eastAsia="Arial" w:hAnsi="Arial"/>
          <w:sz w:val="17"/>
          <w:szCs w:val="17"/>
          <w:color w:val="231E20"/>
        </w:rPr>
      </w:pPr>
      <w:r>
        <w:rPr>
          <w:rFonts w:ascii="Arial" w:cs="Arial" w:eastAsia="Arial" w:hAnsi="Arial"/>
          <w:sz w:val="17"/>
          <w:szCs w:val="17"/>
          <w:u w:val="single" w:color="auto"/>
          <w:color w:val="auto"/>
        </w:rPr>
        <w:t>Notice of Meetings</w:t>
      </w:r>
      <w:r>
        <w:rPr>
          <w:rFonts w:ascii="Arial" w:cs="Arial" w:eastAsia="Arial" w:hAnsi="Arial"/>
          <w:sz w:val="17"/>
          <w:szCs w:val="17"/>
          <w:color w:val="auto"/>
        </w:rPr>
        <w:t>. 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175" w:lineRule="exact"/>
        <w:rPr>
          <w:rFonts w:ascii="Arial" w:cs="Arial" w:eastAsia="Arial" w:hAnsi="Arial"/>
          <w:sz w:val="17"/>
          <w:szCs w:val="17"/>
          <w:color w:val="231E20"/>
        </w:rPr>
      </w:pPr>
    </w:p>
    <w:p>
      <w:pPr>
        <w:ind w:right="20" w:firstLine="1299"/>
        <w:spacing w:after="0" w:line="340" w:lineRule="auto"/>
        <w:tabs>
          <w:tab w:leader="none" w:pos="2083" w:val="left"/>
        </w:tabs>
        <w:numPr>
          <w:ilvl w:val="0"/>
          <w:numId w:val="163"/>
        </w:numPr>
        <w:rPr>
          <w:rFonts w:ascii="Arial" w:cs="Arial" w:eastAsia="Arial" w:hAnsi="Arial"/>
          <w:sz w:val="16"/>
          <w:szCs w:val="16"/>
          <w:color w:val="231E20"/>
        </w:rPr>
      </w:pP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the Board of Directors, a majority of the total number of directors shall constitute a quorum for the transaction of business. Less than a quorum may adjourn any meeting from time to time and the meeting may be held as adjourned without further notice.</w:t>
      </w:r>
    </w:p>
    <w:p>
      <w:pPr>
        <w:spacing w:after="0" w:line="124" w:lineRule="exact"/>
        <w:rPr>
          <w:rFonts w:ascii="Arial" w:cs="Arial" w:eastAsia="Arial" w:hAnsi="Arial"/>
          <w:sz w:val="16"/>
          <w:szCs w:val="16"/>
          <w:color w:val="231E20"/>
        </w:rPr>
      </w:pPr>
    </w:p>
    <w:p>
      <w:pPr>
        <w:jc w:val="both"/>
        <w:ind w:firstLine="1299"/>
        <w:spacing w:after="0" w:line="258" w:lineRule="auto"/>
        <w:tabs>
          <w:tab w:leader="none" w:pos="2079" w:val="left"/>
        </w:tabs>
        <w:numPr>
          <w:ilvl w:val="0"/>
          <w:numId w:val="163"/>
        </w:numPr>
        <w:rPr>
          <w:rFonts w:ascii="Arial" w:cs="Arial" w:eastAsia="Arial" w:hAnsi="Arial"/>
          <w:sz w:val="18"/>
          <w:szCs w:val="18"/>
          <w:color w:val="231E20"/>
        </w:rPr>
      </w:pP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 So long as there are two (2) or fewer Directors, any action to be taken by the Board of Directors shall require the approval of all Directors.</w:t>
      </w:r>
    </w:p>
    <w:p>
      <w:pPr>
        <w:spacing w:after="0" w:line="186" w:lineRule="exact"/>
        <w:rPr>
          <w:rFonts w:ascii="Arial" w:cs="Arial" w:eastAsia="Arial" w:hAnsi="Arial"/>
          <w:sz w:val="18"/>
          <w:szCs w:val="18"/>
          <w:color w:val="231E20"/>
        </w:rPr>
      </w:pPr>
    </w:p>
    <w:p>
      <w:pPr>
        <w:jc w:val="both"/>
        <w:ind w:firstLine="1299"/>
        <w:spacing w:after="0" w:line="262" w:lineRule="auto"/>
        <w:tabs>
          <w:tab w:leader="none" w:pos="2093" w:val="left"/>
        </w:tabs>
        <w:numPr>
          <w:ilvl w:val="0"/>
          <w:numId w:val="163"/>
        </w:numPr>
        <w:rPr>
          <w:rFonts w:ascii="Arial" w:cs="Arial" w:eastAsia="Arial" w:hAnsi="Arial"/>
          <w:sz w:val="18"/>
          <w:szCs w:val="18"/>
          <w:color w:val="231E20"/>
        </w:rPr>
      </w:pP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71" w:name="page272"/>
    <w:bookmarkEnd w:id="271"/>
    <w:p>
      <w:pPr>
        <w:spacing w:after="0" w:line="275" w:lineRule="auto"/>
        <w:rPr>
          <w:sz w:val="20"/>
          <w:szCs w:val="20"/>
          <w:color w:val="auto"/>
        </w:rPr>
      </w:pPr>
      <w:r>
        <w:rPr>
          <w:rFonts w:ascii="Arial" w:cs="Arial" w:eastAsia="Arial" w:hAnsi="Arial"/>
          <w:sz w:val="18"/>
          <w:szCs w:val="18"/>
          <w:color w:val="auto"/>
        </w:rPr>
        <w:t>Directors. Such filing shall be in paper form if the minutes are maintained in paper form and shall be in electronic form if the minutes are maintained in electronic form.</w:t>
      </w:r>
    </w:p>
    <w:p>
      <w:pPr>
        <w:spacing w:after="0" w:line="171" w:lineRule="exact"/>
        <w:rPr>
          <w:sz w:val="20"/>
          <w:szCs w:val="20"/>
          <w:color w:val="auto"/>
        </w:rPr>
      </w:pPr>
    </w:p>
    <w:p>
      <w:pPr>
        <w:jc w:val="both"/>
        <w:ind w:firstLine="1299"/>
        <w:spacing w:after="0" w:line="295" w:lineRule="auto"/>
        <w:tabs>
          <w:tab w:leader="none" w:pos="2083" w:val="left"/>
        </w:tabs>
        <w:numPr>
          <w:ilvl w:val="0"/>
          <w:numId w:val="164"/>
        </w:numPr>
        <w:rPr>
          <w:rFonts w:ascii="Arial" w:cs="Arial" w:eastAsia="Arial" w:hAnsi="Arial"/>
          <w:sz w:val="16"/>
          <w:szCs w:val="16"/>
          <w:color w:val="231E20"/>
        </w:rPr>
      </w:pP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by resolution passed by a majority of the whole Board of Directors, establish one or more committees, each committee to consist of one or more directors.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61" w:lineRule="exact"/>
        <w:rPr>
          <w:sz w:val="20"/>
          <w:szCs w:val="20"/>
          <w:color w:val="auto"/>
        </w:rPr>
      </w:pPr>
    </w:p>
    <w:p>
      <w:pPr>
        <w:jc w:val="both"/>
        <w:ind w:firstLine="1291"/>
        <w:spacing w:after="0" w:line="274" w:lineRule="auto"/>
        <w:rPr>
          <w:sz w:val="20"/>
          <w:szCs w:val="20"/>
          <w:color w:val="auto"/>
        </w:rPr>
      </w:pPr>
      <w:r>
        <w:rPr>
          <w:rFonts w:ascii="Arial" w:cs="Arial" w:eastAsia="Arial" w:hAnsi="Arial"/>
          <w:sz w:val="17"/>
          <w:szCs w:val="17"/>
          <w:color w:val="auto"/>
        </w:rPr>
        <w:t>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(i) approving or adopting, or recommending to the stockholders, any action or matter expressly required by the DGCL to be submitted to stockholders for approval or (ii) adopting, amending or repealing any provision of these Bylaw.</w:t>
      </w:r>
    </w:p>
    <w:p>
      <w:pPr>
        <w:spacing w:after="0" w:line="176" w:lineRule="exact"/>
        <w:rPr>
          <w:sz w:val="20"/>
          <w:szCs w:val="20"/>
          <w:color w:val="auto"/>
        </w:rPr>
      </w:pPr>
    </w:p>
    <w:p>
      <w:pPr>
        <w:jc w:val="both"/>
        <w:ind w:firstLine="1291"/>
        <w:spacing w:after="0" w:line="258" w:lineRule="auto"/>
        <w:rPr>
          <w:sz w:val="20"/>
          <w:szCs w:val="20"/>
          <w:color w:val="auto"/>
        </w:rPr>
      </w:pPr>
      <w:r>
        <w:rPr>
          <w:rFonts w:ascii="Arial" w:cs="Arial" w:eastAsia="Arial" w:hAnsi="Arial"/>
          <w:sz w:val="18"/>
          <w:szCs w:val="18"/>
          <w:color w:val="auto"/>
        </w:rPr>
        <w:t>Except as the Board of Directors may otherwise determine, any such committee may make rules for the conduct of its business, but in the absence of such rules its business shall be conducted so far as possible in the same manner as is provided in these Bylaw for the Board of Directors. All members of such committees shall hold their committee offices at the pleasure of the Board of Directors, and the Board may abolish any committee at any time.</w:t>
      </w:r>
    </w:p>
    <w:p>
      <w:pPr>
        <w:spacing w:after="0" w:line="186" w:lineRule="exact"/>
        <w:rPr>
          <w:sz w:val="20"/>
          <w:szCs w:val="20"/>
          <w:color w:val="auto"/>
        </w:rPr>
      </w:pPr>
    </w:p>
    <w:p>
      <w:pPr>
        <w:ind w:left="1500" w:hanging="829"/>
        <w:spacing w:after="0"/>
        <w:tabs>
          <w:tab w:leader="none" w:pos="1500" w:val="left"/>
        </w:tabs>
        <w:numPr>
          <w:ilvl w:val="0"/>
          <w:numId w:val="165"/>
        </w:numPr>
        <w:rPr>
          <w:rFonts w:ascii="Arial" w:cs="Arial" w:eastAsia="Arial" w:hAnsi="Arial"/>
          <w:sz w:val="18"/>
          <w:szCs w:val="18"/>
          <w:color w:val="231E20"/>
        </w:rPr>
      </w:pPr>
      <w:r>
        <w:rPr>
          <w:rFonts w:ascii="Arial" w:cs="Arial" w:eastAsia="Arial" w:hAnsi="Arial"/>
          <w:sz w:val="18"/>
          <w:szCs w:val="18"/>
          <w:u w:val="single" w:color="auto"/>
          <w:color w:val="auto"/>
        </w:rPr>
        <w:t>Officers</w:t>
      </w:r>
    </w:p>
    <w:p>
      <w:pPr>
        <w:spacing w:after="0" w:line="223" w:lineRule="exact"/>
        <w:rPr>
          <w:rFonts w:ascii="Arial" w:cs="Arial" w:eastAsia="Arial" w:hAnsi="Arial"/>
          <w:sz w:val="18"/>
          <w:szCs w:val="18"/>
          <w:color w:val="231E20"/>
        </w:rPr>
      </w:pPr>
    </w:p>
    <w:p>
      <w:pPr>
        <w:jc w:val="both"/>
        <w:ind w:firstLine="1299"/>
        <w:spacing w:after="0" w:line="300" w:lineRule="auto"/>
        <w:tabs>
          <w:tab w:leader="none" w:pos="2073" w:val="left"/>
        </w:tabs>
        <w:numPr>
          <w:ilvl w:val="1"/>
          <w:numId w:val="165"/>
        </w:numPr>
        <w:rPr>
          <w:rFonts w:ascii="Arial" w:cs="Arial" w:eastAsia="Arial" w:hAnsi="Arial"/>
          <w:sz w:val="16"/>
          <w:szCs w:val="16"/>
          <w:color w:val="231E20"/>
        </w:rPr>
      </w:pP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one or more Presidents (who, if there is more than one, shall be referred to as Co-Presidents), a Treasurer, a Secretary, and such other officers, including, without limitation, a Chief Executive Officer and one or more Vice Presidents (including Executive Vice Presidents or Senior Vice Presidents), Assistant Vice Presidents, Assistant Treasurers and Assistant Secretaries, as the Board of Directors may determine. The Board of Directors may elect from among its members a Chairman of the Board and a Vice Chairman of the Board.</w:t>
      </w:r>
    </w:p>
    <w:p>
      <w:pPr>
        <w:spacing w:after="0" w:line="156" w:lineRule="exact"/>
        <w:rPr>
          <w:rFonts w:ascii="Arial" w:cs="Arial" w:eastAsia="Arial" w:hAnsi="Arial"/>
          <w:sz w:val="16"/>
          <w:szCs w:val="16"/>
          <w:color w:val="231E20"/>
        </w:rPr>
      </w:pPr>
    </w:p>
    <w:p>
      <w:pPr>
        <w:ind w:firstLine="1299"/>
        <w:spacing w:after="0" w:line="340" w:lineRule="auto"/>
        <w:tabs>
          <w:tab w:leader="none" w:pos="2096" w:val="left"/>
        </w:tabs>
        <w:numPr>
          <w:ilvl w:val="1"/>
          <w:numId w:val="165"/>
        </w:numPr>
        <w:rPr>
          <w:rFonts w:ascii="Arial" w:cs="Arial" w:eastAsia="Arial" w:hAnsi="Arial"/>
          <w:sz w:val="16"/>
          <w:szCs w:val="16"/>
          <w:color w:val="231E20"/>
        </w:rPr>
      </w:pPr>
      <w:r>
        <w:rPr>
          <w:rFonts w:ascii="Arial" w:cs="Arial" w:eastAsia="Arial" w:hAnsi="Arial"/>
          <w:sz w:val="16"/>
          <w:szCs w:val="16"/>
          <w:u w:val="single" w:color="auto"/>
          <w:color w:val="auto"/>
        </w:rPr>
        <w:t>Election</w:t>
      </w:r>
      <w:r>
        <w:rPr>
          <w:rFonts w:ascii="Arial" w:cs="Arial" w:eastAsia="Arial" w:hAnsi="Arial"/>
          <w:sz w:val="16"/>
          <w:szCs w:val="16"/>
          <w:color w:val="auto"/>
        </w:rPr>
        <w:t>. The Presidents, Treasurer and Secretary shall be elected annually by the Board of Directors at their first meeting following the annual meeting of stockholders. Other officers may be chosen by the Board of Directors at such meeting or at any other meeting.</w:t>
      </w:r>
    </w:p>
    <w:p>
      <w:pPr>
        <w:spacing w:after="0" w:line="124" w:lineRule="exact"/>
        <w:rPr>
          <w:rFonts w:ascii="Arial" w:cs="Arial" w:eastAsia="Arial" w:hAnsi="Arial"/>
          <w:sz w:val="16"/>
          <w:szCs w:val="16"/>
          <w:color w:val="231E20"/>
        </w:rPr>
      </w:pPr>
    </w:p>
    <w:p>
      <w:pPr>
        <w:jc w:val="both"/>
        <w:ind w:firstLine="1299"/>
        <w:spacing w:after="0" w:line="262" w:lineRule="auto"/>
        <w:tabs>
          <w:tab w:leader="none" w:pos="2086" w:val="left"/>
        </w:tabs>
        <w:numPr>
          <w:ilvl w:val="1"/>
          <w:numId w:val="165"/>
        </w:numPr>
        <w:rPr>
          <w:rFonts w:ascii="Arial" w:cs="Arial" w:eastAsia="Arial" w:hAnsi="Arial"/>
          <w:sz w:val="18"/>
          <w:szCs w:val="18"/>
          <w:color w:val="231E20"/>
        </w:rPr>
      </w:pP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w:t>
      </w:r>
    </w:p>
    <w:p>
      <w:pPr>
        <w:spacing w:after="0" w:line="183" w:lineRule="exact"/>
        <w:rPr>
          <w:rFonts w:ascii="Arial" w:cs="Arial" w:eastAsia="Arial" w:hAnsi="Arial"/>
          <w:sz w:val="18"/>
          <w:szCs w:val="18"/>
          <w:color w:val="231E20"/>
        </w:rPr>
      </w:pPr>
    </w:p>
    <w:p>
      <w:pPr>
        <w:ind w:firstLine="1299"/>
        <w:spacing w:after="0" w:line="275" w:lineRule="auto"/>
        <w:tabs>
          <w:tab w:leader="none" w:pos="2110" w:val="left"/>
        </w:tabs>
        <w:numPr>
          <w:ilvl w:val="1"/>
          <w:numId w:val="165"/>
        </w:numPr>
        <w:rPr>
          <w:rFonts w:ascii="Arial" w:cs="Arial" w:eastAsia="Arial" w:hAnsi="Arial"/>
          <w:sz w:val="18"/>
          <w:szCs w:val="18"/>
          <w:color w:val="231E20"/>
        </w:rPr>
      </w:pP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of Incorporation or by these Bylaw, each of the officers of the Corporation shall hold office until the first meeting</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72" w:name="page273"/>
    <w:bookmarkEnd w:id="272"/>
    <w:p>
      <w:pPr>
        <w:jc w:val="both"/>
        <w:spacing w:after="0" w:line="262" w:lineRule="auto"/>
        <w:rPr>
          <w:sz w:val="20"/>
          <w:szCs w:val="20"/>
          <w:color w:val="auto"/>
        </w:rPr>
      </w:pPr>
      <w:r>
        <w:rPr>
          <w:rFonts w:ascii="Arial" w:cs="Arial" w:eastAsia="Arial" w:hAnsi="Arial"/>
          <w:sz w:val="18"/>
          <w:szCs w:val="18"/>
          <w:color w:val="auto"/>
        </w:rPr>
        <w:t>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w:t>
      </w:r>
    </w:p>
    <w:p>
      <w:pPr>
        <w:spacing w:after="0" w:line="183" w:lineRule="exact"/>
        <w:rPr>
          <w:sz w:val="20"/>
          <w:szCs w:val="20"/>
          <w:color w:val="auto"/>
        </w:rPr>
      </w:pPr>
    </w:p>
    <w:p>
      <w:pPr>
        <w:ind w:left="2080" w:hanging="781"/>
        <w:spacing w:after="0"/>
        <w:tabs>
          <w:tab w:leader="none" w:pos="2080" w:val="left"/>
        </w:tabs>
        <w:numPr>
          <w:ilvl w:val="0"/>
          <w:numId w:val="166"/>
        </w:numPr>
        <w:rPr>
          <w:rFonts w:ascii="Arial" w:cs="Arial" w:eastAsia="Arial" w:hAnsi="Arial"/>
          <w:sz w:val="16"/>
          <w:szCs w:val="16"/>
          <w:color w:val="231E20"/>
        </w:rPr>
      </w:pPr>
      <w:r>
        <w:rPr>
          <w:rFonts w:ascii="Arial" w:cs="Arial" w:eastAsia="Arial" w:hAnsi="Arial"/>
          <w:sz w:val="16"/>
          <w:szCs w:val="16"/>
          <w:u w:val="single" w:color="auto"/>
          <w:color w:val="auto"/>
        </w:rPr>
        <w:t>Removal</w:t>
      </w:r>
      <w:r>
        <w:rPr>
          <w:rFonts w:ascii="Arial" w:cs="Arial" w:eastAsia="Arial" w:hAnsi="Arial"/>
          <w:sz w:val="16"/>
          <w:szCs w:val="16"/>
          <w:color w:val="auto"/>
        </w:rPr>
        <w:t>. The Board of Directors may remove any officer with or without cause by a vote of a majority of the directors then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09" w:lineRule="exact"/>
        <w:rPr>
          <w:sz w:val="20"/>
          <w:szCs w:val="20"/>
          <w:color w:val="auto"/>
        </w:rPr>
      </w:pPr>
    </w:p>
    <w:p>
      <w:pPr>
        <w:ind w:left="2100" w:hanging="801"/>
        <w:spacing w:after="0"/>
        <w:tabs>
          <w:tab w:leader="none" w:pos="2100" w:val="left"/>
        </w:tabs>
        <w:numPr>
          <w:ilvl w:val="0"/>
          <w:numId w:val="167"/>
        </w:numPr>
        <w:rPr>
          <w:rFonts w:ascii="Arial" w:cs="Arial" w:eastAsia="Arial" w:hAnsi="Arial"/>
          <w:sz w:val="18"/>
          <w:szCs w:val="18"/>
          <w:color w:val="231E20"/>
        </w:rPr>
      </w:pP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223" w:lineRule="exact"/>
        <w:rPr>
          <w:rFonts w:ascii="Arial" w:cs="Arial" w:eastAsia="Arial" w:hAnsi="Arial"/>
          <w:sz w:val="18"/>
          <w:szCs w:val="18"/>
          <w:color w:val="231E20"/>
        </w:rPr>
      </w:pPr>
    </w:p>
    <w:p>
      <w:pPr>
        <w:jc w:val="both"/>
        <w:ind w:firstLine="1299"/>
        <w:spacing w:after="0" w:line="285" w:lineRule="auto"/>
        <w:tabs>
          <w:tab w:leader="none" w:pos="2083" w:val="left"/>
        </w:tabs>
        <w:numPr>
          <w:ilvl w:val="0"/>
          <w:numId w:val="167"/>
        </w:numPr>
        <w:rPr>
          <w:rFonts w:ascii="Arial" w:cs="Arial" w:eastAsia="Arial" w:hAnsi="Arial"/>
          <w:sz w:val="17"/>
          <w:szCs w:val="17"/>
          <w:color w:val="231E20"/>
        </w:rPr>
      </w:pPr>
      <w:r>
        <w:rPr>
          <w:rFonts w:ascii="Arial" w:cs="Arial" w:eastAsia="Arial" w:hAnsi="Arial"/>
          <w:sz w:val="17"/>
          <w:szCs w:val="17"/>
          <w:u w:val="single" w:color="auto"/>
          <w:color w:val="auto"/>
        </w:rPr>
        <w:t>Chairman of the Board and Vice Chairman</w:t>
      </w:r>
      <w:r>
        <w:rPr>
          <w:rFonts w:ascii="Arial" w:cs="Arial" w:eastAsia="Arial" w:hAnsi="Arial"/>
          <w:sz w:val="17"/>
          <w:szCs w:val="17"/>
          <w:color w:val="auto"/>
        </w:rPr>
        <w:t>. 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spacing w:after="0" w:line="165" w:lineRule="exact"/>
        <w:rPr>
          <w:sz w:val="20"/>
          <w:szCs w:val="20"/>
          <w:color w:val="auto"/>
        </w:rPr>
      </w:pPr>
    </w:p>
    <w:p>
      <w:pPr>
        <w:jc w:val="both"/>
        <w:ind w:firstLine="1291"/>
        <w:spacing w:after="0" w:line="262" w:lineRule="auto"/>
        <w:rPr>
          <w:sz w:val="20"/>
          <w:szCs w:val="20"/>
          <w:color w:val="auto"/>
        </w:rPr>
      </w:pPr>
      <w:r>
        <w:rPr>
          <w:rFonts w:ascii="Arial" w:cs="Arial" w:eastAsia="Arial" w:hAnsi="Arial"/>
          <w:sz w:val="18"/>
          <w:szCs w:val="18"/>
          <w:color w:val="auto"/>
        </w:rPr>
        <w:t>Unless otherwise provided by the Board of Directors, in the absence of the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w:t>
      </w:r>
    </w:p>
    <w:p>
      <w:pPr>
        <w:spacing w:after="0" w:line="183" w:lineRule="exact"/>
        <w:rPr>
          <w:sz w:val="20"/>
          <w:szCs w:val="20"/>
          <w:color w:val="auto"/>
        </w:rPr>
      </w:pPr>
    </w:p>
    <w:p>
      <w:pPr>
        <w:ind w:firstLine="1299"/>
        <w:spacing w:after="0" w:line="275" w:lineRule="auto"/>
        <w:tabs>
          <w:tab w:leader="none" w:pos="2083" w:val="left"/>
        </w:tabs>
        <w:numPr>
          <w:ilvl w:val="0"/>
          <w:numId w:val="168"/>
        </w:numPr>
        <w:rPr>
          <w:rFonts w:ascii="Arial" w:cs="Arial" w:eastAsia="Arial" w:hAnsi="Arial"/>
          <w:sz w:val="18"/>
          <w:szCs w:val="18"/>
          <w:color w:val="231E20"/>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171" w:lineRule="exact"/>
        <w:rPr>
          <w:rFonts w:ascii="Arial" w:cs="Arial" w:eastAsia="Arial" w:hAnsi="Arial"/>
          <w:sz w:val="18"/>
          <w:szCs w:val="18"/>
          <w:color w:val="231E20"/>
        </w:rPr>
      </w:pPr>
    </w:p>
    <w:p>
      <w:pPr>
        <w:jc w:val="both"/>
        <w:ind w:firstLine="1299"/>
        <w:spacing w:after="0" w:line="278" w:lineRule="auto"/>
        <w:tabs>
          <w:tab w:leader="none" w:pos="2079" w:val="left"/>
        </w:tabs>
        <w:numPr>
          <w:ilvl w:val="0"/>
          <w:numId w:val="168"/>
        </w:numPr>
        <w:rPr>
          <w:rFonts w:ascii="Arial" w:cs="Arial" w:eastAsia="Arial" w:hAnsi="Arial"/>
          <w:sz w:val="17"/>
          <w:szCs w:val="17"/>
          <w:color w:val="231E20"/>
        </w:rPr>
      </w:pPr>
      <w:r>
        <w:rPr>
          <w:rFonts w:ascii="Arial" w:cs="Arial" w:eastAsia="Arial" w:hAnsi="Arial"/>
          <w:sz w:val="17"/>
          <w:szCs w:val="17"/>
          <w:u w:val="single" w:color="auto"/>
          <w:color w:val="auto"/>
        </w:rPr>
        <w:t>Presidents</w:t>
      </w:r>
      <w:r>
        <w:rPr>
          <w:rFonts w:ascii="Arial" w:cs="Arial" w:eastAsia="Arial" w:hAnsi="Arial"/>
          <w:sz w:val="17"/>
          <w:szCs w:val="17"/>
          <w:color w:val="auto"/>
        </w:rPr>
        <w:t>. The Presidents shall, subject to the direction of the Board of Directors, each have general supervision and control of the Corporation’s business and any action that would typically be taken by a President may be taken by any Co-President. If there is no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w:t>
      </w:r>
    </w:p>
    <w:p>
      <w:pPr>
        <w:spacing w:after="0" w:line="170" w:lineRule="exact"/>
        <w:rPr>
          <w:rFonts w:ascii="Arial" w:cs="Arial" w:eastAsia="Arial" w:hAnsi="Arial"/>
          <w:sz w:val="17"/>
          <w:szCs w:val="17"/>
          <w:color w:val="231E20"/>
        </w:rPr>
      </w:pPr>
    </w:p>
    <w:p>
      <w:pPr>
        <w:jc w:val="both"/>
        <w:ind w:firstLine="1299"/>
        <w:spacing w:after="0" w:line="262" w:lineRule="auto"/>
        <w:tabs>
          <w:tab w:leader="none" w:pos="2093" w:val="left"/>
        </w:tabs>
        <w:numPr>
          <w:ilvl w:val="0"/>
          <w:numId w:val="168"/>
        </w:numPr>
        <w:rPr>
          <w:rFonts w:ascii="Arial" w:cs="Arial" w:eastAsia="Arial" w:hAnsi="Arial"/>
          <w:sz w:val="18"/>
          <w:szCs w:val="18"/>
          <w:color w:val="231E20"/>
        </w:rPr>
      </w:pP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may from time to time designate.</w:t>
      </w:r>
    </w:p>
    <w:p>
      <w:pPr>
        <w:spacing w:after="0" w:line="183" w:lineRule="exact"/>
        <w:rPr>
          <w:rFonts w:ascii="Arial" w:cs="Arial" w:eastAsia="Arial" w:hAnsi="Arial"/>
          <w:sz w:val="18"/>
          <w:szCs w:val="18"/>
          <w:color w:val="231E20"/>
        </w:rPr>
      </w:pPr>
    </w:p>
    <w:p>
      <w:pPr>
        <w:jc w:val="both"/>
        <w:ind w:firstLine="1299"/>
        <w:spacing w:after="0" w:line="258" w:lineRule="auto"/>
        <w:tabs>
          <w:tab w:leader="none" w:pos="2083" w:val="left"/>
        </w:tabs>
        <w:numPr>
          <w:ilvl w:val="0"/>
          <w:numId w:val="168"/>
        </w:numPr>
        <w:rPr>
          <w:rFonts w:ascii="Arial" w:cs="Arial" w:eastAsia="Arial" w:hAnsi="Arial"/>
          <w:sz w:val="18"/>
          <w:szCs w:val="18"/>
          <w:color w:val="231E20"/>
        </w:rPr>
      </w:pP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73" w:name="page274"/>
    <w:bookmarkEnd w:id="273"/>
    <w:p>
      <w:pPr>
        <w:ind w:left="1300"/>
        <w:spacing w:after="0"/>
        <w:rPr>
          <w:sz w:val="20"/>
          <w:szCs w:val="20"/>
          <w:color w:val="auto"/>
        </w:rPr>
      </w:pPr>
      <w:r>
        <w:rPr>
          <w:rFonts w:ascii="Arial" w:cs="Arial" w:eastAsia="Arial" w:hAnsi="Arial"/>
          <w:sz w:val="17"/>
          <w:szCs w:val="17"/>
          <w:color w:val="auto"/>
        </w:rPr>
        <w:t>Any Assistant Treasurer shall have such powers and perform such duties as the Board of Directors may from time to time designate.</w:t>
      </w:r>
    </w:p>
    <w:p>
      <w:pPr>
        <w:spacing w:after="0" w:line="235" w:lineRule="exact"/>
        <w:rPr>
          <w:sz w:val="20"/>
          <w:szCs w:val="20"/>
          <w:color w:val="auto"/>
        </w:rPr>
      </w:pPr>
    </w:p>
    <w:p>
      <w:pPr>
        <w:jc w:val="both"/>
        <w:ind w:firstLine="1299"/>
        <w:spacing w:after="0" w:line="256" w:lineRule="auto"/>
        <w:tabs>
          <w:tab w:leader="none" w:pos="2093" w:val="left"/>
        </w:tabs>
        <w:numPr>
          <w:ilvl w:val="0"/>
          <w:numId w:val="169"/>
        </w:numPr>
        <w:rPr>
          <w:rFonts w:ascii="Arial" w:cs="Arial" w:eastAsia="Arial" w:hAnsi="Arial"/>
          <w:sz w:val="18"/>
          <w:szCs w:val="18"/>
          <w:color w:val="231E20"/>
        </w:rPr>
      </w:pP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Any Assistant Secretary shall have such powers and perform such duties as the Board of Directors may from time to time designate.</w:t>
      </w:r>
    </w:p>
    <w:p>
      <w:pPr>
        <w:spacing w:after="0" w:line="235" w:lineRule="exact"/>
        <w:rPr>
          <w:sz w:val="20"/>
          <w:szCs w:val="20"/>
          <w:color w:val="auto"/>
        </w:rPr>
      </w:pPr>
    </w:p>
    <w:p>
      <w:pPr>
        <w:jc w:val="both"/>
        <w:ind w:firstLine="1299"/>
        <w:spacing w:after="0" w:line="262" w:lineRule="auto"/>
        <w:tabs>
          <w:tab w:leader="none" w:pos="2075" w:val="left"/>
        </w:tabs>
        <w:numPr>
          <w:ilvl w:val="1"/>
          <w:numId w:val="170"/>
        </w:numPr>
        <w:rPr>
          <w:rFonts w:ascii="Arial" w:cs="Arial" w:eastAsia="Arial" w:hAnsi="Arial"/>
          <w:sz w:val="18"/>
          <w:szCs w:val="18"/>
          <w:color w:val="231E20"/>
        </w:rPr>
      </w:pP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 each officer of the Corporation shall have in addition to the duties and powers specifically set forth in these Bylaw, such duties and powers as are customarily incident to such officer’s office, and such duties and powers as may be designated from time to time by the Board of Directors.</w:t>
      </w:r>
    </w:p>
    <w:p>
      <w:pPr>
        <w:spacing w:after="0" w:line="183" w:lineRule="exact"/>
        <w:rPr>
          <w:rFonts w:ascii="Arial" w:cs="Arial" w:eastAsia="Arial" w:hAnsi="Arial"/>
          <w:sz w:val="18"/>
          <w:szCs w:val="18"/>
          <w:color w:val="231E20"/>
        </w:rPr>
      </w:pPr>
    </w:p>
    <w:p>
      <w:pPr>
        <w:ind w:left="1480" w:hanging="827"/>
        <w:spacing w:after="0"/>
        <w:tabs>
          <w:tab w:leader="none" w:pos="1480" w:val="left"/>
        </w:tabs>
        <w:numPr>
          <w:ilvl w:val="0"/>
          <w:numId w:val="171"/>
        </w:numPr>
        <w:rPr>
          <w:rFonts w:ascii="Arial" w:cs="Arial" w:eastAsia="Arial" w:hAnsi="Arial"/>
          <w:sz w:val="18"/>
          <w:szCs w:val="18"/>
          <w:color w:val="231E20"/>
        </w:rPr>
      </w:pPr>
      <w:r>
        <w:rPr>
          <w:rFonts w:ascii="Arial" w:cs="Arial" w:eastAsia="Arial" w:hAnsi="Arial"/>
          <w:sz w:val="18"/>
          <w:szCs w:val="18"/>
          <w:u w:val="single" w:color="auto"/>
          <w:color w:val="auto"/>
        </w:rPr>
        <w:t>Capital Stock</w:t>
      </w:r>
    </w:p>
    <w:p>
      <w:pPr>
        <w:spacing w:after="0" w:line="223" w:lineRule="exact"/>
        <w:rPr>
          <w:rFonts w:ascii="Arial" w:cs="Arial" w:eastAsia="Arial" w:hAnsi="Arial"/>
          <w:sz w:val="18"/>
          <w:szCs w:val="18"/>
          <w:color w:val="231E20"/>
        </w:rPr>
      </w:pPr>
    </w:p>
    <w:p>
      <w:pPr>
        <w:jc w:val="both"/>
        <w:ind w:firstLine="1299"/>
        <w:spacing w:after="0" w:line="271" w:lineRule="auto"/>
        <w:tabs>
          <w:tab w:leader="none" w:pos="2073" w:val="left"/>
        </w:tabs>
        <w:numPr>
          <w:ilvl w:val="1"/>
          <w:numId w:val="171"/>
        </w:numPr>
        <w:rPr>
          <w:rFonts w:ascii="Arial" w:cs="Arial" w:eastAsia="Arial" w:hAnsi="Arial"/>
          <w:sz w:val="17"/>
          <w:szCs w:val="17"/>
          <w:color w:val="231E20"/>
        </w:rPr>
      </w:pPr>
      <w:r>
        <w:rPr>
          <w:rFonts w:ascii="Arial" w:cs="Arial" w:eastAsia="Arial" w:hAnsi="Arial"/>
          <w:sz w:val="17"/>
          <w:szCs w:val="17"/>
          <w:u w:val="single" w:color="auto"/>
          <w:color w:val="auto"/>
        </w:rPr>
        <w:t>Certificates of Stock</w:t>
      </w:r>
      <w:r>
        <w:rPr>
          <w:rFonts w:ascii="Arial" w:cs="Arial" w:eastAsia="Arial" w:hAnsi="Arial"/>
          <w:sz w:val="17"/>
          <w:szCs w:val="17"/>
          <w:color w:val="auto"/>
        </w:rPr>
        <w:t>. Each stockholder shall be entitled to a certificate of the capital stock of the Corporation in such form as may from time to time be prescribed by the Board of Directors. Such certificate shall be signed by any two authorized officers of the Corporation.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176" w:lineRule="exact"/>
        <w:rPr>
          <w:rFonts w:ascii="Arial" w:cs="Arial" w:eastAsia="Arial" w:hAnsi="Arial"/>
          <w:sz w:val="17"/>
          <w:szCs w:val="17"/>
          <w:color w:val="231E20"/>
        </w:rPr>
      </w:pPr>
    </w:p>
    <w:p>
      <w:pPr>
        <w:jc w:val="both"/>
        <w:ind w:firstLine="1299"/>
        <w:spacing w:after="0" w:line="258" w:lineRule="auto"/>
        <w:tabs>
          <w:tab w:leader="none" w:pos="2096" w:val="left"/>
        </w:tabs>
        <w:numPr>
          <w:ilvl w:val="1"/>
          <w:numId w:val="171"/>
        </w:numPr>
        <w:rPr>
          <w:rFonts w:ascii="Arial" w:cs="Arial" w:eastAsia="Arial" w:hAnsi="Arial"/>
          <w:sz w:val="18"/>
          <w:szCs w:val="18"/>
          <w:color w:val="231E20"/>
        </w:rPr>
      </w:pPr>
      <w:r>
        <w:rPr>
          <w:rFonts w:ascii="Arial" w:cs="Arial" w:eastAsia="Arial" w:hAnsi="Arial"/>
          <w:sz w:val="18"/>
          <w:szCs w:val="18"/>
          <w:u w:val="single" w:color="auto"/>
          <w:color w:val="auto"/>
        </w:rPr>
        <w:t>Transfers</w:t>
      </w:r>
      <w:r>
        <w:rPr>
          <w:rFonts w:ascii="Arial" w:cs="Arial" w:eastAsia="Arial" w:hAnsi="Arial"/>
          <w:sz w:val="18"/>
          <w:szCs w:val="18"/>
          <w:color w:val="auto"/>
        </w:rPr>
        <w:t>.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w:t>
      </w:r>
    </w:p>
    <w:p>
      <w:pPr>
        <w:spacing w:after="0" w:line="186" w:lineRule="exact"/>
        <w:rPr>
          <w:rFonts w:ascii="Arial" w:cs="Arial" w:eastAsia="Arial" w:hAnsi="Arial"/>
          <w:sz w:val="18"/>
          <w:szCs w:val="18"/>
          <w:color w:val="231E20"/>
        </w:rPr>
      </w:pPr>
    </w:p>
    <w:p>
      <w:pPr>
        <w:jc w:val="both"/>
        <w:ind w:firstLine="1299"/>
        <w:spacing w:after="0" w:line="258" w:lineRule="auto"/>
        <w:tabs>
          <w:tab w:leader="none" w:pos="2100" w:val="left"/>
        </w:tabs>
        <w:numPr>
          <w:ilvl w:val="1"/>
          <w:numId w:val="171"/>
        </w:numPr>
        <w:rPr>
          <w:rFonts w:ascii="Arial" w:cs="Arial" w:eastAsia="Arial" w:hAnsi="Arial"/>
          <w:sz w:val="18"/>
          <w:szCs w:val="18"/>
          <w:color w:val="231E20"/>
        </w:rPr>
      </w:pP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of Incorporation or by these Bylaw,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shall be the duty of each stockholder to notify the Corporation of such stockholder’s post office address.</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74" w:name="page275"/>
    <w:bookmarkEnd w:id="274"/>
    <w:p>
      <w:pPr>
        <w:jc w:val="both"/>
        <w:ind w:firstLine="1317"/>
        <w:spacing w:after="0" w:line="290" w:lineRule="auto"/>
        <w:tabs>
          <w:tab w:leader="none" w:pos="2078" w:val="left"/>
        </w:tabs>
        <w:numPr>
          <w:ilvl w:val="0"/>
          <w:numId w:val="172"/>
        </w:numPr>
        <w:rPr>
          <w:rFonts w:ascii="Arial" w:cs="Arial" w:eastAsia="Arial" w:hAnsi="Arial"/>
          <w:sz w:val="16"/>
          <w:szCs w:val="16"/>
          <w:color w:val="231E20"/>
        </w:rPr>
      </w:pP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w:t>
      </w:r>
    </w:p>
    <w:p>
      <w:pPr>
        <w:spacing w:after="0" w:line="166" w:lineRule="exact"/>
        <w:rPr>
          <w:sz w:val="20"/>
          <w:szCs w:val="20"/>
          <w:color w:val="auto"/>
        </w:rPr>
      </w:pPr>
    </w:p>
    <w:p>
      <w:pPr>
        <w:jc w:val="both"/>
        <w:ind w:firstLine="1309"/>
        <w:spacing w:after="0" w:line="253" w:lineRule="auto"/>
        <w:rPr>
          <w:sz w:val="20"/>
          <w:szCs w:val="20"/>
          <w:color w:val="auto"/>
        </w:rPr>
      </w:pPr>
      <w:r>
        <w:rPr>
          <w:rFonts w:ascii="Arial" w:cs="Arial" w:eastAsia="Arial" w:hAnsi="Arial"/>
          <w:sz w:val="18"/>
          <w:szCs w:val="18"/>
          <w:color w:val="auto"/>
        </w:rPr>
        <w:t>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w:t>
      </w:r>
    </w:p>
    <w:p>
      <w:pPr>
        <w:spacing w:after="0" w:line="192" w:lineRule="exact"/>
        <w:rPr>
          <w:sz w:val="20"/>
          <w:szCs w:val="20"/>
          <w:color w:val="auto"/>
        </w:rPr>
      </w:pPr>
    </w:p>
    <w:p>
      <w:pPr>
        <w:jc w:val="both"/>
        <w:ind w:firstLine="1317"/>
        <w:spacing w:after="0" w:line="258" w:lineRule="auto"/>
        <w:tabs>
          <w:tab w:leader="none" w:pos="2091" w:val="left"/>
        </w:tabs>
        <w:numPr>
          <w:ilvl w:val="3"/>
          <w:numId w:val="173"/>
        </w:numPr>
        <w:rPr>
          <w:rFonts w:ascii="Arial" w:cs="Arial" w:eastAsia="Arial" w:hAnsi="Arial"/>
          <w:sz w:val="18"/>
          <w:szCs w:val="18"/>
          <w:color w:val="231E20"/>
        </w:rPr>
      </w:pPr>
      <w:r>
        <w:rPr>
          <w:rFonts w:ascii="Arial" w:cs="Arial" w:eastAsia="Arial" w:hAnsi="Arial"/>
          <w:sz w:val="18"/>
          <w:szCs w:val="18"/>
          <w:u w:val="single" w:color="auto"/>
          <w:color w:val="auto"/>
        </w:rPr>
        <w:t>Lost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86" w:lineRule="exact"/>
        <w:rPr>
          <w:rFonts w:ascii="Arial" w:cs="Arial" w:eastAsia="Arial" w:hAnsi="Arial"/>
          <w:sz w:val="18"/>
          <w:szCs w:val="18"/>
          <w:color w:val="231E20"/>
        </w:rPr>
      </w:pPr>
    </w:p>
    <w:p>
      <w:pPr>
        <w:ind w:left="1500" w:hanging="829"/>
        <w:spacing w:after="0"/>
        <w:tabs>
          <w:tab w:leader="none" w:pos="1500" w:val="left"/>
        </w:tabs>
        <w:numPr>
          <w:ilvl w:val="1"/>
          <w:numId w:val="174"/>
        </w:numPr>
        <w:rPr>
          <w:rFonts w:ascii="Arial" w:cs="Arial" w:eastAsia="Arial" w:hAnsi="Arial"/>
          <w:sz w:val="18"/>
          <w:szCs w:val="18"/>
          <w:color w:val="231E20"/>
        </w:rPr>
      </w:pPr>
      <w:r>
        <w:rPr>
          <w:rFonts w:ascii="Arial" w:cs="Arial" w:eastAsia="Arial" w:hAnsi="Arial"/>
          <w:sz w:val="18"/>
          <w:szCs w:val="18"/>
          <w:u w:val="single" w:color="auto"/>
          <w:color w:val="auto"/>
        </w:rPr>
        <w:t>Indemnification</w:t>
      </w:r>
    </w:p>
    <w:p>
      <w:pPr>
        <w:spacing w:after="0" w:line="223" w:lineRule="exact"/>
        <w:rPr>
          <w:rFonts w:ascii="Arial" w:cs="Arial" w:eastAsia="Arial" w:hAnsi="Arial"/>
          <w:sz w:val="18"/>
          <w:szCs w:val="18"/>
          <w:color w:val="231E20"/>
        </w:rPr>
      </w:pPr>
    </w:p>
    <w:p>
      <w:pPr>
        <w:ind w:left="2080" w:hanging="781"/>
        <w:spacing w:after="0"/>
        <w:tabs>
          <w:tab w:leader="none" w:pos="2080" w:val="left"/>
        </w:tabs>
        <w:numPr>
          <w:ilvl w:val="2"/>
          <w:numId w:val="174"/>
        </w:numPr>
        <w:rPr>
          <w:rFonts w:ascii="Arial" w:cs="Arial" w:eastAsia="Arial" w:hAnsi="Arial"/>
          <w:sz w:val="18"/>
          <w:szCs w:val="18"/>
          <w:color w:val="231E20"/>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w:t>
      </w:r>
    </w:p>
    <w:p>
      <w:pPr>
        <w:spacing w:after="0" w:line="223" w:lineRule="exact"/>
        <w:rPr>
          <w:rFonts w:ascii="Arial" w:cs="Arial" w:eastAsia="Arial" w:hAnsi="Arial"/>
          <w:sz w:val="18"/>
          <w:szCs w:val="18"/>
          <w:color w:val="231E20"/>
        </w:rPr>
      </w:pPr>
    </w:p>
    <w:p>
      <w:pPr>
        <w:ind w:left="2760" w:hanging="797"/>
        <w:spacing w:after="0"/>
        <w:tabs>
          <w:tab w:leader="none" w:pos="2760" w:val="left"/>
        </w:tabs>
        <w:numPr>
          <w:ilvl w:val="4"/>
          <w:numId w:val="174"/>
        </w:numPr>
        <w:rPr>
          <w:rFonts w:ascii="Arial" w:cs="Arial" w:eastAsia="Arial" w:hAnsi="Arial"/>
          <w:sz w:val="16"/>
          <w:szCs w:val="16"/>
          <w:color w:val="231E20"/>
        </w:rPr>
      </w:pPr>
      <w:r>
        <w:rPr>
          <w:rFonts w:ascii="Arial" w:cs="Arial" w:eastAsia="Arial" w:hAnsi="Arial"/>
          <w:sz w:val="16"/>
          <w:szCs w:val="16"/>
          <w:color w:val="auto"/>
        </w:rPr>
        <w:t>“Corporate Status” describes the status of a person who is serving or has served (A) as a Director of the Corporation,</w:t>
      </w:r>
    </w:p>
    <w:p>
      <w:pPr>
        <w:spacing w:after="0" w:line="45" w:lineRule="exact"/>
        <w:rPr>
          <w:rFonts w:ascii="Arial" w:cs="Arial" w:eastAsia="Arial" w:hAnsi="Arial"/>
          <w:sz w:val="16"/>
          <w:szCs w:val="16"/>
          <w:color w:val="231E20"/>
        </w:rPr>
      </w:pPr>
    </w:p>
    <w:p>
      <w:pPr>
        <w:jc w:val="both"/>
        <w:ind w:firstLine="8"/>
        <w:spacing w:after="0" w:line="288" w:lineRule="auto"/>
        <w:tabs>
          <w:tab w:leader="none" w:pos="29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as an Officer of the Corporation, (C) 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Section 5(a)(i),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75" w:name="page276"/>
    <w:bookmarkEnd w:id="275"/>
    <w:p>
      <w:pPr>
        <w:spacing w:after="0" w:line="275" w:lineRule="auto"/>
        <w:rPr>
          <w:sz w:val="20"/>
          <w:szCs w:val="20"/>
          <w:color w:val="auto"/>
        </w:rPr>
      </w:pPr>
      <w:r>
        <w:rPr>
          <w:rFonts w:ascii="Arial" w:cs="Arial" w:eastAsia="Arial" w:hAnsi="Arial"/>
          <w:sz w:val="18"/>
          <w:szCs w:val="18"/>
          <w:color w:val="auto"/>
        </w:rPr>
        <w:t>with respect to such person’s activities prior to said transaction, unless specifically authorized by the Board of Directors or the stockholders of the Corporation;</w:t>
      </w:r>
    </w:p>
    <w:p>
      <w:pPr>
        <w:spacing w:after="0" w:line="171" w:lineRule="exact"/>
        <w:rPr>
          <w:sz w:val="20"/>
          <w:szCs w:val="20"/>
          <w:color w:val="auto"/>
        </w:rPr>
      </w:pPr>
    </w:p>
    <w:p>
      <w:pPr>
        <w:ind w:left="2720" w:hanging="775"/>
        <w:spacing w:after="0"/>
        <w:tabs>
          <w:tab w:leader="none" w:pos="2720" w:val="left"/>
        </w:tabs>
        <w:numPr>
          <w:ilvl w:val="0"/>
          <w:numId w:val="176"/>
        </w:numPr>
        <w:rPr>
          <w:rFonts w:ascii="Arial" w:cs="Arial" w:eastAsia="Arial" w:hAnsi="Arial"/>
          <w:sz w:val="16"/>
          <w:szCs w:val="16"/>
          <w:color w:val="231E20"/>
        </w:rPr>
      </w:pPr>
      <w:r>
        <w:rPr>
          <w:rFonts w:ascii="Arial" w:cs="Arial" w:eastAsia="Arial" w:hAnsi="Arial"/>
          <w:sz w:val="16"/>
          <w:szCs w:val="16"/>
          <w:color w:val="auto"/>
        </w:rPr>
        <w:t>“Director” means any person who serves or has served the Corporation as a director on the Board of Directors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09" w:lineRule="exact"/>
        <w:rPr>
          <w:sz w:val="20"/>
          <w:szCs w:val="20"/>
          <w:color w:val="auto"/>
        </w:rPr>
      </w:pPr>
    </w:p>
    <w:p>
      <w:pPr>
        <w:ind w:firstLine="1945"/>
        <w:spacing w:after="0" w:line="275" w:lineRule="auto"/>
        <w:tabs>
          <w:tab w:leader="none" w:pos="2721" w:val="left"/>
        </w:tabs>
        <w:numPr>
          <w:ilvl w:val="1"/>
          <w:numId w:val="177"/>
        </w:numPr>
        <w:rPr>
          <w:rFonts w:ascii="Arial" w:cs="Arial" w:eastAsia="Arial" w:hAnsi="Arial"/>
          <w:sz w:val="18"/>
          <w:szCs w:val="18"/>
          <w:color w:val="231E20"/>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171" w:lineRule="exact"/>
        <w:rPr>
          <w:rFonts w:ascii="Arial" w:cs="Arial" w:eastAsia="Arial" w:hAnsi="Arial"/>
          <w:sz w:val="18"/>
          <w:szCs w:val="18"/>
          <w:color w:val="231E20"/>
        </w:rPr>
      </w:pPr>
    </w:p>
    <w:p>
      <w:pPr>
        <w:jc w:val="both"/>
        <w:ind w:firstLine="1945"/>
        <w:spacing w:after="0" w:line="272" w:lineRule="auto"/>
        <w:tabs>
          <w:tab w:leader="none" w:pos="2734" w:val="left"/>
        </w:tabs>
        <w:numPr>
          <w:ilvl w:val="1"/>
          <w:numId w:val="177"/>
        </w:numPr>
        <w:rPr>
          <w:rFonts w:ascii="Arial" w:cs="Arial" w:eastAsia="Arial" w:hAnsi="Arial"/>
          <w:sz w:val="17"/>
          <w:szCs w:val="17"/>
          <w:color w:val="231E20"/>
        </w:rPr>
      </w:pPr>
      <w:r>
        <w:rPr>
          <w:rFonts w:ascii="Arial" w:cs="Arial" w:eastAsia="Arial" w:hAnsi="Arial"/>
          <w:sz w:val="17"/>
          <w:szCs w:val="17"/>
          <w:color w:val="auto"/>
        </w:rPr>
        <w:t>“Expenses”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77" w:lineRule="exact"/>
        <w:rPr>
          <w:rFonts w:ascii="Arial" w:cs="Arial" w:eastAsia="Arial" w:hAnsi="Arial"/>
          <w:sz w:val="17"/>
          <w:szCs w:val="17"/>
          <w:color w:val="231E20"/>
        </w:rPr>
      </w:pPr>
    </w:p>
    <w:p>
      <w:pPr>
        <w:ind w:left="2780" w:hanging="835"/>
        <w:spacing w:after="0"/>
        <w:tabs>
          <w:tab w:leader="none" w:pos="2780" w:val="left"/>
        </w:tabs>
        <w:numPr>
          <w:ilvl w:val="1"/>
          <w:numId w:val="177"/>
        </w:numPr>
        <w:rPr>
          <w:rFonts w:ascii="Arial" w:cs="Arial" w:eastAsia="Arial" w:hAnsi="Arial"/>
          <w:sz w:val="17"/>
          <w:szCs w:val="17"/>
          <w:color w:val="231E20"/>
        </w:rPr>
      </w:pPr>
      <w:r>
        <w:rPr>
          <w:rFonts w:ascii="Arial" w:cs="Arial" w:eastAsia="Arial" w:hAnsi="Arial"/>
          <w:sz w:val="17"/>
          <w:szCs w:val="17"/>
          <w:color w:val="auto"/>
        </w:rPr>
        <w:t>“Liabilities” means judgments, damages, liabilities, losses, penalties, excise taxes, fines and amounts paid in</w:t>
      </w:r>
    </w:p>
    <w:p>
      <w:pPr>
        <w:spacing w:after="0" w:line="34" w:lineRule="exact"/>
        <w:rPr>
          <w:rFonts w:ascii="Arial" w:cs="Arial" w:eastAsia="Arial" w:hAnsi="Arial"/>
          <w:sz w:val="17"/>
          <w:szCs w:val="17"/>
          <w:color w:val="231E20"/>
        </w:rPr>
      </w:pPr>
    </w:p>
    <w:p>
      <w:pPr>
        <w:spacing w:after="0"/>
        <w:rPr>
          <w:rFonts w:ascii="Arial" w:cs="Arial" w:eastAsia="Arial" w:hAnsi="Arial"/>
          <w:sz w:val="17"/>
          <w:szCs w:val="17"/>
          <w:color w:val="231E20"/>
        </w:rPr>
      </w:pPr>
      <w:r>
        <w:rPr>
          <w:rFonts w:ascii="Arial" w:cs="Arial" w:eastAsia="Arial" w:hAnsi="Arial"/>
          <w:sz w:val="18"/>
          <w:szCs w:val="18"/>
          <w:color w:val="auto"/>
        </w:rPr>
        <w:t>settlement;</w:t>
      </w:r>
    </w:p>
    <w:p>
      <w:pPr>
        <w:spacing w:after="0" w:line="208" w:lineRule="exact"/>
        <w:rPr>
          <w:rFonts w:ascii="Arial" w:cs="Arial" w:eastAsia="Arial" w:hAnsi="Arial"/>
          <w:sz w:val="17"/>
          <w:szCs w:val="17"/>
          <w:color w:val="231E20"/>
        </w:rPr>
      </w:pPr>
    </w:p>
    <w:p>
      <w:pPr>
        <w:ind w:right="20" w:firstLine="1945"/>
        <w:spacing w:after="0" w:line="275" w:lineRule="auto"/>
        <w:tabs>
          <w:tab w:leader="none" w:pos="2707" w:val="left"/>
        </w:tabs>
        <w:numPr>
          <w:ilvl w:val="1"/>
          <w:numId w:val="177"/>
        </w:numPr>
        <w:rPr>
          <w:rFonts w:ascii="Arial" w:cs="Arial" w:eastAsia="Arial" w:hAnsi="Arial"/>
          <w:sz w:val="18"/>
          <w:szCs w:val="18"/>
          <w:color w:val="231E20"/>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171" w:lineRule="exact"/>
        <w:rPr>
          <w:rFonts w:ascii="Arial" w:cs="Arial" w:eastAsia="Arial" w:hAnsi="Arial"/>
          <w:sz w:val="18"/>
          <w:szCs w:val="18"/>
          <w:color w:val="231E20"/>
        </w:rPr>
      </w:pPr>
    </w:p>
    <w:p>
      <w:pPr>
        <w:ind w:firstLine="1945"/>
        <w:spacing w:after="0" w:line="275" w:lineRule="auto"/>
        <w:tabs>
          <w:tab w:leader="none" w:pos="2698" w:val="left"/>
        </w:tabs>
        <w:numPr>
          <w:ilvl w:val="1"/>
          <w:numId w:val="177"/>
        </w:numPr>
        <w:rPr>
          <w:rFonts w:ascii="Arial" w:cs="Arial" w:eastAsia="Arial" w:hAnsi="Arial"/>
          <w:sz w:val="18"/>
          <w:szCs w:val="18"/>
          <w:color w:val="231E20"/>
        </w:rPr>
      </w:pPr>
      <w:r>
        <w:rPr>
          <w:rFonts w:ascii="Arial" w:cs="Arial" w:eastAsia="Arial" w:hAnsi="Arial"/>
          <w:sz w:val="18"/>
          <w:szCs w:val="18"/>
          <w:color w:val="auto"/>
        </w:rPr>
        <w:t>“Officer” means any person who serves or has served the Corporation as an officer of the Corporation appointed by the Board of Directors of the Corporation;</w:t>
      </w:r>
    </w:p>
    <w:p>
      <w:pPr>
        <w:spacing w:after="0" w:line="171" w:lineRule="exact"/>
        <w:rPr>
          <w:rFonts w:ascii="Arial" w:cs="Arial" w:eastAsia="Arial" w:hAnsi="Arial"/>
          <w:sz w:val="18"/>
          <w:szCs w:val="18"/>
          <w:color w:val="231E20"/>
        </w:rPr>
      </w:pPr>
    </w:p>
    <w:p>
      <w:pPr>
        <w:ind w:firstLine="1945"/>
        <w:spacing w:after="0" w:line="306" w:lineRule="auto"/>
        <w:tabs>
          <w:tab w:leader="none" w:pos="2345" w:val="left"/>
        </w:tabs>
        <w:numPr>
          <w:ilvl w:val="1"/>
          <w:numId w:val="177"/>
        </w:numPr>
        <w:rPr>
          <w:rFonts w:ascii="Arial" w:cs="Arial" w:eastAsia="Arial" w:hAnsi="Arial"/>
          <w:sz w:val="17"/>
          <w:szCs w:val="17"/>
          <w:color w:val="auto"/>
        </w:rPr>
      </w:pPr>
      <w:r>
        <w:rPr>
          <w:rFonts w:ascii="Arial" w:cs="Arial" w:eastAsia="Arial" w:hAnsi="Arial"/>
          <w:sz w:val="17"/>
          <w:szCs w:val="17"/>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47" w:lineRule="exact"/>
        <w:rPr>
          <w:rFonts w:ascii="Arial" w:cs="Arial" w:eastAsia="Arial" w:hAnsi="Arial"/>
          <w:sz w:val="17"/>
          <w:szCs w:val="17"/>
          <w:color w:val="auto"/>
        </w:rPr>
      </w:pPr>
    </w:p>
    <w:p>
      <w:pPr>
        <w:jc w:val="both"/>
        <w:ind w:firstLine="1945"/>
        <w:spacing w:after="0" w:line="256" w:lineRule="auto"/>
        <w:tabs>
          <w:tab w:leader="none" w:pos="225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187" w:lineRule="exact"/>
        <w:rPr>
          <w:rFonts w:ascii="Arial" w:cs="Arial" w:eastAsia="Arial" w:hAnsi="Arial"/>
          <w:sz w:val="18"/>
          <w:szCs w:val="18"/>
          <w:color w:val="auto"/>
        </w:rPr>
      </w:pPr>
    </w:p>
    <w:p>
      <w:pPr>
        <w:jc w:val="both"/>
        <w:ind w:firstLine="1299"/>
        <w:spacing w:after="0" w:line="262" w:lineRule="auto"/>
        <w:tabs>
          <w:tab w:leader="none" w:pos="2083" w:val="left"/>
        </w:tabs>
        <w:numPr>
          <w:ilvl w:val="0"/>
          <w:numId w:val="178"/>
        </w:numPr>
        <w:rPr>
          <w:rFonts w:ascii="Arial" w:cs="Arial" w:eastAsia="Arial" w:hAnsi="Arial"/>
          <w:sz w:val="18"/>
          <w:szCs w:val="18"/>
          <w:color w:val="231E20"/>
        </w:rPr>
      </w:pP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 Subject to the operation of Section 5(d) of these Bylaw, each Director and Officer shall be indemnified and held harmless by the Corporation to the fullest extent authorized by the DGCL, as the same exists or may hereafter be amended (but, in the case of any such amendment, only to the extent that such amendment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76" w:name="page277"/>
    <w:bookmarkEnd w:id="276"/>
    <w:p>
      <w:pPr>
        <w:spacing w:after="0" w:line="275" w:lineRule="auto"/>
        <w:rPr>
          <w:sz w:val="20"/>
          <w:szCs w:val="20"/>
          <w:color w:val="auto"/>
        </w:rPr>
      </w:pPr>
      <w:r>
        <w:rPr>
          <w:rFonts w:ascii="Arial" w:cs="Arial" w:eastAsia="Arial" w:hAnsi="Arial"/>
          <w:sz w:val="18"/>
          <w:szCs w:val="18"/>
          <w:color w:val="auto"/>
        </w:rPr>
        <w:t>permits the Corporation to provide broader indemnification rights than such law permitted the Corporation to provide prior to such amendment), and to the extent authorized in subsections (i) through (iv) of this Section 5(b).</w:t>
      </w:r>
    </w:p>
    <w:p>
      <w:pPr>
        <w:spacing w:after="0" w:line="171" w:lineRule="exact"/>
        <w:rPr>
          <w:sz w:val="20"/>
          <w:szCs w:val="20"/>
          <w:color w:val="auto"/>
        </w:rPr>
      </w:pPr>
    </w:p>
    <w:p>
      <w:pPr>
        <w:jc w:val="both"/>
        <w:ind w:firstLine="1963"/>
        <w:spacing w:after="0" w:line="292" w:lineRule="auto"/>
        <w:tabs>
          <w:tab w:leader="none" w:pos="2743" w:val="left"/>
        </w:tabs>
        <w:numPr>
          <w:ilvl w:val="0"/>
          <w:numId w:val="179"/>
        </w:numPr>
        <w:rPr>
          <w:rFonts w:ascii="Arial" w:cs="Arial" w:eastAsia="Arial" w:hAnsi="Arial"/>
          <w:sz w:val="16"/>
          <w:szCs w:val="16"/>
          <w:color w:val="231E20"/>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63" w:lineRule="exact"/>
        <w:rPr>
          <w:rFonts w:ascii="Arial" w:cs="Arial" w:eastAsia="Arial" w:hAnsi="Arial"/>
          <w:sz w:val="16"/>
          <w:szCs w:val="16"/>
          <w:color w:val="231E20"/>
        </w:rPr>
      </w:pPr>
    </w:p>
    <w:p>
      <w:pPr>
        <w:jc w:val="both"/>
        <w:ind w:firstLine="1963"/>
        <w:spacing w:after="0" w:line="288" w:lineRule="auto"/>
        <w:tabs>
          <w:tab w:leader="none" w:pos="2721" w:val="left"/>
        </w:tabs>
        <w:numPr>
          <w:ilvl w:val="0"/>
          <w:numId w:val="179"/>
        </w:numPr>
        <w:rPr>
          <w:rFonts w:ascii="Arial" w:cs="Arial" w:eastAsia="Arial" w:hAnsi="Arial"/>
          <w:sz w:val="16"/>
          <w:szCs w:val="16"/>
          <w:color w:val="231E20"/>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5(b)(ii)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65" w:lineRule="exact"/>
        <w:rPr>
          <w:rFonts w:ascii="Arial" w:cs="Arial" w:eastAsia="Arial" w:hAnsi="Arial"/>
          <w:sz w:val="16"/>
          <w:szCs w:val="16"/>
          <w:color w:val="231E20"/>
        </w:rPr>
      </w:pPr>
    </w:p>
    <w:p>
      <w:pPr>
        <w:jc w:val="both"/>
        <w:ind w:firstLine="1963"/>
        <w:spacing w:after="0" w:line="262" w:lineRule="auto"/>
        <w:tabs>
          <w:tab w:leader="none" w:pos="2712" w:val="left"/>
        </w:tabs>
        <w:numPr>
          <w:ilvl w:val="0"/>
          <w:numId w:val="179"/>
        </w:numPr>
        <w:rPr>
          <w:rFonts w:ascii="Arial" w:cs="Arial" w:eastAsia="Arial" w:hAnsi="Arial"/>
          <w:sz w:val="18"/>
          <w:szCs w:val="18"/>
          <w:color w:val="231E20"/>
        </w:rPr>
      </w:pPr>
      <w:r>
        <w:rPr>
          <w:rFonts w:ascii="Arial" w:cs="Arial" w:eastAsia="Arial" w:hAnsi="Arial"/>
          <w:sz w:val="18"/>
          <w:szCs w:val="18"/>
          <w:u w:val="single" w:color="auto"/>
          <w:color w:val="auto"/>
        </w:rPr>
        <w:t>Survival of Rights</w:t>
      </w:r>
      <w:r>
        <w:rPr>
          <w:rFonts w:ascii="Arial" w:cs="Arial" w:eastAsia="Arial" w:hAnsi="Arial"/>
          <w:sz w:val="18"/>
          <w:szCs w:val="18"/>
          <w:color w:val="auto"/>
        </w:rPr>
        <w:t>. The rights of indemnification provided by this Section 5(b) shall continue as to a Director or Officer after he or she has ceased to be a Director or Officer and shall inure to the benefit of his or her heirs, executors, administrators and personal representatives.</w:t>
      </w:r>
    </w:p>
    <w:p>
      <w:pPr>
        <w:spacing w:after="0" w:line="183" w:lineRule="exact"/>
        <w:rPr>
          <w:rFonts w:ascii="Arial" w:cs="Arial" w:eastAsia="Arial" w:hAnsi="Arial"/>
          <w:sz w:val="18"/>
          <w:szCs w:val="18"/>
          <w:color w:val="231E20"/>
        </w:rPr>
      </w:pPr>
    </w:p>
    <w:p>
      <w:pPr>
        <w:jc w:val="both"/>
        <w:ind w:firstLine="1963"/>
        <w:spacing w:after="0" w:line="256" w:lineRule="auto"/>
        <w:tabs>
          <w:tab w:leader="none" w:pos="2716" w:val="left"/>
        </w:tabs>
        <w:numPr>
          <w:ilvl w:val="0"/>
          <w:numId w:val="179"/>
        </w:numPr>
        <w:rPr>
          <w:rFonts w:ascii="Arial" w:cs="Arial" w:eastAsia="Arial" w:hAnsi="Arial"/>
          <w:sz w:val="18"/>
          <w:szCs w:val="18"/>
          <w:color w:val="231E20"/>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 in accordance with the provisions set forth herein.</w:t>
      </w:r>
    </w:p>
    <w:p>
      <w:pPr>
        <w:spacing w:after="0" w:line="188" w:lineRule="exact"/>
        <w:rPr>
          <w:sz w:val="20"/>
          <w:szCs w:val="20"/>
          <w:color w:val="auto"/>
        </w:rPr>
      </w:pPr>
    </w:p>
    <w:p>
      <w:pPr>
        <w:jc w:val="both"/>
        <w:ind w:firstLine="1963"/>
        <w:spacing w:after="0" w:line="262" w:lineRule="auto"/>
        <w:tabs>
          <w:tab w:leader="none" w:pos="2737" w:val="left"/>
        </w:tabs>
        <w:numPr>
          <w:ilvl w:val="0"/>
          <w:numId w:val="180"/>
        </w:numPr>
        <w:rPr>
          <w:rFonts w:ascii="Arial" w:cs="Arial" w:eastAsia="Arial" w:hAnsi="Arial"/>
          <w:sz w:val="18"/>
          <w:szCs w:val="18"/>
          <w:color w:val="231E20"/>
        </w:rPr>
      </w:pPr>
      <w:r>
        <w:rPr>
          <w:rFonts w:ascii="Arial" w:cs="Arial" w:eastAsia="Arial" w:hAnsi="Arial"/>
          <w:sz w:val="18"/>
          <w:szCs w:val="18"/>
          <w:u w:val="single" w:color="auto"/>
          <w:color w:val="auto"/>
        </w:rPr>
        <w:t>Indemnification of Non-Officer Employees</w:t>
      </w:r>
      <w:r>
        <w:rPr>
          <w:rFonts w:ascii="Arial" w:cs="Arial" w:eastAsia="Arial" w:hAnsi="Arial"/>
          <w:sz w:val="18"/>
          <w:szCs w:val="18"/>
          <w:color w:val="auto"/>
        </w:rPr>
        <w:t>. Subject to the operation of Section 5(d) of these Bylaw, each Non-Officer Employee may, in the discretion of the Board of Directors of the Corporation, be indemnified by the Corporation to the fullest extent authorized by the DGCL, as the same exists or may hereafter be amended, against any or all Expenses and</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77" w:name="page278"/>
    <w:bookmarkEnd w:id="277"/>
    <w:p>
      <w:pPr>
        <w:jc w:val="both"/>
        <w:spacing w:after="0" w:line="289" w:lineRule="auto"/>
        <w:rPr>
          <w:sz w:val="20"/>
          <w:szCs w:val="20"/>
          <w:color w:val="auto"/>
        </w:rPr>
      </w:pPr>
      <w:r>
        <w:rPr>
          <w:rFonts w:ascii="Arial" w:cs="Arial" w:eastAsia="Arial" w:hAnsi="Arial"/>
          <w:sz w:val="16"/>
          <w:szCs w:val="16"/>
          <w:color w:val="auto"/>
        </w:rPr>
        <w:t>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5(c)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65" w:lineRule="exact"/>
        <w:rPr>
          <w:sz w:val="20"/>
          <w:szCs w:val="20"/>
          <w:color w:val="auto"/>
        </w:rPr>
      </w:pPr>
    </w:p>
    <w:p>
      <w:pPr>
        <w:jc w:val="both"/>
        <w:ind w:firstLine="1317"/>
        <w:spacing w:after="0" w:line="271" w:lineRule="auto"/>
        <w:tabs>
          <w:tab w:leader="none" w:pos="2101" w:val="left"/>
        </w:tabs>
        <w:numPr>
          <w:ilvl w:val="1"/>
          <w:numId w:val="181"/>
        </w:numPr>
        <w:rPr>
          <w:rFonts w:ascii="Arial" w:cs="Arial" w:eastAsia="Arial" w:hAnsi="Arial"/>
          <w:sz w:val="17"/>
          <w:szCs w:val="17"/>
          <w:color w:val="231E20"/>
        </w:rPr>
      </w:pPr>
      <w:r>
        <w:rPr>
          <w:rFonts w:ascii="Arial" w:cs="Arial" w:eastAsia="Arial" w:hAnsi="Arial"/>
          <w:sz w:val="17"/>
          <w:szCs w:val="17"/>
          <w:u w:val="single" w:color="auto"/>
          <w:color w:val="auto"/>
        </w:rPr>
        <w:t>Determination</w:t>
      </w:r>
      <w:r>
        <w:rPr>
          <w:rFonts w:ascii="Arial" w:cs="Arial" w:eastAsia="Arial" w:hAnsi="Arial"/>
          <w:sz w:val="17"/>
          <w:szCs w:val="17"/>
          <w:color w:val="auto"/>
        </w:rPr>
        <w:t>. Unless ordered by a court, no indemnification shall be provided pursuant to this Section 5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less than a quorum of the Board of Directors, (ii) a 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176" w:lineRule="exact"/>
        <w:rPr>
          <w:rFonts w:ascii="Arial" w:cs="Arial" w:eastAsia="Arial" w:hAnsi="Arial"/>
          <w:sz w:val="17"/>
          <w:szCs w:val="17"/>
          <w:color w:val="231E20"/>
        </w:rPr>
      </w:pPr>
    </w:p>
    <w:p>
      <w:pPr>
        <w:ind w:left="2100" w:hanging="783"/>
        <w:spacing w:after="0"/>
        <w:tabs>
          <w:tab w:leader="none" w:pos="2100" w:val="left"/>
        </w:tabs>
        <w:numPr>
          <w:ilvl w:val="1"/>
          <w:numId w:val="181"/>
        </w:numPr>
        <w:rPr>
          <w:rFonts w:ascii="Arial" w:cs="Arial" w:eastAsia="Arial" w:hAnsi="Arial"/>
          <w:sz w:val="18"/>
          <w:szCs w:val="18"/>
          <w:color w:val="231E20"/>
        </w:rPr>
      </w:pP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223" w:lineRule="exact"/>
        <w:rPr>
          <w:rFonts w:ascii="Arial" w:cs="Arial" w:eastAsia="Arial" w:hAnsi="Arial"/>
          <w:sz w:val="18"/>
          <w:szCs w:val="18"/>
          <w:color w:val="231E20"/>
        </w:rPr>
      </w:pPr>
    </w:p>
    <w:p>
      <w:pPr>
        <w:jc w:val="both"/>
        <w:ind w:firstLine="1963"/>
        <w:spacing w:after="0" w:line="269" w:lineRule="auto"/>
        <w:tabs>
          <w:tab w:leader="none" w:pos="2783" w:val="left"/>
        </w:tabs>
        <w:numPr>
          <w:ilvl w:val="2"/>
          <w:numId w:val="181"/>
        </w:numPr>
        <w:rPr>
          <w:rFonts w:ascii="Arial" w:cs="Arial" w:eastAsia="Arial" w:hAnsi="Arial"/>
          <w:sz w:val="17"/>
          <w:szCs w:val="17"/>
          <w:color w:val="231E20"/>
        </w:rPr>
      </w:pPr>
      <w:r>
        <w:rPr>
          <w:rFonts w:ascii="Arial" w:cs="Arial" w:eastAsia="Arial" w:hAnsi="Arial"/>
          <w:sz w:val="17"/>
          <w:szCs w:val="17"/>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w:t>
      </w:r>
    </w:p>
    <w:p>
      <w:pPr>
        <w:spacing w:after="0" w:line="180" w:lineRule="exact"/>
        <w:rPr>
          <w:rFonts w:ascii="Arial" w:cs="Arial" w:eastAsia="Arial" w:hAnsi="Arial"/>
          <w:sz w:val="17"/>
          <w:szCs w:val="17"/>
          <w:color w:val="231E20"/>
        </w:rPr>
      </w:pPr>
    </w:p>
    <w:p>
      <w:pPr>
        <w:ind w:left="2740" w:hanging="777"/>
        <w:spacing w:after="0"/>
        <w:tabs>
          <w:tab w:leader="none" w:pos="2740" w:val="left"/>
        </w:tabs>
        <w:numPr>
          <w:ilvl w:val="2"/>
          <w:numId w:val="181"/>
        </w:numPr>
        <w:rPr>
          <w:rFonts w:ascii="Arial" w:cs="Arial" w:eastAsia="Arial" w:hAnsi="Arial"/>
          <w:sz w:val="17"/>
          <w:szCs w:val="17"/>
          <w:color w:val="231E20"/>
        </w:rPr>
      </w:pPr>
      <w:r>
        <w:rPr>
          <w:rFonts w:ascii="Arial" w:cs="Arial" w:eastAsia="Arial" w:hAnsi="Arial"/>
          <w:sz w:val="17"/>
          <w:szCs w:val="17"/>
          <w:color w:val="auto"/>
        </w:rPr>
        <w:t>If a claim for advancement of Expenses hereunder by a Director is not paid in full by the Corporation within thirty</w:t>
      </w:r>
    </w:p>
    <w:p>
      <w:pPr>
        <w:spacing w:after="0" w:line="34" w:lineRule="exact"/>
        <w:rPr>
          <w:rFonts w:ascii="Arial" w:cs="Arial" w:eastAsia="Arial" w:hAnsi="Arial"/>
          <w:sz w:val="17"/>
          <w:szCs w:val="17"/>
          <w:color w:val="231E20"/>
        </w:rPr>
      </w:pPr>
    </w:p>
    <w:p>
      <w:pPr>
        <w:ind w:firstLine="8"/>
        <w:spacing w:after="0" w:line="259" w:lineRule="auto"/>
        <w:tabs>
          <w:tab w:leader="none" w:pos="3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days after receipt by the Corporation of documentation of Expenses and the required undertaking, such Director may at any time thereafter bring suit against the Corporation to recover the unpaid amount of the claim and if successful in</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78" w:name="page279"/>
    <w:bookmarkEnd w:id="278"/>
    <w:p>
      <w:pPr>
        <w:jc w:val="both"/>
        <w:spacing w:after="0" w:line="256" w:lineRule="auto"/>
        <w:rPr>
          <w:sz w:val="20"/>
          <w:szCs w:val="20"/>
          <w:color w:val="auto"/>
        </w:rPr>
      </w:pPr>
      <w:r>
        <w:rPr>
          <w:rFonts w:ascii="Arial" w:cs="Arial" w:eastAsia="Arial" w:hAnsi="Arial"/>
          <w:sz w:val="18"/>
          <w:szCs w:val="18"/>
          <w:color w:val="auto"/>
        </w:rPr>
        <w:t>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Section 5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8" w:lineRule="exact"/>
        <w:rPr>
          <w:sz w:val="20"/>
          <w:szCs w:val="20"/>
          <w:color w:val="auto"/>
        </w:rPr>
      </w:pPr>
    </w:p>
    <w:p>
      <w:pPr>
        <w:jc w:val="both"/>
        <w:ind w:firstLine="1963"/>
        <w:spacing w:after="0" w:line="262" w:lineRule="auto"/>
        <w:tabs>
          <w:tab w:leader="none" w:pos="2699" w:val="left"/>
        </w:tabs>
        <w:numPr>
          <w:ilvl w:val="1"/>
          <w:numId w:val="183"/>
        </w:numPr>
        <w:rPr>
          <w:rFonts w:ascii="Arial" w:cs="Arial" w:eastAsia="Arial" w:hAnsi="Arial"/>
          <w:sz w:val="18"/>
          <w:szCs w:val="18"/>
          <w:color w:val="231E20"/>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83" w:lineRule="exact"/>
        <w:rPr>
          <w:rFonts w:ascii="Arial" w:cs="Arial" w:eastAsia="Arial" w:hAnsi="Arial"/>
          <w:sz w:val="18"/>
          <w:szCs w:val="18"/>
          <w:color w:val="231E20"/>
        </w:rPr>
      </w:pPr>
    </w:p>
    <w:p>
      <w:pPr>
        <w:ind w:left="2120" w:hanging="803"/>
        <w:spacing w:after="0"/>
        <w:tabs>
          <w:tab w:leader="none" w:pos="2120" w:val="left"/>
        </w:tabs>
        <w:numPr>
          <w:ilvl w:val="0"/>
          <w:numId w:val="184"/>
        </w:numPr>
        <w:rPr>
          <w:rFonts w:ascii="Arial" w:cs="Arial" w:eastAsia="Arial" w:hAnsi="Arial"/>
          <w:sz w:val="18"/>
          <w:szCs w:val="18"/>
          <w:color w:val="231E20"/>
        </w:rPr>
      </w:pPr>
      <w:r>
        <w:rPr>
          <w:rFonts w:ascii="Arial" w:cs="Arial" w:eastAsia="Arial" w:hAnsi="Arial"/>
          <w:sz w:val="18"/>
          <w:szCs w:val="18"/>
          <w:u w:val="single" w:color="auto"/>
          <w:color w:val="auto"/>
        </w:rPr>
        <w:t>Advancement of Expenses to Officers and Non-Officer Employees Prior to Final Disposition</w:t>
      </w:r>
      <w:r>
        <w:rPr>
          <w:rFonts w:ascii="Arial" w:cs="Arial" w:eastAsia="Arial" w:hAnsi="Arial"/>
          <w:sz w:val="18"/>
          <w:szCs w:val="18"/>
          <w:color w:val="auto"/>
        </w:rPr>
        <w:t>.</w:t>
      </w:r>
    </w:p>
    <w:p>
      <w:pPr>
        <w:spacing w:after="0" w:line="223" w:lineRule="exact"/>
        <w:rPr>
          <w:rFonts w:ascii="Arial" w:cs="Arial" w:eastAsia="Arial" w:hAnsi="Arial"/>
          <w:sz w:val="18"/>
          <w:szCs w:val="18"/>
          <w:color w:val="231E20"/>
        </w:rPr>
      </w:pPr>
    </w:p>
    <w:p>
      <w:pPr>
        <w:jc w:val="both"/>
        <w:ind w:firstLine="1963"/>
        <w:spacing w:after="0" w:line="271" w:lineRule="auto"/>
        <w:tabs>
          <w:tab w:leader="none" w:pos="2756" w:val="left"/>
        </w:tabs>
        <w:numPr>
          <w:ilvl w:val="1"/>
          <w:numId w:val="184"/>
        </w:numPr>
        <w:rPr>
          <w:rFonts w:ascii="Arial" w:cs="Arial" w:eastAsia="Arial" w:hAnsi="Arial"/>
          <w:sz w:val="17"/>
          <w:szCs w:val="17"/>
          <w:color w:val="231E20"/>
        </w:rPr>
      </w:pPr>
      <w:r>
        <w:rPr>
          <w:rFonts w:ascii="Arial" w:cs="Arial" w:eastAsia="Arial" w:hAnsi="Arial"/>
          <w:sz w:val="17"/>
          <w:szCs w:val="17"/>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77" w:lineRule="exact"/>
        <w:rPr>
          <w:sz w:val="20"/>
          <w:szCs w:val="20"/>
          <w:color w:val="auto"/>
        </w:rPr>
      </w:pPr>
    </w:p>
    <w:p>
      <w:pPr>
        <w:jc w:val="both"/>
        <w:ind w:firstLine="1963"/>
        <w:spacing w:after="0" w:line="262" w:lineRule="auto"/>
        <w:tabs>
          <w:tab w:leader="none" w:pos="2761" w:val="left"/>
        </w:tabs>
        <w:numPr>
          <w:ilvl w:val="1"/>
          <w:numId w:val="185"/>
        </w:numPr>
        <w:rPr>
          <w:rFonts w:ascii="Arial" w:cs="Arial" w:eastAsia="Arial" w:hAnsi="Arial"/>
          <w:sz w:val="18"/>
          <w:szCs w:val="18"/>
          <w:color w:val="231E20"/>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83" w:lineRule="exact"/>
        <w:rPr>
          <w:rFonts w:ascii="Arial" w:cs="Arial" w:eastAsia="Arial" w:hAnsi="Arial"/>
          <w:sz w:val="18"/>
          <w:szCs w:val="18"/>
          <w:color w:val="231E20"/>
        </w:rPr>
      </w:pPr>
    </w:p>
    <w:p>
      <w:pPr>
        <w:ind w:left="2100" w:hanging="783"/>
        <w:spacing w:after="0"/>
        <w:tabs>
          <w:tab w:leader="none" w:pos="2100" w:val="left"/>
        </w:tabs>
        <w:numPr>
          <w:ilvl w:val="0"/>
          <w:numId w:val="186"/>
        </w:numPr>
        <w:rPr>
          <w:rFonts w:ascii="Arial" w:cs="Arial" w:eastAsia="Arial" w:hAnsi="Arial"/>
          <w:sz w:val="18"/>
          <w:szCs w:val="18"/>
          <w:color w:val="231E20"/>
        </w:rPr>
      </w:pP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223" w:lineRule="exact"/>
        <w:rPr>
          <w:rFonts w:ascii="Arial" w:cs="Arial" w:eastAsia="Arial" w:hAnsi="Arial"/>
          <w:sz w:val="18"/>
          <w:szCs w:val="18"/>
          <w:color w:val="231E20"/>
        </w:rPr>
      </w:pPr>
    </w:p>
    <w:p>
      <w:pPr>
        <w:jc w:val="both"/>
        <w:ind w:firstLine="1963"/>
        <w:spacing w:after="0" w:line="270" w:lineRule="auto"/>
        <w:tabs>
          <w:tab w:leader="none" w:pos="2417"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provisions of this Section 5 shall be deemed to be a contract between the Corporation and each Director and Officer entitled to the benefits hereof at any time while this Section 5 is in effect, in consideration of such person’s past or current and any future performance of services for the Corporation. Neither amendment, repeal or modification of any provision of this Section 5 nor the adoption of any provision of the Certificate of Incorporation inconsistent with this Section 5 shall eliminate or reduce any right conferred by this Section 5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79" w:name="page280"/>
    <w:bookmarkEnd w:id="279"/>
    <w:p>
      <w:pPr>
        <w:jc w:val="both"/>
        <w:spacing w:after="0" w:line="262" w:lineRule="auto"/>
        <w:rPr>
          <w:sz w:val="20"/>
          <w:szCs w:val="20"/>
          <w:color w:val="auto"/>
        </w:rPr>
      </w:pPr>
      <w:r>
        <w:rPr>
          <w:rFonts w:ascii="Arial" w:cs="Arial" w:eastAsia="Arial" w:hAnsi="Arial"/>
          <w:sz w:val="18"/>
          <w:szCs w:val="18"/>
          <w:color w:val="auto"/>
        </w:rPr>
        <w:t>is commenced. The rights to indemnification and to advancement of expenses provided by, or granted pursuant to, this Section 5 shall continue notwithstanding that the person has ceased to be a director or officer of the Corporation and shall inure to the benefit of the estate, heirs, executors, administrators, legatees and distributees of such person.</w:t>
      </w:r>
    </w:p>
    <w:p>
      <w:pPr>
        <w:spacing w:after="0" w:line="183" w:lineRule="exact"/>
        <w:rPr>
          <w:sz w:val="20"/>
          <w:szCs w:val="20"/>
          <w:color w:val="auto"/>
        </w:rPr>
      </w:pPr>
    </w:p>
    <w:p>
      <w:pPr>
        <w:ind w:left="2720" w:hanging="775"/>
        <w:spacing w:after="0"/>
        <w:tabs>
          <w:tab w:leader="none" w:pos="2720" w:val="left"/>
        </w:tabs>
        <w:numPr>
          <w:ilvl w:val="2"/>
          <w:numId w:val="187"/>
        </w:numPr>
        <w:rPr>
          <w:rFonts w:ascii="Arial" w:cs="Arial" w:eastAsia="Arial" w:hAnsi="Arial"/>
          <w:sz w:val="17"/>
          <w:szCs w:val="17"/>
          <w:color w:val="231E20"/>
        </w:rPr>
      </w:pPr>
      <w:r>
        <w:rPr>
          <w:rFonts w:ascii="Arial" w:cs="Arial" w:eastAsia="Arial" w:hAnsi="Arial"/>
          <w:sz w:val="17"/>
          <w:szCs w:val="17"/>
          <w:color w:val="auto"/>
        </w:rPr>
        <w:t>If a claim for indemnification hereunder by a Director or Officer is not paid in full by the Corporation within sixty</w:t>
      </w:r>
    </w:p>
    <w:p>
      <w:pPr>
        <w:spacing w:after="0" w:line="34" w:lineRule="exact"/>
        <w:rPr>
          <w:rFonts w:ascii="Arial" w:cs="Arial" w:eastAsia="Arial" w:hAnsi="Arial"/>
          <w:sz w:val="17"/>
          <w:szCs w:val="17"/>
          <w:color w:val="231E20"/>
        </w:rPr>
      </w:pPr>
    </w:p>
    <w:p>
      <w:pPr>
        <w:jc w:val="both"/>
        <w:ind w:firstLine="8"/>
        <w:spacing w:after="0" w:line="288" w:lineRule="auto"/>
        <w:tabs>
          <w:tab w:leader="none" w:pos="35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Section 5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67" w:lineRule="exact"/>
        <w:rPr>
          <w:rFonts w:ascii="Arial" w:cs="Arial" w:eastAsia="Arial" w:hAnsi="Arial"/>
          <w:sz w:val="16"/>
          <w:szCs w:val="16"/>
          <w:color w:val="auto"/>
        </w:rPr>
      </w:pPr>
    </w:p>
    <w:p>
      <w:pPr>
        <w:ind w:firstLine="1945"/>
        <w:spacing w:after="0" w:line="275" w:lineRule="auto"/>
        <w:tabs>
          <w:tab w:leader="none" w:pos="2681" w:val="left"/>
        </w:tabs>
        <w:numPr>
          <w:ilvl w:val="2"/>
          <w:numId w:val="188"/>
        </w:numPr>
        <w:rPr>
          <w:rFonts w:ascii="Arial" w:cs="Arial" w:eastAsia="Arial" w:hAnsi="Arial"/>
          <w:sz w:val="18"/>
          <w:szCs w:val="18"/>
          <w:color w:val="231E20"/>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71" w:lineRule="exact"/>
        <w:rPr>
          <w:rFonts w:ascii="Arial" w:cs="Arial" w:eastAsia="Arial" w:hAnsi="Arial"/>
          <w:sz w:val="18"/>
          <w:szCs w:val="18"/>
          <w:color w:val="231E20"/>
        </w:rPr>
      </w:pPr>
    </w:p>
    <w:p>
      <w:pPr>
        <w:jc w:val="both"/>
        <w:ind w:firstLine="1299"/>
        <w:spacing w:after="0" w:line="262" w:lineRule="auto"/>
        <w:tabs>
          <w:tab w:leader="none" w:pos="2083" w:val="left"/>
        </w:tabs>
        <w:numPr>
          <w:ilvl w:val="1"/>
          <w:numId w:val="188"/>
        </w:numPr>
        <w:rPr>
          <w:rFonts w:ascii="Arial" w:cs="Arial" w:eastAsia="Arial" w:hAnsi="Arial"/>
          <w:sz w:val="18"/>
          <w:szCs w:val="18"/>
          <w:color w:val="231E20"/>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advancement of Expenses set forth in this Section 5 shall not be exclusive of any other right which any Director, Officer, or Non-Officer Employee may have or hereafter acquire under any statute, provision of the Certificate or these Bylaw, agreement, vote of stockholders or Disinterested Directors or otherwise.</w:t>
      </w:r>
    </w:p>
    <w:p>
      <w:pPr>
        <w:spacing w:after="0" w:line="183" w:lineRule="exact"/>
        <w:rPr>
          <w:rFonts w:ascii="Arial" w:cs="Arial" w:eastAsia="Arial" w:hAnsi="Arial"/>
          <w:sz w:val="18"/>
          <w:szCs w:val="18"/>
          <w:color w:val="231E20"/>
        </w:rPr>
      </w:pPr>
    </w:p>
    <w:p>
      <w:pPr>
        <w:jc w:val="both"/>
        <w:ind w:firstLine="1299"/>
        <w:spacing w:after="0" w:line="258" w:lineRule="auto"/>
        <w:tabs>
          <w:tab w:leader="none" w:pos="2079" w:val="left"/>
        </w:tabs>
        <w:numPr>
          <w:ilvl w:val="1"/>
          <w:numId w:val="188"/>
        </w:numPr>
        <w:rPr>
          <w:rFonts w:ascii="Arial" w:cs="Arial" w:eastAsia="Arial" w:hAnsi="Arial"/>
          <w:sz w:val="18"/>
          <w:szCs w:val="18"/>
          <w:color w:val="231E20"/>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Section 5.</w:t>
      </w:r>
    </w:p>
    <w:p>
      <w:pPr>
        <w:spacing w:after="0" w:line="186" w:lineRule="exact"/>
        <w:rPr>
          <w:rFonts w:ascii="Arial" w:cs="Arial" w:eastAsia="Arial" w:hAnsi="Arial"/>
          <w:sz w:val="18"/>
          <w:szCs w:val="18"/>
          <w:color w:val="231E20"/>
        </w:rPr>
      </w:pPr>
    </w:p>
    <w:p>
      <w:pPr>
        <w:jc w:val="both"/>
        <w:ind w:firstLine="1299"/>
        <w:spacing w:after="0" w:line="270" w:lineRule="auto"/>
        <w:tabs>
          <w:tab w:leader="none" w:pos="2079" w:val="left"/>
        </w:tabs>
        <w:numPr>
          <w:ilvl w:val="1"/>
          <w:numId w:val="188"/>
        </w:numPr>
        <w:rPr>
          <w:rFonts w:ascii="Arial" w:cs="Arial" w:eastAsia="Arial" w:hAnsi="Arial"/>
          <w:sz w:val="17"/>
          <w:szCs w:val="17"/>
          <w:color w:val="231E20"/>
        </w:rPr>
      </w:pP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Section 5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Section 5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80" w:name="page281"/>
    <w:bookmarkEnd w:id="280"/>
    <w:p>
      <w:pPr>
        <w:ind w:left="1500" w:hanging="829"/>
        <w:spacing w:after="0"/>
        <w:tabs>
          <w:tab w:leader="none" w:pos="1500" w:val="left"/>
        </w:tabs>
        <w:numPr>
          <w:ilvl w:val="0"/>
          <w:numId w:val="189"/>
        </w:numPr>
        <w:rPr>
          <w:rFonts w:ascii="Arial" w:cs="Arial" w:eastAsia="Arial" w:hAnsi="Arial"/>
          <w:sz w:val="18"/>
          <w:szCs w:val="18"/>
          <w:color w:val="231E20"/>
        </w:rPr>
      </w:pPr>
      <w:r>
        <w:rPr>
          <w:rFonts w:ascii="Arial" w:cs="Arial" w:eastAsia="Arial" w:hAnsi="Arial"/>
          <w:sz w:val="18"/>
          <w:szCs w:val="18"/>
          <w:u w:val="single" w:color="auto"/>
          <w:color w:val="auto"/>
        </w:rPr>
        <w:t>Miscellaneous Provisions</w:t>
      </w:r>
    </w:p>
    <w:p>
      <w:pPr>
        <w:spacing w:after="0" w:line="223" w:lineRule="exact"/>
        <w:rPr>
          <w:rFonts w:ascii="Arial" w:cs="Arial" w:eastAsia="Arial" w:hAnsi="Arial"/>
          <w:sz w:val="18"/>
          <w:szCs w:val="18"/>
          <w:color w:val="231E20"/>
        </w:rPr>
      </w:pPr>
    </w:p>
    <w:p>
      <w:pPr>
        <w:ind w:left="2100" w:hanging="801"/>
        <w:spacing w:after="0"/>
        <w:tabs>
          <w:tab w:leader="none" w:pos="2100" w:val="left"/>
        </w:tabs>
        <w:numPr>
          <w:ilvl w:val="1"/>
          <w:numId w:val="189"/>
        </w:numPr>
        <w:rPr>
          <w:rFonts w:ascii="Arial" w:cs="Arial" w:eastAsia="Arial" w:hAnsi="Arial"/>
          <w:sz w:val="17"/>
          <w:szCs w:val="17"/>
          <w:color w:val="231E20"/>
        </w:rPr>
      </w:pPr>
      <w:r>
        <w:rPr>
          <w:rFonts w:ascii="Arial" w:cs="Arial" w:eastAsia="Arial" w:hAnsi="Arial"/>
          <w:sz w:val="17"/>
          <w:szCs w:val="17"/>
          <w:u w:val="single" w:color="auto"/>
          <w:color w:val="auto"/>
        </w:rPr>
        <w:t>Fiscal Year</w:t>
      </w:r>
      <w:r>
        <w:rPr>
          <w:rFonts w:ascii="Arial" w:cs="Arial" w:eastAsia="Arial" w:hAnsi="Arial"/>
          <w:sz w:val="17"/>
          <w:szCs w:val="17"/>
          <w:color w:val="auto"/>
        </w:rPr>
        <w:t>. Except as otherwise determined by the Board of Directors, the fiscal year of the Corporation shall end on</w:t>
      </w:r>
    </w:p>
    <w:p>
      <w:pPr>
        <w:spacing w:after="0" w:line="34" w:lineRule="exact"/>
        <w:rPr>
          <w:rFonts w:ascii="Arial" w:cs="Arial" w:eastAsia="Arial" w:hAnsi="Arial"/>
          <w:sz w:val="17"/>
          <w:szCs w:val="17"/>
          <w:color w:val="231E20"/>
        </w:rPr>
      </w:pPr>
    </w:p>
    <w:p>
      <w:pPr>
        <w:spacing w:after="0"/>
        <w:rPr>
          <w:rFonts w:ascii="Arial" w:cs="Arial" w:eastAsia="Arial" w:hAnsi="Arial"/>
          <w:sz w:val="17"/>
          <w:szCs w:val="17"/>
          <w:color w:val="231E20"/>
        </w:rPr>
      </w:pPr>
      <w:r>
        <w:rPr>
          <w:rFonts w:ascii="Arial" w:cs="Arial" w:eastAsia="Arial" w:hAnsi="Arial"/>
          <w:sz w:val="18"/>
          <w:szCs w:val="18"/>
          <w:color w:val="auto"/>
        </w:rPr>
        <w:t>December 31 of each year.</w:t>
      </w:r>
    </w:p>
    <w:p>
      <w:pPr>
        <w:spacing w:after="0" w:line="208" w:lineRule="exact"/>
        <w:rPr>
          <w:rFonts w:ascii="Arial" w:cs="Arial" w:eastAsia="Arial" w:hAnsi="Arial"/>
          <w:sz w:val="17"/>
          <w:szCs w:val="17"/>
          <w:color w:val="231E20"/>
        </w:rPr>
      </w:pPr>
    </w:p>
    <w:p>
      <w:pPr>
        <w:ind w:left="2100" w:hanging="801"/>
        <w:spacing w:after="0"/>
        <w:tabs>
          <w:tab w:leader="none" w:pos="2100" w:val="left"/>
        </w:tabs>
        <w:numPr>
          <w:ilvl w:val="1"/>
          <w:numId w:val="189"/>
        </w:numPr>
        <w:rPr>
          <w:rFonts w:ascii="Arial" w:cs="Arial" w:eastAsia="Arial" w:hAnsi="Arial"/>
          <w:sz w:val="18"/>
          <w:szCs w:val="18"/>
          <w:color w:val="231E20"/>
        </w:rPr>
      </w:pP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223" w:lineRule="exact"/>
        <w:rPr>
          <w:rFonts w:ascii="Arial" w:cs="Arial" w:eastAsia="Arial" w:hAnsi="Arial"/>
          <w:sz w:val="18"/>
          <w:szCs w:val="18"/>
          <w:color w:val="231E20"/>
        </w:rPr>
      </w:pPr>
    </w:p>
    <w:p>
      <w:pPr>
        <w:jc w:val="both"/>
        <w:ind w:firstLine="1299"/>
        <w:spacing w:after="0" w:line="258" w:lineRule="auto"/>
        <w:tabs>
          <w:tab w:leader="none" w:pos="2073" w:val="left"/>
        </w:tabs>
        <w:numPr>
          <w:ilvl w:val="1"/>
          <w:numId w:val="189"/>
        </w:numPr>
        <w:rPr>
          <w:rFonts w:ascii="Arial" w:cs="Arial" w:eastAsia="Arial" w:hAnsi="Arial"/>
          <w:sz w:val="18"/>
          <w:szCs w:val="18"/>
          <w:color w:val="231E20"/>
        </w:rPr>
      </w:pP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186" w:lineRule="exact"/>
        <w:rPr>
          <w:rFonts w:ascii="Arial" w:cs="Arial" w:eastAsia="Arial" w:hAnsi="Arial"/>
          <w:sz w:val="18"/>
          <w:szCs w:val="18"/>
          <w:color w:val="231E20"/>
        </w:rPr>
      </w:pPr>
    </w:p>
    <w:p>
      <w:pPr>
        <w:jc w:val="both"/>
        <w:ind w:firstLine="1299"/>
        <w:spacing w:after="0" w:line="258" w:lineRule="auto"/>
        <w:tabs>
          <w:tab w:leader="none" w:pos="2083" w:val="left"/>
        </w:tabs>
        <w:numPr>
          <w:ilvl w:val="1"/>
          <w:numId w:val="189"/>
        </w:numPr>
        <w:rPr>
          <w:rFonts w:ascii="Arial" w:cs="Arial" w:eastAsia="Arial" w:hAnsi="Arial"/>
          <w:sz w:val="18"/>
          <w:szCs w:val="18"/>
          <w:color w:val="231E20"/>
        </w:rPr>
      </w:pPr>
      <w:r>
        <w:rPr>
          <w:rFonts w:ascii="Arial" w:cs="Arial" w:eastAsia="Arial" w:hAnsi="Arial"/>
          <w:sz w:val="18"/>
          <w:szCs w:val="18"/>
          <w:u w:val="single" w:color="auto"/>
          <w:color w:val="auto"/>
        </w:rPr>
        <w:t>Voting of Securities</w:t>
      </w:r>
      <w:r>
        <w:rPr>
          <w:rFonts w:ascii="Arial" w:cs="Arial" w:eastAsia="Arial" w:hAnsi="Arial"/>
          <w:sz w:val="18"/>
          <w:szCs w:val="18"/>
          <w:color w:val="auto"/>
        </w:rPr>
        <w:t>.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86" w:lineRule="exact"/>
        <w:rPr>
          <w:rFonts w:ascii="Arial" w:cs="Arial" w:eastAsia="Arial" w:hAnsi="Arial"/>
          <w:sz w:val="18"/>
          <w:szCs w:val="18"/>
          <w:color w:val="231E20"/>
        </w:rPr>
      </w:pPr>
    </w:p>
    <w:p>
      <w:pPr>
        <w:ind w:firstLine="1299"/>
        <w:spacing w:after="0" w:line="275" w:lineRule="auto"/>
        <w:tabs>
          <w:tab w:leader="none" w:pos="2073" w:val="left"/>
        </w:tabs>
        <w:numPr>
          <w:ilvl w:val="1"/>
          <w:numId w:val="189"/>
        </w:numPr>
        <w:rPr>
          <w:rFonts w:ascii="Arial" w:cs="Arial" w:eastAsia="Arial" w:hAnsi="Arial"/>
          <w:sz w:val="18"/>
          <w:szCs w:val="18"/>
          <w:color w:val="231E20"/>
        </w:rPr>
      </w:pP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71" w:lineRule="exact"/>
        <w:rPr>
          <w:rFonts w:ascii="Arial" w:cs="Arial" w:eastAsia="Arial" w:hAnsi="Arial"/>
          <w:sz w:val="18"/>
          <w:szCs w:val="18"/>
          <w:color w:val="231E20"/>
        </w:rPr>
      </w:pPr>
    </w:p>
    <w:p>
      <w:pPr>
        <w:jc w:val="both"/>
        <w:ind w:firstLine="1299"/>
        <w:spacing w:after="0" w:line="258" w:lineRule="auto"/>
        <w:tabs>
          <w:tab w:leader="none" w:pos="2089" w:val="left"/>
        </w:tabs>
        <w:numPr>
          <w:ilvl w:val="1"/>
          <w:numId w:val="189"/>
        </w:numPr>
        <w:rPr>
          <w:rFonts w:ascii="Arial" w:cs="Arial" w:eastAsia="Arial" w:hAnsi="Arial"/>
          <w:sz w:val="18"/>
          <w:szCs w:val="18"/>
          <w:color w:val="231E20"/>
        </w:rPr>
      </w:pPr>
      <w:r>
        <w:rPr>
          <w:rFonts w:ascii="Arial" w:cs="Arial" w:eastAsia="Arial" w:hAnsi="Arial"/>
          <w:sz w:val="18"/>
          <w:szCs w:val="18"/>
          <w:u w:val="single" w:color="auto"/>
          <w:color w:val="auto"/>
        </w:rPr>
        <w:t>Corporate Records</w:t>
      </w:r>
      <w:r>
        <w:rPr>
          <w:rFonts w:ascii="Arial" w:cs="Arial" w:eastAsia="Arial" w:hAnsi="Arial"/>
          <w:sz w:val="18"/>
          <w:szCs w:val="18"/>
          <w:color w:val="auto"/>
        </w:rPr>
        <w:t>. The original or attested copies of the Certificate of Incorporation, Bylaw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w:t>
      </w:r>
    </w:p>
    <w:p>
      <w:pPr>
        <w:spacing w:after="0" w:line="186" w:lineRule="exact"/>
        <w:rPr>
          <w:rFonts w:ascii="Arial" w:cs="Arial" w:eastAsia="Arial" w:hAnsi="Arial"/>
          <w:sz w:val="18"/>
          <w:szCs w:val="18"/>
          <w:color w:val="231E20"/>
        </w:rPr>
      </w:pPr>
    </w:p>
    <w:p>
      <w:pPr>
        <w:ind w:firstLine="1299"/>
        <w:spacing w:after="0" w:line="275" w:lineRule="auto"/>
        <w:tabs>
          <w:tab w:leader="none" w:pos="2096" w:val="left"/>
        </w:tabs>
        <w:numPr>
          <w:ilvl w:val="1"/>
          <w:numId w:val="189"/>
        </w:numPr>
        <w:rPr>
          <w:rFonts w:ascii="Arial" w:cs="Arial" w:eastAsia="Arial" w:hAnsi="Arial"/>
          <w:sz w:val="18"/>
          <w:szCs w:val="18"/>
          <w:color w:val="231E20"/>
        </w:rPr>
      </w:pP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 to the Certificate of Incorporation shall be deemed to refer to the Certificate of Incorporation of the Corporation, as amended and in effect from time to time.</w:t>
      </w:r>
    </w:p>
    <w:p>
      <w:pPr>
        <w:spacing w:after="0" w:line="171" w:lineRule="exact"/>
        <w:rPr>
          <w:rFonts w:ascii="Arial" w:cs="Arial" w:eastAsia="Arial" w:hAnsi="Arial"/>
          <w:sz w:val="18"/>
          <w:szCs w:val="18"/>
          <w:color w:val="231E20"/>
        </w:rPr>
      </w:pPr>
    </w:p>
    <w:p>
      <w:pPr>
        <w:jc w:val="both"/>
        <w:ind w:firstLine="1299"/>
        <w:spacing w:after="0" w:line="278" w:lineRule="auto"/>
        <w:tabs>
          <w:tab w:leader="none" w:pos="2083" w:val="left"/>
        </w:tabs>
        <w:numPr>
          <w:ilvl w:val="1"/>
          <w:numId w:val="189"/>
        </w:numPr>
        <w:rPr>
          <w:rFonts w:ascii="Arial" w:cs="Arial" w:eastAsia="Arial" w:hAnsi="Arial"/>
          <w:sz w:val="17"/>
          <w:szCs w:val="17"/>
          <w:color w:val="231E20"/>
        </w:rPr>
      </w:pPr>
      <w:r>
        <w:rPr>
          <w:rFonts w:ascii="Arial" w:cs="Arial" w:eastAsia="Arial" w:hAnsi="Arial"/>
          <w:sz w:val="17"/>
          <w:szCs w:val="17"/>
          <w:u w:val="single" w:color="auto"/>
          <w:color w:val="auto"/>
        </w:rPr>
        <w:t>Amendments</w:t>
      </w:r>
      <w:r>
        <w:rPr>
          <w:rFonts w:ascii="Arial" w:cs="Arial" w:eastAsia="Arial" w:hAnsi="Arial"/>
          <w:sz w:val="17"/>
          <w:szCs w:val="17"/>
          <w:color w:val="auto"/>
        </w:rPr>
        <w:t>. These Bylaw may be altered, amended or repealed, and new Bylaw may be adopted, by the stockholders or by the Board of Directors; provided, that (a) the Board of Directors may not alter, amend or repeal any provision of these Bylaw which by law, by the Certificate of Incorporation or by these Bylaw requires action by the stockholders and (b) any alteration, amendment or repeal of these Bylaw by the Board of Directors and any new By-law adopted by the Board of Directors may be altered, amended or repealed by the stockholders.</w:t>
      </w:r>
    </w:p>
    <w:p>
      <w:pPr>
        <w:spacing w:after="0" w:line="170" w:lineRule="exact"/>
        <w:rPr>
          <w:rFonts w:ascii="Arial" w:cs="Arial" w:eastAsia="Arial" w:hAnsi="Arial"/>
          <w:sz w:val="17"/>
          <w:szCs w:val="17"/>
          <w:color w:val="231E20"/>
        </w:rPr>
      </w:pPr>
    </w:p>
    <w:p>
      <w:pPr>
        <w:jc w:val="both"/>
        <w:ind w:firstLine="1299"/>
        <w:spacing w:after="0" w:line="256" w:lineRule="auto"/>
        <w:tabs>
          <w:tab w:leader="none" w:pos="2079" w:val="left"/>
        </w:tabs>
        <w:numPr>
          <w:ilvl w:val="1"/>
          <w:numId w:val="189"/>
        </w:numPr>
        <w:rPr>
          <w:rFonts w:ascii="Arial" w:cs="Arial" w:eastAsia="Arial" w:hAnsi="Arial"/>
          <w:sz w:val="18"/>
          <w:szCs w:val="18"/>
          <w:color w:val="231E20"/>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under any provision of these Bylaw,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81" w:name="page282"/>
    <w:bookmarkEnd w:id="281"/>
    <w:p>
      <w:pPr>
        <w:ind w:left="1300"/>
        <w:spacing w:after="0"/>
        <w:rPr>
          <w:sz w:val="20"/>
          <w:szCs w:val="20"/>
          <w:color w:val="auto"/>
        </w:rPr>
      </w:pPr>
      <w:r>
        <w:rPr>
          <w:rFonts w:ascii="Arial" w:cs="Arial" w:eastAsia="Arial" w:hAnsi="Arial"/>
          <w:sz w:val="16"/>
          <w:szCs w:val="16"/>
          <w:color w:val="auto"/>
        </w:rPr>
        <w:t>transacted at, nor the purpose of, any meeting needs to be specified in any written waiver or any waiver by electronic transmission.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Adopted: February 25, 2021</w:t>
      </w:r>
    </w:p>
    <w:p>
      <w:pPr>
        <w:spacing w:after="0" w:line="200" w:lineRule="exact"/>
        <w:rPr>
          <w:sz w:val="20"/>
          <w:szCs w:val="20"/>
          <w:color w:val="auto"/>
        </w:rPr>
      </w:pPr>
    </w:p>
    <w:p>
      <w:pPr>
        <w:spacing w:after="0" w:line="26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680"/>
          </w:cols>
          <w:pgMar w:left="320" w:top="1121" w:right="89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4.2</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CENTURY THERAPEUTICS, INC.</w:t>
      </w:r>
    </w:p>
    <w:p>
      <w:pPr>
        <w:spacing w:after="0" w:line="2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INVESTORS’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443865</wp:posOffset>
            </wp:positionV>
            <wp:extent cx="71329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600" w:type="dxa"/>
            <w:vAlign w:val="bottom"/>
            <w:gridSpan w:val="4"/>
          </w:tcPr>
          <w:p>
            <w:pPr>
              <w:jc w:val="right"/>
              <w:ind w:right="457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51"/>
        </w:trPr>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1.</w:t>
            </w:r>
          </w:p>
        </w:tc>
        <w:tc>
          <w:tcPr>
            <w:tcW w:w="4280" w:type="dxa"/>
            <w:vAlign w:val="bottom"/>
            <w:gridSpan w:val="2"/>
            <w:vMerge w:val="restart"/>
          </w:tcPr>
          <w:p>
            <w:pPr>
              <w:ind w:left="220"/>
              <w:spacing w:after="0"/>
              <w:rPr>
                <w:sz w:val="20"/>
                <w:szCs w:val="20"/>
                <w:color w:val="auto"/>
              </w:rPr>
            </w:pPr>
            <w:r>
              <w:rPr>
                <w:rFonts w:ascii="Arial" w:cs="Arial" w:eastAsia="Arial" w:hAnsi="Arial"/>
                <w:sz w:val="18"/>
                <w:szCs w:val="18"/>
                <w:color w:val="auto"/>
              </w:rPr>
              <w:t>Definitions</w:t>
            </w:r>
          </w:p>
        </w:tc>
        <w:tc>
          <w:tcPr>
            <w:tcW w:w="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3"/>
        </w:trPr>
        <w:tc>
          <w:tcPr>
            <w:tcW w:w="360" w:type="dxa"/>
            <w:vAlign w:val="bottom"/>
            <w:vMerge w:val="continue"/>
          </w:tcPr>
          <w:p>
            <w:pPr>
              <w:spacing w:after="0"/>
              <w:rPr>
                <w:sz w:val="19"/>
                <w:szCs w:val="19"/>
                <w:color w:val="auto"/>
              </w:rPr>
            </w:pPr>
          </w:p>
        </w:tc>
        <w:tc>
          <w:tcPr>
            <w:tcW w:w="42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4280" w:type="dxa"/>
            <w:vAlign w:val="bottom"/>
            <w:gridSpan w:val="2"/>
          </w:tcPr>
          <w:p>
            <w:pPr>
              <w:ind w:left="220"/>
              <w:spacing w:after="0"/>
              <w:rPr>
                <w:sz w:val="20"/>
                <w:szCs w:val="20"/>
                <w:color w:val="auto"/>
              </w:rPr>
            </w:pPr>
            <w:r>
              <w:rPr>
                <w:rFonts w:ascii="Arial" w:cs="Arial" w:eastAsia="Arial" w:hAnsi="Arial"/>
                <w:sz w:val="18"/>
                <w:szCs w:val="18"/>
                <w:color w:val="auto"/>
              </w:rPr>
              <w:t>Registration Rights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6"/>
        </w:trPr>
        <w:tc>
          <w:tcPr>
            <w:tcW w:w="3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w:t>
            </w:r>
          </w:p>
        </w:tc>
        <w:tc>
          <w:tcPr>
            <w:tcW w:w="3620" w:type="dxa"/>
            <w:vAlign w:val="bottom"/>
          </w:tcPr>
          <w:p>
            <w:pPr>
              <w:ind w:left="120"/>
              <w:spacing w:after="0"/>
              <w:rPr>
                <w:sz w:val="20"/>
                <w:szCs w:val="20"/>
                <w:color w:val="auto"/>
              </w:rPr>
            </w:pPr>
            <w:r>
              <w:rPr>
                <w:rFonts w:ascii="Arial" w:cs="Arial" w:eastAsia="Arial" w:hAnsi="Arial"/>
                <w:sz w:val="18"/>
                <w:szCs w:val="18"/>
                <w:color w:val="auto"/>
              </w:rPr>
              <w:t>Demand Registration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w:t>
            </w:r>
          </w:p>
        </w:tc>
        <w:tc>
          <w:tcPr>
            <w:tcW w:w="3620" w:type="dxa"/>
            <w:vAlign w:val="bottom"/>
          </w:tcPr>
          <w:p>
            <w:pPr>
              <w:ind w:left="120"/>
              <w:spacing w:after="0"/>
              <w:rPr>
                <w:sz w:val="20"/>
                <w:szCs w:val="20"/>
                <w:color w:val="auto"/>
              </w:rPr>
            </w:pPr>
            <w:r>
              <w:rPr>
                <w:rFonts w:ascii="Arial" w:cs="Arial" w:eastAsia="Arial" w:hAnsi="Arial"/>
                <w:sz w:val="18"/>
                <w:szCs w:val="18"/>
                <w:color w:val="auto"/>
              </w:rPr>
              <w:t>Company Registration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2.3</w:t>
            </w:r>
          </w:p>
        </w:tc>
        <w:tc>
          <w:tcPr>
            <w:tcW w:w="3620" w:type="dxa"/>
            <w:vAlign w:val="bottom"/>
          </w:tcPr>
          <w:p>
            <w:pPr>
              <w:ind w:left="120"/>
              <w:spacing w:after="0"/>
              <w:rPr>
                <w:sz w:val="20"/>
                <w:szCs w:val="20"/>
                <w:color w:val="auto"/>
              </w:rPr>
            </w:pPr>
            <w:r>
              <w:rPr>
                <w:rFonts w:ascii="Arial" w:cs="Arial" w:eastAsia="Arial" w:hAnsi="Arial"/>
                <w:sz w:val="18"/>
                <w:szCs w:val="18"/>
                <w:color w:val="auto"/>
              </w:rPr>
              <w:t>Underwriting Requirements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2.4</w:t>
            </w:r>
          </w:p>
        </w:tc>
        <w:tc>
          <w:tcPr>
            <w:tcW w:w="3620" w:type="dxa"/>
            <w:vAlign w:val="bottom"/>
          </w:tcPr>
          <w:p>
            <w:pPr>
              <w:ind w:left="120"/>
              <w:spacing w:after="0"/>
              <w:rPr>
                <w:sz w:val="20"/>
                <w:szCs w:val="20"/>
                <w:color w:val="auto"/>
              </w:rPr>
            </w:pPr>
            <w:r>
              <w:rPr>
                <w:rFonts w:ascii="Arial" w:cs="Arial" w:eastAsia="Arial" w:hAnsi="Arial"/>
                <w:sz w:val="18"/>
                <w:szCs w:val="18"/>
                <w:color w:val="auto"/>
              </w:rPr>
              <w:t>Obligations of the Company</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2.5</w:t>
            </w:r>
          </w:p>
        </w:tc>
        <w:tc>
          <w:tcPr>
            <w:tcW w:w="3620" w:type="dxa"/>
            <w:vAlign w:val="bottom"/>
          </w:tcPr>
          <w:p>
            <w:pPr>
              <w:ind w:left="120"/>
              <w:spacing w:after="0"/>
              <w:rPr>
                <w:sz w:val="20"/>
                <w:szCs w:val="20"/>
                <w:color w:val="auto"/>
              </w:rPr>
            </w:pPr>
            <w:r>
              <w:rPr>
                <w:rFonts w:ascii="Arial" w:cs="Arial" w:eastAsia="Arial" w:hAnsi="Arial"/>
                <w:sz w:val="18"/>
                <w:szCs w:val="18"/>
                <w:color w:val="auto"/>
              </w:rPr>
              <w:t>Furnish Information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2.6</w:t>
            </w:r>
          </w:p>
        </w:tc>
        <w:tc>
          <w:tcPr>
            <w:tcW w:w="3620" w:type="dxa"/>
            <w:vAlign w:val="bottom"/>
          </w:tcPr>
          <w:p>
            <w:pPr>
              <w:ind w:left="120"/>
              <w:spacing w:after="0"/>
              <w:rPr>
                <w:sz w:val="20"/>
                <w:szCs w:val="20"/>
                <w:color w:val="auto"/>
              </w:rPr>
            </w:pPr>
            <w:r>
              <w:rPr>
                <w:rFonts w:ascii="Arial" w:cs="Arial" w:eastAsia="Arial" w:hAnsi="Arial"/>
                <w:sz w:val="18"/>
                <w:szCs w:val="18"/>
                <w:color w:val="auto"/>
              </w:rPr>
              <w:t>Expenses of Registration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2.7</w:t>
            </w:r>
          </w:p>
        </w:tc>
        <w:tc>
          <w:tcPr>
            <w:tcW w:w="3620" w:type="dxa"/>
            <w:vAlign w:val="bottom"/>
          </w:tcPr>
          <w:p>
            <w:pPr>
              <w:ind w:left="120"/>
              <w:spacing w:after="0"/>
              <w:rPr>
                <w:sz w:val="20"/>
                <w:szCs w:val="20"/>
                <w:color w:val="auto"/>
              </w:rPr>
            </w:pPr>
            <w:r>
              <w:rPr>
                <w:rFonts w:ascii="Arial" w:cs="Arial" w:eastAsia="Arial" w:hAnsi="Arial"/>
                <w:sz w:val="18"/>
                <w:szCs w:val="18"/>
                <w:color w:val="auto"/>
              </w:rPr>
              <w:t>Delay of Registration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2.8</w:t>
            </w:r>
          </w:p>
        </w:tc>
        <w:tc>
          <w:tcPr>
            <w:tcW w:w="36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2.9</w:t>
            </w:r>
          </w:p>
        </w:tc>
        <w:tc>
          <w:tcPr>
            <w:tcW w:w="3620" w:type="dxa"/>
            <w:vAlign w:val="bottom"/>
          </w:tcPr>
          <w:p>
            <w:pPr>
              <w:ind w:left="120"/>
              <w:spacing w:after="0"/>
              <w:rPr>
                <w:sz w:val="20"/>
                <w:szCs w:val="20"/>
                <w:color w:val="auto"/>
              </w:rPr>
            </w:pPr>
            <w:r>
              <w:rPr>
                <w:rFonts w:ascii="Arial" w:cs="Arial" w:eastAsia="Arial" w:hAnsi="Arial"/>
                <w:sz w:val="18"/>
                <w:szCs w:val="18"/>
                <w:color w:val="auto"/>
              </w:rPr>
              <w:t>Reports Under Exchange Act</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2.10</w:t>
            </w:r>
          </w:p>
        </w:tc>
        <w:tc>
          <w:tcPr>
            <w:tcW w:w="3620" w:type="dxa"/>
            <w:vAlign w:val="bottom"/>
          </w:tcPr>
          <w:p>
            <w:pPr>
              <w:ind w:left="120"/>
              <w:spacing w:after="0"/>
              <w:rPr>
                <w:sz w:val="20"/>
                <w:szCs w:val="20"/>
                <w:color w:val="auto"/>
              </w:rPr>
            </w:pPr>
            <w:r>
              <w:rPr>
                <w:rFonts w:ascii="Arial" w:cs="Arial" w:eastAsia="Arial" w:hAnsi="Arial"/>
                <w:sz w:val="18"/>
                <w:szCs w:val="18"/>
                <w:color w:val="auto"/>
                <w:w w:val="94"/>
              </w:rPr>
              <w:t>Limitations on Subsequent Registration Rights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2.11</w:t>
            </w:r>
          </w:p>
        </w:tc>
        <w:tc>
          <w:tcPr>
            <w:tcW w:w="3620" w:type="dxa"/>
            <w:vAlign w:val="bottom"/>
          </w:tcPr>
          <w:p>
            <w:pPr>
              <w:ind w:left="120"/>
              <w:spacing w:after="0"/>
              <w:rPr>
                <w:sz w:val="20"/>
                <w:szCs w:val="20"/>
                <w:color w:val="auto"/>
              </w:rPr>
            </w:pPr>
            <w:r>
              <w:rPr>
                <w:rFonts w:ascii="Arial" w:cs="Arial" w:eastAsia="Arial" w:hAnsi="Arial"/>
                <w:sz w:val="18"/>
                <w:szCs w:val="18"/>
                <w:color w:val="auto"/>
              </w:rPr>
              <w:t>“Market Stand-off” Agreement</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2.12</w:t>
            </w:r>
          </w:p>
        </w:tc>
        <w:tc>
          <w:tcPr>
            <w:tcW w:w="3620" w:type="dxa"/>
            <w:vAlign w:val="bottom"/>
          </w:tcPr>
          <w:p>
            <w:pPr>
              <w:ind w:left="120"/>
              <w:spacing w:after="0"/>
              <w:rPr>
                <w:sz w:val="20"/>
                <w:szCs w:val="20"/>
                <w:color w:val="auto"/>
              </w:rPr>
            </w:pPr>
            <w:r>
              <w:rPr>
                <w:rFonts w:ascii="Arial" w:cs="Arial" w:eastAsia="Arial" w:hAnsi="Arial"/>
                <w:sz w:val="18"/>
                <w:szCs w:val="18"/>
                <w:color w:val="auto"/>
              </w:rPr>
              <w:t>Restrictions on Transfer</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2.13</w:t>
            </w:r>
          </w:p>
        </w:tc>
        <w:tc>
          <w:tcPr>
            <w:tcW w:w="3620" w:type="dxa"/>
            <w:vAlign w:val="bottom"/>
          </w:tcPr>
          <w:p>
            <w:pPr>
              <w:ind w:left="120"/>
              <w:spacing w:after="0"/>
              <w:rPr>
                <w:sz w:val="20"/>
                <w:szCs w:val="20"/>
                <w:color w:val="auto"/>
              </w:rPr>
            </w:pPr>
            <w:r>
              <w:rPr>
                <w:rFonts w:ascii="Arial" w:cs="Arial" w:eastAsia="Arial" w:hAnsi="Arial"/>
                <w:sz w:val="18"/>
                <w:szCs w:val="18"/>
                <w:color w:val="auto"/>
              </w:rPr>
              <w:t>Termination of Registration Rights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4280" w:type="dxa"/>
            <w:vAlign w:val="bottom"/>
            <w:gridSpan w:val="2"/>
          </w:tcPr>
          <w:p>
            <w:pPr>
              <w:ind w:left="220"/>
              <w:spacing w:after="0"/>
              <w:rPr>
                <w:sz w:val="20"/>
                <w:szCs w:val="20"/>
                <w:color w:val="auto"/>
              </w:rPr>
            </w:pPr>
            <w:r>
              <w:rPr>
                <w:rFonts w:ascii="Arial" w:cs="Arial" w:eastAsia="Arial" w:hAnsi="Arial"/>
                <w:sz w:val="18"/>
                <w:szCs w:val="18"/>
                <w:color w:val="auto"/>
              </w:rPr>
              <w:t>Rights to Future Stock Issuances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6"/>
        </w:trPr>
        <w:tc>
          <w:tcPr>
            <w:tcW w:w="3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3.1</w:t>
            </w:r>
          </w:p>
        </w:tc>
        <w:tc>
          <w:tcPr>
            <w:tcW w:w="3620" w:type="dxa"/>
            <w:vAlign w:val="bottom"/>
          </w:tcPr>
          <w:p>
            <w:pPr>
              <w:ind w:left="120"/>
              <w:spacing w:after="0"/>
              <w:rPr>
                <w:sz w:val="20"/>
                <w:szCs w:val="20"/>
                <w:color w:val="auto"/>
              </w:rPr>
            </w:pPr>
            <w:r>
              <w:rPr>
                <w:rFonts w:ascii="Arial" w:cs="Arial" w:eastAsia="Arial" w:hAnsi="Arial"/>
                <w:sz w:val="18"/>
                <w:szCs w:val="18"/>
                <w:color w:val="auto"/>
              </w:rPr>
              <w:t>Right of First Offer</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3.2</w:t>
            </w:r>
          </w:p>
        </w:tc>
        <w:tc>
          <w:tcPr>
            <w:tcW w:w="362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4280" w:type="dxa"/>
            <w:vAlign w:val="bottom"/>
            <w:gridSpan w:val="2"/>
          </w:tcPr>
          <w:p>
            <w:pPr>
              <w:ind w:left="220"/>
              <w:spacing w:after="0"/>
              <w:rPr>
                <w:sz w:val="20"/>
                <w:szCs w:val="20"/>
                <w:color w:val="auto"/>
              </w:rPr>
            </w:pPr>
            <w:r>
              <w:rPr>
                <w:rFonts w:ascii="Arial" w:cs="Arial" w:eastAsia="Arial" w:hAnsi="Arial"/>
                <w:sz w:val="18"/>
                <w:szCs w:val="18"/>
                <w:color w:val="auto"/>
              </w:rPr>
              <w:t>Additional Covenants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6"/>
        </w:trPr>
        <w:tc>
          <w:tcPr>
            <w:tcW w:w="3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w:t>
            </w:r>
          </w:p>
        </w:tc>
        <w:tc>
          <w:tcPr>
            <w:tcW w:w="3620" w:type="dxa"/>
            <w:vAlign w:val="bottom"/>
          </w:tcPr>
          <w:p>
            <w:pPr>
              <w:ind w:left="120"/>
              <w:spacing w:after="0"/>
              <w:rPr>
                <w:sz w:val="20"/>
                <w:szCs w:val="20"/>
                <w:color w:val="auto"/>
              </w:rPr>
            </w:pPr>
            <w:r>
              <w:rPr>
                <w:rFonts w:ascii="Arial" w:cs="Arial" w:eastAsia="Arial" w:hAnsi="Arial"/>
                <w:sz w:val="18"/>
                <w:szCs w:val="18"/>
                <w:color w:val="auto"/>
              </w:rPr>
              <w:t>Information Rights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4.2</w:t>
            </w:r>
          </w:p>
        </w:tc>
        <w:tc>
          <w:tcPr>
            <w:tcW w:w="3620" w:type="dxa"/>
            <w:vAlign w:val="bottom"/>
          </w:tcPr>
          <w:p>
            <w:pPr>
              <w:ind w:left="120"/>
              <w:spacing w:after="0"/>
              <w:rPr>
                <w:sz w:val="20"/>
                <w:szCs w:val="20"/>
                <w:color w:val="auto"/>
              </w:rPr>
            </w:pPr>
            <w:r>
              <w:rPr>
                <w:rFonts w:ascii="Arial" w:cs="Arial" w:eastAsia="Arial" w:hAnsi="Arial"/>
                <w:sz w:val="18"/>
                <w:szCs w:val="18"/>
                <w:color w:val="auto"/>
              </w:rPr>
              <w:t>Successor Indemnification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4.3</w:t>
            </w:r>
          </w:p>
        </w:tc>
        <w:tc>
          <w:tcPr>
            <w:tcW w:w="3620" w:type="dxa"/>
            <w:vAlign w:val="bottom"/>
          </w:tcPr>
          <w:p>
            <w:pPr>
              <w:ind w:left="120"/>
              <w:spacing w:after="0"/>
              <w:rPr>
                <w:sz w:val="20"/>
                <w:szCs w:val="20"/>
                <w:color w:val="auto"/>
              </w:rPr>
            </w:pPr>
            <w:r>
              <w:rPr>
                <w:rFonts w:ascii="Arial" w:cs="Arial" w:eastAsia="Arial" w:hAnsi="Arial"/>
                <w:sz w:val="18"/>
                <w:szCs w:val="18"/>
                <w:color w:val="auto"/>
              </w:rPr>
              <w:t>Inspection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4.4</w:t>
            </w:r>
          </w:p>
        </w:tc>
        <w:tc>
          <w:tcPr>
            <w:tcW w:w="3620" w:type="dxa"/>
            <w:vAlign w:val="bottom"/>
          </w:tcPr>
          <w:p>
            <w:pPr>
              <w:ind w:left="120"/>
              <w:spacing w:after="0"/>
              <w:rPr>
                <w:sz w:val="20"/>
                <w:szCs w:val="20"/>
                <w:color w:val="auto"/>
              </w:rPr>
            </w:pPr>
            <w:r>
              <w:rPr>
                <w:rFonts w:ascii="Arial" w:cs="Arial" w:eastAsia="Arial" w:hAnsi="Arial"/>
                <w:sz w:val="18"/>
                <w:szCs w:val="18"/>
                <w:color w:val="auto"/>
              </w:rPr>
              <w:t>Observer Rights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4.5</w:t>
            </w:r>
          </w:p>
        </w:tc>
        <w:tc>
          <w:tcPr>
            <w:tcW w:w="3620" w:type="dxa"/>
            <w:vAlign w:val="bottom"/>
          </w:tcPr>
          <w:p>
            <w:pPr>
              <w:ind w:left="120"/>
              <w:spacing w:after="0"/>
              <w:rPr>
                <w:sz w:val="20"/>
                <w:szCs w:val="20"/>
                <w:color w:val="auto"/>
              </w:rPr>
            </w:pPr>
            <w:r>
              <w:rPr>
                <w:rFonts w:ascii="Arial" w:cs="Arial" w:eastAsia="Arial" w:hAnsi="Arial"/>
                <w:sz w:val="18"/>
                <w:szCs w:val="18"/>
                <w:color w:val="auto"/>
                <w:w w:val="91"/>
              </w:rPr>
              <w:t>Termination of Information and Observer Rights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4.6</w:t>
            </w:r>
          </w:p>
        </w:tc>
        <w:tc>
          <w:tcPr>
            <w:tcW w:w="362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4.7</w:t>
            </w:r>
          </w:p>
        </w:tc>
        <w:tc>
          <w:tcPr>
            <w:tcW w:w="362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4.8</w:t>
            </w:r>
          </w:p>
        </w:tc>
        <w:tc>
          <w:tcPr>
            <w:tcW w:w="3620" w:type="dxa"/>
            <w:vAlign w:val="bottom"/>
          </w:tcPr>
          <w:p>
            <w:pPr>
              <w:ind w:left="120"/>
              <w:spacing w:after="0"/>
              <w:rPr>
                <w:sz w:val="20"/>
                <w:szCs w:val="20"/>
                <w:color w:val="auto"/>
              </w:rPr>
            </w:pPr>
            <w:r>
              <w:rPr>
                <w:rFonts w:ascii="Arial" w:cs="Arial" w:eastAsia="Arial" w:hAnsi="Arial"/>
                <w:sz w:val="18"/>
                <w:szCs w:val="18"/>
                <w:color w:val="auto"/>
              </w:rPr>
              <w:t>Employee Agreements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4.9</w:t>
            </w:r>
          </w:p>
        </w:tc>
        <w:tc>
          <w:tcPr>
            <w:tcW w:w="3620" w:type="dxa"/>
            <w:vAlign w:val="bottom"/>
          </w:tcPr>
          <w:p>
            <w:pPr>
              <w:ind w:left="120"/>
              <w:spacing w:after="0"/>
              <w:rPr>
                <w:sz w:val="20"/>
                <w:szCs w:val="20"/>
                <w:color w:val="auto"/>
              </w:rPr>
            </w:pPr>
            <w:r>
              <w:rPr>
                <w:rFonts w:ascii="Arial" w:cs="Arial" w:eastAsia="Arial" w:hAnsi="Arial"/>
                <w:sz w:val="18"/>
                <w:szCs w:val="18"/>
                <w:color w:val="auto"/>
              </w:rPr>
              <w:t>Employee Stock</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4.10</w:t>
            </w:r>
          </w:p>
        </w:tc>
        <w:tc>
          <w:tcPr>
            <w:tcW w:w="3620" w:type="dxa"/>
            <w:vAlign w:val="bottom"/>
          </w:tcPr>
          <w:p>
            <w:pPr>
              <w:ind w:left="120"/>
              <w:spacing w:after="0"/>
              <w:rPr>
                <w:sz w:val="20"/>
                <w:szCs w:val="20"/>
                <w:color w:val="auto"/>
              </w:rPr>
            </w:pPr>
            <w:r>
              <w:rPr>
                <w:rFonts w:ascii="Arial" w:cs="Arial" w:eastAsia="Arial" w:hAnsi="Arial"/>
                <w:sz w:val="18"/>
                <w:szCs w:val="18"/>
                <w:color w:val="auto"/>
              </w:rPr>
              <w:t>Reserved</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4.11</w:t>
            </w:r>
          </w:p>
        </w:tc>
        <w:tc>
          <w:tcPr>
            <w:tcW w:w="3620" w:type="dxa"/>
            <w:vAlign w:val="bottom"/>
          </w:tcPr>
          <w:p>
            <w:pPr>
              <w:ind w:left="120"/>
              <w:spacing w:after="0"/>
              <w:rPr>
                <w:sz w:val="20"/>
                <w:szCs w:val="20"/>
                <w:color w:val="auto"/>
              </w:rPr>
            </w:pPr>
            <w:r>
              <w:rPr>
                <w:rFonts w:ascii="Arial" w:cs="Arial" w:eastAsia="Arial" w:hAnsi="Arial"/>
                <w:sz w:val="18"/>
                <w:szCs w:val="18"/>
                <w:color w:val="auto"/>
                <w:w w:val="95"/>
              </w:rPr>
              <w:t>Matters Requiring Preferred Director Approval</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4.12</w:t>
            </w:r>
          </w:p>
        </w:tc>
        <w:tc>
          <w:tcPr>
            <w:tcW w:w="3620" w:type="dxa"/>
            <w:vAlign w:val="bottom"/>
          </w:tcPr>
          <w:p>
            <w:pPr>
              <w:ind w:left="120"/>
              <w:spacing w:after="0"/>
              <w:rPr>
                <w:sz w:val="20"/>
                <w:szCs w:val="20"/>
                <w:color w:val="auto"/>
              </w:rPr>
            </w:pPr>
            <w:r>
              <w:rPr>
                <w:rFonts w:ascii="Arial" w:cs="Arial" w:eastAsia="Arial" w:hAnsi="Arial"/>
                <w:sz w:val="18"/>
                <w:szCs w:val="18"/>
                <w:color w:val="auto"/>
              </w:rPr>
              <w:t>Board Matters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4.13</w:t>
            </w:r>
          </w:p>
        </w:tc>
        <w:tc>
          <w:tcPr>
            <w:tcW w:w="3620" w:type="dxa"/>
            <w:vAlign w:val="bottom"/>
          </w:tcPr>
          <w:p>
            <w:pPr>
              <w:ind w:left="120"/>
              <w:spacing w:after="0"/>
              <w:rPr>
                <w:sz w:val="20"/>
                <w:szCs w:val="20"/>
                <w:color w:val="auto"/>
              </w:rPr>
            </w:pPr>
            <w:r>
              <w:rPr>
                <w:rFonts w:ascii="Arial" w:cs="Arial" w:eastAsia="Arial" w:hAnsi="Arial"/>
                <w:sz w:val="18"/>
                <w:szCs w:val="18"/>
                <w:color w:val="auto"/>
              </w:rPr>
              <w:t>Expenses of Counsel</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4.14</w:t>
            </w:r>
          </w:p>
        </w:tc>
        <w:tc>
          <w:tcPr>
            <w:tcW w:w="3620" w:type="dxa"/>
            <w:vAlign w:val="bottom"/>
          </w:tcPr>
          <w:p>
            <w:pPr>
              <w:ind w:left="120"/>
              <w:spacing w:after="0"/>
              <w:rPr>
                <w:sz w:val="20"/>
                <w:szCs w:val="20"/>
                <w:color w:val="auto"/>
              </w:rPr>
            </w:pPr>
            <w:r>
              <w:rPr>
                <w:rFonts w:ascii="Arial" w:cs="Arial" w:eastAsia="Arial" w:hAnsi="Arial"/>
                <w:sz w:val="18"/>
                <w:szCs w:val="18"/>
                <w:color w:val="auto"/>
              </w:rPr>
              <w:t>Indemnification Matters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4.15</w:t>
            </w:r>
          </w:p>
        </w:tc>
        <w:tc>
          <w:tcPr>
            <w:tcW w:w="3620" w:type="dxa"/>
            <w:vAlign w:val="bottom"/>
          </w:tcPr>
          <w:p>
            <w:pPr>
              <w:ind w:left="120"/>
              <w:spacing w:after="0"/>
              <w:rPr>
                <w:sz w:val="20"/>
                <w:szCs w:val="20"/>
                <w:color w:val="auto"/>
              </w:rPr>
            </w:pPr>
            <w:r>
              <w:rPr>
                <w:rFonts w:ascii="Arial" w:cs="Arial" w:eastAsia="Arial" w:hAnsi="Arial"/>
                <w:sz w:val="18"/>
                <w:szCs w:val="18"/>
                <w:color w:val="auto"/>
              </w:rPr>
              <w:t>Right to Conduct Activities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4.16</w:t>
            </w:r>
          </w:p>
        </w:tc>
        <w:tc>
          <w:tcPr>
            <w:tcW w:w="3620" w:type="dxa"/>
            <w:vAlign w:val="bottom"/>
          </w:tcPr>
          <w:p>
            <w:pPr>
              <w:ind w:left="120"/>
              <w:spacing w:after="0"/>
              <w:rPr>
                <w:sz w:val="20"/>
                <w:szCs w:val="20"/>
                <w:color w:val="auto"/>
              </w:rPr>
            </w:pPr>
            <w:r>
              <w:rPr>
                <w:rFonts w:ascii="Arial" w:cs="Arial" w:eastAsia="Arial" w:hAnsi="Arial"/>
                <w:sz w:val="18"/>
                <w:szCs w:val="18"/>
                <w:color w:val="auto"/>
              </w:rPr>
              <w:t>Business of the Company</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4.17</w:t>
            </w:r>
          </w:p>
        </w:tc>
        <w:tc>
          <w:tcPr>
            <w:tcW w:w="3620" w:type="dxa"/>
            <w:vAlign w:val="bottom"/>
          </w:tcPr>
          <w:p>
            <w:pPr>
              <w:ind w:left="120"/>
              <w:spacing w:after="0"/>
              <w:rPr>
                <w:sz w:val="20"/>
                <w:szCs w:val="20"/>
                <w:color w:val="auto"/>
              </w:rPr>
            </w:pPr>
            <w:r>
              <w:rPr>
                <w:rFonts w:ascii="Arial" w:cs="Arial" w:eastAsia="Arial" w:hAnsi="Arial"/>
                <w:sz w:val="18"/>
                <w:szCs w:val="18"/>
                <w:color w:val="auto"/>
              </w:rPr>
              <w:t>Real Property Holding Corporation</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4.18</w:t>
            </w:r>
          </w:p>
        </w:tc>
        <w:tc>
          <w:tcPr>
            <w:tcW w:w="3620" w:type="dxa"/>
            <w:vAlign w:val="bottom"/>
          </w:tcPr>
          <w:p>
            <w:pPr>
              <w:ind w:left="120"/>
              <w:spacing w:after="0"/>
              <w:rPr>
                <w:sz w:val="20"/>
                <w:szCs w:val="20"/>
                <w:color w:val="auto"/>
              </w:rPr>
            </w:pPr>
            <w:r>
              <w:rPr>
                <w:rFonts w:ascii="Arial" w:cs="Arial" w:eastAsia="Arial" w:hAnsi="Arial"/>
                <w:sz w:val="18"/>
                <w:szCs w:val="18"/>
                <w:color w:val="auto"/>
              </w:rPr>
              <w:t>No Use of Trademarks or Logos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4.19</w:t>
            </w:r>
          </w:p>
        </w:tc>
        <w:tc>
          <w:tcPr>
            <w:tcW w:w="3620" w:type="dxa"/>
            <w:vAlign w:val="bottom"/>
          </w:tcPr>
          <w:p>
            <w:pPr>
              <w:ind w:left="120"/>
              <w:spacing w:after="0"/>
              <w:rPr>
                <w:sz w:val="20"/>
                <w:szCs w:val="20"/>
                <w:color w:val="auto"/>
              </w:rPr>
            </w:pPr>
            <w:r>
              <w:rPr>
                <w:rFonts w:ascii="Arial" w:cs="Arial" w:eastAsia="Arial" w:hAnsi="Arial"/>
                <w:sz w:val="18"/>
                <w:szCs w:val="18"/>
                <w:color w:val="auto"/>
              </w:rPr>
              <w:t>Termination of Covenants</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Tag-Along Rights</w:t>
            </w:r>
          </w:p>
        </w:tc>
        <w:tc>
          <w:tcPr>
            <w:tcW w:w="4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Miscellaneous</w:t>
            </w:r>
          </w:p>
        </w:tc>
        <w:tc>
          <w:tcPr>
            <w:tcW w:w="4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6"/>
        </w:trPr>
        <w:tc>
          <w:tcPr>
            <w:tcW w:w="3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6.1</w:t>
            </w:r>
          </w:p>
        </w:tc>
        <w:tc>
          <w:tcPr>
            <w:tcW w:w="614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4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6.2</w:t>
            </w:r>
          </w:p>
        </w:tc>
        <w:tc>
          <w:tcPr>
            <w:tcW w:w="61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4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6.3</w:t>
            </w:r>
          </w:p>
        </w:tc>
        <w:tc>
          <w:tcPr>
            <w:tcW w:w="614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4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6.4</w:t>
            </w:r>
          </w:p>
        </w:tc>
        <w:tc>
          <w:tcPr>
            <w:tcW w:w="6140" w:type="dxa"/>
            <w:vAlign w:val="bottom"/>
          </w:tcPr>
          <w:p>
            <w:pPr>
              <w:ind w:left="120"/>
              <w:spacing w:after="0"/>
              <w:rPr>
                <w:sz w:val="20"/>
                <w:szCs w:val="20"/>
                <w:color w:val="auto"/>
              </w:rPr>
            </w:pPr>
            <w:r>
              <w:rPr>
                <w:rFonts w:ascii="Arial" w:cs="Arial" w:eastAsia="Arial" w:hAnsi="Arial"/>
                <w:sz w:val="18"/>
                <w:szCs w:val="18"/>
                <w:color w:val="auto"/>
              </w:rPr>
              <w:t>Titles and Subtitles</w:t>
            </w:r>
          </w:p>
        </w:tc>
        <w:tc>
          <w:tcPr>
            <w:tcW w:w="4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6.5</w:t>
            </w:r>
          </w:p>
        </w:tc>
        <w:tc>
          <w:tcPr>
            <w:tcW w:w="6140" w:type="dxa"/>
            <w:vAlign w:val="bottom"/>
          </w:tcPr>
          <w:p>
            <w:pPr>
              <w:ind w:left="120"/>
              <w:spacing w:after="0"/>
              <w:rPr>
                <w:sz w:val="20"/>
                <w:szCs w:val="20"/>
                <w:color w:val="auto"/>
              </w:rPr>
            </w:pPr>
            <w:r>
              <w:rPr>
                <w:rFonts w:ascii="Arial" w:cs="Arial" w:eastAsia="Arial" w:hAnsi="Arial"/>
                <w:sz w:val="18"/>
                <w:szCs w:val="18"/>
                <w:color w:val="auto"/>
              </w:rPr>
              <w:t>Notices</w:t>
            </w:r>
          </w:p>
        </w:tc>
        <w:tc>
          <w:tcPr>
            <w:tcW w:w="4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6.6</w:t>
            </w:r>
          </w:p>
        </w:tc>
        <w:tc>
          <w:tcPr>
            <w:tcW w:w="6140" w:type="dxa"/>
            <w:vAlign w:val="bottom"/>
          </w:tcPr>
          <w:p>
            <w:pPr>
              <w:ind w:left="120"/>
              <w:spacing w:after="0"/>
              <w:rPr>
                <w:sz w:val="20"/>
                <w:szCs w:val="20"/>
                <w:color w:val="auto"/>
              </w:rPr>
            </w:pPr>
            <w:r>
              <w:rPr>
                <w:rFonts w:ascii="Arial" w:cs="Arial" w:eastAsia="Arial" w:hAnsi="Arial"/>
                <w:sz w:val="18"/>
                <w:szCs w:val="18"/>
                <w:color w:val="auto"/>
              </w:rPr>
              <w:t>Amendments and Waivers</w:t>
            </w:r>
          </w:p>
        </w:tc>
        <w:tc>
          <w:tcPr>
            <w:tcW w:w="4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6.7</w:t>
            </w:r>
          </w:p>
        </w:tc>
        <w:tc>
          <w:tcPr>
            <w:tcW w:w="61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4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6.8</w:t>
            </w:r>
          </w:p>
        </w:tc>
        <w:tc>
          <w:tcPr>
            <w:tcW w:w="6140" w:type="dxa"/>
            <w:vAlign w:val="bottom"/>
          </w:tcPr>
          <w:p>
            <w:pPr>
              <w:ind w:left="120"/>
              <w:spacing w:after="0"/>
              <w:rPr>
                <w:sz w:val="20"/>
                <w:szCs w:val="20"/>
                <w:color w:val="auto"/>
              </w:rPr>
            </w:pPr>
            <w:r>
              <w:rPr>
                <w:rFonts w:ascii="Arial" w:cs="Arial" w:eastAsia="Arial" w:hAnsi="Arial"/>
                <w:sz w:val="18"/>
                <w:szCs w:val="18"/>
                <w:color w:val="auto"/>
              </w:rPr>
              <w:t>Aggregation of Stock</w:t>
            </w:r>
          </w:p>
        </w:tc>
        <w:tc>
          <w:tcPr>
            <w:tcW w:w="4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6.9</w:t>
            </w:r>
          </w:p>
        </w:tc>
        <w:tc>
          <w:tcPr>
            <w:tcW w:w="614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4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6.10</w:t>
            </w:r>
          </w:p>
        </w:tc>
        <w:tc>
          <w:tcPr>
            <w:tcW w:w="6140" w:type="dxa"/>
            <w:vAlign w:val="bottom"/>
          </w:tcPr>
          <w:p>
            <w:pPr>
              <w:ind w:left="120"/>
              <w:spacing w:after="0"/>
              <w:rPr>
                <w:sz w:val="20"/>
                <w:szCs w:val="20"/>
                <w:color w:val="auto"/>
              </w:rPr>
            </w:pPr>
            <w:r>
              <w:rPr>
                <w:rFonts w:ascii="Arial" w:cs="Arial" w:eastAsia="Arial" w:hAnsi="Arial"/>
                <w:sz w:val="18"/>
                <w:szCs w:val="18"/>
                <w:color w:val="auto"/>
              </w:rPr>
              <w:t>Dispute Resolution</w:t>
            </w:r>
          </w:p>
        </w:tc>
        <w:tc>
          <w:tcPr>
            <w:tcW w:w="4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6.11</w:t>
            </w:r>
          </w:p>
        </w:tc>
        <w:tc>
          <w:tcPr>
            <w:tcW w:w="6140" w:type="dxa"/>
            <w:vAlign w:val="bottom"/>
          </w:tcPr>
          <w:p>
            <w:pPr>
              <w:ind w:left="120"/>
              <w:spacing w:after="0"/>
              <w:rPr>
                <w:sz w:val="20"/>
                <w:szCs w:val="20"/>
                <w:color w:val="auto"/>
              </w:rPr>
            </w:pPr>
            <w:r>
              <w:rPr>
                <w:rFonts w:ascii="Arial" w:cs="Arial" w:eastAsia="Arial" w:hAnsi="Arial"/>
                <w:sz w:val="18"/>
                <w:szCs w:val="18"/>
                <w:color w:val="auto"/>
              </w:rPr>
              <w:t>Delays or Omissions</w:t>
            </w:r>
          </w:p>
        </w:tc>
        <w:tc>
          <w:tcPr>
            <w:tcW w:w="4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6.12</w:t>
            </w:r>
          </w:p>
        </w:tc>
        <w:tc>
          <w:tcPr>
            <w:tcW w:w="6140" w:type="dxa"/>
            <w:vAlign w:val="bottom"/>
          </w:tcPr>
          <w:p>
            <w:pPr>
              <w:ind w:left="120"/>
              <w:spacing w:after="0"/>
              <w:rPr>
                <w:sz w:val="20"/>
                <w:szCs w:val="20"/>
                <w:color w:val="auto"/>
              </w:rPr>
            </w:pPr>
            <w:r>
              <w:rPr>
                <w:rFonts w:ascii="Arial" w:cs="Arial" w:eastAsia="Arial" w:hAnsi="Arial"/>
                <w:sz w:val="18"/>
                <w:szCs w:val="18"/>
                <w:color w:val="auto"/>
              </w:rPr>
              <w:t>Acknowledgment</w:t>
            </w:r>
          </w:p>
        </w:tc>
        <w:tc>
          <w:tcPr>
            <w:tcW w:w="4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6.13</w:t>
            </w:r>
          </w:p>
        </w:tc>
        <w:tc>
          <w:tcPr>
            <w:tcW w:w="6140" w:type="dxa"/>
            <w:vAlign w:val="bottom"/>
          </w:tcPr>
          <w:p>
            <w:pPr>
              <w:ind w:left="120"/>
              <w:spacing w:after="0"/>
              <w:rPr>
                <w:sz w:val="20"/>
                <w:szCs w:val="20"/>
                <w:color w:val="auto"/>
              </w:rPr>
            </w:pPr>
            <w:r>
              <w:rPr>
                <w:rFonts w:ascii="Arial" w:cs="Arial" w:eastAsia="Arial" w:hAnsi="Arial"/>
                <w:sz w:val="18"/>
                <w:szCs w:val="18"/>
                <w:color w:val="auto"/>
              </w:rPr>
              <w:t>Submission to Jurisdiction</w:t>
            </w:r>
          </w:p>
        </w:tc>
        <w:tc>
          <w:tcPr>
            <w:tcW w:w="4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6.14</w:t>
            </w:r>
          </w:p>
        </w:tc>
        <w:tc>
          <w:tcPr>
            <w:tcW w:w="6140" w:type="dxa"/>
            <w:vAlign w:val="bottom"/>
          </w:tcPr>
          <w:p>
            <w:pPr>
              <w:ind w:left="120"/>
              <w:spacing w:after="0"/>
              <w:rPr>
                <w:sz w:val="20"/>
                <w:szCs w:val="20"/>
                <w:color w:val="auto"/>
              </w:rPr>
            </w:pPr>
            <w:r>
              <w:rPr>
                <w:rFonts w:ascii="Arial" w:cs="Arial" w:eastAsia="Arial" w:hAnsi="Arial"/>
                <w:sz w:val="18"/>
                <w:szCs w:val="18"/>
                <w:color w:val="auto"/>
              </w:rPr>
              <w:t>Massachusetts Business Trust</w:t>
            </w:r>
          </w:p>
        </w:tc>
        <w:tc>
          <w:tcPr>
            <w:tcW w:w="40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85" w:name="page286"/>
    <w:bookmarkEnd w:id="285"/>
    <w:p>
      <w:pPr>
        <w:jc w:val="center"/>
        <w:ind w:right="20"/>
        <w:spacing w:after="0"/>
        <w:rPr>
          <w:sz w:val="20"/>
          <w:szCs w:val="20"/>
          <w:color w:val="auto"/>
        </w:rPr>
      </w:pPr>
      <w:r>
        <w:rPr>
          <w:rFonts w:ascii="Arial" w:cs="Arial" w:eastAsia="Arial" w:hAnsi="Arial"/>
          <w:sz w:val="18"/>
          <w:szCs w:val="18"/>
          <w:b w:val="1"/>
          <w:bCs w:val="1"/>
          <w:color w:val="auto"/>
        </w:rPr>
        <w:t>INVESTORS’ RIGHTS AGREEMENT</w:t>
      </w:r>
    </w:p>
    <w:p>
      <w:pPr>
        <w:spacing w:after="0" w:line="231" w:lineRule="exact"/>
        <w:rPr>
          <w:sz w:val="20"/>
          <w:szCs w:val="20"/>
          <w:color w:val="auto"/>
        </w:rPr>
      </w:pPr>
    </w:p>
    <w:p>
      <w:pPr>
        <w:jc w:val="both"/>
        <w:ind w:firstLine="646"/>
        <w:spacing w:after="0" w:line="223" w:lineRule="auto"/>
        <w:rPr>
          <w:sz w:val="20"/>
          <w:szCs w:val="20"/>
          <w:color w:val="auto"/>
        </w:rPr>
      </w:pPr>
      <w:r>
        <w:rPr>
          <w:rFonts w:ascii="Arial" w:cs="Arial" w:eastAsia="Arial" w:hAnsi="Arial"/>
          <w:sz w:val="17"/>
          <w:szCs w:val="17"/>
          <w:color w:val="auto"/>
        </w:rPr>
        <w:t>THIS INVESTORS’ RIGHTS AGREEMENT, is made as of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2021, by and among Century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each of the investors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(each, an “</w:t>
      </w:r>
      <w:r>
        <w:rPr>
          <w:rFonts w:ascii="Arial" w:cs="Arial" w:eastAsia="Arial" w:hAnsi="Arial"/>
          <w:sz w:val="17"/>
          <w:szCs w:val="17"/>
          <w:b w:val="1"/>
          <w:bCs w:val="1"/>
          <w:color w:val="auto"/>
        </w:rPr>
        <w:t>Investor</w:t>
      </w:r>
      <w:r>
        <w:rPr>
          <w:rFonts w:ascii="Arial" w:cs="Arial" w:eastAsia="Arial" w:hAnsi="Arial"/>
          <w:sz w:val="17"/>
          <w:szCs w:val="17"/>
          <w:color w:val="auto"/>
        </w:rPr>
        <w:t>” and collectively, the “</w:t>
      </w:r>
      <w:r>
        <w:rPr>
          <w:rFonts w:ascii="Arial" w:cs="Arial" w:eastAsia="Arial" w:hAnsi="Arial"/>
          <w:sz w:val="17"/>
          <w:szCs w:val="17"/>
          <w:b w:val="1"/>
          <w:bCs w:val="1"/>
          <w:color w:val="auto"/>
        </w:rPr>
        <w:t>Investors</w:t>
      </w:r>
      <w:r>
        <w:rPr>
          <w:rFonts w:ascii="Arial" w:cs="Arial" w:eastAsia="Arial" w:hAnsi="Arial"/>
          <w:sz w:val="17"/>
          <w:szCs w:val="17"/>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RECITALS</w:t>
      </w:r>
    </w:p>
    <w:p>
      <w:pPr>
        <w:spacing w:after="0" w:line="27"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Series A Preferred Stock, Series B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and/or shares of Common Stock issued upon conversion thereof;</w:t>
      </w:r>
    </w:p>
    <w:p>
      <w:pPr>
        <w:spacing w:after="0" w:line="180"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C Preferred Stock Purchase Agreement of even date herewith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such Investors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certain of the Company’s and such Investors’ obligations are conditioned upon the execution and delivery of this Agreement by such Investors, the Existing Investors and the Company.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7" w:lineRule="exact"/>
        <w:rPr>
          <w:sz w:val="20"/>
          <w:szCs w:val="20"/>
          <w:color w:val="auto"/>
        </w:rPr>
      </w:pPr>
    </w:p>
    <w:p>
      <w:pPr>
        <w:ind w:left="1440" w:hanging="787"/>
        <w:spacing w:after="0"/>
        <w:tabs>
          <w:tab w:leader="none" w:pos="14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19" w:lineRule="exact"/>
        <w:rPr>
          <w:sz w:val="20"/>
          <w:szCs w:val="20"/>
          <w:color w:val="auto"/>
        </w:rPr>
      </w:pPr>
    </w:p>
    <w:p>
      <w:pPr>
        <w:jc w:val="both"/>
        <w:ind w:firstLine="1291"/>
        <w:spacing w:after="0" w:line="25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advisers (including but not limited to registered investment advisers) of, or shares the same management company or investment adviser with, such Person.</w:t>
      </w:r>
    </w:p>
    <w:p>
      <w:pPr>
        <w:spacing w:after="0" w:line="183"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Bayer</w:t>
      </w:r>
      <w:r>
        <w:rPr>
          <w:rFonts w:ascii="Arial" w:cs="Arial" w:eastAsia="Arial" w:hAnsi="Arial"/>
          <w:sz w:val="16"/>
          <w:szCs w:val="16"/>
          <w:color w:val="auto"/>
        </w:rPr>
        <w:t>” means Bayer Healthcare LLC.</w:t>
      </w:r>
    </w:p>
    <w:p>
      <w:pPr>
        <w:spacing w:after="0" w:line="223"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3"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Casdin</w:t>
      </w:r>
      <w:r>
        <w:rPr>
          <w:rFonts w:ascii="Arial" w:cs="Arial" w:eastAsia="Arial" w:hAnsi="Arial"/>
          <w:sz w:val="16"/>
          <w:szCs w:val="16"/>
          <w:color w:val="auto"/>
        </w:rPr>
        <w:t>” means Casdin Capital, LLC.</w:t>
      </w:r>
    </w:p>
    <w:p>
      <w:pPr>
        <w:spacing w:after="0" w:line="223" w:lineRule="exact"/>
        <w:rPr>
          <w:sz w:val="20"/>
          <w:szCs w:val="20"/>
          <w:color w:val="auto"/>
        </w:rPr>
      </w:pPr>
    </w:p>
    <w:p>
      <w:pPr>
        <w:jc w:val="both"/>
        <w:ind w:firstLine="1291"/>
        <w:spacing w:after="0" w:line="280"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Amended and Restated Certificate of Incorporation (as it may be amended and/or restated from time to time).</w:t>
      </w:r>
    </w:p>
    <w:p>
      <w:pPr>
        <w:spacing w:after="0" w:line="163"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par value $0.0001 per share.</w:t>
      </w:r>
    </w:p>
    <w:p>
      <w:pPr>
        <w:spacing w:after="0" w:line="223" w:lineRule="exact"/>
        <w:rPr>
          <w:sz w:val="20"/>
          <w:szCs w:val="20"/>
          <w:color w:val="auto"/>
        </w:rPr>
      </w:pPr>
    </w:p>
    <w:p>
      <w:pPr>
        <w:jc w:val="both"/>
        <w:ind w:firstLine="1291"/>
        <w:spacing w:after="0" w:line="259"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Damages</w:t>
      </w:r>
      <w:r>
        <w:rPr>
          <w:rFonts w:ascii="Arial" w:cs="Arial" w:eastAsia="Arial" w:hAnsi="Arial"/>
          <w:sz w:val="18"/>
          <w:szCs w:val="18"/>
          <w:color w:val="auto"/>
        </w:rPr>
        <w:t xml:space="preserve">”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w:t>
      </w:r>
      <w:r>
        <w:rPr>
          <w:rFonts w:ascii="Arial" w:cs="Arial" w:eastAsia="Arial" w:hAnsi="Arial"/>
          <w:sz w:val="18"/>
          <w:szCs w:val="18"/>
          <w:color w:val="231F20"/>
        </w:rPr>
        <w:t>untrue statement of a material fact contained in any registration statement of the Company, including</w:t>
      </w:r>
      <w:r>
        <w:rPr>
          <w:rFonts w:ascii="Arial" w:cs="Arial" w:eastAsia="Arial" w:hAnsi="Arial"/>
          <w:sz w:val="18"/>
          <w:szCs w:val="18"/>
          <w:color w:val="auto"/>
        </w:rPr>
        <w:t xml:space="preserve"> </w:t>
      </w:r>
      <w:r>
        <w:rPr>
          <w:rFonts w:ascii="Arial" w:cs="Arial" w:eastAsia="Arial" w:hAnsi="Arial"/>
          <w:sz w:val="18"/>
          <w:szCs w:val="18"/>
          <w:color w:val="231F20"/>
        </w:rPr>
        <w:t>any 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9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6" w:name="page287"/>
    <w:bookmarkEnd w:id="286"/>
    <w:p>
      <w:pPr>
        <w:jc w:val="both"/>
        <w:spacing w:after="0" w:line="258" w:lineRule="auto"/>
        <w:rPr>
          <w:sz w:val="20"/>
          <w:szCs w:val="20"/>
          <w:color w:val="auto"/>
        </w:rPr>
      </w:pPr>
      <w:r>
        <w:rPr>
          <w:rFonts w:ascii="Arial" w:cs="Arial" w:eastAsia="Arial" w:hAnsi="Arial"/>
          <w:sz w:val="18"/>
          <w:szCs w:val="18"/>
          <w:color w:val="231F20"/>
        </w:rPr>
        <w:t>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r>
        <w:rPr>
          <w:rFonts w:ascii="Arial" w:cs="Arial" w:eastAsia="Arial" w:hAnsi="Arial"/>
          <w:sz w:val="18"/>
          <w:szCs w:val="18"/>
          <w:color w:val="000000"/>
        </w:rPr>
        <w:t>.</w:t>
      </w:r>
    </w:p>
    <w:p>
      <w:pPr>
        <w:spacing w:after="0" w:line="182" w:lineRule="exact"/>
        <w:rPr>
          <w:sz w:val="20"/>
          <w:szCs w:val="20"/>
          <w:color w:val="auto"/>
        </w:rPr>
      </w:pPr>
    </w:p>
    <w:p>
      <w:pPr>
        <w:jc w:val="both"/>
        <w:ind w:firstLine="1291"/>
        <w:spacing w:after="0" w:line="280"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w:t>
      </w:r>
      <w:r>
        <w:rPr>
          <w:rFonts w:ascii="Arial" w:cs="Arial" w:eastAsia="Arial" w:hAnsi="Arial"/>
          <w:sz w:val="18"/>
          <w:szCs w:val="18"/>
          <w:b w:val="1"/>
          <w:bCs w:val="1"/>
          <w:color w:val="auto"/>
        </w:rPr>
        <w:t>,</w:t>
      </w:r>
      <w:r>
        <w:rPr>
          <w:rFonts w:ascii="Arial" w:cs="Arial" w:eastAsia="Arial" w:hAnsi="Arial"/>
          <w:sz w:val="18"/>
          <w:szCs w:val="18"/>
          <w:color w:val="auto"/>
        </w:rPr>
        <w:t xml:space="preserve"> Common Stock, including options and warrants.</w:t>
      </w:r>
    </w:p>
    <w:p>
      <w:pPr>
        <w:spacing w:after="0" w:line="163"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5" w:lineRule="exact"/>
        <w:rPr>
          <w:sz w:val="20"/>
          <w:szCs w:val="20"/>
          <w:color w:val="auto"/>
        </w:rPr>
      </w:pPr>
    </w:p>
    <w:p>
      <w:pPr>
        <w:jc w:val="both"/>
        <w:ind w:firstLine="1291"/>
        <w:spacing w:after="0" w:line="25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83" w:lineRule="exact"/>
        <w:rPr>
          <w:sz w:val="20"/>
          <w:szCs w:val="20"/>
          <w:color w:val="auto"/>
        </w:rPr>
      </w:pPr>
    </w:p>
    <w:p>
      <w:pPr>
        <w:jc w:val="both"/>
        <w:ind w:firstLine="1291"/>
        <w:spacing w:after="0" w:line="280"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3" w:lineRule="exact"/>
        <w:rPr>
          <w:sz w:val="20"/>
          <w:szCs w:val="20"/>
          <w:color w:val="auto"/>
        </w:rPr>
      </w:pPr>
    </w:p>
    <w:p>
      <w:pPr>
        <w:jc w:val="both"/>
        <w:ind w:firstLine="1291"/>
        <w:spacing w:after="0" w:line="256"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FCDI</w:t>
      </w:r>
      <w:r>
        <w:rPr>
          <w:rFonts w:ascii="Arial" w:cs="Arial" w:eastAsia="Arial" w:hAnsi="Arial"/>
          <w:sz w:val="17"/>
          <w:szCs w:val="17"/>
          <w:color w:val="auto"/>
        </w:rPr>
        <w:t>” means FUJIFILM Cellular Dynamics Inc.</w:t>
      </w:r>
    </w:p>
    <w:p>
      <w:pPr>
        <w:spacing w:after="0" w:line="20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xml:space="preserve">” means generally accepted accounting principles in the </w:t>
      </w:r>
      <w:r>
        <w:rPr>
          <w:rFonts w:ascii="Arial" w:cs="Arial" w:eastAsia="Arial" w:hAnsi="Arial"/>
          <w:sz w:val="16"/>
          <w:szCs w:val="16"/>
          <w:color w:val="231F20"/>
        </w:rPr>
        <w:t>United States</w:t>
      </w:r>
      <w:r>
        <w:rPr>
          <w:rFonts w:ascii="Arial" w:cs="Arial" w:eastAsia="Arial" w:hAnsi="Arial"/>
          <w:sz w:val="16"/>
          <w:szCs w:val="16"/>
          <w:color w:val="auto"/>
        </w:rPr>
        <w:t>.</w:t>
      </w:r>
    </w:p>
    <w:p>
      <w:pPr>
        <w:spacing w:after="0" w:line="22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xml:space="preserve">” means any holder of Registrable Securities who is a party </w:t>
      </w:r>
      <w:r>
        <w:rPr>
          <w:rFonts w:ascii="Arial" w:cs="Arial" w:eastAsia="Arial" w:hAnsi="Arial"/>
          <w:sz w:val="16"/>
          <w:szCs w:val="16"/>
          <w:color w:val="231F20"/>
        </w:rPr>
        <w:t>to this Agreement</w:t>
      </w:r>
      <w:r>
        <w:rPr>
          <w:rFonts w:ascii="Arial" w:cs="Arial" w:eastAsia="Arial" w:hAnsi="Arial"/>
          <w:sz w:val="16"/>
          <w:szCs w:val="16"/>
          <w:color w:val="auto"/>
        </w:rPr>
        <w:t>.</w:t>
      </w:r>
    </w:p>
    <w:p>
      <w:pPr>
        <w:spacing w:after="0" w:line="223" w:lineRule="exact"/>
        <w:rPr>
          <w:sz w:val="20"/>
          <w:szCs w:val="20"/>
          <w:color w:val="auto"/>
        </w:rPr>
      </w:pPr>
    </w:p>
    <w:p>
      <w:pPr>
        <w:jc w:val="both"/>
        <w:ind w:firstLine="1291"/>
        <w:spacing w:after="0" w:line="265"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life partner or similar statutorily recognized domestic partner, sibling, mother-in-law, father-in-law, son-in-law, daughter-in-law, brother-in-law, or sister-in-law, including, adoptive relationships, of a natural person referred to herein.</w:t>
      </w:r>
    </w:p>
    <w:p>
      <w:pPr>
        <w:spacing w:after="0" w:line="17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xml:space="preserve">” means, collectively, Holders who properly </w:t>
      </w:r>
      <w:r>
        <w:rPr>
          <w:rFonts w:ascii="Arial" w:cs="Arial" w:eastAsia="Arial" w:hAnsi="Arial"/>
          <w:sz w:val="16"/>
          <w:szCs w:val="16"/>
          <w:color w:val="231F20"/>
        </w:rPr>
        <w:t>initiate a registration request under this Agreement</w:t>
      </w:r>
      <w:r>
        <w:rPr>
          <w:rFonts w:ascii="Arial" w:cs="Arial" w:eastAsia="Arial" w:hAnsi="Arial"/>
          <w:sz w:val="16"/>
          <w:szCs w:val="16"/>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87" w:name="page288"/>
    <w:bookmarkEnd w:id="287"/>
    <w:p>
      <w:pPr>
        <w:ind w:left="1300"/>
        <w:spacing w:after="0"/>
        <w:tabs>
          <w:tab w:leader="none" w:pos="19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xml:space="preserve">” means the Company’s first underwritten public offering of its </w:t>
      </w:r>
      <w:r>
        <w:rPr>
          <w:rFonts w:ascii="Arial" w:cs="Arial" w:eastAsia="Arial" w:hAnsi="Arial"/>
          <w:sz w:val="16"/>
          <w:szCs w:val="16"/>
          <w:color w:val="231F20"/>
        </w:rPr>
        <w:t>Common Stock under the Securities Act</w:t>
      </w:r>
      <w:r>
        <w:rPr>
          <w:rFonts w:ascii="Arial" w:cs="Arial" w:eastAsia="Arial" w:hAnsi="Arial"/>
          <w:sz w:val="16"/>
          <w:szCs w:val="16"/>
          <w:color w:val="auto"/>
        </w:rPr>
        <w:t>.</w:t>
      </w:r>
    </w:p>
    <w:p>
      <w:pPr>
        <w:spacing w:after="0" w:line="223" w:lineRule="exact"/>
        <w:rPr>
          <w:sz w:val="20"/>
          <w:szCs w:val="20"/>
          <w:color w:val="auto"/>
        </w:rPr>
      </w:pPr>
    </w:p>
    <w:p>
      <w:pPr>
        <w:jc w:val="both"/>
        <w:ind w:firstLine="1291"/>
        <w:spacing w:after="0" w:line="259"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without limitation, any Chief Executive Officer, Chief Technology Officer, Chief Scientific Officer, Chief of Research and Development and any division director and vice president level positions) as well as any employee or consultant who either alone or in concert with others, develops, invents, programs or designs any Company Intellectual Property (as defined in the Purchase Agreement).</w:t>
      </w:r>
    </w:p>
    <w:p>
      <w:pPr>
        <w:spacing w:after="0" w:line="183" w:lineRule="exact"/>
        <w:rPr>
          <w:sz w:val="20"/>
          <w:szCs w:val="20"/>
          <w:color w:val="auto"/>
        </w:rPr>
      </w:pPr>
    </w:p>
    <w:p>
      <w:pPr>
        <w:jc w:val="both"/>
        <w:ind w:firstLine="1291"/>
        <w:spacing w:after="0" w:line="265"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750,000 shares of Common Stock issuable or issued upon conversion of th</w:t>
      </w:r>
      <w:r>
        <w:rPr>
          <w:rFonts w:ascii="Arial" w:cs="Arial" w:eastAsia="Arial" w:hAnsi="Arial"/>
          <w:sz w:val="18"/>
          <w:szCs w:val="18"/>
          <w:b w:val="1"/>
          <w:bCs w:val="1"/>
          <w:color w:val="auto"/>
        </w:rPr>
        <w:t>e</w:t>
      </w:r>
      <w:r>
        <w:rPr>
          <w:rFonts w:ascii="Arial" w:cs="Arial" w:eastAsia="Arial" w:hAnsi="Arial"/>
          <w:sz w:val="18"/>
          <w:szCs w:val="18"/>
          <w:color w:val="auto"/>
        </w:rPr>
        <w:t xml:space="preserve"> Preferred Stock (as adjusted for any stock split, stock dividend, combination, or other recapitalization or reclassification effected after the date hereof).</w:t>
      </w:r>
    </w:p>
    <w:p>
      <w:pPr>
        <w:spacing w:after="0" w:line="175" w:lineRule="exact"/>
        <w:rPr>
          <w:sz w:val="20"/>
          <w:szCs w:val="20"/>
          <w:color w:val="auto"/>
        </w:rPr>
      </w:pPr>
    </w:p>
    <w:p>
      <w:pPr>
        <w:jc w:val="both"/>
        <w:ind w:firstLine="1291"/>
        <w:spacing w:after="0" w:line="265"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xml:space="preserve">” means any individual, corporation, partnership, trust, </w:t>
      </w:r>
      <w:r>
        <w:rPr>
          <w:rFonts w:ascii="Arial" w:cs="Arial" w:eastAsia="Arial" w:hAnsi="Arial"/>
          <w:sz w:val="16"/>
          <w:szCs w:val="16"/>
          <w:color w:val="231F20"/>
        </w:rPr>
        <w:t>limited liability company, association or other entity</w:t>
      </w:r>
      <w:r>
        <w:rPr>
          <w:rFonts w:ascii="Arial" w:cs="Arial" w:eastAsia="Arial" w:hAnsi="Arial"/>
          <w:sz w:val="16"/>
          <w:szCs w:val="16"/>
          <w:color w:val="auto"/>
        </w:rPr>
        <w:t>.</w:t>
      </w:r>
    </w:p>
    <w:p>
      <w:pPr>
        <w:spacing w:after="0" w:line="22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Directors</w:t>
      </w:r>
      <w:r>
        <w:rPr>
          <w:rFonts w:ascii="Arial" w:cs="Arial" w:eastAsia="Arial" w:hAnsi="Arial"/>
          <w:sz w:val="16"/>
          <w:szCs w:val="16"/>
          <w:color w:val="auto"/>
        </w:rPr>
        <w:t>” means, collectively, the Series A Directors, the Series B Director and the Series C Director.</w:t>
      </w:r>
    </w:p>
    <w:p>
      <w:pPr>
        <w:spacing w:after="0" w:line="223"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means, collectively, the Series A Preferred Stock, the Series B Preferred Stock and the Series C Preferred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5" w:lineRule="exact"/>
        <w:rPr>
          <w:sz w:val="20"/>
          <w:szCs w:val="20"/>
          <w:color w:val="auto"/>
        </w:rPr>
      </w:pPr>
    </w:p>
    <w:p>
      <w:pPr>
        <w:jc w:val="both"/>
        <w:ind w:firstLine="1291"/>
        <w:spacing w:after="0" w:line="272"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Common Stock issuable or issued upon conversion of the Preferred Stock; (ii) any Common Stock, or any Common Stock issued or issuable (directly or indirectly) upon conversion and/or exercise of any other securities of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acquired by the Investors after the date hereof; (iii) any Common Stock held by the Investors as of the date hereof; and (iv) any Common Stock issued as (or issuable upon the conversion or exercise of any warrant, right, or other security that is issued as) a dividend or other distribution with respect to, or in exchange for or in replacement of, the shares referenced in clauses (i), (ii) and (iii) above; excluding in all cases, however, any Registrable Securities sold by a Person in a transaction in which the applicable rights under this Agreement are not assigned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excluding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any shares for which registration rights have terminated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of this Agreement.</w:t>
      </w:r>
    </w:p>
    <w:p>
      <w:pPr>
        <w:spacing w:after="0" w:line="171" w:lineRule="exact"/>
        <w:rPr>
          <w:sz w:val="20"/>
          <w:szCs w:val="20"/>
          <w:color w:val="auto"/>
        </w:rPr>
      </w:pPr>
    </w:p>
    <w:p>
      <w:pPr>
        <w:jc w:val="both"/>
        <w:ind w:firstLine="1291"/>
        <w:spacing w:after="0" w:line="265"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bear the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hereof.</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8" w:name="page289"/>
    <w:bookmarkEnd w:id="288"/>
    <w:p>
      <w:pPr>
        <w:ind w:left="1300"/>
        <w:spacing w:after="0"/>
        <w:tabs>
          <w:tab w:leader="none" w:pos="19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2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xml:space="preserve">” means Rule 144 promulgated by the SEC under the </w:t>
      </w:r>
      <w:r>
        <w:rPr>
          <w:rFonts w:ascii="Arial" w:cs="Arial" w:eastAsia="Arial" w:hAnsi="Arial"/>
          <w:sz w:val="16"/>
          <w:szCs w:val="16"/>
          <w:color w:val="231F20"/>
        </w:rPr>
        <w:t>Securities Act</w:t>
      </w:r>
      <w:r>
        <w:rPr>
          <w:rFonts w:ascii="Arial" w:cs="Arial" w:eastAsia="Arial" w:hAnsi="Arial"/>
          <w:sz w:val="16"/>
          <w:szCs w:val="16"/>
          <w:color w:val="auto"/>
        </w:rPr>
        <w:t>.</w:t>
      </w:r>
    </w:p>
    <w:p>
      <w:pPr>
        <w:spacing w:after="0" w:line="22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w:t>
      </w:r>
    </w:p>
    <w:p>
      <w:pPr>
        <w:spacing w:after="0" w:line="22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23" w:lineRule="exact"/>
        <w:rPr>
          <w:sz w:val="20"/>
          <w:szCs w:val="20"/>
          <w:color w:val="auto"/>
        </w:rPr>
      </w:pPr>
    </w:p>
    <w:p>
      <w:pPr>
        <w:jc w:val="both"/>
        <w:ind w:firstLine="1291"/>
        <w:spacing w:after="0" w:line="265"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and Major Investor Counsel borne and paid by the Company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5" w:lineRule="exact"/>
        <w:rPr>
          <w:sz w:val="20"/>
          <w:szCs w:val="20"/>
          <w:color w:val="auto"/>
        </w:rPr>
      </w:pPr>
    </w:p>
    <w:p>
      <w:pPr>
        <w:jc w:val="both"/>
        <w:ind w:firstLine="1291"/>
        <w:spacing w:after="0" w:line="280"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Series A Directors</w:t>
      </w:r>
      <w:r>
        <w:rPr>
          <w:rFonts w:ascii="Arial" w:cs="Arial" w:eastAsia="Arial" w:hAnsi="Arial"/>
          <w:sz w:val="18"/>
          <w:szCs w:val="18"/>
          <w:color w:val="auto"/>
        </w:rPr>
        <w:t>” means any director of the Company that the holders of record of the Series A Preferred Stock are entitled to elect pursuant to the Certificate of Incorporation.</w:t>
      </w:r>
    </w:p>
    <w:p>
      <w:pPr>
        <w:spacing w:after="0" w:line="16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means shares of the Company’s Series A Preferred Stock, par value $0.0001 per share.</w:t>
      </w:r>
    </w:p>
    <w:p>
      <w:pPr>
        <w:spacing w:after="0" w:line="223" w:lineRule="exact"/>
        <w:rPr>
          <w:sz w:val="20"/>
          <w:szCs w:val="20"/>
          <w:color w:val="auto"/>
        </w:rPr>
      </w:pPr>
    </w:p>
    <w:p>
      <w:pPr>
        <w:jc w:val="both"/>
        <w:ind w:firstLine="1291"/>
        <w:spacing w:after="0" w:line="280"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Series B Director</w:t>
      </w:r>
      <w:r>
        <w:rPr>
          <w:rFonts w:ascii="Arial" w:cs="Arial" w:eastAsia="Arial" w:hAnsi="Arial"/>
          <w:sz w:val="18"/>
          <w:szCs w:val="18"/>
          <w:color w:val="auto"/>
        </w:rPr>
        <w:t>” means any director of the Company that the holders of record of the Series B Preferred Stock are entitled to elect pursuant to the Certificate of Incorporation.</w:t>
      </w:r>
    </w:p>
    <w:p>
      <w:pPr>
        <w:spacing w:after="0" w:line="16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Preferred Stock, par value $0.0001 per share.</w:t>
      </w:r>
    </w:p>
    <w:p>
      <w:pPr>
        <w:spacing w:after="0" w:line="223" w:lineRule="exact"/>
        <w:rPr>
          <w:sz w:val="20"/>
          <w:szCs w:val="20"/>
          <w:color w:val="auto"/>
        </w:rPr>
      </w:pPr>
    </w:p>
    <w:p>
      <w:pPr>
        <w:jc w:val="both"/>
        <w:ind w:firstLine="1291"/>
        <w:spacing w:after="0" w:line="280"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Series C Director</w:t>
      </w:r>
      <w:r>
        <w:rPr>
          <w:rFonts w:ascii="Arial" w:cs="Arial" w:eastAsia="Arial" w:hAnsi="Arial"/>
          <w:sz w:val="18"/>
          <w:szCs w:val="18"/>
          <w:color w:val="auto"/>
        </w:rPr>
        <w:t>” means any director of the Company that the holders of record of the Series C Preferred Stock are entitled to elect pursuant to the Certificate of Incorporation.</w:t>
      </w:r>
    </w:p>
    <w:p>
      <w:pPr>
        <w:spacing w:after="0" w:line="16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means shares of the Company’s Series C Preferred Stock, par value $0.0001 per share.</w:t>
      </w:r>
    </w:p>
    <w:p>
      <w:pPr>
        <w:spacing w:after="0" w:line="22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Versant</w:t>
      </w:r>
      <w:r>
        <w:rPr>
          <w:rFonts w:ascii="Arial" w:cs="Arial" w:eastAsia="Arial" w:hAnsi="Arial"/>
          <w:sz w:val="16"/>
          <w:szCs w:val="16"/>
          <w:color w:val="auto"/>
        </w:rPr>
        <w:t>” means Versant Venture Capital VI, L.P and Versant Vantage II, L.P.</w:t>
      </w:r>
    </w:p>
    <w:p>
      <w:pPr>
        <w:spacing w:after="0" w:line="227" w:lineRule="exact"/>
        <w:rPr>
          <w:sz w:val="20"/>
          <w:szCs w:val="20"/>
          <w:color w:val="auto"/>
        </w:rPr>
      </w:pPr>
    </w:p>
    <w:p>
      <w:pPr>
        <w:ind w:left="1440" w:hanging="787"/>
        <w:spacing w:after="0"/>
        <w:tabs>
          <w:tab w:leader="none" w:pos="14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8" w:lineRule="exact"/>
        <w:rPr>
          <w:rFonts w:ascii="Arial" w:cs="Arial" w:eastAsia="Arial" w:hAnsi="Arial"/>
          <w:sz w:val="18"/>
          <w:szCs w:val="18"/>
          <w:color w:val="auto"/>
        </w:rPr>
      </w:pPr>
    </w:p>
    <w:p>
      <w:pPr>
        <w:jc w:val="both"/>
        <w:ind w:firstLine="1945"/>
        <w:spacing w:after="0" w:line="252" w:lineRule="auto"/>
        <w:tabs>
          <w:tab w:leader="none" w:pos="2732"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Form S-1 Demand</w:t>
      </w:r>
      <w:r>
        <w:rPr>
          <w:rFonts w:ascii="Arial" w:cs="Arial" w:eastAsia="Arial" w:hAnsi="Arial"/>
          <w:sz w:val="18"/>
          <w:szCs w:val="18"/>
          <w:color w:val="auto"/>
        </w:rPr>
        <w:t>. If at any time after the earlier of (i) five (5) years after the date of this Agreement or (ii) one hundred eighty (180) days after the effective date of the registration statement for the IPO, the Company receives a request from Holders of a majority of the Common Stock issued or issuable upon conversion of the Preferred Stock then outstanding that the Company file a Form S-1 registration statement with respect to at least forty percent (40%)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9" w:name="page290"/>
    <w:bookmarkEnd w:id="289"/>
    <w:p>
      <w:pPr>
        <w:jc w:val="both"/>
        <w:spacing w:after="0" w:line="254" w:lineRule="auto"/>
        <w:rPr>
          <w:sz w:val="20"/>
          <w:szCs w:val="20"/>
          <w:color w:val="auto"/>
        </w:rPr>
      </w:pPr>
      <w:r>
        <w:rPr>
          <w:rFonts w:ascii="Arial" w:cs="Arial" w:eastAsia="Arial" w:hAnsi="Arial"/>
          <w:sz w:val="18"/>
          <w:szCs w:val="18"/>
          <w:color w:val="auto"/>
        </w:rPr>
        <w:t>the Registrable Securities then outstanding, then the Company shall (x) within ten (10) days after the date such request is given, give notice thereof (the “</w:t>
      </w:r>
      <w:r>
        <w:rPr>
          <w:rFonts w:ascii="Arial" w:cs="Arial" w:eastAsia="Arial" w:hAnsi="Arial"/>
          <w:sz w:val="18"/>
          <w:szCs w:val="18"/>
          <w:b w:val="1"/>
          <w:bCs w:val="1"/>
          <w:color w:val="auto"/>
        </w:rPr>
        <w:t>Demand Notice</w:t>
      </w:r>
      <w:r>
        <w:rPr>
          <w:rFonts w:ascii="Arial" w:cs="Arial" w:eastAsia="Arial" w:hAnsi="Arial"/>
          <w:sz w:val="18"/>
          <w:szCs w:val="18"/>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Sections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92" w:lineRule="exact"/>
        <w:rPr>
          <w:sz w:val="20"/>
          <w:szCs w:val="20"/>
          <w:color w:val="auto"/>
        </w:rPr>
      </w:pPr>
    </w:p>
    <w:p>
      <w:pPr>
        <w:jc w:val="both"/>
        <w:ind w:firstLine="1945"/>
        <w:spacing w:after="0" w:line="270" w:lineRule="auto"/>
        <w:tabs>
          <w:tab w:leader="none" w:pos="2693"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945"/>
        <w:spacing w:after="0" w:line="287" w:lineRule="auto"/>
        <w:tabs>
          <w:tab w:leader="none" w:pos="271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shall not register any securities for its own account or that of any other stockholder during such ninety day period other than an Excluded Registration.</w:t>
      </w:r>
    </w:p>
    <w:p>
      <w:pPr>
        <w:spacing w:after="0" w:line="167" w:lineRule="exact"/>
        <w:rPr>
          <w:rFonts w:ascii="Arial" w:cs="Arial" w:eastAsia="Arial" w:hAnsi="Arial"/>
          <w:sz w:val="16"/>
          <w:szCs w:val="16"/>
          <w:color w:val="auto"/>
        </w:rPr>
      </w:pPr>
    </w:p>
    <w:p>
      <w:pPr>
        <w:jc w:val="both"/>
        <w:ind w:firstLine="1945"/>
        <w:spacing w:after="0" w:line="256" w:lineRule="auto"/>
        <w:tabs>
          <w:tab w:leader="none" w:pos="270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Company shall not be obligated to effect, or to take any action to effect, any registration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actively employing in good faith commercially reasonable efforts to cause such registration statement to become effective; (ii) after the Company has effected two (2) registrations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2.1(a)</w:t>
      </w:r>
      <w:r>
        <w:rPr>
          <w:rFonts w:ascii="Arial" w:cs="Arial" w:eastAsia="Arial" w:hAnsi="Arial"/>
          <w:sz w:val="18"/>
          <w:szCs w:val="18"/>
          <w:color w:val="auto"/>
        </w:rPr>
        <w:t>; or (iii) if the Initiating Holders propose to dispose of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90" w:name="page291"/>
    <w:bookmarkEnd w:id="290"/>
    <w:p>
      <w:pPr>
        <w:jc w:val="both"/>
        <w:spacing w:after="0" w:line="269" w:lineRule="auto"/>
        <w:rPr>
          <w:sz w:val="20"/>
          <w:szCs w:val="20"/>
          <w:color w:val="auto"/>
        </w:rPr>
      </w:pPr>
      <w:r>
        <w:rPr>
          <w:rFonts w:ascii="Arial" w:cs="Arial" w:eastAsia="Arial" w:hAnsi="Arial"/>
          <w:sz w:val="17"/>
          <w:szCs w:val="17"/>
          <w:color w:val="auto"/>
        </w:rPr>
        <w:t xml:space="preserve">of Registrable Securities that may be immediately registered on Form S-3 pursuant to a request made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The Company shall not be obligated to effect, or to take any action to effect, any registration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commercially reasonable efforts to cause such registration statement to become effective; or (ii) if the Company has effected two (2) registrations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(1) demand registration statement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Section 2.1(d)</w:t>
      </w:r>
      <w:r>
        <w:rPr>
          <w:rFonts w:ascii="Arial" w:cs="Arial" w:eastAsia="Arial" w:hAnsi="Arial"/>
          <w:sz w:val="17"/>
          <w:szCs w:val="17"/>
          <w:color w:val="auto"/>
        </w:rPr>
        <w:t>.</w:t>
      </w:r>
    </w:p>
    <w:p>
      <w:pPr>
        <w:spacing w:after="0" w:line="181" w:lineRule="exact"/>
        <w:rPr>
          <w:sz w:val="20"/>
          <w:szCs w:val="20"/>
          <w:color w:val="auto"/>
        </w:rPr>
      </w:pPr>
    </w:p>
    <w:p>
      <w:pPr>
        <w:jc w:val="both"/>
        <w:ind w:firstLine="1291"/>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92"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23" w:lineRule="exact"/>
        <w:rPr>
          <w:sz w:val="20"/>
          <w:szCs w:val="20"/>
          <w:color w:val="auto"/>
        </w:rPr>
      </w:pPr>
    </w:p>
    <w:p>
      <w:pPr>
        <w:jc w:val="both"/>
        <w:ind w:firstLine="1945"/>
        <w:spacing w:after="0" w:line="284" w:lineRule="auto"/>
        <w:tabs>
          <w:tab w:leader="none" w:pos="274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91" w:name="page292"/>
    <w:bookmarkEnd w:id="291"/>
    <w:p>
      <w:pPr>
        <w:jc w:val="both"/>
        <w:spacing w:after="0" w:line="252" w:lineRule="auto"/>
        <w:rPr>
          <w:sz w:val="20"/>
          <w:szCs w:val="20"/>
          <w:color w:val="auto"/>
        </w:rPr>
      </w:pPr>
      <w:r>
        <w:rPr>
          <w:rFonts w:ascii="Arial" w:cs="Arial" w:eastAsia="Arial" w:hAnsi="Arial"/>
          <w:sz w:val="18"/>
          <w:szCs w:val="18"/>
          <w:color w:val="auto"/>
        </w:rPr>
        <w:t xml:space="preserve">owned by each Holder or in such other proportion as shall mutually be agreed to by all such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 For purposes of the provision in this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96" w:lineRule="exact"/>
        <w:rPr>
          <w:sz w:val="20"/>
          <w:szCs w:val="20"/>
          <w:color w:val="auto"/>
        </w:rPr>
      </w:pPr>
    </w:p>
    <w:p>
      <w:pPr>
        <w:jc w:val="both"/>
        <w:ind w:firstLine="1945"/>
        <w:spacing w:after="0" w:line="266" w:lineRule="auto"/>
        <w:tabs>
          <w:tab w:leader="none" w:pos="272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92" w:name="page293"/>
    <w:bookmarkEnd w:id="292"/>
    <w:p>
      <w:pPr>
        <w:jc w:val="both"/>
        <w:ind w:firstLine="1945"/>
        <w:spacing w:after="0" w:line="262" w:lineRule="auto"/>
        <w:tabs>
          <w:tab w:leader="none" w:pos="273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Section 2.3(a)</w:t>
      </w:r>
      <w:r>
        <w:rPr>
          <w:rFonts w:ascii="Arial" w:cs="Arial" w:eastAsia="Arial" w:hAnsi="Arial"/>
          <w:sz w:val="18"/>
          <w:szCs w:val="18"/>
          <w:color w:val="auto"/>
        </w:rPr>
        <w:t>, fewer than the total number of Registrable Securities that Holders have requested to be included in such registration statement are actually included.</w:t>
      </w:r>
    </w:p>
    <w:p>
      <w:pPr>
        <w:spacing w:after="0" w:line="183"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2 </w:t>
      </w:r>
      <w:r>
        <w:rPr>
          <w:rFonts w:ascii="Arial" w:cs="Arial" w:eastAsia="Arial" w:hAnsi="Arial"/>
          <w:sz w:val="16"/>
          <w:szCs w:val="16"/>
          <w:color w:val="auto"/>
        </w:rPr>
        <w:t>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09" w:lineRule="exact"/>
        <w:rPr>
          <w:sz w:val="20"/>
          <w:szCs w:val="20"/>
          <w:color w:val="auto"/>
        </w:rPr>
      </w:pPr>
    </w:p>
    <w:p>
      <w:pPr>
        <w:jc w:val="both"/>
        <w:ind w:firstLine="1945"/>
        <w:spacing w:after="0" w:line="269" w:lineRule="auto"/>
        <w:tabs>
          <w:tab w:leader="none" w:pos="2759"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Common Stock issued or issuable upon conversion of the Preferred Stock then outstanding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ninety (90) days, if necessary, to keep the registration statement effective until all such Registrable Securities are sold;</w:t>
      </w:r>
    </w:p>
    <w:p>
      <w:pPr>
        <w:spacing w:after="0" w:line="180" w:lineRule="exact"/>
        <w:rPr>
          <w:rFonts w:ascii="Arial" w:cs="Arial" w:eastAsia="Arial" w:hAnsi="Arial"/>
          <w:sz w:val="17"/>
          <w:szCs w:val="17"/>
          <w:color w:val="auto"/>
        </w:rPr>
      </w:pPr>
    </w:p>
    <w:p>
      <w:pPr>
        <w:jc w:val="both"/>
        <w:ind w:firstLine="1945"/>
        <w:spacing w:after="0" w:line="262" w:lineRule="auto"/>
        <w:tabs>
          <w:tab w:leader="none" w:pos="270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firstLine="1945"/>
        <w:spacing w:after="0" w:line="340" w:lineRule="auto"/>
        <w:tabs>
          <w:tab w:leader="none" w:pos="271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4" w:lineRule="exact"/>
        <w:rPr>
          <w:rFonts w:ascii="Arial" w:cs="Arial" w:eastAsia="Arial" w:hAnsi="Arial"/>
          <w:sz w:val="16"/>
          <w:szCs w:val="16"/>
          <w:color w:val="auto"/>
        </w:rPr>
      </w:pPr>
    </w:p>
    <w:p>
      <w:pPr>
        <w:jc w:val="both"/>
        <w:ind w:firstLine="1945"/>
        <w:spacing w:after="0" w:line="258" w:lineRule="auto"/>
        <w:tabs>
          <w:tab w:leader="none" w:pos="270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6" w:lineRule="exact"/>
        <w:rPr>
          <w:rFonts w:ascii="Arial" w:cs="Arial" w:eastAsia="Arial" w:hAnsi="Arial"/>
          <w:sz w:val="18"/>
          <w:szCs w:val="18"/>
          <w:color w:val="auto"/>
        </w:rPr>
      </w:pPr>
    </w:p>
    <w:p>
      <w:pPr>
        <w:ind w:firstLine="1945"/>
        <w:spacing w:after="0" w:line="275" w:lineRule="auto"/>
        <w:tabs>
          <w:tab w:leader="none" w:pos="275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1" w:lineRule="exact"/>
        <w:rPr>
          <w:rFonts w:ascii="Arial" w:cs="Arial" w:eastAsia="Arial" w:hAnsi="Arial"/>
          <w:sz w:val="18"/>
          <w:szCs w:val="18"/>
          <w:color w:val="auto"/>
        </w:rPr>
      </w:pPr>
    </w:p>
    <w:p>
      <w:pPr>
        <w:ind w:firstLine="1945"/>
        <w:spacing w:after="0" w:line="275" w:lineRule="auto"/>
        <w:tabs>
          <w:tab w:leader="none" w:pos="269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t>trading system and each securities exchange and trading system (if any) on which similar securities issued by the Company are then listed;</w:t>
      </w:r>
    </w:p>
    <w:p>
      <w:pPr>
        <w:spacing w:after="0" w:line="223" w:lineRule="exact"/>
        <w:rPr>
          <w:sz w:val="20"/>
          <w:szCs w:val="20"/>
          <w:color w:val="auto"/>
        </w:rPr>
      </w:pPr>
    </w:p>
    <w:p>
      <w:pPr>
        <w:ind w:firstLine="1945"/>
        <w:spacing w:after="0" w:line="275" w:lineRule="auto"/>
        <w:tabs>
          <w:tab w:leader="none" w:pos="269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1" w:lineRule="exact"/>
        <w:rPr>
          <w:rFonts w:ascii="Arial" w:cs="Arial" w:eastAsia="Arial" w:hAnsi="Arial"/>
          <w:sz w:val="18"/>
          <w:szCs w:val="18"/>
          <w:color w:val="auto"/>
        </w:rPr>
      </w:pPr>
    </w:p>
    <w:p>
      <w:pPr>
        <w:jc w:val="both"/>
        <w:ind w:firstLine="1945"/>
        <w:spacing w:after="0" w:line="254" w:lineRule="auto"/>
        <w:tabs>
          <w:tab w:leader="none" w:pos="27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firstLine="1945"/>
        <w:spacing w:after="0" w:line="306" w:lineRule="auto"/>
        <w:tabs>
          <w:tab w:leader="none" w:pos="273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7" w:lineRule="exact"/>
        <w:rPr>
          <w:rFonts w:ascii="Arial" w:cs="Arial" w:eastAsia="Arial" w:hAnsi="Arial"/>
          <w:sz w:val="17"/>
          <w:szCs w:val="17"/>
          <w:color w:val="auto"/>
        </w:rPr>
      </w:pPr>
    </w:p>
    <w:p>
      <w:pPr>
        <w:ind w:right="20" w:firstLine="1945"/>
        <w:spacing w:after="0" w:line="275" w:lineRule="auto"/>
        <w:tabs>
          <w:tab w:leader="none" w:pos="273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1"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 pursuant to the terms of such insider trading policy.</w:t>
      </w:r>
    </w:p>
    <w:p>
      <w:pPr>
        <w:spacing w:after="0" w:line="183" w:lineRule="exact"/>
        <w:rPr>
          <w:sz w:val="20"/>
          <w:szCs w:val="20"/>
          <w:color w:val="auto"/>
        </w:rPr>
      </w:pPr>
    </w:p>
    <w:p>
      <w:pPr>
        <w:jc w:val="both"/>
        <w:ind w:firstLine="1291"/>
        <w:spacing w:after="0" w:line="25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6" w:lineRule="exact"/>
        <w:rPr>
          <w:sz w:val="20"/>
          <w:szCs w:val="20"/>
          <w:color w:val="auto"/>
        </w:rPr>
      </w:pPr>
    </w:p>
    <w:p>
      <w:pPr>
        <w:jc w:val="both"/>
        <w:ind w:firstLine="1291"/>
        <w:spacing w:after="0" w:line="272"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 disbursements of counsel for the Company; the reasonable fees and disbursements, not to exceed $35,000, of one (1) counsel for the selling Holders (“</w:t>
      </w:r>
      <w:r>
        <w:rPr>
          <w:rFonts w:ascii="Arial" w:cs="Arial" w:eastAsia="Arial" w:hAnsi="Arial"/>
          <w:sz w:val="17"/>
          <w:szCs w:val="17"/>
          <w:b w:val="1"/>
          <w:bCs w:val="1"/>
          <w:color w:val="auto"/>
        </w:rPr>
        <w:t>Selling Holder Counsel</w:t>
      </w:r>
      <w:r>
        <w:rPr>
          <w:rFonts w:ascii="Arial" w:cs="Arial" w:eastAsia="Arial" w:hAnsi="Arial"/>
          <w:sz w:val="17"/>
          <w:szCs w:val="17"/>
          <w:color w:val="auto"/>
        </w:rPr>
        <w:t>”); and at the request of the Major Investors, the reasonable fees and disbursements of one (1) counsel for the Major Investors (“</w:t>
      </w:r>
      <w:r>
        <w:rPr>
          <w:rFonts w:ascii="Arial" w:cs="Arial" w:eastAsia="Arial" w:hAnsi="Arial"/>
          <w:sz w:val="17"/>
          <w:szCs w:val="17"/>
          <w:b w:val="1"/>
          <w:bCs w:val="1"/>
          <w:color w:val="auto"/>
        </w:rPr>
        <w:t>Major Investor Counsel</w:t>
      </w:r>
      <w:r>
        <w:rPr>
          <w:rFonts w:ascii="Arial" w:cs="Arial" w:eastAsia="Arial" w:hAnsi="Arial"/>
          <w:sz w:val="17"/>
          <w:szCs w:val="17"/>
          <w:color w:val="auto"/>
        </w:rPr>
        <w:t xml:space="preserve">”), shall be borne and paid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to pay for any expenses of any registration proceeding begun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if the registration request is subsequently withdrawn at the request of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94" w:name="page295"/>
    <w:bookmarkEnd w:id="294"/>
    <w:p>
      <w:pPr>
        <w:jc w:val="both"/>
        <w:spacing w:after="0" w:line="289" w:lineRule="auto"/>
        <w:rPr>
          <w:sz w:val="20"/>
          <w:szCs w:val="20"/>
          <w:color w:val="auto"/>
        </w:rPr>
      </w:pPr>
      <w:r>
        <w:rPr>
          <w:rFonts w:ascii="Arial" w:cs="Arial" w:eastAsia="Arial" w:hAnsi="Arial"/>
          <w:sz w:val="16"/>
          <w:szCs w:val="16"/>
          <w:color w:val="auto"/>
        </w:rPr>
        <w:t xml:space="preserve">Holders of a majority of the Common Stock issued or issuable upon conversion of the Preferred Stock to be registered (in which case all selling Holders shall bear such expenses pro rata based upon the number of Registrable Securities that were to be included in the withdrawn registration), unless the Holders of a majority of the Common Stock issued or issuable upon conversion of the Preferred Stock agree to forfeit their right to one registration pursuant to </w:t>
      </w:r>
      <w:r>
        <w:rPr>
          <w:rFonts w:ascii="Arial" w:cs="Arial" w:eastAsia="Arial" w:hAnsi="Arial"/>
          <w:sz w:val="16"/>
          <w:szCs w:val="16"/>
          <w:u w:val="single" w:color="auto"/>
          <w:color w:val="auto"/>
        </w:rPr>
        <w:t>Sections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6"/>
          <w:szCs w:val="16"/>
          <w:u w:val="single" w:color="auto"/>
          <w:color w:val="auto"/>
        </w:rPr>
        <w:t>Sections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165" w:lineRule="exact"/>
        <w:rPr>
          <w:sz w:val="20"/>
          <w:szCs w:val="20"/>
          <w:color w:val="auto"/>
        </w:rPr>
      </w:pPr>
    </w:p>
    <w:p>
      <w:pPr>
        <w:jc w:val="both"/>
        <w:ind w:firstLine="1291"/>
        <w:spacing w:after="0" w:line="26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w:t>
      </w:r>
    </w:p>
    <w:p>
      <w:pPr>
        <w:spacing w:after="0" w:line="183"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3" w:lineRule="exact"/>
        <w:rPr>
          <w:sz w:val="20"/>
          <w:szCs w:val="20"/>
          <w:color w:val="auto"/>
        </w:rPr>
      </w:pPr>
    </w:p>
    <w:p>
      <w:pPr>
        <w:jc w:val="both"/>
        <w:ind w:firstLine="1945"/>
        <w:spacing w:after="0" w:line="268" w:lineRule="auto"/>
        <w:tabs>
          <w:tab w:leader="none" w:pos="271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84" w:lineRule="exact"/>
        <w:rPr>
          <w:rFonts w:ascii="Arial" w:cs="Arial" w:eastAsia="Arial" w:hAnsi="Arial"/>
          <w:sz w:val="17"/>
          <w:szCs w:val="17"/>
          <w:color w:val="auto"/>
        </w:rPr>
      </w:pPr>
    </w:p>
    <w:p>
      <w:pPr>
        <w:jc w:val="both"/>
        <w:ind w:firstLine="1945"/>
        <w:spacing w:after="0" w:line="253" w:lineRule="auto"/>
        <w:tabs>
          <w:tab w:leader="none" w:pos="270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95" w:name="page296"/>
    <w:bookmarkEnd w:id="295"/>
    <w:p>
      <w:pPr>
        <w:jc w:val="both"/>
        <w:spacing w:after="0" w:line="254" w:lineRule="auto"/>
        <w:rPr>
          <w:sz w:val="20"/>
          <w:szCs w:val="20"/>
          <w:color w:val="auto"/>
        </w:rPr>
      </w:pPr>
      <w:r>
        <w:rPr>
          <w:rFonts w:ascii="Arial" w:cs="Arial" w:eastAsia="Arial" w:hAnsi="Arial"/>
          <w:sz w:val="18"/>
          <w:szCs w:val="18"/>
          <w:color w:val="auto"/>
        </w:rPr>
        <w:t xml:space="preserve">or other expenses reasonably incurred thereby in connection with investigating or defending any claim or proceeding from which Damages may result, as such expenses are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agreement contained in this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no event shall the aggregate amounts payable by any Holder by way of indemnity or contribution under </w:t>
      </w:r>
      <w:r>
        <w:rPr>
          <w:rFonts w:ascii="Arial" w:cs="Arial" w:eastAsia="Arial" w:hAnsi="Arial"/>
          <w:sz w:val="18"/>
          <w:szCs w:val="18"/>
          <w:u w:val="single" w:color="auto"/>
          <w:color w:val="auto"/>
        </w:rPr>
        <w:t>Sections 2.8(b)</w:t>
      </w:r>
      <w:r>
        <w:rPr>
          <w:rFonts w:ascii="Arial" w:cs="Arial" w:eastAsia="Arial" w:hAnsi="Arial"/>
          <w:sz w:val="18"/>
          <w:szCs w:val="18"/>
          <w:color w:val="auto"/>
        </w:rPr>
        <w:t xml:space="preserve"> and 2.8(d) exceed the proceeds from the offering received by such Holder (net of any Selling Expenses paid by such Holder), except in the case of fraud or willful misconduct by such Holder.</w:t>
      </w:r>
    </w:p>
    <w:p>
      <w:pPr>
        <w:spacing w:after="0" w:line="192" w:lineRule="exact"/>
        <w:rPr>
          <w:sz w:val="20"/>
          <w:szCs w:val="20"/>
          <w:color w:val="auto"/>
        </w:rPr>
      </w:pPr>
    </w:p>
    <w:p>
      <w:pPr>
        <w:jc w:val="both"/>
        <w:ind w:firstLine="1945"/>
        <w:spacing w:after="0" w:line="268" w:lineRule="auto"/>
        <w:tabs>
          <w:tab w:leader="none" w:pos="273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945"/>
        <w:spacing w:after="0" w:line="286" w:lineRule="auto"/>
        <w:tabs>
          <w:tab w:leader="none" w:pos="269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96" w:name="page297"/>
    <w:bookmarkEnd w:id="296"/>
    <w:p>
      <w:pPr>
        <w:jc w:val="both"/>
        <w:spacing w:after="0" w:line="292" w:lineRule="auto"/>
        <w:rPr>
          <w:sz w:val="20"/>
          <w:szCs w:val="20"/>
          <w:color w:val="auto"/>
        </w:rPr>
      </w:pPr>
      <w:r>
        <w:rPr>
          <w:rFonts w:ascii="Arial" w:cs="Arial" w:eastAsia="Arial" w:hAnsi="Arial"/>
          <w:sz w:val="16"/>
          <w:szCs w:val="16"/>
          <w:color w:val="auto"/>
        </w:rPr>
        <w:t xml:space="preserve">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164" w:lineRule="exact"/>
        <w:rPr>
          <w:sz w:val="20"/>
          <w:szCs w:val="20"/>
          <w:color w:val="auto"/>
        </w:rPr>
      </w:pPr>
    </w:p>
    <w:p>
      <w:pPr>
        <w:jc w:val="both"/>
        <w:ind w:firstLine="1945"/>
        <w:spacing w:after="0" w:line="262" w:lineRule="auto"/>
        <w:tabs>
          <w:tab w:leader="none" w:pos="271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3" w:lineRule="exact"/>
        <w:rPr>
          <w:rFonts w:ascii="Arial" w:cs="Arial" w:eastAsia="Arial" w:hAnsi="Arial"/>
          <w:sz w:val="18"/>
          <w:szCs w:val="18"/>
          <w:color w:val="auto"/>
        </w:rPr>
      </w:pPr>
    </w:p>
    <w:p>
      <w:pPr>
        <w:jc w:val="both"/>
        <w:ind w:firstLine="1945"/>
        <w:spacing w:after="0" w:line="262" w:lineRule="auto"/>
        <w:tabs>
          <w:tab w:leader="none" w:pos="271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3" w:lineRule="exact"/>
        <w:rPr>
          <w:sz w:val="20"/>
          <w:szCs w:val="20"/>
          <w:color w:val="auto"/>
        </w:rPr>
      </w:pPr>
    </w:p>
    <w:p>
      <w:pPr>
        <w:jc w:val="both"/>
        <w:ind w:firstLine="1291"/>
        <w:spacing w:after="0" w:line="262"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3" w:lineRule="exact"/>
        <w:rPr>
          <w:sz w:val="20"/>
          <w:szCs w:val="20"/>
          <w:color w:val="auto"/>
        </w:rPr>
      </w:pPr>
    </w:p>
    <w:p>
      <w:pPr>
        <w:ind w:firstLine="1945"/>
        <w:spacing w:after="0" w:line="275" w:lineRule="auto"/>
        <w:tabs>
          <w:tab w:leader="none" w:pos="271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1" w:lineRule="exact"/>
        <w:rPr>
          <w:rFonts w:ascii="Arial" w:cs="Arial" w:eastAsia="Arial" w:hAnsi="Arial"/>
          <w:sz w:val="18"/>
          <w:szCs w:val="18"/>
          <w:color w:val="auto"/>
        </w:rPr>
      </w:pPr>
    </w:p>
    <w:p>
      <w:pPr>
        <w:ind w:firstLine="1945"/>
        <w:spacing w:after="0" w:line="340" w:lineRule="auto"/>
        <w:tabs>
          <w:tab w:leader="none" w:pos="269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4" w:lineRule="exact"/>
        <w:rPr>
          <w:rFonts w:ascii="Arial" w:cs="Arial" w:eastAsia="Arial" w:hAnsi="Arial"/>
          <w:sz w:val="16"/>
          <w:szCs w:val="16"/>
          <w:color w:val="auto"/>
        </w:rPr>
      </w:pPr>
    </w:p>
    <w:p>
      <w:pPr>
        <w:jc w:val="both"/>
        <w:ind w:firstLine="1945"/>
        <w:spacing w:after="0" w:line="290" w:lineRule="auto"/>
        <w:tabs>
          <w:tab w:leader="none" w:pos="271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97" w:name="page298"/>
    <w:bookmarkEnd w:id="297"/>
    <w:p>
      <w:pPr>
        <w:jc w:val="both"/>
        <w:ind w:firstLine="1291"/>
        <w:spacing w:after="0" w:line="272"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From and after the date of this Agreement, the Company shall not, without the prior written consent of the Holders of a majority of the Common Stock issued or issuable upon conversion of the Preferred Stock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to initiate a demand for registration of any securities held by such holder or prospective holder.</w:t>
      </w:r>
    </w:p>
    <w:p>
      <w:pPr>
        <w:spacing w:after="0" w:line="177" w:lineRule="exact"/>
        <w:rPr>
          <w:sz w:val="20"/>
          <w:szCs w:val="20"/>
          <w:color w:val="auto"/>
        </w:rPr>
      </w:pPr>
    </w:p>
    <w:p>
      <w:pPr>
        <w:jc w:val="both"/>
        <w:ind w:firstLine="1291"/>
        <w:spacing w:after="0" w:line="28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prior to the effectiveness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not apply to (a) the sale of any shares to an underwriter pursuant to an underwriting agreement, or (b) the transfer of any shares to any trust for the direct or indirect benefit of the Holder or the immediate family of the Holder, provided that the trustee of the trust agrees to be bound in writing by the restrictions set forth herein, or (c) the transfer of any shares owned by a Holder in the Company to its Affiliates, provided that the Affiliate of the Holder agrees to be bound in writing by the restrictions set forth herein, or (d) shares subscribed for or purchased by a Holder in the open market or in such IPO, and provided further that any such transfer in the case of (b) or (c) above shall not involve a disposition for value, and shall be applicable to the Holders only if all officers and directors and all stockholders individually owning more than one percent (1%) of the Company’s outstanding Common Stock (after giving effect to conversion into Common Stock of all outstanding Preferred Stock) are subject to the same restrictions. The underwriters in connection with such registration are intended third party beneficiaries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that are necessary to give further effect thereto. In the event that the Company or the managing underwriter waives or terminates any of the restrictions contained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in a lock-up agreement with respect to the securities of any Holder, officer, director or greater than one-percent stockholder of the Company (in any such case, the “</w:t>
      </w:r>
      <w:r>
        <w:rPr>
          <w:rFonts w:ascii="Arial" w:cs="Arial" w:eastAsia="Arial" w:hAnsi="Arial"/>
          <w:sz w:val="16"/>
          <w:szCs w:val="16"/>
          <w:b w:val="1"/>
          <w:bCs w:val="1"/>
          <w:color w:val="auto"/>
        </w:rPr>
        <w:t>Released Securities</w:t>
      </w:r>
      <w:r>
        <w:rPr>
          <w:rFonts w:ascii="Arial" w:cs="Arial" w:eastAsia="Arial" w:hAnsi="Arial"/>
          <w:sz w:val="16"/>
          <w:szCs w:val="16"/>
          <w:color w:val="auto"/>
        </w:rPr>
        <w:t xml:space="preserve">”), the restrictions contained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in any lock-up agreements executed by the Holders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98" w:name="page299"/>
    <w:bookmarkEnd w:id="298"/>
    <w:p>
      <w:pPr>
        <w:ind w:left="1300"/>
        <w:spacing w:after="0"/>
        <w:tabs>
          <w:tab w:leader="none" w:pos="19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23" w:lineRule="exact"/>
        <w:rPr>
          <w:sz w:val="20"/>
          <w:szCs w:val="20"/>
          <w:color w:val="auto"/>
        </w:rPr>
      </w:pPr>
    </w:p>
    <w:p>
      <w:pPr>
        <w:jc w:val="both"/>
        <w:ind w:firstLine="1945"/>
        <w:spacing w:after="0" w:line="270" w:lineRule="auto"/>
        <w:tabs>
          <w:tab w:leader="none" w:pos="274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Registrable Securities held by such Holder to agree to take and hold such securities subject to the provisions and upon the conditions specified in this Agreement. The Company may, in its sole discretion, require a transferring Holder to pay the Company’s reasonable out-of-pocket expenses in connection with a transfer, unless the transferee is an Affiliate of the transferring Holder. Notwithstanding the foregoing, the Company shall not require any transferee of shares pursuant to an effective registration statement or, following the IPO, SEC Rule 144, in each case, to be bound by the terms of this Agreement.</w:t>
      </w:r>
    </w:p>
    <w:p>
      <w:pPr>
        <w:spacing w:after="0" w:line="177" w:lineRule="exact"/>
        <w:rPr>
          <w:rFonts w:ascii="Arial" w:cs="Arial" w:eastAsia="Arial" w:hAnsi="Arial"/>
          <w:sz w:val="17"/>
          <w:szCs w:val="17"/>
          <w:color w:val="auto"/>
        </w:rPr>
      </w:pPr>
    </w:p>
    <w:p>
      <w:pPr>
        <w:jc w:val="both"/>
        <w:ind w:firstLine="1945"/>
        <w:spacing w:after="0" w:line="310" w:lineRule="auto"/>
        <w:tabs>
          <w:tab w:leader="none" w:pos="269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Section 2.12(c)</w:t>
      </w:r>
      <w:r>
        <w:rPr>
          <w:rFonts w:ascii="Arial" w:cs="Arial" w:eastAsia="Arial" w:hAnsi="Arial"/>
          <w:sz w:val="16"/>
          <w:szCs w:val="16"/>
          <w:color w:val="auto"/>
        </w:rPr>
        <w:t>) bear a legend substantially in the following form:</w:t>
      </w:r>
    </w:p>
    <w:p>
      <w:pPr>
        <w:spacing w:after="0" w:line="148"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18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SECURITIES REPRESENTED HEREBY MAY BE TRANSFERRED ONLY IN ACCORDANCE WITH THE TERMS OF AN INVESTORS’ RIGHTS AGREEMENT BETWEEN THE COMPANY AND THE STOCKHOLDER, A COPY OF WHICH IS ON FILE WITH THE SECRETARY OF THE COMPANY.</w:t>
      </w:r>
    </w:p>
    <w:p>
      <w:pPr>
        <w:spacing w:after="0" w:line="183"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1" w:lineRule="exact"/>
        <w:rPr>
          <w:sz w:val="20"/>
          <w:szCs w:val="20"/>
          <w:color w:val="auto"/>
        </w:rPr>
      </w:pPr>
    </w:p>
    <w:p>
      <w:pPr>
        <w:jc w:val="both"/>
        <w:ind w:firstLine="653"/>
        <w:spacing w:after="0" w:line="272" w:lineRule="auto"/>
        <w:tabs>
          <w:tab w:leader="none" w:pos="1427"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holder of each certificate, instrument or book-entry representing Restricted Securities, by acceptance thereof, agrees to comply in all respects with the provisions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99" w:name="page300"/>
    <w:bookmarkEnd w:id="299"/>
    <w:p>
      <w:pPr>
        <w:jc w:val="both"/>
        <w:spacing w:after="0" w:line="267" w:lineRule="auto"/>
        <w:rPr>
          <w:sz w:val="20"/>
          <w:szCs w:val="20"/>
          <w:color w:val="auto"/>
        </w:rPr>
      </w:pPr>
      <w:r>
        <w:rPr>
          <w:rFonts w:ascii="Arial" w:cs="Arial" w:eastAsia="Arial" w:hAnsi="Arial"/>
          <w:sz w:val="17"/>
          <w:szCs w:val="17"/>
          <w:color w:val="auto"/>
        </w:rPr>
        <w:t xml:space="preserve">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notice,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other than in connection with a transfer in compliance with SEC Rule 144 following the IPO, each transferee agrees in writing to be subject to the terms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Each certificate, instrument, or book entry representing the Restricted Securities transferred as above provided shall bear, except if such transfer is made pursuant to SEC Rule 144 or pursuant to an effective registration statement, the appropriate restrictive legend set forth in </w:t>
      </w:r>
      <w:r>
        <w:rPr>
          <w:rFonts w:ascii="Arial" w:cs="Arial" w:eastAsia="Arial" w:hAnsi="Arial"/>
          <w:sz w:val="17"/>
          <w:szCs w:val="17"/>
          <w:u w:val="single" w:color="auto"/>
          <w:color w:val="auto"/>
        </w:rPr>
        <w:t>Section 2.12(b)</w:t>
      </w:r>
      <w:r>
        <w:rPr>
          <w:rFonts w:ascii="Arial" w:cs="Arial" w:eastAsia="Arial" w:hAnsi="Arial"/>
          <w:sz w:val="17"/>
          <w:szCs w:val="17"/>
          <w:color w:val="auto"/>
        </w:rPr>
        <w:t>, except that such certificate instrument, or book entry shall not bear such restrictive legend if, in the opinion of counsel for such Holder and the Company, such legend is not required in order to establish compliance with any provisions of the Securities Act.</w:t>
      </w:r>
    </w:p>
    <w:p>
      <w:pPr>
        <w:spacing w:after="0" w:line="186" w:lineRule="exact"/>
        <w:rPr>
          <w:sz w:val="20"/>
          <w:szCs w:val="20"/>
          <w:color w:val="auto"/>
        </w:rPr>
      </w:pPr>
    </w:p>
    <w:p>
      <w:pPr>
        <w:jc w:val="both"/>
        <w:ind w:firstLine="1291"/>
        <w:spacing w:after="0" w:line="275"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171" w:lineRule="exact"/>
        <w:rPr>
          <w:sz w:val="20"/>
          <w:szCs w:val="20"/>
          <w:color w:val="auto"/>
        </w:rPr>
      </w:pPr>
    </w:p>
    <w:p>
      <w:pPr>
        <w:jc w:val="both"/>
        <w:ind w:firstLine="1945"/>
        <w:spacing w:after="0" w:line="262" w:lineRule="auto"/>
        <w:tabs>
          <w:tab w:leader="none" w:pos="271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Certificate of Incorporation, and only after fulfillment of the obligations set forth under Article Fourth, Part B, Section 2.3.2 of the Certificate of Incorporation in connection with such Deemed Liquidation Event;</w:t>
      </w:r>
    </w:p>
    <w:p>
      <w:pPr>
        <w:spacing w:after="0" w:line="183" w:lineRule="exact"/>
        <w:rPr>
          <w:rFonts w:ascii="Arial" w:cs="Arial" w:eastAsia="Arial" w:hAnsi="Arial"/>
          <w:sz w:val="18"/>
          <w:szCs w:val="18"/>
          <w:color w:val="auto"/>
        </w:rPr>
      </w:pPr>
    </w:p>
    <w:p>
      <w:pPr>
        <w:ind w:firstLine="1945"/>
        <w:spacing w:after="0" w:line="275" w:lineRule="auto"/>
        <w:tabs>
          <w:tab w:leader="none" w:pos="269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such time after consummation of the IPO as SEC Rule 144 or another similar exemption under the Securities Act is available for the sale of all of such Holder’s shares without limitation during a three-month period without registration; and</w:t>
      </w:r>
    </w:p>
    <w:p>
      <w:pPr>
        <w:spacing w:after="0" w:line="175" w:lineRule="exact"/>
        <w:rPr>
          <w:rFonts w:ascii="Arial" w:cs="Arial" w:eastAsia="Arial" w:hAnsi="Arial"/>
          <w:sz w:val="18"/>
          <w:szCs w:val="18"/>
          <w:color w:val="auto"/>
        </w:rPr>
      </w:pPr>
    </w:p>
    <w:p>
      <w:pPr>
        <w:ind w:left="2720" w:hanging="775"/>
        <w:spacing w:after="0"/>
        <w:tabs>
          <w:tab w:leader="none" w:pos="27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third (3</w:t>
      </w:r>
      <w:r>
        <w:rPr>
          <w:rFonts w:ascii="Arial" w:cs="Arial" w:eastAsia="Arial" w:hAnsi="Arial"/>
          <w:sz w:val="29"/>
          <w:szCs w:val="29"/>
          <w:color w:val="auto"/>
          <w:vertAlign w:val="superscript"/>
        </w:rPr>
        <w:t>rd</w:t>
      </w:r>
      <w:r>
        <w:rPr>
          <w:rFonts w:ascii="Arial" w:cs="Arial" w:eastAsia="Arial" w:hAnsi="Arial"/>
          <w:sz w:val="18"/>
          <w:szCs w:val="18"/>
          <w:color w:val="auto"/>
        </w:rPr>
        <w:t>) anniversary of the Qualified IPO (as defined in the Certificate of Incorporation).</w:t>
      </w:r>
    </w:p>
    <w:p>
      <w:pPr>
        <w:spacing w:after="0" w:line="133" w:lineRule="exact"/>
        <w:rPr>
          <w:rFonts w:ascii="Arial" w:cs="Arial" w:eastAsia="Arial" w:hAnsi="Arial"/>
          <w:sz w:val="18"/>
          <w:szCs w:val="18"/>
          <w:color w:val="auto"/>
        </w:rPr>
      </w:pPr>
    </w:p>
    <w:p>
      <w:pPr>
        <w:ind w:left="1440" w:hanging="787"/>
        <w:spacing w:after="0"/>
        <w:tabs>
          <w:tab w:leader="none" w:pos="144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23" w:lineRule="exact"/>
        <w:rPr>
          <w:sz w:val="20"/>
          <w:szCs w:val="20"/>
          <w:color w:val="auto"/>
        </w:rPr>
      </w:pPr>
    </w:p>
    <w:p>
      <w:pPr>
        <w:jc w:val="both"/>
        <w:ind w:firstLine="1291"/>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Arial" w:cs="Arial" w:eastAsia="Arial" w:hAnsi="Arial"/>
          <w:sz w:val="17"/>
          <w:szCs w:val="17"/>
          <w:b w:val="1"/>
          <w:bCs w:val="1"/>
          <w:color w:val="auto"/>
        </w:rPr>
        <w:t>Investor Beneficial Owners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Affiliate or Investor Beneficial Owner agrees to enter into this Agreement and each of the Voting Agreement and Right of First Refusal and Co-Sale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of even date herewith among the Company, the Investors and the other parties named therein, as an “Investor” under each such agreement.</w:t>
      </w:r>
    </w:p>
    <w:p>
      <w:pPr>
        <w:spacing w:after="0" w:line="219" w:lineRule="exact"/>
        <w:rPr>
          <w:sz w:val="20"/>
          <w:szCs w:val="20"/>
          <w:color w:val="auto"/>
        </w:rPr>
      </w:pPr>
    </w:p>
    <w:p>
      <w:pPr>
        <w:jc w:val="both"/>
        <w:ind w:firstLine="1945"/>
        <w:spacing w:after="0" w:line="265" w:lineRule="auto"/>
        <w:tabs>
          <w:tab w:leader="none" w:pos="271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jc w:val="both"/>
        <w:ind w:firstLine="1945"/>
        <w:spacing w:after="0" w:line="267" w:lineRule="auto"/>
        <w:tabs>
          <w:tab w:leader="none" w:pos="2693" w:val="left"/>
        </w:tabs>
        <w:numPr>
          <w:ilvl w:val="0"/>
          <w:numId w:val="206"/>
        </w:numPr>
        <w:rPr>
          <w:rFonts w:ascii="Arial" w:cs="Arial" w:eastAsia="Arial" w:hAnsi="Arial"/>
          <w:sz w:val="17"/>
          <w:szCs w:val="17"/>
          <w:color w:val="auto"/>
        </w:rPr>
      </w:pPr>
      <w:r>
        <w:rPr>
          <w:rFonts w:ascii="Arial" w:cs="Arial" w:eastAsia="Arial" w:hAnsi="Arial"/>
          <w:sz w:val="17"/>
          <w:szCs w:val="17"/>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issued and held, or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 At the expiration of such twenty (20) day period, the Company shall promptly notify each Major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shall occur within the later of one hundred and twenty (120) days of the date that the Offer Notice is given and the date of initial sale of New Securities pursuant to </w:t>
      </w:r>
      <w:r>
        <w:rPr>
          <w:rFonts w:ascii="Arial" w:cs="Arial" w:eastAsia="Arial" w:hAnsi="Arial"/>
          <w:sz w:val="17"/>
          <w:szCs w:val="17"/>
          <w:u w:val="single" w:color="auto"/>
          <w:color w:val="auto"/>
        </w:rPr>
        <w:t>Section 3.1(b)</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945"/>
        <w:spacing w:after="0" w:line="272" w:lineRule="auto"/>
        <w:tabs>
          <w:tab w:leader="none" w:pos="271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3.1(b)</w:t>
      </w:r>
      <w:r>
        <w:rPr>
          <w:rFonts w:ascii="Arial" w:cs="Arial" w:eastAsia="Arial" w:hAnsi="Arial"/>
          <w:sz w:val="17"/>
          <w:szCs w:val="17"/>
          <w:color w:val="auto"/>
        </w:rPr>
        <w:t xml:space="preserve">, the Company may, during the ninety (90) day period following the expiration of the period provided in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7"/>
          <w:szCs w:val="17"/>
          <w:u w:val="single" w:color="auto"/>
          <w:color w:val="auto"/>
        </w:rPr>
        <w:t>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95885</wp:posOffset>
            </wp:positionV>
            <wp:extent cx="2857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The right of first offer in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not be applicable to (i) Exempted Securities (as defined in the Certificate of Incorporation);</w:t>
      </w:r>
    </w:p>
    <w:p>
      <w:pPr>
        <w:spacing w:after="0" w:line="46" w:lineRule="exact"/>
        <w:rPr>
          <w:sz w:val="20"/>
          <w:szCs w:val="20"/>
          <w:color w:val="auto"/>
        </w:rPr>
      </w:pPr>
    </w:p>
    <w:p>
      <w:pPr>
        <w:ind w:left="5480" w:right="1560" w:hanging="5472"/>
        <w:spacing w:after="0" w:line="758" w:lineRule="auto"/>
        <w:tabs>
          <w:tab w:leader="none" w:pos="27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shares of Common Stock issued in the IPO; and (iii) the issuance of shares of Preferred Stock pursuant to the Purchase Agreement.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9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01" w:name="page302"/>
    <w:bookmarkEnd w:id="301"/>
    <w:p>
      <w:pPr>
        <w:jc w:val="both"/>
        <w:ind w:firstLine="1291"/>
        <w:spacing w:after="0" w:line="26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w:t>
      </w:r>
      <w:r>
        <w:rPr>
          <w:rFonts w:ascii="Arial" w:cs="Arial" w:eastAsia="Arial" w:hAnsi="Arial"/>
          <w:sz w:val="18"/>
          <w:szCs w:val="18"/>
          <w:color w:val="auto"/>
        </w:rPr>
        <w:t>. The covenants set forth in Section 3.1 shall terminate and be of no further force or effect (i) immediately before the consummation of the IPO, or (ii) upon the closing of a Deemed Liquidation Event, as such term is defined in the Certificate of Incorporation, whichever event occurs first.</w:t>
      </w:r>
    </w:p>
    <w:p>
      <w:pPr>
        <w:spacing w:after="0" w:line="183" w:lineRule="exact"/>
        <w:rPr>
          <w:sz w:val="20"/>
          <w:szCs w:val="20"/>
          <w:color w:val="auto"/>
        </w:rPr>
      </w:pPr>
    </w:p>
    <w:p>
      <w:pPr>
        <w:ind w:left="1440" w:hanging="787"/>
        <w:spacing w:after="0"/>
        <w:tabs>
          <w:tab w:leader="none" w:pos="144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3"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Information Rights</w:t>
      </w:r>
      <w:r>
        <w:rPr>
          <w:rFonts w:ascii="Arial" w:cs="Arial" w:eastAsia="Arial" w:hAnsi="Arial"/>
          <w:sz w:val="16"/>
          <w:szCs w:val="16"/>
          <w:color w:val="auto"/>
        </w:rPr>
        <w:t>.</w:t>
      </w:r>
    </w:p>
    <w:p>
      <w:pPr>
        <w:spacing w:after="0" w:line="223" w:lineRule="exact"/>
        <w:rPr>
          <w:sz w:val="20"/>
          <w:szCs w:val="20"/>
          <w:color w:val="auto"/>
        </w:rPr>
      </w:pPr>
    </w:p>
    <w:p>
      <w:pPr>
        <w:jc w:val="both"/>
        <w:ind w:firstLine="1945"/>
        <w:spacing w:after="0" w:line="262" w:lineRule="auto"/>
        <w:tabs>
          <w:tab w:leader="none" w:pos="2732"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of this Agreement,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has not reasonably determined that such Major Investor is a competitor of the Company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venture capital or other investment funds shall not be considered competitors of the Company):</w:t>
      </w:r>
    </w:p>
    <w:p>
      <w:pPr>
        <w:spacing w:after="0" w:line="183" w:lineRule="exact"/>
        <w:rPr>
          <w:rFonts w:ascii="Arial" w:cs="Arial" w:eastAsia="Arial" w:hAnsi="Arial"/>
          <w:sz w:val="18"/>
          <w:szCs w:val="18"/>
          <w:color w:val="auto"/>
        </w:rPr>
      </w:pPr>
    </w:p>
    <w:p>
      <w:pPr>
        <w:jc w:val="both"/>
        <w:ind w:firstLine="2590"/>
        <w:spacing w:after="0" w:line="310" w:lineRule="auto"/>
        <w:tabs>
          <w:tab w:leader="none" w:pos="3384"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as soon as practicable, but in any event no later than sixty (60)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prepared on a monthly basis, including balance sheets, income statements, and statements of cash flow for such months and, promptly after prepared, any other budgets or revised budgets prepared by the Company;</w:t>
      </w:r>
    </w:p>
    <w:p>
      <w:pPr>
        <w:spacing w:after="0" w:line="148" w:lineRule="exact"/>
        <w:rPr>
          <w:rFonts w:ascii="Arial" w:cs="Arial" w:eastAsia="Arial" w:hAnsi="Arial"/>
          <w:sz w:val="16"/>
          <w:szCs w:val="16"/>
          <w:color w:val="auto"/>
        </w:rPr>
      </w:pPr>
    </w:p>
    <w:p>
      <w:pPr>
        <w:jc w:val="both"/>
        <w:ind w:firstLine="2590"/>
        <w:spacing w:after="0" w:line="274" w:lineRule="auto"/>
        <w:tabs>
          <w:tab w:leader="none" w:pos="3349"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as soon as practicable, but in any event within one hundred twenty (120) days after the end of each fiscal year of the Company, (A) a balance sheet as of the end of such year, (B) statements of income and of cash flows for such year and (C) a statement of stockholders’ equity as of the end of such year, all such financial statements audited and certified by an independent public accountant selected by the Board, together with a written report comparing the foregoing to the Budget for such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Board (including both Series A Directors) may waive the audit requirement in any given fiscal year for the financial statements set forth in this </w:t>
      </w:r>
      <w:r>
        <w:rPr>
          <w:rFonts w:ascii="Arial" w:cs="Arial" w:eastAsia="Arial" w:hAnsi="Arial"/>
          <w:sz w:val="17"/>
          <w:szCs w:val="17"/>
          <w:u w:val="single" w:color="auto"/>
          <w:color w:val="auto"/>
        </w:rPr>
        <w:t>Section 4.1(a)</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firstLine="2590"/>
        <w:spacing w:after="0" w:line="256" w:lineRule="auto"/>
        <w:tabs>
          <w:tab w:leader="none" w:pos="332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of the first three (3) quarters of each fiscal year of the Company, unaudited statements of income and cash flows for such fiscal quarter, and an unaudited balance sheet as of the end of such fiscal quarter all prepared in accordance with GAAP (except that such financial statements may (A) be subject to normal year-end audit adjustments and (B) not contain all notes thereto that may be required in accordance with GAAP), together with a written report comparing the foregoing to the Budget;</w:t>
      </w:r>
    </w:p>
    <w:p>
      <w:pPr>
        <w:spacing w:after="0" w:line="187" w:lineRule="exact"/>
        <w:rPr>
          <w:rFonts w:ascii="Arial" w:cs="Arial" w:eastAsia="Arial" w:hAnsi="Arial"/>
          <w:sz w:val="18"/>
          <w:szCs w:val="18"/>
          <w:color w:val="auto"/>
        </w:rPr>
      </w:pPr>
    </w:p>
    <w:p>
      <w:pPr>
        <w:jc w:val="both"/>
        <w:ind w:firstLine="2590"/>
        <w:spacing w:after="0" w:line="254" w:lineRule="auto"/>
        <w:tabs>
          <w:tab w:leader="none" w:pos="331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02" w:name="page303"/>
    <w:bookmarkEnd w:id="302"/>
    <w:p>
      <w:pPr>
        <w:jc w:val="both"/>
        <w:ind w:firstLine="2590"/>
        <w:spacing w:after="0" w:line="278" w:lineRule="auto"/>
        <w:tabs>
          <w:tab w:leader="none" w:pos="3339" w:val="left"/>
        </w:tabs>
        <w:numPr>
          <w:ilvl w:val="1"/>
          <w:numId w:val="210"/>
        </w:numPr>
        <w:rPr>
          <w:rFonts w:ascii="Arial" w:cs="Arial" w:eastAsia="Arial" w:hAnsi="Arial"/>
          <w:sz w:val="17"/>
          <w:szCs w:val="17"/>
          <w:color w:val="auto"/>
        </w:rPr>
      </w:pPr>
      <w:r>
        <w:rPr>
          <w:rFonts w:ascii="Arial" w:cs="Arial" w:eastAsia="Arial" w:hAnsi="Arial"/>
          <w:sz w:val="17"/>
          <w:szCs w:val="17"/>
          <w:color w:val="auto"/>
        </w:rPr>
        <w:t>as soon as practicable, but in any event within thirty (30) days of the end of each month, an unaudited income statement and statement of cash flows for such month, and an unaudited balance sheet as of the end of such month, all prepared in accordance with GAAP (except that such financial statements may (A) be subject to normal year-end audit adjustments and (B) not contain all notes thereto that may be required in accordance with GAAP), together with a written report comparing the foregoing to the Budget for such month.</w:t>
      </w:r>
    </w:p>
    <w:p>
      <w:pPr>
        <w:spacing w:after="0" w:line="170" w:lineRule="exact"/>
        <w:rPr>
          <w:rFonts w:ascii="Arial" w:cs="Arial" w:eastAsia="Arial" w:hAnsi="Arial"/>
          <w:sz w:val="17"/>
          <w:szCs w:val="17"/>
          <w:color w:val="auto"/>
        </w:rPr>
      </w:pPr>
    </w:p>
    <w:p>
      <w:pPr>
        <w:jc w:val="both"/>
        <w:ind w:firstLine="1945"/>
        <w:spacing w:after="0" w:line="262" w:lineRule="auto"/>
        <w:tabs>
          <w:tab w:leader="none" w:pos="2706"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3" w:lineRule="exact"/>
        <w:rPr>
          <w:rFonts w:ascii="Arial" w:cs="Arial" w:eastAsia="Arial" w:hAnsi="Arial"/>
          <w:sz w:val="18"/>
          <w:szCs w:val="18"/>
          <w:color w:val="auto"/>
        </w:rPr>
      </w:pPr>
    </w:p>
    <w:p>
      <w:pPr>
        <w:jc w:val="both"/>
        <w:ind w:firstLine="1945"/>
        <w:spacing w:after="0" w:line="274" w:lineRule="auto"/>
        <w:tabs>
          <w:tab w:leader="none" w:pos="2719"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Notwithstanding anything else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to the contrary, the Company may cease providing the information set forth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Company’s covenants under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reinstated at such time as the Company is no longer actively employing its commercially reasonable efforts to cause such registration statement to become effective.</w:t>
      </w:r>
    </w:p>
    <w:p>
      <w:pPr>
        <w:spacing w:after="0" w:line="176" w:lineRule="exact"/>
        <w:rPr>
          <w:sz w:val="20"/>
          <w:szCs w:val="20"/>
          <w:color w:val="auto"/>
        </w:rPr>
      </w:pPr>
    </w:p>
    <w:p>
      <w:pPr>
        <w:jc w:val="both"/>
        <w:ind w:firstLine="1291"/>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Certificate of Incorporation, or elsewhere, as the case may be.</w:t>
      </w:r>
    </w:p>
    <w:p>
      <w:pPr>
        <w:spacing w:after="0" w:line="188" w:lineRule="exact"/>
        <w:rPr>
          <w:sz w:val="20"/>
          <w:szCs w:val="20"/>
          <w:color w:val="auto"/>
        </w:rPr>
      </w:pPr>
    </w:p>
    <w:p>
      <w:pPr>
        <w:jc w:val="both"/>
        <w:ind w:firstLine="1291"/>
        <w:spacing w:after="0" w:line="29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Inspection</w:t>
      </w:r>
      <w:r>
        <w:rPr>
          <w:rFonts w:ascii="Arial" w:cs="Arial" w:eastAsia="Arial" w:hAnsi="Arial"/>
          <w:sz w:val="16"/>
          <w:szCs w:val="16"/>
          <w:color w:val="auto"/>
        </w:rPr>
        <w:t>. The Company shall permit each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has not reasonably determined that such Major Investor is a competitor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venture capital or other investment funds shall not be considered competitors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66" w:lineRule="exact"/>
        <w:rPr>
          <w:sz w:val="20"/>
          <w:szCs w:val="20"/>
          <w:color w:val="auto"/>
        </w:rPr>
      </w:pPr>
    </w:p>
    <w:p>
      <w:pPr>
        <w:jc w:val="both"/>
        <w:ind w:firstLine="1291"/>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Observer Rights</w:t>
      </w:r>
      <w:r>
        <w:rPr>
          <w:rFonts w:ascii="Arial" w:cs="Arial" w:eastAsia="Arial" w:hAnsi="Arial"/>
          <w:sz w:val="16"/>
          <w:szCs w:val="16"/>
          <w:color w:val="auto"/>
        </w:rPr>
        <w:t>. (a) As long as Versant or its Affiliates owns any shares of Preferred Stock of the Company, the Company shall invite a representative of Versant to attend all meetings of its Board in a nonvoting observer capacity; (b) as long as FCDI or its Affiliates owns any shares of Preferred Stock of the Company, the Company shall invite a representative of FCDI to attend all meetings of its Board in a nonvoting observer capacity;</w:t>
      </w:r>
    </w:p>
    <w:p>
      <w:pPr>
        <w:ind w:firstLine="8"/>
        <w:spacing w:after="0" w:line="259" w:lineRule="auto"/>
        <w:tabs>
          <w:tab w:leader="none" w:pos="24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as long as Casdin or its Affiliates owns any shares of Preferred Stock of the Company, the Company shall invite a representative of Casdin to attend all meetings of its Board in a nonvoting observer capacity;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03" w:name="page304"/>
    <w:bookmarkEnd w:id="303"/>
    <w:p>
      <w:pPr>
        <w:jc w:val="both"/>
        <w:ind w:firstLine="8"/>
        <w:spacing w:after="0" w:line="270" w:lineRule="auto"/>
        <w:tabs>
          <w:tab w:leader="none" w:pos="26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as long as Bayer or its Affiliates owns any shares of Preferred Stock of the Company, the Company shall invite a representative of Bayer to attend all meetings of its Board in a nonvoting observer capacity. The Company shall give any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 of the Company (provided that venture capital or other investment funds shall not be considered competitors of the Company).</w:t>
      </w:r>
    </w:p>
    <w:p>
      <w:pPr>
        <w:spacing w:after="0" w:line="178" w:lineRule="exact"/>
        <w:rPr>
          <w:sz w:val="20"/>
          <w:szCs w:val="20"/>
          <w:color w:val="auto"/>
        </w:rPr>
      </w:pPr>
    </w:p>
    <w:p>
      <w:pPr>
        <w:jc w:val="both"/>
        <w:ind w:firstLine="1291"/>
        <w:spacing w:after="0" w:line="25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Termination of Information and Observer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terminate and be of no further force or effect (i) immediately before the consummation of the IPO, or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86" w:lineRule="exact"/>
        <w:rPr>
          <w:sz w:val="20"/>
          <w:szCs w:val="20"/>
          <w:color w:val="auto"/>
        </w:rPr>
      </w:pPr>
    </w:p>
    <w:p>
      <w:pPr>
        <w:jc w:val="both"/>
        <w:ind w:firstLine="1291"/>
        <w:spacing w:after="0" w:line="267"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by virtue of such Investor’s status as a stockholder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by such Investor), (b) is or has been independently developed or conceived by such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shares of capital stock from such Investor, if such prospective purchaser agrees to be bound by the provisions of this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(iii) to any existing or prospective Affiliate, partner, member, stockholder, or wholly owned subsidiary of such Investor in the ordinary course of business or fundraising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promptly notifies the Company of such disclosure and takes reasonable steps to minimize the extent of any such required disclosure.</w:t>
      </w:r>
    </w:p>
    <w:p>
      <w:pPr>
        <w:spacing w:after="0" w:line="186" w:lineRule="exact"/>
        <w:rPr>
          <w:sz w:val="20"/>
          <w:szCs w:val="20"/>
          <w:color w:val="auto"/>
        </w:rPr>
      </w:pPr>
    </w:p>
    <w:p>
      <w:pPr>
        <w:jc w:val="both"/>
        <w:ind w:firstLine="1291"/>
        <w:spacing w:after="0" w:line="27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shall use its commercially reasonable efforts to obtain, within sixty (60) days of the date hereof, from financially sound and reputable insurers Directors and Officers liability insurance in an amount of at least Two Million Dollars ($2,000,000) and on terms and conditions satisfactory to the Board, including at least two (2) Preferred Directors, and will use commercially reasonable efforts to cause such insurance policies to be maintained until such time as the Board determines that such insurance should be discontinued.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04" w:name="page305"/>
    <w:bookmarkEnd w:id="304"/>
    <w:p>
      <w:pPr>
        <w:jc w:val="both"/>
        <w:ind w:firstLine="1291"/>
        <w:spacing w:after="0" w:line="272"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Employee Agreements</w:t>
      </w:r>
      <w:r>
        <w:rPr>
          <w:rFonts w:ascii="Arial" w:cs="Arial" w:eastAsia="Arial" w:hAnsi="Arial"/>
          <w:sz w:val="17"/>
          <w:szCs w:val="17"/>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including at least two (2) Preferred Directors. In addition, the Company shall not amend, modify, terminate, waive, or otherwise alter, in whole or in part, any of the above-referenced agreements or any restricted stock agreement between the Company and any employee, without the consent of at least two (2) Preferred Directors.</w:t>
      </w:r>
    </w:p>
    <w:p>
      <w:pPr>
        <w:spacing w:after="0" w:line="177" w:lineRule="exact"/>
        <w:rPr>
          <w:sz w:val="20"/>
          <w:szCs w:val="20"/>
          <w:color w:val="auto"/>
        </w:rPr>
      </w:pPr>
    </w:p>
    <w:p>
      <w:pPr>
        <w:jc w:val="both"/>
        <w:ind w:firstLine="1291"/>
        <w:spacing w:after="0" w:line="270"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Employee Stock</w:t>
      </w:r>
      <w:r>
        <w:rPr>
          <w:rFonts w:ascii="Arial" w:cs="Arial" w:eastAsia="Arial" w:hAnsi="Arial"/>
          <w:sz w:val="17"/>
          <w:szCs w:val="17"/>
          <w:color w:val="auto"/>
        </w:rPr>
        <w:t xml:space="preserve">. Unless otherwise approved by the Board, including at least two (2) Preferred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without any vesting acceleration rights, and (ii) a market stand-off provision substantially similar to that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this Agreement. In addition, unless otherwise approved by the Board, including at least two (2) Preferred Directors, the Company shall retain a “right of first refusal” until the Company’s IPO on employee transfers and shall have the right to repurchase unvested shares at cost upon termination of employment or service of a holder of restricted stock.</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3" w:lineRule="exact"/>
        <w:rPr>
          <w:sz w:val="20"/>
          <w:szCs w:val="20"/>
          <w:color w:val="auto"/>
        </w:rPr>
      </w:pPr>
    </w:p>
    <w:p>
      <w:pPr>
        <w:jc w:val="both"/>
        <w:ind w:firstLine="1291"/>
        <w:spacing w:after="0" w:line="262"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Matters Requiring Preferred Director Approval</w:t>
      </w:r>
      <w:r>
        <w:rPr>
          <w:rFonts w:ascii="Arial" w:cs="Arial" w:eastAsia="Arial" w:hAnsi="Arial"/>
          <w:sz w:val="18"/>
          <w:szCs w:val="18"/>
          <w:color w:val="auto"/>
        </w:rPr>
        <w:t>. During such time or times as the holders of Preferred Stock are entitled to elect at least two (2) Preferred Directors and such seats are filled, the Company hereby covenants and agrees with each of the Investors that it shall not, without approval of the Board of Directors, which approval must include at least two (2) Preferred Directors:</w:t>
      </w:r>
    </w:p>
    <w:p>
      <w:pPr>
        <w:spacing w:after="0" w:line="183" w:lineRule="exact"/>
        <w:rPr>
          <w:sz w:val="20"/>
          <w:szCs w:val="20"/>
          <w:color w:val="auto"/>
        </w:rPr>
      </w:pPr>
    </w:p>
    <w:p>
      <w:pPr>
        <w:ind w:left="2080" w:hanging="781"/>
        <w:spacing w:after="0"/>
        <w:tabs>
          <w:tab w:leader="none" w:pos="20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amend, alter or repeal in any material respect the nature or purpose of the Company’s business as set forth in </w:t>
      </w:r>
      <w:r>
        <w:rPr>
          <w:rFonts w:ascii="Arial" w:cs="Arial" w:eastAsia="Arial" w:hAnsi="Arial"/>
          <w:sz w:val="16"/>
          <w:szCs w:val="16"/>
          <w:u w:val="single" w:color="auto"/>
          <w:color w:val="auto"/>
        </w:rPr>
        <w:t>Section 4.16</w:t>
      </w:r>
      <w:r>
        <w:rPr>
          <w:rFonts w:ascii="Arial" w:cs="Arial" w:eastAsia="Arial" w:hAnsi="Arial"/>
          <w:sz w:val="16"/>
          <w:szCs w:val="16"/>
          <w:color w:val="auto"/>
        </w:rPr>
        <w:t>;</w:t>
      </w:r>
    </w:p>
    <w:p>
      <w:pPr>
        <w:spacing w:after="0" w:line="246" w:lineRule="exact"/>
        <w:rPr>
          <w:rFonts w:ascii="Arial" w:cs="Arial" w:eastAsia="Arial" w:hAnsi="Arial"/>
          <w:sz w:val="16"/>
          <w:szCs w:val="16"/>
          <w:color w:val="auto"/>
        </w:rPr>
      </w:pPr>
    </w:p>
    <w:p>
      <w:pPr>
        <w:jc w:val="both"/>
        <w:ind w:right="20" w:firstLine="1299"/>
        <w:spacing w:after="0" w:line="262" w:lineRule="auto"/>
        <w:tabs>
          <w:tab w:leader="none" w:pos="206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approve any Budget, or modify or amend any existing Budget if such modification or amendment, taken together with any other modifications or amendments for such Budget, would result in an increase to the previously-allocated aggregate budget amount for such period by an amount greater than 20% of such Budget;</w:t>
      </w:r>
    </w:p>
    <w:p>
      <w:pPr>
        <w:spacing w:after="0" w:line="183" w:lineRule="exact"/>
        <w:rPr>
          <w:rFonts w:ascii="Arial" w:cs="Arial" w:eastAsia="Arial" w:hAnsi="Arial"/>
          <w:sz w:val="18"/>
          <w:szCs w:val="18"/>
          <w:color w:val="auto"/>
        </w:rPr>
      </w:pPr>
    </w:p>
    <w:p>
      <w:pPr>
        <w:ind w:firstLine="1299"/>
        <w:spacing w:after="0" w:line="275" w:lineRule="auto"/>
        <w:tabs>
          <w:tab w:leader="none" w:pos="207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71" w:lineRule="exact"/>
        <w:rPr>
          <w:rFonts w:ascii="Arial" w:cs="Arial" w:eastAsia="Arial" w:hAnsi="Arial"/>
          <w:sz w:val="18"/>
          <w:szCs w:val="18"/>
          <w:color w:val="auto"/>
        </w:rPr>
      </w:pPr>
    </w:p>
    <w:p>
      <w:pPr>
        <w:jc w:val="both"/>
        <w:ind w:firstLine="1299"/>
        <w:spacing w:after="0" w:line="262" w:lineRule="auto"/>
        <w:tabs>
          <w:tab w:leader="none" w:pos="206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05" w:name="page306"/>
    <w:bookmarkEnd w:id="305"/>
    <w:p>
      <w:pPr>
        <w:ind w:right="20" w:firstLine="1299"/>
        <w:spacing w:after="0" w:line="275" w:lineRule="auto"/>
        <w:tabs>
          <w:tab w:leader="none" w:pos="207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71" w:lineRule="exact"/>
        <w:rPr>
          <w:rFonts w:ascii="Arial" w:cs="Arial" w:eastAsia="Arial" w:hAnsi="Arial"/>
          <w:sz w:val="18"/>
          <w:szCs w:val="18"/>
          <w:color w:val="auto"/>
        </w:rPr>
      </w:pPr>
    </w:p>
    <w:p>
      <w:pPr>
        <w:ind w:firstLine="1299"/>
        <w:spacing w:after="0" w:line="275" w:lineRule="auto"/>
        <w:tabs>
          <w:tab w:leader="none" w:pos="206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incur any aggregate indebtedness in excess of $1,000,000 that is not already included in the Budget, other than trade credit incurred in the ordinary course of business;</w:t>
      </w:r>
    </w:p>
    <w:p>
      <w:pPr>
        <w:spacing w:after="0" w:line="171" w:lineRule="exact"/>
        <w:rPr>
          <w:rFonts w:ascii="Arial" w:cs="Arial" w:eastAsia="Arial" w:hAnsi="Arial"/>
          <w:sz w:val="18"/>
          <w:szCs w:val="18"/>
          <w:color w:val="auto"/>
        </w:rPr>
      </w:pPr>
    </w:p>
    <w:p>
      <w:pPr>
        <w:ind w:firstLine="1299"/>
        <w:spacing w:after="0" w:line="275" w:lineRule="auto"/>
        <w:tabs>
          <w:tab w:leader="none" w:pos="206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enter into any agreement or transaction with any executive officer, director or stockholder of the Company, or any of their respective Affiliates, except for compensation arrangements with employees in the ordinary course of business;</w:t>
      </w:r>
    </w:p>
    <w:p>
      <w:pPr>
        <w:spacing w:after="0" w:line="171" w:lineRule="exact"/>
        <w:rPr>
          <w:rFonts w:ascii="Arial" w:cs="Arial" w:eastAsia="Arial" w:hAnsi="Arial"/>
          <w:sz w:val="18"/>
          <w:szCs w:val="18"/>
          <w:color w:val="auto"/>
        </w:rPr>
      </w:pPr>
    </w:p>
    <w:p>
      <w:pPr>
        <w:ind w:firstLine="1299"/>
        <w:spacing w:after="0" w:line="275" w:lineRule="auto"/>
        <w:tabs>
          <w:tab w:leader="none" w:pos="20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hire, terminate, or change the compensation of the executive officers, including approving any option grants or stock awards to the Chief Executive Officer or the Chief Financial Officer; or</w:t>
      </w:r>
    </w:p>
    <w:p>
      <w:pPr>
        <w:spacing w:after="0" w:line="171" w:lineRule="exact"/>
        <w:rPr>
          <w:rFonts w:ascii="Arial" w:cs="Arial" w:eastAsia="Arial" w:hAnsi="Arial"/>
          <w:sz w:val="18"/>
          <w:szCs w:val="18"/>
          <w:color w:val="auto"/>
        </w:rPr>
      </w:pPr>
    </w:p>
    <w:p>
      <w:pPr>
        <w:ind w:left="2080" w:hanging="781"/>
        <w:spacing w:after="0"/>
        <w:tabs>
          <w:tab w:leader="none" w:pos="2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enter any agreement or commitment to do any of the foregoing.</w:t>
      </w:r>
    </w:p>
    <w:p>
      <w:pPr>
        <w:spacing w:after="0" w:line="223" w:lineRule="exact"/>
        <w:rPr>
          <w:sz w:val="20"/>
          <w:szCs w:val="20"/>
          <w:color w:val="auto"/>
        </w:rPr>
      </w:pPr>
    </w:p>
    <w:p>
      <w:pPr>
        <w:jc w:val="both"/>
        <w:ind w:firstLine="1291"/>
        <w:spacing w:after="0" w:line="262"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Board Matters</w:t>
      </w:r>
      <w:r>
        <w:rPr>
          <w:rFonts w:ascii="Arial" w:cs="Arial" w:eastAsia="Arial" w:hAnsi="Arial"/>
          <w:sz w:val="18"/>
          <w:szCs w:val="18"/>
          <w:color w:val="auto"/>
        </w:rPr>
        <w:t>. The Board shall meet at least quarterly in accordance with an agreed-upon schedule. The Company shall reimburse the Preferred Directors for all reasonable out-of-pocket travel expenses incurred (consistent with the Company’s travel policy) in connection with attending meetings of the Board.</w:t>
      </w:r>
    </w:p>
    <w:p>
      <w:pPr>
        <w:spacing w:after="0" w:line="183" w:lineRule="exact"/>
        <w:rPr>
          <w:sz w:val="20"/>
          <w:szCs w:val="20"/>
          <w:color w:val="auto"/>
        </w:rPr>
      </w:pPr>
    </w:p>
    <w:p>
      <w:pPr>
        <w:jc w:val="both"/>
        <w:ind w:firstLine="1291"/>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Expenses of Counsel</w:t>
      </w:r>
      <w:r>
        <w:rPr>
          <w:rFonts w:ascii="Arial" w:cs="Arial" w:eastAsia="Arial" w:hAnsi="Arial"/>
          <w:sz w:val="16"/>
          <w:szCs w:val="16"/>
          <w:color w:val="auto"/>
        </w:rPr>
        <w:t>. In the event of a transaction which is a Sale of the Company (as defined in the Voting Agreement of even date herewith among the Investors and the Company), the reasonable fees and disbursements, not to exceed $50,000, of one counsel for the Major Investors (“</w:t>
      </w:r>
      <w:r>
        <w:rPr>
          <w:rFonts w:ascii="Arial" w:cs="Arial" w:eastAsia="Arial" w:hAnsi="Arial"/>
          <w:sz w:val="16"/>
          <w:szCs w:val="16"/>
          <w:b w:val="1"/>
          <w:bCs w:val="1"/>
          <w:color w:val="auto"/>
        </w:rPr>
        <w:t>Investor Counsel</w:t>
      </w:r>
      <w:r>
        <w:rPr>
          <w:rFonts w:ascii="Arial" w:cs="Arial" w:eastAsia="Arial" w:hAnsi="Arial"/>
          <w:sz w:val="16"/>
          <w:szCs w:val="16"/>
          <w:color w:val="auto"/>
        </w:rPr>
        <w:t>”), in their capacities as stockholders, shall be borne and paid by the 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(1)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(1)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06" w:name="page307"/>
    <w:bookmarkEnd w:id="306"/>
    <w:p>
      <w:pPr>
        <w:ind w:firstLine="1291"/>
        <w:spacing w:after="0" w:line="290"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one (1) or more of the directors nominated to serve on the Board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w:t>
      </w:r>
    </w:p>
    <w:p>
      <w:pPr>
        <w:jc w:val="both"/>
        <w:ind w:firstLine="8"/>
        <w:spacing w:after="0" w:line="266" w:lineRule="auto"/>
        <w:tabs>
          <w:tab w:leader="none" w:pos="26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or more of the Investors and certain of their affiliates (collectively, the “</w:t>
      </w:r>
      <w:r>
        <w:rPr>
          <w:rFonts w:ascii="Arial" w:cs="Arial" w:eastAsia="Arial" w:hAnsi="Arial"/>
          <w:sz w:val="17"/>
          <w:szCs w:val="17"/>
          <w:b w:val="1"/>
          <w:bCs w:val="1"/>
          <w:color w:val="auto"/>
        </w:rPr>
        <w:t>Fund Indemnitors</w:t>
      </w:r>
      <w:r>
        <w:rPr>
          <w:rFonts w:ascii="Arial" w:cs="Arial" w:eastAsia="Arial" w:hAnsi="Arial"/>
          <w:sz w:val="17"/>
          <w:szCs w:val="17"/>
          <w:color w:val="auto"/>
        </w:rPr>
        <w:t>”). The Company hereby agrees (a) that it is the indemnitor of first resort (</w:t>
      </w:r>
      <w:r>
        <w:rPr>
          <w:rFonts w:ascii="Arial" w:cs="Arial" w:eastAsia="Arial" w:hAnsi="Arial"/>
          <w:sz w:val="17"/>
          <w:szCs w:val="17"/>
          <w:i w:val="1"/>
          <w:iCs w:val="1"/>
          <w:color w:val="auto"/>
        </w:rPr>
        <w:t>i.e.</w:t>
      </w:r>
      <w:r>
        <w:rPr>
          <w:rFonts w:ascii="Arial" w:cs="Arial" w:eastAsia="Arial" w:hAnsi="Arial"/>
          <w:sz w:val="17"/>
          <w:szCs w:val="17"/>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85" w:lineRule="exact"/>
        <w:rPr>
          <w:sz w:val="20"/>
          <w:szCs w:val="20"/>
          <w:color w:val="auto"/>
        </w:rPr>
      </w:pPr>
    </w:p>
    <w:p>
      <w:pPr>
        <w:jc w:val="both"/>
        <w:ind w:firstLine="1291"/>
        <w:spacing w:after="0" w:line="267"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Right to Conduct Activities</w:t>
      </w:r>
      <w:r>
        <w:rPr>
          <w:rFonts w:ascii="Arial" w:cs="Arial" w:eastAsia="Arial" w:hAnsi="Arial"/>
          <w:sz w:val="17"/>
          <w:szCs w:val="17"/>
          <w:color w:val="auto"/>
        </w:rPr>
        <w:t>. The Company hereby agrees and acknowledges that each of Casdin, Bayer, Versant, FCDI, MW XO Health Innovations Fund, LP (“</w:t>
      </w:r>
      <w:r>
        <w:rPr>
          <w:rFonts w:ascii="Arial" w:cs="Arial" w:eastAsia="Arial" w:hAnsi="Arial"/>
          <w:sz w:val="17"/>
          <w:szCs w:val="17"/>
          <w:b w:val="1"/>
          <w:bCs w:val="1"/>
          <w:color w:val="auto"/>
        </w:rPr>
        <w:t>MW</w:t>
      </w:r>
      <w:r>
        <w:rPr>
          <w:rFonts w:ascii="Arial" w:cs="Arial" w:eastAsia="Arial" w:hAnsi="Arial"/>
          <w:sz w:val="17"/>
          <w:szCs w:val="17"/>
          <w:color w:val="auto"/>
        </w:rPr>
        <w:t>”), The Biotech Growth Trust PLC and OrbiMed Genesis Master Fund, L.P. (collectively, “</w:t>
      </w:r>
      <w:r>
        <w:rPr>
          <w:rFonts w:ascii="Arial" w:cs="Arial" w:eastAsia="Arial" w:hAnsi="Arial"/>
          <w:sz w:val="17"/>
          <w:szCs w:val="17"/>
          <w:b w:val="1"/>
          <w:bCs w:val="1"/>
          <w:color w:val="auto"/>
        </w:rPr>
        <w:t>OrbiMed</w:t>
      </w:r>
      <w:r>
        <w:rPr>
          <w:rFonts w:ascii="Arial" w:cs="Arial" w:eastAsia="Arial" w:hAnsi="Arial"/>
          <w:sz w:val="17"/>
          <w:szCs w:val="17"/>
          <w:color w:val="auto"/>
        </w:rPr>
        <w:t>”), TNY Holdings Limited (“</w:t>
      </w:r>
      <w:r>
        <w:rPr>
          <w:rFonts w:ascii="Arial" w:cs="Arial" w:eastAsia="Arial" w:hAnsi="Arial"/>
          <w:sz w:val="17"/>
          <w:szCs w:val="17"/>
          <w:b w:val="1"/>
          <w:bCs w:val="1"/>
          <w:color w:val="auto"/>
        </w:rPr>
        <w:t>H Investor</w:t>
      </w:r>
      <w:r>
        <w:rPr>
          <w:rFonts w:ascii="Arial" w:cs="Arial" w:eastAsia="Arial" w:hAnsi="Arial"/>
          <w:sz w:val="17"/>
          <w:szCs w:val="17"/>
          <w:color w:val="auto"/>
        </w:rPr>
        <w:t>”) RA Capital Management L.P. (“</w:t>
      </w:r>
      <w:r>
        <w:rPr>
          <w:rFonts w:ascii="Arial" w:cs="Arial" w:eastAsia="Arial" w:hAnsi="Arial"/>
          <w:sz w:val="17"/>
          <w:szCs w:val="17"/>
          <w:b w:val="1"/>
          <w:bCs w:val="1"/>
          <w:color w:val="auto"/>
        </w:rPr>
        <w:t>RA Capital</w:t>
      </w:r>
      <w:r>
        <w:rPr>
          <w:rFonts w:ascii="Arial" w:cs="Arial" w:eastAsia="Arial" w:hAnsi="Arial"/>
          <w:sz w:val="17"/>
          <w:szCs w:val="17"/>
          <w:color w:val="auto"/>
        </w:rPr>
        <w:t>”), (together with each of their respective Affiliates) are professional investment funds, and as such invest in numerous portfolio companies, some of which may be deemed competitive with the Company’s business (as currently conducted or as currently proposed to be conducted). The Company hereby agrees that, to the extent permitted under applicable law, none of Casdin, Bayer, Versant, FCDI, MW, OrbiMed, H Investor nor RA Capital shall be liable to the Company for any claim arising out of, or based upon, (i) the investment by Casdin or its Affiliates, Bayer or its Affiliates, Versant or its Affiliates, FCDI or its Affiliates, MW or its Affiliates, OrbiMed or its Affiliates, H Investor or its Affiliates or RA Capital or its Affiliates, as applicable, in any entity competitive with the Company, or (ii) actions taken by any partner, officer or other representative of Casdin or its Affiliates, Bayer or its Affiliates, Versant or its Affiliates, FCDI or its Affiliates, MW or its Affiliates, OrbiMed or its Affiliates, H Investor or its Affiliates or RA Capital or its Affiliates, as applicable,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or (y) any director or officer of the Company from any liability associated with his or her fiduciary duties to the Company.</w:t>
      </w:r>
    </w:p>
    <w:p>
      <w:pPr>
        <w:spacing w:after="0" w:line="184" w:lineRule="exact"/>
        <w:rPr>
          <w:sz w:val="20"/>
          <w:szCs w:val="20"/>
          <w:color w:val="auto"/>
        </w:rPr>
      </w:pPr>
    </w:p>
    <w:p>
      <w:pPr>
        <w:jc w:val="both"/>
        <w:ind w:firstLine="1291"/>
        <w:spacing w:after="0" w:line="275"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Business of the Company</w:t>
      </w:r>
      <w:r>
        <w:rPr>
          <w:rFonts w:ascii="Arial" w:cs="Arial" w:eastAsia="Arial" w:hAnsi="Arial"/>
          <w:sz w:val="18"/>
          <w:szCs w:val="18"/>
          <w:color w:val="auto"/>
        </w:rPr>
        <w:t>. The Investors and the Company agree that the business and purpose of the Company will be the development and commercialization of cancer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t>immunotherapy products based on human iPSC manufactured by FCDI or its Affiliates (including TiPSC-derived T/NK cells).</w:t>
      </w:r>
    </w:p>
    <w:p>
      <w:pPr>
        <w:spacing w:after="0" w:line="223" w:lineRule="exact"/>
        <w:rPr>
          <w:sz w:val="20"/>
          <w:szCs w:val="20"/>
          <w:color w:val="auto"/>
        </w:rPr>
      </w:pPr>
    </w:p>
    <w:p>
      <w:pPr>
        <w:jc w:val="both"/>
        <w:ind w:firstLine="1291"/>
        <w:spacing w:after="0" w:line="289"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Real Property Holding Corporation</w:t>
      </w:r>
      <w:r>
        <w:rPr>
          <w:rFonts w:ascii="Arial" w:cs="Arial" w:eastAsia="Arial" w:hAnsi="Arial"/>
          <w:sz w:val="16"/>
          <w:szCs w:val="16"/>
          <w:color w:val="auto"/>
        </w:rPr>
        <w:t>. Promptly following (and in any event within ten (10) days after receipt of) written request by a non-U.S. Investor, the Company shall provide such Investor with a written statement informing such Investor whether such Investor’s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obligation to furnish such written statement shall continue notwithstanding the fact that a class of the Company’s stock may be regularly traded on an established securities market or the fact that there is no Preferred Stock then outstanding; provided that no written statement shall be provided to an Investor who, within prior the 5-year period, holds five percent (5%) or less of any class of stock that is regularly traded on an established securities market.</w:t>
      </w:r>
    </w:p>
    <w:p>
      <w:pPr>
        <w:spacing w:after="0" w:line="165" w:lineRule="exact"/>
        <w:rPr>
          <w:sz w:val="20"/>
          <w:szCs w:val="20"/>
          <w:color w:val="auto"/>
        </w:rPr>
      </w:pPr>
    </w:p>
    <w:p>
      <w:pPr>
        <w:jc w:val="both"/>
        <w:ind w:firstLine="1291"/>
        <w:spacing w:after="0" w:line="262"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No Use of Trademarks or Logos</w:t>
      </w:r>
      <w:r>
        <w:rPr>
          <w:rFonts w:ascii="Arial" w:cs="Arial" w:eastAsia="Arial" w:hAnsi="Arial"/>
          <w:sz w:val="18"/>
          <w:szCs w:val="18"/>
          <w:color w:val="auto"/>
        </w:rPr>
        <w:t>. Without the prior written consent of H Investor, neither the Company nor any of its Affiliates shall use, publish, reproduce, or refer to H Investor, its related parties, controlling persons, or any similar name, trademark or logo in any non-internal discussion, documents or materials, including without limitation for marketing, advertising or publicity purposes.</w:t>
      </w:r>
    </w:p>
    <w:p>
      <w:pPr>
        <w:spacing w:after="0" w:line="183" w:lineRule="exact"/>
        <w:rPr>
          <w:sz w:val="20"/>
          <w:szCs w:val="20"/>
          <w:color w:val="auto"/>
        </w:rPr>
      </w:pPr>
    </w:p>
    <w:p>
      <w:pPr>
        <w:jc w:val="both"/>
        <w:ind w:firstLine="1291"/>
        <w:spacing w:after="0" w:line="256"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Sections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4.14</w:t>
      </w:r>
      <w:r>
        <w:rPr>
          <w:rFonts w:ascii="Arial" w:cs="Arial" w:eastAsia="Arial" w:hAnsi="Arial"/>
          <w:sz w:val="18"/>
          <w:szCs w:val="18"/>
          <w:color w:val="auto"/>
        </w:rPr>
        <w:t xml:space="preserve">, or as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4.5</w:t>
      </w:r>
      <w:r>
        <w:rPr>
          <w:rFonts w:ascii="Arial" w:cs="Arial" w:eastAsia="Arial" w:hAnsi="Arial"/>
          <w:sz w:val="18"/>
          <w:szCs w:val="18"/>
          <w:color w:val="auto"/>
        </w:rPr>
        <w:t>, shall terminate and be of no further force or effect (i) immediately before the consummation an IPO, (ii) when the Company first becomes subject to the periodic reporting requirements of Section 12(g) or 15(d) of the Exchange Act or (iii) upon the consummation of a Deemed Liquidation Event, but only after fulfillment of the obligations set forth under Article Fourth, Part B, Section 2.3.2 of the Certificate of Incorporation in connection with such Deemed Liquidation Event, whichever event occurs first.</w:t>
      </w:r>
    </w:p>
    <w:p>
      <w:pPr>
        <w:spacing w:after="0" w:line="188" w:lineRule="exact"/>
        <w:rPr>
          <w:sz w:val="20"/>
          <w:szCs w:val="20"/>
          <w:color w:val="auto"/>
        </w:rPr>
      </w:pPr>
    </w:p>
    <w:p>
      <w:pPr>
        <w:ind w:left="1440" w:hanging="787"/>
        <w:spacing w:after="0"/>
        <w:tabs>
          <w:tab w:leader="none" w:pos="144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Tag-Along Rights</w:t>
      </w:r>
      <w:r>
        <w:rPr>
          <w:rFonts w:ascii="Arial" w:cs="Arial" w:eastAsia="Arial" w:hAnsi="Arial"/>
          <w:sz w:val="18"/>
          <w:szCs w:val="18"/>
          <w:color w:val="auto"/>
        </w:rPr>
        <w:t>.</w:t>
      </w:r>
    </w:p>
    <w:p>
      <w:pPr>
        <w:spacing w:after="0" w:line="219" w:lineRule="exact"/>
        <w:rPr>
          <w:sz w:val="20"/>
          <w:szCs w:val="20"/>
          <w:color w:val="auto"/>
        </w:rPr>
      </w:pPr>
    </w:p>
    <w:p>
      <w:pPr>
        <w:jc w:val="both"/>
        <w:ind w:firstLine="1291"/>
        <w:spacing w:after="0" w:line="254" w:lineRule="auto"/>
        <w:rPr>
          <w:sz w:val="20"/>
          <w:szCs w:val="20"/>
          <w:color w:val="auto"/>
        </w:rPr>
      </w:pPr>
      <w:r>
        <w:rPr>
          <w:rFonts w:ascii="Arial" w:cs="Arial" w:eastAsia="Arial" w:hAnsi="Arial"/>
          <w:sz w:val="18"/>
          <w:szCs w:val="18"/>
          <w:color w:val="auto"/>
        </w:rPr>
        <w:t>5.1 In the event one or more Investors (referred to as the “</w:t>
      </w:r>
      <w:r>
        <w:rPr>
          <w:rFonts w:ascii="Arial" w:cs="Arial" w:eastAsia="Arial" w:hAnsi="Arial"/>
          <w:sz w:val="18"/>
          <w:szCs w:val="18"/>
          <w:b w:val="1"/>
          <w:bCs w:val="1"/>
          <w:color w:val="auto"/>
        </w:rPr>
        <w:t>Concerned Party</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agrees to sell or transfer (a “</w:t>
      </w:r>
      <w:r>
        <w:rPr>
          <w:rFonts w:ascii="Arial" w:cs="Arial" w:eastAsia="Arial" w:hAnsi="Arial"/>
          <w:sz w:val="18"/>
          <w:szCs w:val="18"/>
          <w:b w:val="1"/>
          <w:bCs w:val="1"/>
          <w:color w:val="auto"/>
        </w:rPr>
        <w:t>Transfer</w:t>
      </w:r>
      <w:r>
        <w:rPr>
          <w:rFonts w:ascii="Arial" w:cs="Arial" w:eastAsia="Arial" w:hAnsi="Arial"/>
          <w:sz w:val="18"/>
          <w:szCs w:val="18"/>
          <w:color w:val="auto"/>
        </w:rPr>
        <w:t>”) any shares of Common Stock or Preferred Stock (collectively, “</w:t>
      </w:r>
      <w:r>
        <w:rPr>
          <w:rFonts w:ascii="Arial" w:cs="Arial" w:eastAsia="Arial" w:hAnsi="Arial"/>
          <w:sz w:val="18"/>
          <w:szCs w:val="18"/>
          <w:b w:val="1"/>
          <w:bCs w:val="1"/>
          <w:color w:val="auto"/>
        </w:rPr>
        <w:t>Securities</w:t>
      </w:r>
      <w:r>
        <w:rPr>
          <w:rFonts w:ascii="Arial" w:cs="Arial" w:eastAsia="Arial" w:hAnsi="Arial"/>
          <w:sz w:val="18"/>
          <w:szCs w:val="18"/>
          <w:color w:val="auto"/>
        </w:rPr>
        <w:t>”) to a third party (other than an Affiliate of such Investor) acting alone or in concert (referred to as the “</w:t>
      </w:r>
      <w:r>
        <w:rPr>
          <w:rFonts w:ascii="Arial" w:cs="Arial" w:eastAsia="Arial" w:hAnsi="Arial"/>
          <w:sz w:val="18"/>
          <w:szCs w:val="18"/>
          <w:b w:val="1"/>
          <w:bCs w:val="1"/>
          <w:color w:val="auto"/>
        </w:rPr>
        <w:t>Acquiror</w:t>
      </w:r>
      <w:r>
        <w:rPr>
          <w:rFonts w:ascii="Arial" w:cs="Arial" w:eastAsia="Arial" w:hAnsi="Arial"/>
          <w:sz w:val="18"/>
          <w:szCs w:val="18"/>
          <w:color w:val="auto"/>
        </w:rPr>
        <w:t xml:space="preserve">” in this </w:t>
      </w:r>
      <w:r>
        <w:rPr>
          <w:rFonts w:ascii="Arial" w:cs="Arial" w:eastAsia="Arial" w:hAnsi="Arial"/>
          <w:sz w:val="18"/>
          <w:szCs w:val="18"/>
          <w:u w:val="single" w:color="auto"/>
          <w:color w:val="auto"/>
        </w:rPr>
        <w:t>Section 5</w:t>
      </w:r>
      <w:r>
        <w:rPr>
          <w:rFonts w:ascii="Arial" w:cs="Arial" w:eastAsia="Arial" w:hAnsi="Arial"/>
          <w:sz w:val="18"/>
          <w:szCs w:val="18"/>
          <w:color w:val="auto"/>
        </w:rPr>
        <w:t>), in a single Transfer or a series of related Transfers, and as a result of such Transfer, the Acquiror would hold, immediately or on a due date, more than fifty percent (50%) of the outstanding Securities of the Company on an as-converted basis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then the other Investors (hereafter referred to as the “</w:t>
      </w:r>
      <w:r>
        <w:rPr>
          <w:rFonts w:ascii="Arial" w:cs="Arial" w:eastAsia="Arial" w:hAnsi="Arial"/>
          <w:sz w:val="18"/>
          <w:szCs w:val="18"/>
          <w:b w:val="1"/>
          <w:bCs w:val="1"/>
          <w:color w:val="auto"/>
        </w:rPr>
        <w:t>Non-Concerned Parties</w:t>
      </w:r>
      <w:r>
        <w:rPr>
          <w:rFonts w:ascii="Arial" w:cs="Arial" w:eastAsia="Arial" w:hAnsi="Arial"/>
          <w:sz w:val="18"/>
          <w:szCs w:val="18"/>
          <w:color w:val="auto"/>
        </w:rPr>
        <w:t>”) shall have a full tag-along right, pursuant to which each of the Non-Concerned Parties may transfer to the Acquiror all of its Securities on the same terms and conditions as offered by the Acquiror to the Concerned Party.</w:t>
      </w:r>
    </w:p>
    <w:p>
      <w:pPr>
        <w:spacing w:after="0" w:line="193" w:lineRule="exact"/>
        <w:rPr>
          <w:sz w:val="20"/>
          <w:szCs w:val="20"/>
          <w:color w:val="auto"/>
        </w:rPr>
      </w:pPr>
    </w:p>
    <w:p>
      <w:pPr>
        <w:jc w:val="both"/>
        <w:ind w:firstLine="1291"/>
        <w:spacing w:after="0" w:line="306" w:lineRule="auto"/>
        <w:rPr>
          <w:sz w:val="20"/>
          <w:szCs w:val="20"/>
          <w:color w:val="auto"/>
        </w:rPr>
      </w:pPr>
      <w:r>
        <w:rPr>
          <w:rFonts w:ascii="Arial" w:cs="Arial" w:eastAsia="Arial" w:hAnsi="Arial"/>
          <w:sz w:val="17"/>
          <w:szCs w:val="17"/>
          <w:color w:val="auto"/>
        </w:rPr>
        <w:t>5.2 Accordingly, prior to completing the Transfer of any or all of its Securities to an Acquiror and as a condition of entering into any binding commitment in respect of such Transfer, the Concerned Party shall secure the Acquiror’s irrevocable undertaking to purchase 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08" w:name="page309"/>
    <w:bookmarkEnd w:id="308"/>
    <w:p>
      <w:pPr>
        <w:jc w:val="both"/>
        <w:ind w:right="20"/>
        <w:spacing w:after="0" w:line="275" w:lineRule="auto"/>
        <w:rPr>
          <w:sz w:val="20"/>
          <w:szCs w:val="20"/>
          <w:color w:val="auto"/>
        </w:rPr>
      </w:pPr>
      <w:r>
        <w:rPr>
          <w:rFonts w:ascii="Arial" w:cs="Arial" w:eastAsia="Arial" w:hAnsi="Arial"/>
          <w:sz w:val="18"/>
          <w:szCs w:val="18"/>
          <w:color w:val="auto"/>
        </w:rPr>
        <w:t>such Securities of the Non-Concerned Parties that they may wish to sell, on the same terms and conditions as offered by the Acquiror to the Concerned Party.</w:t>
      </w:r>
    </w:p>
    <w:p>
      <w:pPr>
        <w:spacing w:after="0" w:line="171" w:lineRule="exact"/>
        <w:rPr>
          <w:sz w:val="20"/>
          <w:szCs w:val="20"/>
          <w:color w:val="auto"/>
        </w:rPr>
      </w:pPr>
    </w:p>
    <w:p>
      <w:pPr>
        <w:jc w:val="both"/>
        <w:ind w:firstLine="1291"/>
        <w:spacing w:after="0" w:line="258" w:lineRule="auto"/>
        <w:rPr>
          <w:sz w:val="20"/>
          <w:szCs w:val="20"/>
          <w:color w:val="auto"/>
        </w:rPr>
      </w:pPr>
      <w:r>
        <w:rPr>
          <w:rFonts w:ascii="Arial" w:cs="Arial" w:eastAsia="Arial" w:hAnsi="Arial"/>
          <w:sz w:val="18"/>
          <w:szCs w:val="18"/>
          <w:color w:val="auto"/>
        </w:rPr>
        <w:t xml:space="preserve">5.3 In the circumstances referred to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above, the Concerned Party shall provide written notice to the Company, which will then provide written notice to each of the Non-Concerned Parties (a “</w:t>
      </w:r>
      <w:r>
        <w:rPr>
          <w:rFonts w:ascii="Arial" w:cs="Arial" w:eastAsia="Arial" w:hAnsi="Arial"/>
          <w:sz w:val="18"/>
          <w:szCs w:val="18"/>
          <w:b w:val="1"/>
          <w:bCs w:val="1"/>
          <w:color w:val="auto"/>
        </w:rPr>
        <w:t>Proposed Transfer Notice</w:t>
      </w:r>
      <w:r>
        <w:rPr>
          <w:rFonts w:ascii="Arial" w:cs="Arial" w:eastAsia="Arial" w:hAnsi="Arial"/>
          <w:sz w:val="18"/>
          <w:szCs w:val="18"/>
          <w:color w:val="auto"/>
        </w:rPr>
        <w:t xml:space="preserve">”), of the proposed Transfer by the Concerned Party of Securities to the Acquiror, the terms and conditions of such proposed Transfer, and that the Non-Concerned Parties may exercise their full tag-along right provided for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with respect to such proposed Transfer.</w:t>
      </w:r>
    </w:p>
    <w:p>
      <w:pPr>
        <w:spacing w:after="0" w:line="186" w:lineRule="exact"/>
        <w:rPr>
          <w:sz w:val="20"/>
          <w:szCs w:val="20"/>
          <w:color w:val="auto"/>
        </w:rPr>
      </w:pPr>
    </w:p>
    <w:p>
      <w:pPr>
        <w:jc w:val="both"/>
        <w:ind w:firstLine="1291"/>
        <w:spacing w:after="0" w:line="275" w:lineRule="auto"/>
        <w:rPr>
          <w:sz w:val="20"/>
          <w:szCs w:val="20"/>
          <w:color w:val="auto"/>
        </w:rPr>
      </w:pPr>
      <w:r>
        <w:rPr>
          <w:rFonts w:ascii="Arial" w:cs="Arial" w:eastAsia="Arial" w:hAnsi="Arial"/>
          <w:sz w:val="18"/>
          <w:szCs w:val="18"/>
          <w:color w:val="auto"/>
        </w:rPr>
        <w:t>5.4 Each Non-Concerned Party shall have a period of thirty (30) days from receipt of the Proposed Transfer Notice to exercise their full tag-along right in accordance with the following terms and conditions:</w:t>
      </w:r>
    </w:p>
    <w:p>
      <w:pPr>
        <w:spacing w:after="0" w:line="171" w:lineRule="exact"/>
        <w:rPr>
          <w:sz w:val="20"/>
          <w:szCs w:val="20"/>
          <w:color w:val="auto"/>
        </w:rPr>
      </w:pPr>
    </w:p>
    <w:p>
      <w:pPr>
        <w:ind w:firstLine="1945"/>
        <w:spacing w:after="0" w:line="306" w:lineRule="auto"/>
        <w:tabs>
          <w:tab w:leader="none" w:pos="2719"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If a Non-Concerned Party wishes to exercise its full tag-along right, they shall notify the Concerned Party, prior to the expiration of the thirty (30)-day period referred to above, of the number of Securities that they own and wish to transfer (the “</w:t>
      </w:r>
      <w:r>
        <w:rPr>
          <w:rFonts w:ascii="Arial" w:cs="Arial" w:eastAsia="Arial" w:hAnsi="Arial"/>
          <w:sz w:val="17"/>
          <w:szCs w:val="17"/>
          <w:b w:val="1"/>
          <w:bCs w:val="1"/>
          <w:color w:val="auto"/>
        </w:rPr>
        <w:t>Offered Securities</w:t>
      </w:r>
      <w:r>
        <w:rPr>
          <w:rFonts w:ascii="Arial" w:cs="Arial" w:eastAsia="Arial" w:hAnsi="Arial"/>
          <w:sz w:val="17"/>
          <w:szCs w:val="17"/>
          <w:color w:val="auto"/>
        </w:rPr>
        <w:t>”).</w:t>
      </w:r>
    </w:p>
    <w:p>
      <w:pPr>
        <w:spacing w:after="0" w:line="147" w:lineRule="exact"/>
        <w:rPr>
          <w:rFonts w:ascii="Arial" w:cs="Arial" w:eastAsia="Arial" w:hAnsi="Arial"/>
          <w:sz w:val="17"/>
          <w:szCs w:val="17"/>
          <w:color w:val="auto"/>
        </w:rPr>
      </w:pPr>
    </w:p>
    <w:p>
      <w:pPr>
        <w:jc w:val="both"/>
        <w:ind w:firstLine="1945"/>
        <w:spacing w:after="0" w:line="256" w:lineRule="auto"/>
        <w:tabs>
          <w:tab w:leader="none" w:pos="27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In the event of exercise by any Non-Concerned Party of its full tag-along right, the terms and conditions of the proposed Transfer of the Offered Securities, including the purchase price per Security payable by the Acquiror for the Offered Securities, will be the same as offered by the Acquiror to the Concerned Party; the purchase price per Security so determined shall be based upon the total purchase price payable by the Acquiror with respect to all Securities to be acquired by the Acquiror in such transactions, which shall then be allocated among the Investors selling Securities to the Acquiror on a pro rata basis.</w:t>
      </w:r>
    </w:p>
    <w:p>
      <w:pPr>
        <w:spacing w:after="0" w:line="187" w:lineRule="exact"/>
        <w:rPr>
          <w:rFonts w:ascii="Arial" w:cs="Arial" w:eastAsia="Arial" w:hAnsi="Arial"/>
          <w:sz w:val="18"/>
          <w:szCs w:val="18"/>
          <w:color w:val="auto"/>
        </w:rPr>
      </w:pPr>
    </w:p>
    <w:p>
      <w:pPr>
        <w:jc w:val="both"/>
        <w:ind w:firstLine="1945"/>
        <w:spacing w:after="0" w:line="254" w:lineRule="auto"/>
        <w:tabs>
          <w:tab w:leader="none" w:pos="27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In the event of exercise by any of the Non-Concerned Parties of its full tag-along right, the Transfer of the Offered Securities shall take place within fifteen (15) days of the latter of (i) the expiration of the thirty (30)-day period provided for exercise of the full tag-along right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(ii) the date of receipt of all approvals and termination of all waiting periods, in each case, under applicable law in connection with such proposed Transfer. In order to ensure the purchase by the Acquiror of the Offered Securities and payment thereof within said period, the Concerned Party shall only transfer ownership of the Securities to the Acquiror and receive the price therefor if the Acquiror is simultaneously transferred ownership of, and pays the transfer price of, the Offered Securities.</w:t>
      </w:r>
    </w:p>
    <w:p>
      <w:pPr>
        <w:spacing w:after="0" w:line="192" w:lineRule="exact"/>
        <w:rPr>
          <w:rFonts w:ascii="Arial" w:cs="Arial" w:eastAsia="Arial" w:hAnsi="Arial"/>
          <w:sz w:val="18"/>
          <w:szCs w:val="18"/>
          <w:color w:val="auto"/>
        </w:rPr>
      </w:pPr>
    </w:p>
    <w:p>
      <w:pPr>
        <w:jc w:val="both"/>
        <w:ind w:firstLine="1945"/>
        <w:spacing w:after="0" w:line="278" w:lineRule="auto"/>
        <w:tabs>
          <w:tab w:leader="none" w:pos="2693" w:val="left"/>
        </w:tabs>
        <w:numPr>
          <w:ilvl w:val="1"/>
          <w:numId w:val="218"/>
        </w:numPr>
        <w:rPr>
          <w:rFonts w:ascii="Arial" w:cs="Arial" w:eastAsia="Arial" w:hAnsi="Arial"/>
          <w:sz w:val="17"/>
          <w:szCs w:val="17"/>
          <w:color w:val="auto"/>
        </w:rPr>
      </w:pPr>
      <w:r>
        <w:rPr>
          <w:rFonts w:ascii="Arial" w:cs="Arial" w:eastAsia="Arial" w:hAnsi="Arial"/>
          <w:sz w:val="17"/>
          <w:szCs w:val="17"/>
          <w:color w:val="auto"/>
        </w:rPr>
        <w:t xml:space="preserve">In the event that no Non-Concerned Party shall exercise its full tag-along right, the Concerned Party may proceed with the Transfer on the terms set forth in the Proposed Transfer Notice within thirty (30) days of the later of (i) the expiry of the full tag-along right exercise period and (ii) the date of receipt of any required governmental approvals for the consummation of the Transfer. Should the Concerned Party fail to complete such Transfer within such period, it shall be bound, prior to any Transfer of its Shares, to comply with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ind w:left="1440" w:hanging="787"/>
        <w:spacing w:after="0"/>
        <w:tabs>
          <w:tab w:leader="none" w:pos="144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3" w:lineRule="exact"/>
        <w:rPr>
          <w:sz w:val="20"/>
          <w:szCs w:val="20"/>
          <w:color w:val="auto"/>
        </w:rPr>
      </w:pPr>
    </w:p>
    <w:p>
      <w:pPr>
        <w:ind w:firstLine="1291"/>
        <w:spacing w:after="0" w:line="27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under this Agreement may be assigned (but only with all related obligations) by a Holder to a transferee of Registrable Securities that (i)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09" w:name="page310"/>
    <w:bookmarkEnd w:id="309"/>
    <w:p>
      <w:pPr>
        <w:jc w:val="both"/>
        <w:spacing w:after="0" w:line="287" w:lineRule="auto"/>
        <w:rPr>
          <w:sz w:val="20"/>
          <w:szCs w:val="20"/>
          <w:color w:val="auto"/>
        </w:rPr>
      </w:pPr>
      <w:r>
        <w:rPr>
          <w:rFonts w:ascii="Arial" w:cs="Arial" w:eastAsia="Arial" w:hAnsi="Arial"/>
          <w:sz w:val="16"/>
          <w:szCs w:val="16"/>
          <w:color w:val="auto"/>
        </w:rPr>
        <w:t xml:space="preserve">is an Affiliate of a Holder; (ii) is a Holder’s Immediate Family Member or trust for the benefit of an individual Holder or one (1) or more of such Holder’s Immediate Family Members; or (iii) after such transfer, holds at least 500,000 shares of Registrable Securities (subject to appropriate adjustment for stock splits, stock dividends, combinations, and other recapitalizations) or, if less, all of the Registrable Securities held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jc w:val="both"/>
        <w:ind w:firstLine="8"/>
        <w:spacing w:after="0" w:line="285" w:lineRule="auto"/>
        <w:tabs>
          <w:tab w:leader="none" w:pos="28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68" w:lineRule="exact"/>
        <w:rPr>
          <w:sz w:val="20"/>
          <w:szCs w:val="20"/>
          <w:color w:val="auto"/>
        </w:rPr>
      </w:pPr>
    </w:p>
    <w:p>
      <w:pPr>
        <w:jc w:val="both"/>
        <w:ind w:firstLine="1291"/>
        <w:spacing w:after="0" w:line="30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enforced in accordance with the laws of the state of Delaware, without regard to conflict of law principles that would result in the application of any law other than the law of the State of Delaware.</w:t>
      </w:r>
    </w:p>
    <w:p>
      <w:pPr>
        <w:spacing w:after="0" w:line="147" w:lineRule="exact"/>
        <w:rPr>
          <w:sz w:val="20"/>
          <w:szCs w:val="20"/>
          <w:color w:val="auto"/>
        </w:rPr>
      </w:pPr>
    </w:p>
    <w:p>
      <w:pPr>
        <w:jc w:val="both"/>
        <w:ind w:firstLine="1291"/>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r>
        <w:rPr>
          <w:rFonts w:ascii="Arial" w:cs="Arial" w:eastAsia="Arial" w:hAnsi="Arial"/>
          <w:sz w:val="18"/>
          <w:szCs w:val="18"/>
          <w:b w:val="1"/>
          <w:bCs w:val="1"/>
          <w:color w:val="auto"/>
        </w:rPr>
        <w:t>.</w:t>
      </w:r>
    </w:p>
    <w:p>
      <w:pPr>
        <w:spacing w:after="0" w:line="186" w:lineRule="exact"/>
        <w:rPr>
          <w:sz w:val="20"/>
          <w:szCs w:val="20"/>
          <w:color w:val="auto"/>
        </w:rPr>
      </w:pPr>
    </w:p>
    <w:p>
      <w:pPr>
        <w:jc w:val="both"/>
        <w:ind w:firstLine="1291"/>
        <w:spacing w:after="0" w:line="27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1" w:lineRule="exact"/>
        <w:rPr>
          <w:sz w:val="20"/>
          <w:szCs w:val="20"/>
          <w:color w:val="auto"/>
        </w:rPr>
      </w:pPr>
    </w:p>
    <w:p>
      <w:pPr>
        <w:jc w:val="both"/>
        <w:ind w:firstLine="1291"/>
        <w:spacing w:after="0" w:line="290"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actual receipt or: (a)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All communications shall be sent to the respective parties at their address or email address as set forth on the signature page or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such email address, facsimile number or address as subsequently modified by written notice given in accordance with this </w:t>
      </w:r>
      <w:r>
        <w:rPr>
          <w:rFonts w:ascii="Arial" w:cs="Arial" w:eastAsia="Arial" w:hAnsi="Arial"/>
          <w:sz w:val="16"/>
          <w:szCs w:val="16"/>
          <w:u w:val="single" w:color="auto"/>
          <w:color w:val="auto"/>
        </w:rPr>
        <w:t>Section 6.5</w:t>
      </w:r>
      <w:r>
        <w:rPr>
          <w:rFonts w:ascii="Arial" w:cs="Arial" w:eastAsia="Arial" w:hAnsi="Arial"/>
          <w:sz w:val="16"/>
          <w:szCs w:val="16"/>
          <w:color w:val="auto"/>
        </w:rPr>
        <w:t>. If notice is given to the Company, a copy (which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10" w:name="page311"/>
    <w:bookmarkEnd w:id="310"/>
    <w:p>
      <w:pPr>
        <w:jc w:val="both"/>
        <w:spacing w:after="0" w:line="258" w:lineRule="auto"/>
        <w:rPr>
          <w:sz w:val="20"/>
          <w:szCs w:val="20"/>
          <w:color w:val="auto"/>
        </w:rPr>
      </w:pPr>
      <w:r>
        <w:rPr>
          <w:rFonts w:ascii="Arial" w:cs="Arial" w:eastAsia="Arial" w:hAnsi="Arial"/>
          <w:sz w:val="18"/>
          <w:szCs w:val="18"/>
          <w:color w:val="auto"/>
        </w:rPr>
        <w:t>copy shall not constitute notice) shall also be sent to Troutman Pepper Hamilton Sanders LLP, 3000 Two Logan Square, Eighteenth and Arch Streets, Philadelphia, PA 19103-2799, Attn: Rachael M. Bushey, rachael.bushey@troutman.com; and i</w:t>
      </w:r>
      <w:r>
        <w:rPr>
          <w:rFonts w:ascii="Arial" w:cs="Arial" w:eastAsia="Arial" w:hAnsi="Arial"/>
          <w:sz w:val="18"/>
          <w:szCs w:val="18"/>
          <w:color w:val="231F20"/>
        </w:rPr>
        <w:t>f notice is given to Versant or its Affiliates, a copy (which</w:t>
      </w:r>
      <w:r>
        <w:rPr>
          <w:rFonts w:ascii="Arial" w:cs="Arial" w:eastAsia="Arial" w:hAnsi="Arial"/>
          <w:sz w:val="18"/>
          <w:szCs w:val="18"/>
          <w:color w:val="auto"/>
        </w:rPr>
        <w:t xml:space="preserve"> </w:t>
      </w:r>
      <w:r>
        <w:rPr>
          <w:rFonts w:ascii="Arial" w:cs="Arial" w:eastAsia="Arial" w:hAnsi="Arial"/>
          <w:sz w:val="18"/>
          <w:szCs w:val="18"/>
          <w:color w:val="231F20"/>
        </w:rPr>
        <w:t>shall not constitute notice) shall also be sent to Versant Venture Capital VI, L.P., One Sansome Street, Suite 3630, San Francisco, CA 94104, Attention: Robin L. Praeger.</w:t>
      </w:r>
    </w:p>
    <w:p>
      <w:pPr>
        <w:spacing w:after="0" w:line="186" w:lineRule="exact"/>
        <w:rPr>
          <w:sz w:val="20"/>
          <w:szCs w:val="20"/>
          <w:color w:val="auto"/>
        </w:rPr>
      </w:pPr>
    </w:p>
    <w:p>
      <w:pPr>
        <w:jc w:val="both"/>
        <w:ind w:firstLine="1291"/>
        <w:spacing w:after="0" w:line="28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voting as a separate class and on an as-converted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be deemed to be a waiver);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(i)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(ii) </w:t>
      </w:r>
      <w:r>
        <w:rPr>
          <w:rFonts w:ascii="Arial" w:cs="Arial" w:eastAsia="Arial" w:hAnsi="Arial"/>
          <w:sz w:val="16"/>
          <w:szCs w:val="16"/>
          <w:u w:val="single" w:color="auto"/>
          <w:color w:val="auto"/>
        </w:rPr>
        <w:t>Section 4.4(d)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may not be amended without the written consent of Bayer, (iii)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may not be amended without the written consent of Casdin, (iv)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may not be amended without the written consent of FCDI, (v)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may not be amended without the written consent of Versant, and (vi)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may not be amended without the written consent of each of MW, OrbiMed, H Investor and RA Capital, and (vii) this Agreement may not be amended to impose any additional restrictions on the rights of an Investor to transfer or dispose of, directly or indirectly, any securities issued by the Company without the written consent of Casdin, Bayer, FCDI and Versant.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383" w:lineRule="exact"/>
        <w:rPr>
          <w:sz w:val="20"/>
          <w:szCs w:val="20"/>
          <w:color w:val="auto"/>
        </w:rPr>
      </w:pPr>
    </w:p>
    <w:p>
      <w:pPr>
        <w:jc w:val="both"/>
        <w:ind w:firstLine="1291"/>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shall be held by a court of competent jurisdiction to be invalid, void, illegal or otherwise unenforceable for any reason whatsoever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spacing w:after="0" w:line="188" w:lineRule="exact"/>
        <w:rPr>
          <w:sz w:val="20"/>
          <w:szCs w:val="20"/>
          <w:color w:val="auto"/>
        </w:rPr>
      </w:pPr>
    </w:p>
    <w:p>
      <w:pPr>
        <w:jc w:val="both"/>
        <w:ind w:firstLine="1291"/>
        <w:spacing w:after="0" w:line="27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11" w:name="page312"/>
    <w:bookmarkEnd w:id="311"/>
    <w:p>
      <w:pPr>
        <w:jc w:val="both"/>
        <w:spacing w:after="0" w:line="262" w:lineRule="auto"/>
        <w:rPr>
          <w:sz w:val="20"/>
          <w:szCs w:val="20"/>
          <w:color w:val="auto"/>
        </w:rPr>
      </w:pPr>
      <w:r>
        <w:rPr>
          <w:rFonts w:ascii="Arial" w:cs="Arial" w:eastAsia="Arial" w:hAnsi="Arial"/>
          <w:sz w:val="18"/>
          <w:szCs w:val="18"/>
          <w:color w:val="auto"/>
        </w:rPr>
        <w:t>rights under this Agreement and such Affiliated persons may apportion such rights as among themselves in any manner they deem appropriate. Upon the effectiveness of this Agreement, the Prior Agreement shall be deemed amended and restated and superseded and replaced in its entirety by this Agreement, and shall be of no further force or effect.</w:t>
      </w:r>
    </w:p>
    <w:p>
      <w:pPr>
        <w:spacing w:after="0" w:line="183" w:lineRule="exact"/>
        <w:rPr>
          <w:sz w:val="20"/>
          <w:szCs w:val="20"/>
          <w:color w:val="auto"/>
        </w:rPr>
      </w:pPr>
    </w:p>
    <w:p>
      <w:pPr>
        <w:jc w:val="both"/>
        <w:ind w:firstLine="1291"/>
        <w:spacing w:after="0" w:line="262"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83" w:lineRule="exact"/>
        <w:rPr>
          <w:sz w:val="20"/>
          <w:szCs w:val="20"/>
          <w:color w:val="auto"/>
        </w:rPr>
      </w:pPr>
    </w:p>
    <w:p>
      <w:pPr>
        <w:jc w:val="both"/>
        <w:ind w:firstLine="1291"/>
        <w:spacing w:after="0" w:line="252"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Dispute Resolution</w:t>
      </w:r>
      <w:r>
        <w:rPr>
          <w:rFonts w:ascii="Arial" w:cs="Arial" w:eastAsia="Arial" w:hAnsi="Arial"/>
          <w:sz w:val="18"/>
          <w:szCs w:val="18"/>
          <w:color w:val="auto"/>
        </w:rPr>
        <w:t>. 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94" w:lineRule="exact"/>
        <w:rPr>
          <w:sz w:val="20"/>
          <w:szCs w:val="20"/>
          <w:color w:val="auto"/>
        </w:rPr>
      </w:pPr>
    </w:p>
    <w:p>
      <w:pPr>
        <w:jc w:val="both"/>
        <w:ind w:firstLine="1291"/>
        <w:spacing w:after="0" w:line="274"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6" w:lineRule="exact"/>
        <w:rPr>
          <w:sz w:val="20"/>
          <w:szCs w:val="20"/>
          <w:color w:val="auto"/>
        </w:rPr>
      </w:pPr>
    </w:p>
    <w:p>
      <w:pPr>
        <w:jc w:val="both"/>
        <w:ind w:firstLine="1291"/>
        <w:spacing w:after="0" w:line="258"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Acknowledgment</w:t>
      </w:r>
      <w:r>
        <w:rPr>
          <w:rFonts w:ascii="Arial" w:cs="Arial" w:eastAsia="Arial" w:hAnsi="Arial"/>
          <w:sz w:val="18"/>
          <w:szCs w:val="18"/>
          <w:color w:val="auto"/>
        </w:rPr>
        <w:t>. The Company acknowledges that certain of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will preclude or restrict the Investors from investing or participating in any particular enterprise.</w:t>
      </w:r>
    </w:p>
    <w:p>
      <w:pPr>
        <w:spacing w:after="0" w:line="186" w:lineRule="exact"/>
        <w:rPr>
          <w:sz w:val="20"/>
          <w:szCs w:val="20"/>
          <w:color w:val="auto"/>
        </w:rPr>
      </w:pPr>
    </w:p>
    <w:p>
      <w:pPr>
        <w:jc w:val="both"/>
        <w:ind w:firstLine="1291"/>
        <w:spacing w:after="0" w:line="278"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parties irrevocably agrees that any legal action or proceeding arising out of or relating to this Agreement brought by any party or its successors or assigns against the other party shall be brought and determined in any New York state or federal court sitting in the Borough of Manhattan in The City of New York (or, if such court lacks subject matter jurisdiction, in any appropriate New York state or federal court), and each of the parties hereby irrevocably submits to the exclusive jurisdiction of the aforesaid courts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12" w:name="page313"/>
    <w:bookmarkEnd w:id="312"/>
    <w:p>
      <w:pPr>
        <w:jc w:val="both"/>
        <w:spacing w:after="0" w:line="268" w:lineRule="auto"/>
        <w:rPr>
          <w:sz w:val="20"/>
          <w:szCs w:val="20"/>
          <w:color w:val="auto"/>
        </w:rPr>
      </w:pPr>
      <w:r>
        <w:rPr>
          <w:rFonts w:ascii="Arial" w:cs="Arial" w:eastAsia="Arial" w:hAnsi="Arial"/>
          <w:sz w:val="17"/>
          <w:szCs w:val="17"/>
          <w:color w:val="auto"/>
        </w:rPr>
        <w:t>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82" w:lineRule="exact"/>
        <w:rPr>
          <w:sz w:val="20"/>
          <w:szCs w:val="20"/>
          <w:color w:val="auto"/>
        </w:rPr>
      </w:pPr>
    </w:p>
    <w:p>
      <w:pPr>
        <w:jc w:val="both"/>
        <w:ind w:firstLine="1291"/>
        <w:spacing w:after="0" w:line="254"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Massachusetts Business Trust</w:t>
      </w:r>
      <w:r>
        <w:rPr>
          <w:rFonts w:ascii="Arial" w:cs="Arial" w:eastAsia="Arial" w:hAnsi="Arial"/>
          <w:sz w:val="18"/>
          <w:szCs w:val="18"/>
          <w:color w:val="auto"/>
        </w:rPr>
        <w:t>. A copy of the Agreement and Declaration of Trust of each Investor advised or sub-advised by Fidelity Management &amp; Research Company LLC (each, a “Fidelity Investor”) or any Affiliate thereof is on file with the Secretary of State of the Commonwealth of Massachusetts and notice is hereby given that this Agreement is executed on behalf of the trustees of such Fidelity Investor or any Affiliate thereof as trustees and not individually and that the obligations of this Agreement are not binding on any of the trustees, officers or stockholders of such Fidelity Investor or any Affiliate thereof individually but are binding only upon such Fidelity Investor or any Affiliate thereof and its assets and property.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to Follow]</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COMPANY:</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CENTURY THERAPEUTICS, INC.</w:t>
      </w:r>
    </w:p>
    <w:p>
      <w:pPr>
        <w:spacing w:after="0" w:line="28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Osvaldo Flores, Ph.D.</w:t>
            </w:r>
          </w:p>
        </w:tc>
      </w:tr>
      <w:tr>
        <w:trPr>
          <w:trHeight w:val="24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905" w:right="339" w:bottom="1440" w:gutter="0" w:footer="0" w:header="0"/>
        </w:sectPr>
      </w:pPr>
    </w:p>
    <w:bookmarkStart w:id="314" w:name="page315"/>
    <w:bookmarkEnd w:id="314"/>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AVIDITY MASTER FUND LP</w:t>
      </w:r>
    </w:p>
    <w:p>
      <w:pPr>
        <w:spacing w:after="0" w:line="28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Michael Gregory</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906" w:right="1440" w:bottom="1440" w:gutter="0" w:footer="0" w:header="0"/>
        </w:sectPr>
      </w:pPr>
    </w:p>
    <w:bookmarkStart w:id="315" w:name="page316"/>
    <w:bookmarkEnd w:id="315"/>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AVIDITY CAPITAL FUND II LP</w:t>
      </w:r>
    </w:p>
    <w:p>
      <w:pPr>
        <w:spacing w:after="0" w:line="28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Michael Gregory</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905" w:right="1440"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46"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VERSANT VENTURE CAPITAL VI, L.P.</w:t>
      </w:r>
    </w:p>
    <w:p>
      <w:pPr>
        <w:spacing w:after="0" w:line="39"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Versant Ventures VI GP, L.P.</w:t>
            </w:r>
          </w:p>
        </w:tc>
      </w:tr>
      <w:tr>
        <w:trPr>
          <w:trHeight w:val="24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Versant Ventures VI GP-GP, LLC</w:t>
            </w:r>
          </w:p>
        </w:tc>
      </w:tr>
      <w:tr>
        <w:trPr>
          <w:trHeight w:val="242"/>
        </w:trPr>
        <w:tc>
          <w:tcPr>
            <w:tcW w:w="56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72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Woiwode</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Thomas Woiwode</w:t>
            </w:r>
          </w:p>
        </w:tc>
      </w:tr>
      <w:tr>
        <w:trPr>
          <w:trHeight w:val="24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905" w:right="3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46"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VERSANT VENTURE II, L.P.</w:t>
      </w:r>
    </w:p>
    <w:p>
      <w:pPr>
        <w:spacing w:after="0" w:line="39"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Versant Ventures II GP, L.P.</w:t>
            </w:r>
          </w:p>
        </w:tc>
      </w:tr>
      <w:tr>
        <w:trPr>
          <w:trHeight w:val="24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Versant Ventures II GP-GP, LLC</w:t>
            </w:r>
          </w:p>
        </w:tc>
      </w:tr>
      <w:tr>
        <w:trPr>
          <w:trHeight w:val="242"/>
        </w:trPr>
        <w:tc>
          <w:tcPr>
            <w:tcW w:w="56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72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Woiwode</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Thomas Woiwode</w:t>
            </w:r>
          </w:p>
        </w:tc>
      </w:tr>
      <w:tr>
        <w:trPr>
          <w:trHeight w:val="24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905" w:right="3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INVESTORS:</w:t>
      </w: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RA CAPITAL HEALTHCARE FUND, L.P.</w:t>
      </w:r>
    </w:p>
    <w:p>
      <w:pPr>
        <w:spacing w:after="0" w:line="2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RA Capital Healthcare Fund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9"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Rajeev Shah</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Rajeev Shah</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Address: RA Capital Management, L.P.</w:t>
      </w:r>
    </w:p>
    <w:p>
      <w:pPr>
        <w:ind w:left="5500"/>
        <w:spacing w:after="0" w:line="201" w:lineRule="auto"/>
        <w:rPr>
          <w:sz w:val="20"/>
          <w:szCs w:val="20"/>
          <w:color w:val="auto"/>
        </w:rPr>
      </w:pPr>
      <w:r>
        <w:rPr>
          <w:rFonts w:ascii="Arial" w:cs="Arial" w:eastAsia="Arial" w:hAnsi="Arial"/>
          <w:sz w:val="18"/>
          <w:szCs w:val="18"/>
          <w:color w:val="auto"/>
        </w:rPr>
        <w:t>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Boston, MA 02116</w:t>
      </w:r>
    </w:p>
    <w:p>
      <w:pPr>
        <w:spacing w:after="0" w:line="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Attn: General Counsel</w:t>
      </w:r>
    </w:p>
    <w:p>
      <w:pPr>
        <w:spacing w:after="0" w:line="20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906" w:right="3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INVESTORS:</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RA CAPITAL NEXUS FUND II, L.P.</w:t>
      </w:r>
    </w:p>
    <w:p>
      <w:pPr>
        <w:spacing w:after="0" w:line="2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RA Capital Nexus Fund II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9"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Rajeev Shah</w:t>
            </w:r>
          </w:p>
        </w:tc>
      </w:tr>
      <w:tr>
        <w:trPr>
          <w:trHeight w:val="194"/>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Rajeev Shah</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Address: RA Capital Management, L.P.</w:t>
      </w:r>
    </w:p>
    <w:p>
      <w:pPr>
        <w:ind w:left="5500"/>
        <w:spacing w:after="0" w:line="201" w:lineRule="auto"/>
        <w:rPr>
          <w:sz w:val="20"/>
          <w:szCs w:val="20"/>
          <w:color w:val="auto"/>
        </w:rPr>
      </w:pPr>
      <w:r>
        <w:rPr>
          <w:rFonts w:ascii="Arial" w:cs="Arial" w:eastAsia="Arial" w:hAnsi="Arial"/>
          <w:sz w:val="18"/>
          <w:szCs w:val="18"/>
          <w:color w:val="auto"/>
        </w:rPr>
        <w:t>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Boston, MA 02116</w:t>
      </w:r>
    </w:p>
    <w:p>
      <w:pPr>
        <w:spacing w:after="0" w:line="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Attn: General Counsel</w:t>
      </w:r>
    </w:p>
    <w:p>
      <w:pPr>
        <w:spacing w:after="0" w:line="20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434" w:right="33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ORBIMED GENESIS MASTER FUND, L.P.</w:t>
      </w:r>
    </w:p>
    <w:p>
      <w:pPr>
        <w:spacing w:after="0" w:line="28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OrbiMed Genesis GP LLC,</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OrbiMed Advisors LLC,</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Managing Member</w:t>
      </w:r>
    </w:p>
    <w:p>
      <w:pPr>
        <w:spacing w:after="0" w:line="27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Geoffrey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Geoffrey Hsu</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905" w:right="1440"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46"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BIOTECH GROWTH TRUST PLC</w:t>
      </w:r>
    </w:p>
    <w:p>
      <w:pPr>
        <w:spacing w:after="0" w:line="254" w:lineRule="exact"/>
        <w:rPr>
          <w:sz w:val="20"/>
          <w:szCs w:val="20"/>
          <w:color w:val="auto"/>
        </w:rPr>
      </w:pPr>
    </w:p>
    <w:tbl>
      <w:tblPr>
        <w:tblLayout w:type="fixed"/>
        <w:tblInd w:w="4980" w:type="dxa"/>
        <w:tblCellMar>
          <w:top w:w="0" w:type="dxa"/>
          <w:left w:w="0" w:type="dxa"/>
          <w:bottom w:w="0" w:type="dxa"/>
          <w:right w:w="0" w:type="dxa"/>
        </w:tblCellMar>
      </w:tblP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OrbiMed Capital LLC, solely in its</w:t>
            </w:r>
          </w:p>
        </w:tc>
      </w:tr>
      <w:tr>
        <w:trPr>
          <w:trHeight w:val="230"/>
        </w:trPr>
        <w:tc>
          <w:tcPr>
            <w:tcW w:w="5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Capacity as Portfolio Manager</w:t>
            </w:r>
          </w:p>
        </w:tc>
      </w:tr>
      <w:tr>
        <w:trPr>
          <w:trHeight w:val="48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Geoffrey Hsu</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Geoffrey Hsu</w:t>
            </w:r>
          </w:p>
        </w:tc>
      </w:tr>
      <w:tr>
        <w:trPr>
          <w:trHeight w:val="24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905" w:right="3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46"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jc w:val="right"/>
        <w:ind w:right="1720"/>
        <w:spacing w:after="0"/>
        <w:rPr>
          <w:sz w:val="20"/>
          <w:szCs w:val="20"/>
          <w:color w:val="auto"/>
        </w:rPr>
      </w:pPr>
      <w:r>
        <w:rPr>
          <w:rFonts w:ascii="Arial" w:cs="Arial" w:eastAsia="Arial" w:hAnsi="Arial"/>
          <w:sz w:val="18"/>
          <w:szCs w:val="18"/>
          <w:b w:val="1"/>
          <w:bCs w:val="1"/>
          <w:color w:val="auto"/>
        </w:rPr>
        <w:t>OCTAGON INVESTMENTS MASTER FUND LP</w:t>
      </w:r>
    </w:p>
    <w:p>
      <w:pPr>
        <w:spacing w:after="0" w:line="28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Octagon Capital Advisors LP,</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Investment Manager</w:t>
      </w:r>
    </w:p>
    <w:p>
      <w:pPr>
        <w:spacing w:after="0" w:line="277"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Ting Jia</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Ting Jia</w:t>
            </w:r>
          </w:p>
        </w:tc>
      </w:tr>
      <w:tr>
        <w:trPr>
          <w:trHeight w:val="24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906" w:right="3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00" w:lineRule="exact"/>
        <w:rPr>
          <w:sz w:val="20"/>
          <w:szCs w:val="20"/>
          <w:color w:val="auto"/>
        </w:rPr>
      </w:pPr>
    </w:p>
    <w:p>
      <w:pPr>
        <w:spacing w:after="0" w:line="293" w:lineRule="exact"/>
        <w:rPr>
          <w:sz w:val="20"/>
          <w:szCs w:val="20"/>
          <w:color w:val="auto"/>
        </w:rPr>
      </w:pPr>
    </w:p>
    <w:p>
      <w:pPr>
        <w:jc w:val="center"/>
        <w:ind w:left="1040"/>
        <w:spacing w:after="0"/>
        <w:rPr>
          <w:sz w:val="20"/>
          <w:szCs w:val="20"/>
          <w:color w:val="auto"/>
        </w:rPr>
      </w:pPr>
      <w:r>
        <w:rPr>
          <w:rFonts w:ascii="Arial" w:cs="Arial" w:eastAsia="Arial" w:hAnsi="Arial"/>
          <w:sz w:val="18"/>
          <w:szCs w:val="18"/>
          <w:color w:val="auto"/>
        </w:rPr>
        <w:t>INVESTORS:</w:t>
      </w:r>
    </w:p>
    <w:p>
      <w:pPr>
        <w:spacing w:after="0" w:line="273" w:lineRule="exact"/>
        <w:rPr>
          <w:sz w:val="20"/>
          <w:szCs w:val="20"/>
          <w:color w:val="auto"/>
        </w:rPr>
      </w:pPr>
    </w:p>
    <w:p>
      <w:pPr>
        <w:jc w:val="right"/>
        <w:ind w:right="1540"/>
        <w:spacing w:after="0"/>
        <w:rPr>
          <w:sz w:val="20"/>
          <w:szCs w:val="20"/>
          <w:color w:val="auto"/>
        </w:rPr>
      </w:pPr>
      <w:r>
        <w:rPr>
          <w:rFonts w:ascii="Arial" w:cs="Arial" w:eastAsia="Arial" w:hAnsi="Arial"/>
          <w:sz w:val="18"/>
          <w:szCs w:val="18"/>
          <w:b w:val="1"/>
          <w:bCs w:val="1"/>
          <w:color w:val="auto"/>
        </w:rPr>
        <w:t>OCTAGON PRIVATE OPPORTUNITIES FUND LP</w:t>
      </w:r>
    </w:p>
    <w:p>
      <w:pPr>
        <w:spacing w:after="0" w:line="28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Octagon Capital Advisors LP,</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Investment Manager</w:t>
      </w:r>
    </w:p>
    <w:p>
      <w:pPr>
        <w:spacing w:after="0" w:line="277"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Ting Jia</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Ting Jia</w:t>
            </w:r>
          </w:p>
        </w:tc>
      </w:tr>
      <w:tr>
        <w:trPr>
          <w:trHeight w:val="24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905" w:right="3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46"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MW XO HEALTH INNOVATIONS FUND LP</w:t>
      </w:r>
    </w:p>
    <w:p>
      <w:pPr>
        <w:spacing w:after="0" w:line="28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40"/>
              <w:spacing w:after="0"/>
              <w:rPr>
                <w:sz w:val="20"/>
                <w:szCs w:val="20"/>
                <w:color w:val="auto"/>
              </w:rPr>
            </w:pPr>
            <w:r>
              <w:rPr>
                <w:rFonts w:ascii="Arial" w:cs="Arial" w:eastAsia="Arial" w:hAnsi="Arial"/>
                <w:sz w:val="18"/>
                <w:szCs w:val="18"/>
                <w:color w:val="auto"/>
              </w:rPr>
              <w:t>Marshall Wace North America, LP</w:t>
            </w:r>
          </w:p>
        </w:tc>
      </w:tr>
      <w:tr>
        <w:trPr>
          <w:trHeight w:val="242"/>
        </w:trPr>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5200" w:type="dxa"/>
            <w:vAlign w:val="bottom"/>
            <w:gridSpan w:val="2"/>
          </w:tcPr>
          <w:p>
            <w:pPr>
              <w:ind w:left="40"/>
              <w:spacing w:after="0"/>
              <w:rPr>
                <w:sz w:val="20"/>
                <w:szCs w:val="20"/>
                <w:color w:val="auto"/>
              </w:rPr>
            </w:pPr>
            <w:r>
              <w:rPr>
                <w:rFonts w:ascii="Arial" w:cs="Arial" w:eastAsia="Arial" w:hAnsi="Arial"/>
                <w:sz w:val="18"/>
                <w:szCs w:val="18"/>
                <w:color w:val="auto"/>
              </w:rPr>
              <w:t>Investment Manager</w:t>
            </w:r>
          </w:p>
        </w:tc>
      </w:tr>
      <w:tr>
        <w:trPr>
          <w:trHeight w:val="484"/>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40"/>
              <w:spacing w:after="0"/>
              <w:rPr>
                <w:sz w:val="20"/>
                <w:szCs w:val="20"/>
                <w:color w:val="auto"/>
              </w:rPr>
            </w:pPr>
            <w:r>
              <w:rPr>
                <w:rFonts w:ascii="Arial" w:cs="Arial" w:eastAsia="Arial" w:hAnsi="Arial"/>
                <w:sz w:val="18"/>
                <w:szCs w:val="18"/>
                <w:color w:val="auto"/>
              </w:rPr>
              <w:t>Marshall Wace LLC</w:t>
            </w:r>
          </w:p>
        </w:tc>
      </w:tr>
      <w:tr>
        <w:trPr>
          <w:trHeight w:val="242"/>
        </w:trPr>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5200" w:type="dxa"/>
            <w:vAlign w:val="bottom"/>
            <w:gridSpan w:val="2"/>
          </w:tcPr>
          <w:p>
            <w:pPr>
              <w:ind w:left="40"/>
              <w:spacing w:after="0"/>
              <w:rPr>
                <w:sz w:val="20"/>
                <w:szCs w:val="20"/>
                <w:color w:val="auto"/>
              </w:rPr>
            </w:pPr>
            <w:r>
              <w:rPr>
                <w:rFonts w:ascii="Arial" w:cs="Arial" w:eastAsia="Arial" w:hAnsi="Arial"/>
                <w:sz w:val="18"/>
                <w:szCs w:val="18"/>
                <w:color w:val="auto"/>
              </w:rPr>
              <w:t>General Partner of the Investment Manager</w:t>
            </w:r>
          </w:p>
        </w:tc>
      </w:tr>
      <w:tr>
        <w:trPr>
          <w:trHeight w:val="484"/>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Sargent</w:t>
            </w:r>
          </w:p>
        </w:tc>
      </w:tr>
      <w:tr>
        <w:trPr>
          <w:trHeight w:val="223"/>
        </w:trPr>
        <w:tc>
          <w:tcPr>
            <w:tcW w:w="560" w:type="dxa"/>
            <w:vAlign w:val="bottom"/>
            <w:gridSpan w:val="2"/>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Michael Sargent</w:t>
            </w:r>
          </w:p>
        </w:tc>
      </w:tr>
      <w:tr>
        <w:trPr>
          <w:trHeight w:val="241"/>
        </w:trPr>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84"/>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Courtney Lewis</w:t>
            </w:r>
          </w:p>
        </w:tc>
      </w:tr>
      <w:tr>
        <w:trPr>
          <w:trHeight w:val="223"/>
        </w:trPr>
        <w:tc>
          <w:tcPr>
            <w:tcW w:w="560" w:type="dxa"/>
            <w:vAlign w:val="bottom"/>
            <w:gridSpan w:val="2"/>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Courtney Lewis</w:t>
            </w:r>
          </w:p>
        </w:tc>
      </w:tr>
      <w:tr>
        <w:trPr>
          <w:trHeight w:val="241"/>
        </w:trPr>
        <w:tc>
          <w:tcPr>
            <w:tcW w:w="400" w:type="dxa"/>
            <w:vAlign w:val="bottom"/>
          </w:tcPr>
          <w:p>
            <w:pPr>
              <w:spacing w:after="0"/>
              <w:rPr>
                <w:sz w:val="20"/>
                <w:szCs w:val="20"/>
                <w:color w:val="auto"/>
              </w:rPr>
            </w:pPr>
            <w:r>
              <w:rPr>
                <w:rFonts w:ascii="Arial" w:cs="Arial" w:eastAsia="Arial" w:hAnsi="Arial"/>
                <w:sz w:val="18"/>
                <w:szCs w:val="18"/>
                <w:color w:val="auto"/>
                <w:w w:val="97"/>
              </w:rPr>
              <w:t>Title:</w:t>
            </w:r>
          </w:p>
        </w:tc>
        <w:tc>
          <w:tcPr>
            <w:tcW w:w="1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Address: DMS Corporate Services Ltd</w:t>
      </w:r>
    </w:p>
    <w:p>
      <w:pPr>
        <w:ind w:left="5580"/>
        <w:spacing w:after="0" w:line="201" w:lineRule="auto"/>
        <w:rPr>
          <w:sz w:val="20"/>
          <w:szCs w:val="20"/>
          <w:color w:val="auto"/>
        </w:rPr>
      </w:pPr>
      <w:r>
        <w:rPr>
          <w:rFonts w:ascii="Arial" w:cs="Arial" w:eastAsia="Arial" w:hAnsi="Arial"/>
          <w:sz w:val="18"/>
          <w:szCs w:val="18"/>
          <w:color w:val="auto"/>
        </w:rPr>
        <w:t>PO Box 1344, Suite 5B20,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One Nexus Way, Camana Bay</w:t>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Grand Cayman KY1-1108,</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Cayman Islands</w:t>
      </w:r>
    </w:p>
    <w:p>
      <w:pPr>
        <w:spacing w:after="0" w:line="2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With a copy (which shall not constitute notice) to:</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Crowell &amp; Moring LLP</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Attn: Lex Eley</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1001 Pennsylvania Ave. NW</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Washington, DC 20004</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905" w:right="339" w:bottom="1440" w:gutter="0" w:footer="0" w:header="0"/>
        </w:sectPr>
      </w:pPr>
    </w:p>
    <w:bookmarkStart w:id="325" w:name="page326"/>
    <w:bookmarkEnd w:id="325"/>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LOGOS OPPORTUNITIES FUND II, L.P.</w:t>
      </w:r>
    </w:p>
    <w:p>
      <w:pPr>
        <w:spacing w:after="0" w:line="3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Logos Opportunities GP, LLC</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7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Graham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Graham Walmsley</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23"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Address: 1 Letterman Drive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Building D, Suite D3-700</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 Francisco, CA 94129</w:t>
      </w:r>
    </w:p>
    <w:p>
      <w:pPr>
        <w:spacing w:after="0" w:line="200" w:lineRule="exact"/>
        <w:rPr>
          <w:sz w:val="20"/>
          <w:szCs w:val="20"/>
          <w:color w:val="auto"/>
        </w:rPr>
      </w:pPr>
    </w:p>
    <w:p>
      <w:pPr>
        <w:spacing w:after="0" w:line="25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Arsani William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Arsani William</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Address: 1 Letterman Drive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Building D, Suite D3-700</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 Francisco, CA 94129</w:t>
      </w:r>
    </w:p>
    <w:p>
      <w:pPr>
        <w:spacing w:after="0" w:line="20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905" w:right="1440" w:bottom="1440" w:gutter="0" w:footer="0" w:header="0"/>
        </w:sectPr>
      </w:pPr>
    </w:p>
    <w:bookmarkStart w:id="326" w:name="page327"/>
    <w:bookmarkEnd w:id="326"/>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FIDELITY SELECT PORTFOLIOS:</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BIOTECHNOLOGY PORTFOLIO</w:t>
      </w:r>
    </w:p>
    <w:p>
      <w:pPr>
        <w:spacing w:after="0" w:line="28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 Maher</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906" w:right="1440" w:bottom="1440" w:gutter="0" w:footer="0" w:header="0"/>
        </w:sectPr>
      </w:pPr>
    </w:p>
    <w:bookmarkStart w:id="327" w:name="page328"/>
    <w:bookmarkEnd w:id="327"/>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7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7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FIDELITY ADVISOR SERIES VII: FIDELITY</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ADVISOR BIOTECHNOLOGY FUND</w:t>
      </w:r>
    </w:p>
    <w:p>
      <w:pPr>
        <w:spacing w:after="0" w:line="28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 Maher</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905" w:right="1440" w:bottom="1440" w:gutter="0" w:footer="0" w:header="0"/>
        </w:sectPr>
      </w:pPr>
    </w:p>
    <w:bookmarkStart w:id="328" w:name="page329"/>
    <w:bookmarkEnd w:id="328"/>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7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4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FIDELITY GROWTH COMPANY K6 FUND</w:t>
      </w:r>
    </w:p>
    <w:p>
      <w:pPr>
        <w:spacing w:after="0" w:line="26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Chris Maher</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435" w:right="1440" w:bottom="1440" w:gutter="0" w:footer="0" w:header="0"/>
        </w:sectPr>
      </w:pPr>
    </w:p>
    <w:bookmarkStart w:id="329" w:name="page330"/>
    <w:bookmarkEnd w:id="329"/>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9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QH OIL INVESTMENTS LLC</w:t>
      </w:r>
    </w:p>
    <w:p>
      <w:pPr>
        <w:spacing w:after="0" w:line="28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Al-Jalahma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Mohammed Al-Jalahma</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and Chairman</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434" w:right="1440"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7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FEDERATED HERMES KAUFMANN FUND</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Federated Global Investment Management Corp., as attorney-in-fact for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Federated Hermes Kaufmann Fund, a portfolio of Federated Hermes Equity</w:t>
      </w:r>
    </w:p>
    <w:p>
      <w:pPr>
        <w:spacing w:after="0" w:line="3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Funds</w:t>
      </w:r>
    </w:p>
    <w:p>
      <w:pPr>
        <w:spacing w:after="0" w:line="26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Van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Stephen Van Meter</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Chief Compliance Officer</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40"/>
          </w:cols>
          <w:pgMar w:left="980" w:top="434" w:right="47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00" w:lineRule="exact"/>
        <w:rPr>
          <w:sz w:val="20"/>
          <w:szCs w:val="20"/>
          <w:color w:val="auto"/>
        </w:rPr>
      </w:pPr>
    </w:p>
    <w:p>
      <w:pPr>
        <w:spacing w:after="0" w:line="26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7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FEDERATED HERMES KAUFMANN SMALL CAP FUND</w:t>
      </w:r>
    </w:p>
    <w:p>
      <w:pPr>
        <w:spacing w:after="0" w:line="254" w:lineRule="exact"/>
        <w:rPr>
          <w:sz w:val="20"/>
          <w:szCs w:val="20"/>
          <w:color w:val="auto"/>
        </w:rPr>
      </w:pPr>
    </w:p>
    <w:p>
      <w:pPr>
        <w:ind w:left="4980"/>
        <w:spacing w:after="0" w:line="262" w:lineRule="auto"/>
        <w:rPr>
          <w:sz w:val="20"/>
          <w:szCs w:val="20"/>
          <w:color w:val="auto"/>
        </w:rPr>
      </w:pPr>
      <w:r>
        <w:rPr>
          <w:rFonts w:ascii="Arial" w:cs="Arial" w:eastAsia="Arial" w:hAnsi="Arial"/>
          <w:sz w:val="18"/>
          <w:szCs w:val="18"/>
          <w:color w:val="auto"/>
        </w:rPr>
        <w:t>By: Federated Global Investment Management Corp., as attorney-in-fact for Federated Hermes Kaufmann Small Cap Fund, a portfolio of Federated Hermes Equity Funds</w:t>
      </w:r>
    </w:p>
    <w:p>
      <w:pPr>
        <w:spacing w:after="0" w:line="23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Van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Stephen Van Meter</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Chief Compliance Officer</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40"/>
          </w:cols>
          <w:pgMar w:left="980" w:top="434" w:right="47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7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FEDERATED HERMES KAUFMANN FUND II</w:t>
      </w:r>
    </w:p>
    <w:p>
      <w:pPr>
        <w:spacing w:after="0" w:line="254" w:lineRule="exact"/>
        <w:rPr>
          <w:sz w:val="20"/>
          <w:szCs w:val="20"/>
          <w:color w:val="auto"/>
        </w:rPr>
      </w:pPr>
    </w:p>
    <w:p>
      <w:pPr>
        <w:ind w:left="4980"/>
        <w:spacing w:after="0" w:line="262" w:lineRule="auto"/>
        <w:rPr>
          <w:sz w:val="20"/>
          <w:szCs w:val="20"/>
          <w:color w:val="auto"/>
        </w:rPr>
      </w:pPr>
      <w:r>
        <w:rPr>
          <w:rFonts w:ascii="Arial" w:cs="Arial" w:eastAsia="Arial" w:hAnsi="Arial"/>
          <w:sz w:val="18"/>
          <w:szCs w:val="18"/>
          <w:color w:val="auto"/>
        </w:rPr>
        <w:t>By: Federated Global Investment Management Corp., as attorney-in-fact for Federated Hermes Kaufmann Fund II, a portfolio of Federated Hermes Insurance Series</w:t>
      </w:r>
    </w:p>
    <w:p>
      <w:pPr>
        <w:spacing w:after="0" w:line="23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Van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Stephen Van Meter</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Chief Compliance Officer</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40"/>
          </w:cols>
          <w:pgMar w:left="980" w:top="435" w:right="479" w:bottom="1440" w:gutter="0" w:footer="0" w:header="0"/>
        </w:sectPr>
      </w:pPr>
    </w:p>
    <w:bookmarkStart w:id="333" w:name="page334"/>
    <w:bookmarkEnd w:id="333"/>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CASDIN PARTNERS MASTER FUND, L.P.</w:t>
      </w:r>
    </w:p>
    <w:p>
      <w:pPr>
        <w:spacing w:after="0" w:line="28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 Casdin Partners GP, LLC, its General Partner</w:t>
      </w:r>
    </w:p>
    <w:p>
      <w:pPr>
        <w:spacing w:after="0" w:line="200" w:lineRule="exact"/>
        <w:rPr>
          <w:sz w:val="20"/>
          <w:szCs w:val="20"/>
          <w:color w:val="auto"/>
        </w:rPr>
      </w:pPr>
    </w:p>
    <w:p>
      <w:pPr>
        <w:spacing w:after="0" w:line="342"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Kevin O’Brien</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649" w:right="1440" w:bottom="1440" w:gutter="0" w:footer="0" w:header="0"/>
        </w:sectPr>
      </w:pPr>
    </w:p>
    <w:bookmarkStart w:id="334" w:name="page335"/>
    <w:bookmarkEnd w:id="334"/>
    <w:p>
      <w:pPr>
        <w:spacing w:after="0"/>
        <w:rPr>
          <w:sz w:val="20"/>
          <w:szCs w:val="20"/>
          <w:color w:val="auto"/>
        </w:rPr>
      </w:pPr>
      <w:r>
        <w:rPr>
          <w:rFonts w:ascii="Arial" w:cs="Arial" w:eastAsia="Arial" w:hAnsi="Arial"/>
          <w:sz w:val="17"/>
          <w:szCs w:val="17"/>
          <w:color w:val="auto"/>
        </w:rPr>
        <w:t>IN WITNESS WHEREOF, the parties have executed this Investors’ Rights Agreement as of the date first written above.</w:t>
      </w:r>
    </w:p>
    <w:p>
      <w:pPr>
        <w:spacing w:after="0" w:line="2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CASDIN PRIVATE GROWTH EQUITY FUND, L.P.</w:t>
      </w:r>
    </w:p>
    <w:p>
      <w:pPr>
        <w:spacing w:after="0" w:line="28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Casdin Private Growth Equity Fund GP, LLC,</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7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Kevin O’Brien</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434" w:right="1440"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t>IN WITNESS WHEREOF, the parties have executed this Investors’ Rights Agreement as of the date first written above.</w:t>
      </w:r>
    </w:p>
    <w:p>
      <w:pPr>
        <w:spacing w:after="0" w:line="246"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BAYER HEALTHCARE LLC</w:t>
      </w:r>
    </w:p>
    <w:p>
      <w:pPr>
        <w:spacing w:after="0" w:line="200" w:lineRule="exact"/>
        <w:rPr>
          <w:sz w:val="20"/>
          <w:szCs w:val="20"/>
          <w:color w:val="auto"/>
        </w:rPr>
      </w:pPr>
    </w:p>
    <w:p>
      <w:pPr>
        <w:spacing w:after="0" w:line="323"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Gast</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Kelly Gast</w:t>
            </w:r>
          </w:p>
        </w:tc>
      </w:tr>
      <w:tr>
        <w:trPr>
          <w:trHeight w:val="24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0"/>
          </w:cols>
          <w:pgMar w:left="980" w:top="435" w:right="339" w:bottom="1440" w:gutter="0" w:footer="0" w:header="0"/>
        </w:sectPr>
      </w:pPr>
    </w:p>
    <w:bookmarkStart w:id="336" w:name="page337"/>
    <w:bookmarkEnd w:id="336"/>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TNY HOLDINGS LIMITED</w:t>
      </w:r>
    </w:p>
    <w:p>
      <w:pPr>
        <w:spacing w:after="0" w:line="28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31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2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Address: 89 Nexus Way, Camana Bay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P.O. Box 31106</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Grand Cayman KY1-1205</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Emails: </w:t>
      </w:r>
      <w:r>
        <w:rPr>
          <w:rFonts w:ascii="Arial" w:cs="Arial" w:eastAsia="Arial" w:hAnsi="Arial"/>
          <w:sz w:val="18"/>
          <w:szCs w:val="18"/>
          <w:u w:val="single" w:color="auto"/>
          <w:color w:val="auto"/>
        </w:rPr>
        <w:t>zczhang@hillhousecap.com</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myi@hillhousecap.com</w:t>
      </w:r>
    </w:p>
    <w:p>
      <w:pPr>
        <w:spacing w:after="0" w:line="2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With a copy (which shall not constitute notice</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to):</w:t>
      </w:r>
    </w:p>
    <w:p>
      <w:pPr>
        <w:spacing w:after="0" w:line="2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 Suite 2202,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p>
      <w:pPr>
        <w:ind w:left="5460"/>
        <w:spacing w:after="0"/>
        <w:rPr>
          <w:sz w:val="20"/>
          <w:szCs w:val="20"/>
          <w:color w:val="auto"/>
        </w:rPr>
      </w:pPr>
      <w:r>
        <w:rPr>
          <w:rFonts w:ascii="Arial" w:cs="Arial" w:eastAsia="Arial" w:hAnsi="Arial"/>
          <w:sz w:val="18"/>
          <w:szCs w:val="18"/>
          <w:color w:val="auto"/>
        </w:rPr>
        <w:t>Two International Finance Centre</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 Finance Street</w:t>
      </w:r>
    </w:p>
    <w:p>
      <w:pPr>
        <w:spacing w:after="0" w:line="3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Central, Hong Kong</w:t>
      </w:r>
    </w:p>
    <w:p>
      <w:pPr>
        <w:spacing w:after="0" w:line="3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Attention: Adam Hornung</w:t>
      </w:r>
    </w:p>
    <w:p>
      <w:pPr>
        <w:spacing w:after="0" w:line="3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legal@hillhousecapital.com</w:t>
      </w: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With a copy (which shall not constitute notice</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to):</w:t>
      </w:r>
    </w:p>
    <w:p>
      <w:pPr>
        <w:spacing w:after="0" w:line="27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Goodwin Proctor (Hong Kong) LLP</w:t>
      </w:r>
    </w:p>
    <w:p>
      <w:pPr>
        <w:ind w:left="5460"/>
        <w:spacing w:after="0" w:line="220" w:lineRule="auto"/>
        <w:rPr>
          <w:sz w:val="20"/>
          <w:szCs w:val="20"/>
          <w:color w:val="auto"/>
        </w:rPr>
      </w:pPr>
      <w:r>
        <w:rPr>
          <w:rFonts w:ascii="Arial" w:cs="Arial" w:eastAsia="Arial" w:hAnsi="Arial"/>
          <w:sz w:val="18"/>
          <w:szCs w:val="18"/>
          <w:color w:val="auto"/>
        </w:rPr>
        <w:t>38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Edinburgh Tower</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The Landmark</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15 Queen’s Road Central, Hong Kong</w:t>
      </w:r>
    </w:p>
    <w:p>
      <w:pPr>
        <w:spacing w:after="0" w:line="3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Attention: Yash Rana /Abhishek</w:t>
      </w:r>
    </w:p>
    <w:p>
      <w:pPr>
        <w:spacing w:after="0" w:line="3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Krishnan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yrana@goodwinlaw.com</w:t>
      </w:r>
    </w:p>
    <w:p>
      <w:pPr>
        <w:spacing w:after="0" w:line="8"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akrishnan@goodwinlaw.com</w:t>
      </w:r>
    </w:p>
    <w:p>
      <w:pPr>
        <w:spacing w:after="0" w:line="20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435" w:right="1440" w:bottom="1440" w:gutter="0" w:footer="0" w:header="0"/>
        </w:sectPr>
      </w:pPr>
    </w:p>
    <w:bookmarkStart w:id="337" w:name="page338"/>
    <w:bookmarkEnd w:id="337"/>
    <w:p>
      <w:pPr>
        <w:spacing w:after="0"/>
        <w:rPr>
          <w:sz w:val="20"/>
          <w:szCs w:val="20"/>
          <w:color w:val="auto"/>
        </w:rPr>
      </w:pPr>
      <w:r>
        <w:rPr>
          <w:rFonts w:ascii="Arial" w:cs="Arial" w:eastAsia="Arial" w:hAnsi="Arial"/>
          <w:sz w:val="16"/>
          <w:szCs w:val="16"/>
          <w:color w:val="auto"/>
        </w:rPr>
        <w:t>IN WITNESS WHEREOF, the parties have executed this Investors’ Rights Agreement as of the date first written above.</w:t>
      </w:r>
    </w:p>
    <w:p>
      <w:pPr>
        <w:spacing w:after="0" w:line="29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FUJIFILM CELLULAR DYNAMICS INC.</w:t>
      </w:r>
    </w:p>
    <w:p>
      <w:pPr>
        <w:spacing w:after="0" w:line="200" w:lineRule="exact"/>
        <w:rPr>
          <w:sz w:val="20"/>
          <w:szCs w:val="20"/>
          <w:color w:val="auto"/>
        </w:rPr>
      </w:pPr>
    </w:p>
    <w:p>
      <w:pPr>
        <w:spacing w:after="0" w:line="3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Takeshi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20357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Takeshi Yamamoto</w:t>
      </w:r>
    </w:p>
    <w:p>
      <w:pPr>
        <w:spacing w:after="0" w:line="3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I</w:t>
      </w:r>
      <w:r>
        <w:rPr>
          <w:rFonts w:ascii="Arial" w:cs="Arial" w:eastAsia="Arial" w:hAnsi="Arial"/>
          <w:sz w:val="12"/>
          <w:szCs w:val="12"/>
          <w:color w:val="auto"/>
        </w:rPr>
        <w:t>NVESTORS</w:t>
      </w:r>
      <w:r>
        <w:rPr>
          <w:rFonts w:ascii="Arial" w:cs="Arial" w:eastAsia="Arial" w:hAnsi="Arial"/>
          <w:sz w:val="18"/>
          <w:szCs w:val="18"/>
          <w:color w:val="auto"/>
        </w:rPr>
        <w:t>’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1329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650" w:right="1440" w:bottom="1440" w:gutter="0" w:footer="0" w:header="0"/>
        </w:sectPr>
      </w:pPr>
    </w:p>
    <w:bookmarkStart w:id="338" w:name="page339"/>
    <w:bookmarkEnd w:id="338"/>
    <w:p>
      <w:pPr>
        <w:jc w:val="right"/>
        <w:ind w:right="3939"/>
        <w:spacing w:after="0"/>
        <w:rPr>
          <w:sz w:val="20"/>
          <w:szCs w:val="20"/>
          <w:color w:val="auto"/>
        </w:rPr>
      </w:pP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4279900" cy="4860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279900" cy="48602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Versant Vantage II,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Robin L. </w:t>
      </w:r>
      <w:r>
        <w:rPr>
          <w:rFonts w:ascii="Arial" w:cs="Arial" w:eastAsia="Arial" w:hAnsi="Arial"/>
          <w:sz w:val="18"/>
          <w:szCs w:val="18"/>
          <w:color w:val="231F20"/>
        </w:rPr>
        <w:t>Praeger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Robin L. </w:t>
      </w:r>
      <w:r>
        <w:rPr>
          <w:rFonts w:ascii="Arial" w:cs="Arial" w:eastAsia="Arial" w:hAnsi="Arial"/>
          <w:sz w:val="18"/>
          <w:szCs w:val="18"/>
          <w:color w:val="231F20"/>
        </w:rPr>
        <w:t>Praeger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HealthCare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Bayer Boulevard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Whippany, NJ 07981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Attention: Juergen Eckhardt; Pamela Sisson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Email: Juergen Eckhardt@bayer.com;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pamela.sisson@bayer.com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FUJIFILM Cellular Dynamics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525 Science Drive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Madison, WI 53711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Casdin Partners Master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Casdin Capital,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1350 Avenue of the Americas, 26th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Casdin Private Growth Equity Fund,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Casdin Capital,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1350 Avenue of the Americas, 26th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Select Portfolios: Biotechnology Portfolio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Mag &amp; Co.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 Brown Brothers Harriman &amp; Co.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Actions /Vault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140 Broadway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BBH.Fidelity.CA.Notifications@BBH.com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Advisor Series VII: Fidelity Advisor Biotechnology Fund</w:t>
      </w:r>
    </w:p>
    <w:p>
      <w:pPr>
        <w:spacing w:after="0" w:line="34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90170</wp:posOffset>
            </wp:positionV>
            <wp:extent cx="71329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019"/>
          </w:cols>
          <w:pgMar w:left="440" w:top="430" w:right="1440"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color w:val="auto"/>
        </w:rPr>
        <w:t>c/o State Street Bank &amp;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4279900" cy="52622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279900" cy="52622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 Box 5756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02206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Attn: Bangle &amp; Co fbo Fidelity Advisor Series VII: Fidelity Advisor Biotechnology Fund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Email: SSBCORPACTIONS@StateStreet.com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Fax number: 617-988-9110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Mt. Vernon Street Trust: Fidelity Growth Company K6 Fund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BNY Mellon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PO Box 392002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fidelitycorporateevents@bnymellon.com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Federated Hermes Kaufmann Fund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4000 Ericsson Drive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Warrendale, PA 15086-7561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Attn: Christine Zorovich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Federated Hermes Kaufmann Small Cap Fund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4000 Ericsson Drive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Warrendale, PA 15086-7561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Attn: Christine Zorovich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Federated Hermes Kaufmann Fund II</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4000 Ericsson Drive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Warrendale, PA 15086-7561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Attn: Christine Zorovich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 XO Health Innovations Fund,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DMS Corporate Services Ltd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PO Box 1344, Suite 5B20, 2nd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One Nexus Way, Camana Bay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KY1-1108, Cayman Islands</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Crowell &amp; Moring LLP</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Lex Eley</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1001 Pennsylvania Ave. NW</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Washington, DC 20004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Logos Opportunities Fund II, 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Attn: Virginia Yee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 Logos Capital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 Letterman Dr, Ste. D3-700</w:t>
      </w:r>
    </w:p>
    <w:p>
      <w:pPr>
        <w:spacing w:after="0" w:line="33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Schedule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82550</wp:posOffset>
            </wp:positionV>
            <wp:extent cx="71329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019"/>
          </w:cols>
          <w:pgMar w:left="440" w:top="663" w:right="1440"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color w:val="auto"/>
        </w:rPr>
        <w:t>San Francisco, CA 94129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4279900" cy="58940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279900" cy="58940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virginia@logoscapital.com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 Capital Healthcare Fund,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RA Capital Management, L.P.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200 Berkeley Street</w:t>
      </w:r>
    </w:p>
    <w:p>
      <w:pPr>
        <w:spacing w:after="0" w:line="190" w:lineRule="auto"/>
        <w:rPr>
          <w:sz w:val="20"/>
          <w:szCs w:val="20"/>
          <w:color w:val="auto"/>
        </w:rPr>
      </w:pPr>
      <w:r>
        <w:rPr>
          <w:rFonts w:ascii="Arial" w:cs="Arial" w:eastAsia="Arial" w:hAnsi="Arial"/>
          <w:sz w:val="18"/>
          <w:szCs w:val="18"/>
          <w:color w:val="auto"/>
        </w:rPr>
        <w:t>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 Capital NEXUS Fund II,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RA Capital Management, L.P.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200 Berkeley Street</w:t>
      </w:r>
    </w:p>
    <w:p>
      <w:pPr>
        <w:spacing w:after="0" w:line="190" w:lineRule="auto"/>
        <w:rPr>
          <w:sz w:val="20"/>
          <w:szCs w:val="20"/>
          <w:color w:val="auto"/>
        </w:rPr>
      </w:pPr>
      <w:r>
        <w:rPr>
          <w:rFonts w:ascii="Arial" w:cs="Arial" w:eastAsia="Arial" w:hAnsi="Arial"/>
          <w:sz w:val="18"/>
          <w:szCs w:val="18"/>
          <w:color w:val="auto"/>
        </w:rPr>
        <w:t>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TNY Holdings Limited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89 Nexus Way, Camana Bay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P.O. Box 31106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KY1-1205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Emails: </w:t>
      </w:r>
      <w:r>
        <w:rPr>
          <w:rFonts w:ascii="Arial" w:cs="Arial" w:eastAsia="Arial" w:hAnsi="Arial"/>
          <w:sz w:val="18"/>
          <w:szCs w:val="18"/>
          <w:u w:val="single" w:color="auto"/>
          <w:color w:val="auto"/>
        </w:rPr>
        <w:t>zczhang@hillhousecap.com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myi@hillhousecap.com</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 (which shall not constitute notice to):</w:t>
      </w:r>
    </w:p>
    <w:p>
      <w:pPr>
        <w:ind w:left="640"/>
        <w:spacing w:after="0" w:line="201" w:lineRule="auto"/>
        <w:rPr>
          <w:sz w:val="20"/>
          <w:szCs w:val="20"/>
          <w:color w:val="auto"/>
        </w:rPr>
      </w:pPr>
      <w:r>
        <w:rPr>
          <w:rFonts w:ascii="Arial" w:cs="Arial" w:eastAsia="Arial" w:hAnsi="Arial"/>
          <w:sz w:val="18"/>
          <w:szCs w:val="18"/>
          <w:color w:val="auto"/>
        </w:rPr>
        <w:t>Suite 2202,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Two International Finance Centre</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8 Finance Street</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Central, Hong Kong</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Adam Hornung</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legal@hillhousecapital.com</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 (which shall not constitute notice to):</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Goodwin Proctor (Hong Kong) LLP</w:t>
      </w:r>
    </w:p>
    <w:p>
      <w:pPr>
        <w:ind w:left="640"/>
        <w:spacing w:after="0" w:line="190" w:lineRule="auto"/>
        <w:rPr>
          <w:sz w:val="20"/>
          <w:szCs w:val="20"/>
          <w:color w:val="auto"/>
        </w:rPr>
      </w:pPr>
      <w:r>
        <w:rPr>
          <w:rFonts w:ascii="Arial" w:cs="Arial" w:eastAsia="Arial" w:hAnsi="Arial"/>
          <w:sz w:val="18"/>
          <w:szCs w:val="18"/>
          <w:color w:val="auto"/>
        </w:rPr>
        <w:t>38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Edinburgh Tower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Landmark</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15 Queen’s Road Central, Hong Kong</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Yash Rana / Abhishek Krishnan</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yrana@goodwinlaw.com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akrishnan@goodwinlaw.com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Biotech Growth Trust PLC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 54th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Phone: (212) 739-6400</w:t>
      </w:r>
    </w:p>
    <w:p>
      <w:pPr>
        <w:spacing w:after="0" w:line="200" w:lineRule="exact"/>
        <w:rPr>
          <w:sz w:val="20"/>
          <w:szCs w:val="20"/>
          <w:color w:val="auto"/>
        </w:rPr>
      </w:pPr>
    </w:p>
    <w:p>
      <w:pPr>
        <w:spacing w:after="0" w:line="345"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Schedule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82550</wp:posOffset>
            </wp:positionV>
            <wp:extent cx="71329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019"/>
          </w:cols>
          <w:pgMar w:left="440" w:top="879" w:right="1440"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t>Email: Legal@OrbiMed.com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4279900" cy="40322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279900" cy="40322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Genesis Master Fund,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 54th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Phone: (212) 739-6400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Email: Legal@OrbiMed.com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Avidity Master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2828 N. Harwood 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Suite 1220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Avidity Capital Fund II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2828 N. Harwood 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Suite 1220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Octagon Investments Master Fund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Octagon Capital Advisors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654 Madison Ave, 16th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10065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Octagon Private Opportunities Fund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Octagon Capital Advisors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654 Madison Ave, 16th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10065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QH Oil Investments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Ooredoo Tower (Building 14),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 Dafna Street (Street 801),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 Dafna (Zone 61),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Doha, Qatar</w:t>
      </w:r>
    </w:p>
    <w:p>
      <w:pPr>
        <w:spacing w:after="0" w:line="330"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Schedule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82550</wp:posOffset>
            </wp:positionV>
            <wp:extent cx="71329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019"/>
          </w:cols>
          <w:pgMar w:left="440" w:top="663" w:right="1440" w:bottom="1440" w:gutter="0" w:footer="0" w:header="0"/>
        </w:sectPr>
      </w:pPr>
    </w:p>
    <w:bookmarkStart w:id="342" w:name="page343"/>
    <w:bookmarkEnd w:id="342"/>
    <w:p>
      <w:pPr>
        <w:ind w:left="10400"/>
        <w:spacing w:after="0"/>
        <w:rPr>
          <w:sz w:val="20"/>
          <w:szCs w:val="20"/>
          <w:color w:val="auto"/>
        </w:rPr>
      </w:pPr>
      <w:r>
        <w:rPr>
          <w:rFonts w:ascii="Arial" w:cs="Arial" w:eastAsia="Arial" w:hAnsi="Arial"/>
          <w:sz w:val="16"/>
          <w:szCs w:val="16"/>
          <w:b w:val="1"/>
          <w:bCs w:val="1"/>
          <w:color w:val="auto"/>
        </w:rPr>
        <w:t>Exhibit 4.3</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WARRANT, AND THE SECURITIES ISSUABLE UPON THE EXERCISE OF THIS WARRANT, HAVE NOT BEEN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ANY STATE SECURITIES LAWS. THEY MAY NOT BE SOLD, OFFERED FOR SALE, PLEDGED, OR HYPOTHECATED IN THE ABSENCE OF AN EFFECTIVE REGISTRATION STATEMENT RELATED THERETO OR AN OPINION OF COUNSEL (WHICH MAY BE COMPANY COUNSEL) REASONABLY SATISFACTORY TO THE COMPANY THAT SUCH REGISTRATION IS NOT REQUIRED UNDER THE SECURITIES ACT, OR ANY APPLICABLE STATE SECURITIES LAWS.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Purchase Units 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CENTURY THERAPEUTICS,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14,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23" w:lineRule="exact"/>
        <w:rPr>
          <w:sz w:val="20"/>
          <w:szCs w:val="20"/>
          <w:color w:val="auto"/>
        </w:rPr>
      </w:pPr>
    </w:p>
    <w:p>
      <w:pPr>
        <w:jc w:val="both"/>
        <w:ind w:firstLine="646"/>
        <w:spacing w:after="0" w:line="285" w:lineRule="auto"/>
        <w:rPr>
          <w:sz w:val="20"/>
          <w:szCs w:val="20"/>
          <w:color w:val="auto"/>
        </w:rPr>
      </w:pPr>
      <w:r>
        <w:rPr>
          <w:rFonts w:ascii="Arial" w:cs="Arial" w:eastAsia="Arial" w:hAnsi="Arial"/>
          <w:sz w:val="17"/>
          <w:szCs w:val="17"/>
          <w:color w:val="auto"/>
        </w:rPr>
        <w:t>WHEREAS, CENTURY THERAPEUTICS, LLC, a Delaware limited liability company, has entered into a Loan and Security Agreement of even date herewith (as amended, restated, supplemented or otherwise modified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 with Hercules Capital, Inc., a Maryland corporation, in its capacity as administrative and collateral agent, (the “</w:t>
      </w:r>
      <w:r>
        <w:rPr>
          <w:rFonts w:ascii="Arial" w:cs="Arial" w:eastAsia="Arial" w:hAnsi="Arial"/>
          <w:sz w:val="17"/>
          <w:szCs w:val="17"/>
          <w:u w:val="single" w:color="auto"/>
          <w:color w:val="auto"/>
        </w:rPr>
        <w:t>Agent</w:t>
      </w:r>
      <w:r>
        <w:rPr>
          <w:rFonts w:ascii="Arial" w:cs="Arial" w:eastAsia="Arial" w:hAnsi="Arial"/>
          <w:sz w:val="17"/>
          <w:szCs w:val="17"/>
          <w:color w:val="auto"/>
        </w:rPr>
        <w:t>”) and the other lender parties thereto; and</w:t>
      </w:r>
    </w:p>
    <w:p>
      <w:pPr>
        <w:spacing w:after="0" w:line="165" w:lineRule="exact"/>
        <w:rPr>
          <w:sz w:val="20"/>
          <w:szCs w:val="20"/>
          <w:color w:val="auto"/>
        </w:rPr>
      </w:pPr>
    </w:p>
    <w:p>
      <w:pPr>
        <w:jc w:val="both"/>
        <w:ind w:firstLine="646"/>
        <w:spacing w:after="0" w:line="310" w:lineRule="auto"/>
        <w:rPr>
          <w:sz w:val="20"/>
          <w:szCs w:val="20"/>
          <w:color w:val="auto"/>
        </w:rPr>
      </w:pPr>
      <w:r>
        <w:rPr>
          <w:rFonts w:ascii="Arial" w:cs="Arial" w:eastAsia="Arial" w:hAnsi="Arial"/>
          <w:sz w:val="16"/>
          <w:szCs w:val="16"/>
          <w:color w:val="auto"/>
        </w:rPr>
        <w:t>WHEREAS, the Company (as defined below) grants to Hercules Technology Management Co II, Inc., a Delaware corporation (the “</w:t>
      </w:r>
      <w:r>
        <w:rPr>
          <w:rFonts w:ascii="Arial" w:cs="Arial" w:eastAsia="Arial" w:hAnsi="Arial"/>
          <w:sz w:val="16"/>
          <w:szCs w:val="16"/>
          <w:u w:val="single" w:color="auto"/>
          <w:color w:val="auto"/>
        </w:rPr>
        <w:t>Warrantholder</w:t>
      </w:r>
      <w:r>
        <w:rPr>
          <w:rFonts w:ascii="Arial" w:cs="Arial" w:eastAsia="Arial" w:hAnsi="Arial"/>
          <w:sz w:val="16"/>
          <w:szCs w:val="16"/>
          <w:color w:val="auto"/>
        </w:rPr>
        <w:t>”) in consideration for, among other things, the financial accommodations provided for in the Loan Agreement, the right to purchase Units (as defined below) pursuant to this Warrant Agreement (as amended, restated,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48"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NOW, THEREFORE, in consideration of the Agent and the lenders party thereto executing and delivering the Loan Agreement and providing the financial accommodations contemplated therein, and in consideration of the mutual covenants and agreements contained herein, the Company and the Warrantholder agree as follows:</w:t>
      </w:r>
    </w:p>
    <w:p>
      <w:pPr>
        <w:spacing w:after="0" w:line="17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b w:val="1"/>
          <w:bCs w:val="1"/>
          <w:color w:val="auto"/>
        </w:rPr>
        <w:t>SECTION 1.</w:t>
        <w:tab/>
        <w:t>GRANT OF THE RIGHT TO PURCHASE UNITS.</w:t>
      </w:r>
    </w:p>
    <w:p>
      <w:pPr>
        <w:spacing w:after="0" w:line="227" w:lineRule="exact"/>
        <w:rPr>
          <w:sz w:val="20"/>
          <w:szCs w:val="20"/>
          <w:color w:val="auto"/>
        </w:rPr>
      </w:pPr>
    </w:p>
    <w:p>
      <w:pPr>
        <w:jc w:val="both"/>
        <w:ind w:firstLine="646"/>
        <w:spacing w:after="0" w:line="290" w:lineRule="auto"/>
        <w:rPr>
          <w:sz w:val="20"/>
          <w:szCs w:val="20"/>
          <w:color w:val="auto"/>
        </w:rPr>
      </w:pPr>
      <w:r>
        <w:rPr>
          <w:rFonts w:ascii="Arial" w:cs="Arial" w:eastAsia="Arial" w:hAnsi="Arial"/>
          <w:sz w:val="16"/>
          <w:szCs w:val="16"/>
          <w:color w:val="auto"/>
        </w:rPr>
        <w:t>For value received, the Company hereby grants to the Warrantholder, and the Warrantholder is entitled, upon the terms and subject to the conditions hereinafter set forth, to subscribe for and purchase, from the Company, an aggregate number of Units equal to the quotient derived by dividing</w:t>
      </w:r>
    </w:p>
    <w:p>
      <w:pPr>
        <w:jc w:val="both"/>
        <w:ind w:firstLine="8"/>
        <w:spacing w:after="0" w:line="252" w:lineRule="auto"/>
        <w:tabs>
          <w:tab w:leader="none" w:pos="26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Warrant Coverage (as defined below) by (b) the Exercise Price (as defined below). The Exercise Price of such Units is subject to adjustment as provided in Section 8. As of the Effective Date, the Warrantholder is entitled to subscribe for and purchase the number of Units set forth on Schedule A. Schedule A shall be automatically updated as of each Advance Date (as defined in the Loan Agreement) by Warrantholder and such update shall be deemed to be correct absent manifest error.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3" w:name="page344"/>
    <w:bookmarkEnd w:id="343"/>
    <w:p>
      <w:pPr>
        <w:jc w:val="both"/>
        <w:ind w:left="660"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and any other day on which banking institutions in the State of California are closed for business.</w:t>
      </w:r>
    </w:p>
    <w:p>
      <w:pPr>
        <w:spacing w:after="0" w:line="171" w:lineRule="exact"/>
        <w:rPr>
          <w:sz w:val="20"/>
          <w:szCs w:val="20"/>
          <w:color w:val="auto"/>
        </w:rPr>
      </w:pPr>
    </w:p>
    <w:p>
      <w:pPr>
        <w:jc w:val="both"/>
        <w:ind w:left="660"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CENTURY THERAPEUTICS, LLC, a Delaware limited liability company, and any successor or surviving entity that assumes the obligations of the Company under this Agreement pursuant to Section 8(a).</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$5.55 per Unit, subject to adjustment pursuant to Section 8.</w:t>
      </w:r>
    </w:p>
    <w:p>
      <w:pPr>
        <w:spacing w:after="0" w:line="223" w:lineRule="exact"/>
        <w:rPr>
          <w:sz w:val="20"/>
          <w:szCs w:val="20"/>
          <w:color w:val="auto"/>
        </w:rPr>
      </w:pPr>
    </w:p>
    <w:p>
      <w:pPr>
        <w:jc w:val="both"/>
        <w:ind w:left="660" w:firstLine="646"/>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Public Offering</w:t>
      </w:r>
      <w:r>
        <w:rPr>
          <w:rFonts w:ascii="Arial" w:cs="Arial" w:eastAsia="Arial" w:hAnsi="Arial"/>
          <w:sz w:val="17"/>
          <w:szCs w:val="17"/>
          <w:color w:val="auto"/>
        </w:rPr>
        <w:t>” means the initial underwritten public offering of the common equity of the Company (or any corporation resulting from one or more reorganization transactions effected prior to such offering) pursuant to a registration statement under the Securities Act, which registration statement has been declared effective by the Securities and Exchange Commission (the “SEC”).</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Event</w:t>
      </w:r>
      <w:r>
        <w:rPr>
          <w:rFonts w:ascii="Arial" w:cs="Arial" w:eastAsia="Arial" w:hAnsi="Arial"/>
          <w:sz w:val="18"/>
          <w:szCs w:val="18"/>
          <w:color w:val="auto"/>
        </w:rPr>
        <w:t>” means any of the following:</w:t>
      </w:r>
    </w:p>
    <w:p>
      <w:pPr>
        <w:spacing w:after="0" w:line="223" w:lineRule="exact"/>
        <w:rPr>
          <w:sz w:val="20"/>
          <w:szCs w:val="20"/>
          <w:color w:val="auto"/>
        </w:rPr>
      </w:pPr>
    </w:p>
    <w:p>
      <w:pPr>
        <w:ind w:left="1900" w:hanging="601"/>
        <w:spacing w:after="0"/>
        <w:tabs>
          <w:tab w:leader="none" w:pos="19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 sale, lease, exclusive license or other transfer of all or substantially all assets of the Company to a non-Affiliated third-party; or</w:t>
      </w:r>
    </w:p>
    <w:p>
      <w:pPr>
        <w:spacing w:after="0" w:line="246" w:lineRule="exact"/>
        <w:rPr>
          <w:rFonts w:ascii="Arial" w:cs="Arial" w:eastAsia="Arial" w:hAnsi="Arial"/>
          <w:sz w:val="16"/>
          <w:szCs w:val="16"/>
          <w:color w:val="auto"/>
        </w:rPr>
      </w:pPr>
    </w:p>
    <w:p>
      <w:pPr>
        <w:jc w:val="both"/>
        <w:ind w:firstLine="1299"/>
        <w:spacing w:after="0" w:line="271" w:lineRule="auto"/>
        <w:tabs>
          <w:tab w:leader="none" w:pos="189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any merger or consolidation involving the Company in which the Company is not the surviving entity, or in which the Company’s outstanding equity interests are otherwise converted into or exchanged for equity interests, other securities or property of another entity other than any such merger or consolidation in which the equity securities of the Company immediately prior to such merger or consolidation, continue to represent a majority of the voting power of the surviving entity (or, if the surviving entity is a wholly owned subsidiary, its parent) immediately after such merger or consolidation (provided that, all Units issuable upon exercise of warrants outstanding immediately prior to such consolidation or merger shall be deemed to be outstanding immediately prior to such merger or consolidation and, if applicable, converted or exchanged in such merger or consolidation on the same terms as the actual outstanding equity interests are converted or exchanged).</w:t>
      </w:r>
    </w:p>
    <w:p>
      <w:pPr>
        <w:spacing w:after="0" w:line="177" w:lineRule="exact"/>
        <w:rPr>
          <w:sz w:val="20"/>
          <w:szCs w:val="20"/>
          <w:color w:val="auto"/>
        </w:rPr>
      </w:pPr>
    </w:p>
    <w:p>
      <w:pPr>
        <w:ind w:left="660"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Agreement</w:t>
      </w:r>
      <w:r>
        <w:rPr>
          <w:rFonts w:ascii="Arial" w:cs="Arial" w:eastAsia="Arial" w:hAnsi="Arial"/>
          <w:sz w:val="18"/>
          <w:szCs w:val="18"/>
          <w:color w:val="auto"/>
        </w:rPr>
        <w:t>” means that certain Amended and Restated Limited Liability Company Agreement of the Company, dated as of June 21, 2019, as amended, restated, supplemented or otherwise modified from time to time.</w:t>
      </w:r>
    </w:p>
    <w:p>
      <w:pPr>
        <w:spacing w:after="0" w:line="171" w:lineRule="exact"/>
        <w:rPr>
          <w:sz w:val="20"/>
          <w:szCs w:val="20"/>
          <w:color w:val="auto"/>
        </w:rPr>
      </w:pPr>
    </w:p>
    <w:p>
      <w:pPr>
        <w:ind w:left="660"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Company’s Certificate of Formation, Operating Agreement or other constitutional document, as amended, restated, supplemented or otherwise modified from time to time.</w:t>
      </w:r>
    </w:p>
    <w:p>
      <w:pPr>
        <w:spacing w:after="0" w:line="171" w:lineRule="exact"/>
        <w:rPr>
          <w:sz w:val="20"/>
          <w:szCs w:val="20"/>
          <w:color w:val="auto"/>
        </w:rPr>
      </w:pPr>
    </w:p>
    <w:p>
      <w:pPr>
        <w:ind w:left="660"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with respect to any exercise of this Agreement, an amount equal to the Exercise Price, as of the relevant time multiplied by the number of Units requested to be exercised under this Agreement pursuant to such exercise.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44" w:name="page345"/>
    <w:bookmarkEnd w:id="344"/>
    <w:p>
      <w:pPr>
        <w:ind w:left="660"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xml:space="preserve">” means the Units of the Company, and, to the extent provided in </w:t>
      </w:r>
      <w:r>
        <w:rPr>
          <w:rFonts w:ascii="Arial" w:cs="Arial" w:eastAsia="Arial" w:hAnsi="Arial"/>
          <w:sz w:val="18"/>
          <w:szCs w:val="18"/>
          <w:u w:val="single" w:color="auto"/>
          <w:color w:val="auto"/>
        </w:rPr>
        <w:t>Sections 8(a) and 8(b)</w:t>
      </w:r>
      <w:r>
        <w:rPr>
          <w:rFonts w:ascii="Arial" w:cs="Arial" w:eastAsia="Arial" w:hAnsi="Arial"/>
          <w:sz w:val="18"/>
          <w:szCs w:val="18"/>
          <w:color w:val="auto"/>
        </w:rPr>
        <w:t>, any other equity interests into or for which such Units may be converted or exchanged.</w:t>
      </w:r>
    </w:p>
    <w:p>
      <w:pPr>
        <w:spacing w:after="0" w:line="171" w:lineRule="exact"/>
        <w:rPr>
          <w:sz w:val="20"/>
          <w:szCs w:val="20"/>
          <w:color w:val="auto"/>
        </w:rPr>
      </w:pPr>
    </w:p>
    <w:p>
      <w:pPr>
        <w:ind w:left="660" w:right="20"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Coverage</w:t>
      </w:r>
      <w:r>
        <w:rPr>
          <w:rFonts w:ascii="Arial" w:cs="Arial" w:eastAsia="Arial" w:hAnsi="Arial"/>
          <w:sz w:val="18"/>
          <w:szCs w:val="18"/>
          <w:color w:val="auto"/>
        </w:rPr>
        <w:t>” means an amount equal to 2.25% of the aggregate original principal amount of the Term Loan Advances (as defined in the Loan Agreement) actually made to the Company pursuant to Section 2.2 of the Loan Agreement.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“Warrantholder”</w:t>
      </w:r>
      <w:r>
        <w:rPr>
          <w:rFonts w:ascii="Arial" w:cs="Arial" w:eastAsia="Arial" w:hAnsi="Arial"/>
          <w:sz w:val="18"/>
          <w:szCs w:val="18"/>
          <w:color w:val="auto"/>
        </w:rPr>
        <w:t xml:space="preserve"> has the meaning set forth in the preamble of this Agreement.</w:t>
      </w:r>
    </w:p>
    <w:p>
      <w:pPr>
        <w:spacing w:after="0" w:line="219" w:lineRule="exact"/>
        <w:rPr>
          <w:sz w:val="20"/>
          <w:szCs w:val="20"/>
          <w:color w:val="auto"/>
        </w:rPr>
      </w:pPr>
    </w:p>
    <w:p>
      <w:pPr>
        <w:ind w:left="700"/>
        <w:spacing w:after="0"/>
        <w:tabs>
          <w:tab w:leader="none" w:pos="1940" w:val="left"/>
        </w:tabs>
        <w:rPr>
          <w:sz w:val="20"/>
          <w:szCs w:val="20"/>
          <w:color w:val="auto"/>
        </w:rPr>
      </w:pPr>
      <w:r>
        <w:rPr>
          <w:rFonts w:ascii="Arial" w:cs="Arial" w:eastAsia="Arial" w:hAnsi="Arial"/>
          <w:sz w:val="18"/>
          <w:szCs w:val="18"/>
          <w:b w:val="1"/>
          <w:bCs w:val="1"/>
          <w:color w:val="auto"/>
        </w:rPr>
        <w:t>SECTION 2.</w:t>
        <w:tab/>
        <w:t>TERM OF THE AGREEMENT.</w:t>
      </w:r>
    </w:p>
    <w:p>
      <w:pPr>
        <w:spacing w:after="0" w:line="227"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Except as otherwise provided for herein, the term of this Agreement and the right to purchase Units as granted herein shall commence on the Effective Date and shall be exercisable for a period ending on the tenth (10th) anniversary of the Effective Date.</w:t>
      </w:r>
    </w:p>
    <w:p>
      <w:pPr>
        <w:spacing w:after="0" w:line="167" w:lineRule="exact"/>
        <w:rPr>
          <w:sz w:val="20"/>
          <w:szCs w:val="20"/>
          <w:color w:val="auto"/>
        </w:rPr>
      </w:pPr>
    </w:p>
    <w:p>
      <w:pPr>
        <w:ind w:left="700"/>
        <w:spacing w:after="0"/>
        <w:tabs>
          <w:tab w:leader="none" w:pos="19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EXERCISE OF THE PURCHASE RIGHTS.</w:t>
      </w:r>
    </w:p>
    <w:p>
      <w:pPr>
        <w:spacing w:after="0" w:line="227" w:lineRule="exact"/>
        <w:rPr>
          <w:sz w:val="20"/>
          <w:szCs w:val="20"/>
          <w:color w:val="auto"/>
        </w:rPr>
      </w:pPr>
    </w:p>
    <w:p>
      <w:pPr>
        <w:jc w:val="both"/>
        <w:ind w:firstLine="1299"/>
        <w:spacing w:after="0" w:line="289" w:lineRule="auto"/>
        <w:tabs>
          <w:tab w:leader="none" w:pos="1894"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The purchase rights set forth in this Agreement are exercisable by the Warrantholder, in whole or in part, at any time, or from time to time, prior to the expiration of the term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by tendering to the Company at its principal office a notice of exercise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duly completed and executed. Promptly upon receipt of the Notice of Exercise and the payment of the Purchase Price in accordance with the terms set forth below, and in no event later than three (3) Business Days thereafter, the Company shall issue to the Warrantholder a certificate for the number of Units purchased and shall execute the acknowledgment of exercise in the form attached hereto as Exhibit II (the “</w:t>
      </w:r>
      <w:r>
        <w:rPr>
          <w:rFonts w:ascii="Arial" w:cs="Arial" w:eastAsia="Arial" w:hAnsi="Arial"/>
          <w:sz w:val="16"/>
          <w:szCs w:val="16"/>
          <w:u w:val="single" w:color="auto"/>
          <w:color w:val="auto"/>
        </w:rPr>
        <w:t>Acknowledgment of Exercise</w:t>
      </w:r>
      <w:r>
        <w:rPr>
          <w:rFonts w:ascii="Arial" w:cs="Arial" w:eastAsia="Arial" w:hAnsi="Arial"/>
          <w:sz w:val="16"/>
          <w:szCs w:val="16"/>
          <w:color w:val="auto"/>
        </w:rPr>
        <w:t>”) indicating the number of Units which remain subject to future purchases, if any. If the applicable Units are not then certificated by the Company, the Company will deliver to the Warrantholder such evidence of the issuance of such Units to Warrantholder as required or permitted under the Operating Agreement or, if there be none, such evidence as the Warrantholder may reasonably request.</w:t>
      </w:r>
    </w:p>
    <w:p>
      <w:pPr>
        <w:spacing w:after="0" w:line="164" w:lineRule="exact"/>
        <w:rPr>
          <w:rFonts w:ascii="Arial" w:cs="Arial" w:eastAsia="Arial" w:hAnsi="Arial"/>
          <w:sz w:val="16"/>
          <w:szCs w:val="16"/>
          <w:color w:val="auto"/>
        </w:rPr>
      </w:pPr>
    </w:p>
    <w:p>
      <w:pPr>
        <w:jc w:val="both"/>
        <w:ind w:firstLine="1299"/>
        <w:spacing w:after="0" w:line="258" w:lineRule="auto"/>
        <w:tabs>
          <w:tab w:leader="none" w:pos="189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Purchase Price may be paid at the Warrantholder’s election either (i) by cash or check, or (ii) by surrender of all or a portion of the Warrant for Units to be exercised under this Agreement and, if applicable, an amended Agreement representing the remaining number of units purchasable hereunder, as determined below (“Net Issuance”). If the Warrantholder elects Net Issuance, the Company will issue Units in accordance with the following formula:</w:t>
      </w:r>
    </w:p>
    <w:p>
      <w:pPr>
        <w:spacing w:after="0" w:line="186"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X = Y(A-B)</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A</w:t>
      </w:r>
    </w:p>
    <w:p>
      <w:pPr>
        <w:spacing w:after="0" w:line="209" w:lineRule="exact"/>
        <w:rPr>
          <w:sz w:val="20"/>
          <w:szCs w:val="20"/>
          <w:color w:val="auto"/>
        </w:rPr>
      </w:pPr>
    </w:p>
    <w:p>
      <w:pPr>
        <w:spacing w:after="0"/>
        <w:tabs>
          <w:tab w:leader="none" w:pos="1280" w:val="left"/>
          <w:tab w:leader="none" w:pos="192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the number of Units to be issued to the Warrantholder.</w:t>
      </w:r>
    </w:p>
    <w:p>
      <w:pPr>
        <w:spacing w:after="0" w:line="200" w:lineRule="exact"/>
        <w:rPr>
          <w:sz w:val="20"/>
          <w:szCs w:val="20"/>
          <w:color w:val="auto"/>
        </w:rPr>
      </w:pPr>
    </w:p>
    <w:p>
      <w:pPr>
        <w:spacing w:after="0" w:line="2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6"/>
          <w:szCs w:val="16"/>
          <w:color w:val="auto"/>
        </w:rPr>
        <w:t>the number of Units requested to be exercised under this Agreement.</w:t>
      </w:r>
    </w:p>
    <w:p>
      <w:pPr>
        <w:spacing w:after="0" w:line="200" w:lineRule="exact"/>
        <w:rPr>
          <w:sz w:val="20"/>
          <w:szCs w:val="20"/>
          <w:color w:val="auto"/>
        </w:rPr>
      </w:pPr>
    </w:p>
    <w:p>
      <w:pPr>
        <w:spacing w:after="0" w:line="2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current fair market value of one (1) Unit at the time of issuance of such Units.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45" w:name="page346"/>
    <w:bookmarkEnd w:id="345"/>
    <w:p>
      <w:pPr>
        <w:ind w:left="1300"/>
        <w:spacing w:after="0"/>
        <w:tabs>
          <w:tab w:leader="none" w:pos="192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Exercise Price.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above calculation, current fair market value of Units shall mean with respect to each Unit:</w:t>
      </w:r>
    </w:p>
    <w:p>
      <w:pPr>
        <w:spacing w:after="0" w:line="223" w:lineRule="exact"/>
        <w:rPr>
          <w:sz w:val="20"/>
          <w:szCs w:val="20"/>
          <w:color w:val="auto"/>
        </w:rPr>
      </w:pPr>
    </w:p>
    <w:p>
      <w:pPr>
        <w:jc w:val="both"/>
        <w:ind w:left="1300" w:firstLine="645"/>
        <w:spacing w:after="0" w:line="258" w:lineRule="auto"/>
        <w:tabs>
          <w:tab w:leader="none" w:pos="258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the exercise is in connection with an Initial Public Offering, and if the Company’s registration statement relating to such Initial Public Offering has been declared effective by the SEC, then the fair market value per unit shall be the product of (1) initial “Price to Public” of the equity interests specified in the final prospectus with respect to the offering (the “</w:t>
      </w:r>
      <w:r>
        <w:rPr>
          <w:rFonts w:ascii="Arial" w:cs="Arial" w:eastAsia="Arial" w:hAnsi="Arial"/>
          <w:sz w:val="18"/>
          <w:szCs w:val="18"/>
          <w:u w:val="single" w:color="auto"/>
          <w:color w:val="auto"/>
        </w:rPr>
        <w:t>Capital Stock</w:t>
      </w:r>
      <w:r>
        <w:rPr>
          <w:rFonts w:ascii="Arial" w:cs="Arial" w:eastAsia="Arial" w:hAnsi="Arial"/>
          <w:sz w:val="18"/>
          <w:szCs w:val="18"/>
          <w:color w:val="auto"/>
        </w:rPr>
        <w:t>”) and (2) the applicable conversion or exchange ratio of the Units for such Capital Stock, if any;</w:t>
      </w:r>
    </w:p>
    <w:p>
      <w:pPr>
        <w:spacing w:after="0" w:line="186" w:lineRule="exact"/>
        <w:rPr>
          <w:rFonts w:ascii="Arial" w:cs="Arial" w:eastAsia="Arial" w:hAnsi="Arial"/>
          <w:sz w:val="18"/>
          <w:szCs w:val="18"/>
          <w:color w:val="auto"/>
        </w:rPr>
      </w:pPr>
    </w:p>
    <w:p>
      <w:pPr>
        <w:ind w:left="2600" w:hanging="655"/>
        <w:spacing w:after="0"/>
        <w:tabs>
          <w:tab w:leader="none" w:pos="26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the exercise is after, and not in connection with an Initial Public Offering, and:</w:t>
      </w:r>
    </w:p>
    <w:p>
      <w:pPr>
        <w:spacing w:after="0" w:line="223" w:lineRule="exact"/>
        <w:rPr>
          <w:rFonts w:ascii="Arial" w:cs="Arial" w:eastAsia="Arial" w:hAnsi="Arial"/>
          <w:sz w:val="18"/>
          <w:szCs w:val="18"/>
          <w:color w:val="auto"/>
        </w:rPr>
      </w:pPr>
    </w:p>
    <w:p>
      <w:pPr>
        <w:jc w:val="both"/>
        <w:ind w:left="1940" w:firstLine="650"/>
        <w:spacing w:after="0" w:line="258" w:lineRule="auto"/>
        <w:tabs>
          <w:tab w:leader="none" w:pos="335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if the Capital Stock is traded on a securities exchange, the fair market value shall be the product of (x) the average last sale price of a share of Capital Stock reported for the five (5) trading days ending three (3) days before the day the current fair market value of the securities is being determined and (y) the applicable conversion or exchange ratio of Units for such Capital Stock, if any; or</w:t>
      </w:r>
    </w:p>
    <w:p>
      <w:pPr>
        <w:spacing w:after="0" w:line="186" w:lineRule="exact"/>
        <w:rPr>
          <w:rFonts w:ascii="Arial" w:cs="Arial" w:eastAsia="Arial" w:hAnsi="Arial"/>
          <w:sz w:val="18"/>
          <w:szCs w:val="18"/>
          <w:color w:val="auto"/>
        </w:rPr>
      </w:pPr>
    </w:p>
    <w:p>
      <w:pPr>
        <w:jc w:val="both"/>
        <w:ind w:left="1940" w:firstLine="650"/>
        <w:spacing w:after="0" w:line="278" w:lineRule="auto"/>
        <w:tabs>
          <w:tab w:leader="none" w:pos="3336" w:val="left"/>
        </w:tabs>
        <w:numPr>
          <w:ilvl w:val="1"/>
          <w:numId w:val="224"/>
        </w:numPr>
        <w:rPr>
          <w:rFonts w:ascii="Arial" w:cs="Arial" w:eastAsia="Arial" w:hAnsi="Arial"/>
          <w:sz w:val="17"/>
          <w:szCs w:val="17"/>
          <w:color w:val="auto"/>
        </w:rPr>
      </w:pPr>
      <w:r>
        <w:rPr>
          <w:rFonts w:ascii="Arial" w:cs="Arial" w:eastAsia="Arial" w:hAnsi="Arial"/>
          <w:sz w:val="17"/>
          <w:szCs w:val="17"/>
          <w:color w:val="auto"/>
        </w:rPr>
        <w:t>if the Capital Stock is traded or quoted over-the-counter, the fair market value shall be the product of (x) the average of the closing bid and asked price quoted on the NASDAQ National Market (or similar system) for such Capital Stock for the five (5) trading days ending three (3) days before the day the current fair market value of the securities is being determined and (y) the applicable conversion or exchange ratio of Units for such Capital Stock, if any;</w:t>
      </w:r>
    </w:p>
    <w:p>
      <w:pPr>
        <w:spacing w:after="0" w:line="170" w:lineRule="exact"/>
        <w:rPr>
          <w:rFonts w:ascii="Arial" w:cs="Arial" w:eastAsia="Arial" w:hAnsi="Arial"/>
          <w:sz w:val="17"/>
          <w:szCs w:val="17"/>
          <w:color w:val="auto"/>
        </w:rPr>
      </w:pPr>
    </w:p>
    <w:p>
      <w:pPr>
        <w:jc w:val="both"/>
        <w:ind w:left="1300" w:firstLine="645"/>
        <w:spacing w:after="0" w:line="254" w:lineRule="auto"/>
        <w:tabs>
          <w:tab w:leader="none" w:pos="260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at any time the Units (or Capital Stock, if applicable) are not listed on any securities exchange or quoted in the NASDAQ National Market (or similar system) or the over-the-counter market, the current fair market value of each Unit shall be the highest price per unit which the Company could obtain from a willing buyer (not a current employee or manager) for a Unit sold by the Company, from authorized but unissued Units, as determined in good faith by its Board of Managers, unless the Company shall become subject to a Merger Event, in which case the fair market value of a Unit shall be deemed to be the per unit value received by each holder of a Unit pursuant to such Merger Event.</w:t>
      </w:r>
    </w:p>
    <w:p>
      <w:pPr>
        <w:spacing w:after="0" w:line="192"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Upon partial exercise by either cash or Net Issuance, the Company shall promptly issue an amended Agreement representing the remaining number of Units purchasable hereunder. Except for the number of Units, all other terms and conditions of such amended Agreement shall be identical to those set forth herein, including, but not limited to the Effective Date 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346" w:name="page347"/>
    <w:bookmarkEnd w:id="346"/>
    <w:p>
      <w:pPr>
        <w:jc w:val="both"/>
        <w:ind w:firstLine="1299"/>
        <w:spacing w:after="0" w:line="254" w:lineRule="auto"/>
        <w:tabs>
          <w:tab w:leader="none" w:pos="1885"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Exercise Prior to Expiration</w:t>
      </w:r>
      <w:r>
        <w:rPr>
          <w:rFonts w:ascii="Arial" w:cs="Arial" w:eastAsia="Arial" w:hAnsi="Arial"/>
          <w:sz w:val="18"/>
          <w:szCs w:val="18"/>
          <w:color w:val="auto"/>
        </w:rPr>
        <w:t xml:space="preserve">. To the extent this Agreement is not previously exercised as to all Units subject hereto, and if the fair market value of one Unit is greater than the Exercise Price then in effect, this Agreement shall be deemed automatically exercised pursuant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(even if not surrendered) immediately before its expiration. For purposes of such automatic exercise, the fair market value of one Unit upon such expiration shall be determined pursuant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To the extent this Agreement or any portion thereof is deemed automatically exercised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3(c)</w:t>
      </w:r>
      <w:r>
        <w:rPr>
          <w:rFonts w:ascii="Arial" w:cs="Arial" w:eastAsia="Arial" w:hAnsi="Arial"/>
          <w:sz w:val="18"/>
          <w:szCs w:val="18"/>
          <w:color w:val="auto"/>
        </w:rPr>
        <w:t>. the Company agrees to promptly notify the Warrantholder of the number of Units, if any, the Warrantholder is to receive by reason of such automatic exercise.</w:t>
      </w:r>
    </w:p>
    <w:p>
      <w:pPr>
        <w:spacing w:after="0" w:line="18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RESERVATION OF UNITS.</w:t>
      </w:r>
    </w:p>
    <w:p>
      <w:pPr>
        <w:spacing w:after="0" w:line="227"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8"/>
          <w:szCs w:val="18"/>
          <w:color w:val="auto"/>
        </w:rPr>
        <w:t>During the term of this Agreement, the Company will at all times have authorized and reserved a sufficient number of its Units to provide for the exercise of the rights to purchase Units as provided for herein.</w:t>
      </w:r>
    </w:p>
    <w:p>
      <w:pPr>
        <w:spacing w:after="0" w:line="16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5.</w:t>
        <w:tab/>
        <w:t>NO FRACTIONAL UNIT.</w:t>
      </w:r>
    </w:p>
    <w:p>
      <w:pPr>
        <w:spacing w:after="0" w:line="227"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8"/>
          <w:szCs w:val="18"/>
          <w:color w:val="auto"/>
        </w:rPr>
        <w:t>No fractional unit shall be issued upon the exercise of this Agreement, but in lieu of such fractional units the Company shall make a cash payment therefor upon the basis of the then fair market value of one Unit.</w:t>
      </w:r>
    </w:p>
    <w:p>
      <w:pPr>
        <w:spacing w:after="0" w:line="16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7"/>
          <w:szCs w:val="17"/>
          <w:b w:val="1"/>
          <w:bCs w:val="1"/>
          <w:color w:val="auto"/>
        </w:rPr>
        <w:t>NO RIGHTS AS MEMBER.</w:t>
      </w:r>
    </w:p>
    <w:p>
      <w:pPr>
        <w:spacing w:after="0" w:line="227"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color w:val="auto"/>
        </w:rPr>
        <w:t xml:space="preserve">This Agreement does not entitle the Warrantholder to any voting rights or other rights as a member of the Company prior to the exercise of this Agreement. Upon exercise of this Agreement, the Company agrees that the Warrantholder shall be admitted as a Member (as defined in the Operating Agreement) under the Operating Agreement with respect to the Units issued upon such exercise automatically and without any further action by any person, and the Warrantholder and such Units shall, subject to the provisions of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below, thereupon be subject to and bound by the Operating Agreement. The Warrantholder shall, promptly upon the exercise hereof, execute and deliver a counterpart signature page, joinder agreement, instrument of accession or similar instrument to the Operating Agreement, in substantially the form attached hereto as </w:t>
      </w:r>
      <w:r>
        <w:rPr>
          <w:rFonts w:ascii="Arial" w:cs="Arial" w:eastAsia="Arial" w:hAnsi="Arial"/>
          <w:sz w:val="17"/>
          <w:szCs w:val="17"/>
          <w:u w:val="single" w:color="auto"/>
          <w:color w:val="auto"/>
        </w:rPr>
        <w:t>Exhibit IV</w:t>
      </w:r>
      <w:r>
        <w:rPr>
          <w:rFonts w:ascii="Arial" w:cs="Arial" w:eastAsia="Arial" w:hAnsi="Arial"/>
          <w:sz w:val="17"/>
          <w:szCs w:val="17"/>
          <w:color w:val="auto"/>
        </w:rPr>
        <w:t>.</w:t>
      </w:r>
    </w:p>
    <w:p>
      <w:pPr>
        <w:spacing w:after="0" w:line="17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color w:val="auto"/>
        </w:rPr>
        <w:t>WARRANTHOLDER REGISTRY.</w:t>
      </w:r>
    </w:p>
    <w:p>
      <w:pPr>
        <w:spacing w:after="0" w:line="227"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The Company shall maintain a registry showing the name and address of the registered holder of this Agreement. The Warrantholder’s initial address, for purposes of such registry, is set forth below the Warrantholder’s signature on this Agreement. The Warrantholder may change such address by giving written notice of such changed address to the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ADJUSTMENT RIGHTS.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Exercise Price and the number of Units purchasable hereunder are subject to adjustment, as follows:</w:t>
      </w:r>
    </w:p>
    <w:p>
      <w:pPr>
        <w:spacing w:after="0" w:line="223" w:lineRule="exact"/>
        <w:rPr>
          <w:sz w:val="20"/>
          <w:szCs w:val="20"/>
          <w:color w:val="auto"/>
        </w:rPr>
      </w:pPr>
    </w:p>
    <w:p>
      <w:pPr>
        <w:ind w:firstLine="1299"/>
        <w:spacing w:after="0" w:line="275" w:lineRule="auto"/>
        <w:tabs>
          <w:tab w:leader="none" w:pos="188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Merger Event.</w:t>
      </w:r>
      <w:r>
        <w:rPr>
          <w:rFonts w:ascii="Arial" w:cs="Arial" w:eastAsia="Arial" w:hAnsi="Arial"/>
          <w:sz w:val="18"/>
          <w:szCs w:val="18"/>
          <w:color w:val="auto"/>
        </w:rPr>
        <w:t xml:space="preserve"> If at any time there shall be a Merger Event, then, as a part of such Merger Event, lawful provision shall be made so that the Warrantholder shall receive,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47" w:name="page348"/>
    <w:bookmarkEnd w:id="347"/>
    <w:p>
      <w:pPr>
        <w:jc w:val="both"/>
        <w:spacing w:after="0" w:line="285" w:lineRule="auto"/>
        <w:rPr>
          <w:sz w:val="20"/>
          <w:szCs w:val="20"/>
          <w:color w:val="auto"/>
        </w:rPr>
      </w:pPr>
      <w:r>
        <w:rPr>
          <w:rFonts w:ascii="Arial" w:cs="Arial" w:eastAsia="Arial" w:hAnsi="Arial"/>
          <w:sz w:val="17"/>
          <w:szCs w:val="17"/>
          <w:color w:val="auto"/>
        </w:rPr>
        <w:t>concurrently with the closing of such Merger Event, the number of Units or other securities or property, if any, (collectively, “</w:t>
      </w:r>
      <w:r>
        <w:rPr>
          <w:rFonts w:ascii="Arial" w:cs="Arial" w:eastAsia="Arial" w:hAnsi="Arial"/>
          <w:sz w:val="17"/>
          <w:szCs w:val="17"/>
          <w:u w:val="single" w:color="auto"/>
          <w:color w:val="auto"/>
        </w:rPr>
        <w:t>Reference Property</w:t>
      </w:r>
      <w:r>
        <w:rPr>
          <w:rFonts w:ascii="Arial" w:cs="Arial" w:eastAsia="Arial" w:hAnsi="Arial"/>
          <w:sz w:val="17"/>
          <w:szCs w:val="17"/>
          <w:color w:val="auto"/>
        </w:rPr>
        <w:t>”) that the Warrantholder would have received in connection with such Merger Event if the Warrantholder had exercised this Agreement immediately prior to the Merger Event pursuant to the Net Issuance provisions of this Warrant Agreement without actually exercising such right.</w:t>
      </w:r>
    </w:p>
    <w:p>
      <w:pPr>
        <w:spacing w:after="0" w:line="165" w:lineRule="exact"/>
        <w:rPr>
          <w:sz w:val="20"/>
          <w:szCs w:val="20"/>
          <w:color w:val="auto"/>
        </w:rPr>
      </w:pPr>
    </w:p>
    <w:p>
      <w:pPr>
        <w:jc w:val="both"/>
        <w:ind w:firstLine="1299"/>
        <w:spacing w:after="0" w:line="272" w:lineRule="auto"/>
        <w:tabs>
          <w:tab w:leader="none" w:pos="1895"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Reclassification of Units</w:t>
      </w:r>
      <w:r>
        <w:rPr>
          <w:rFonts w:ascii="Arial" w:cs="Arial" w:eastAsia="Arial" w:hAnsi="Arial"/>
          <w:sz w:val="17"/>
          <w:szCs w:val="17"/>
          <w:color w:val="auto"/>
        </w:rPr>
        <w:t xml:space="preserve">. Except for any Merger Event subject to </w:t>
      </w:r>
      <w:r>
        <w:rPr>
          <w:rFonts w:ascii="Arial" w:cs="Arial" w:eastAsia="Arial" w:hAnsi="Arial"/>
          <w:sz w:val="17"/>
          <w:szCs w:val="17"/>
          <w:u w:val="single" w:color="auto"/>
          <w:color w:val="auto"/>
        </w:rPr>
        <w:t>Sections 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8(f)</w:t>
      </w:r>
      <w:r>
        <w:rPr>
          <w:rFonts w:ascii="Arial" w:cs="Arial" w:eastAsia="Arial" w:hAnsi="Arial"/>
          <w:sz w:val="17"/>
          <w:szCs w:val="17"/>
          <w:color w:val="auto"/>
        </w:rPr>
        <w:t xml:space="preserve">,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shall similarly apply to any successive combination, reclassification, exchange, subdivision or other change.</w:t>
      </w:r>
    </w:p>
    <w:p>
      <w:pPr>
        <w:spacing w:after="0" w:line="177" w:lineRule="exact"/>
        <w:rPr>
          <w:rFonts w:ascii="Arial" w:cs="Arial" w:eastAsia="Arial" w:hAnsi="Arial"/>
          <w:sz w:val="17"/>
          <w:szCs w:val="17"/>
          <w:color w:val="auto"/>
        </w:rPr>
      </w:pPr>
    </w:p>
    <w:p>
      <w:pPr>
        <w:jc w:val="both"/>
        <w:ind w:firstLine="1299"/>
        <w:spacing w:after="0" w:line="258" w:lineRule="auto"/>
        <w:tabs>
          <w:tab w:leader="none" w:pos="1885"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Subdivision or Combination of Units</w:t>
      </w:r>
      <w:r>
        <w:rPr>
          <w:rFonts w:ascii="Arial" w:cs="Arial" w:eastAsia="Arial" w:hAnsi="Arial"/>
          <w:sz w:val="18"/>
          <w:szCs w:val="18"/>
          <w:color w:val="auto"/>
        </w:rPr>
        <w:t>. If the Company at any time shall combine or subdivide its Units, (i) in the case of a subdivision, the Exercise Price shall be proportionately decreased and the number of Units issuable hereunder shall be proportionately increased, or (ii) in the case of a combination, the Exercise Price shall be proportionately increased and the number of Units issuable hereunder shall be proportionately decreased.</w:t>
      </w:r>
    </w:p>
    <w:p>
      <w:pPr>
        <w:spacing w:after="0" w:line="186" w:lineRule="exact"/>
        <w:rPr>
          <w:rFonts w:ascii="Arial" w:cs="Arial" w:eastAsia="Arial" w:hAnsi="Arial"/>
          <w:sz w:val="18"/>
          <w:szCs w:val="18"/>
          <w:color w:val="auto"/>
        </w:rPr>
      </w:pPr>
    </w:p>
    <w:p>
      <w:pPr>
        <w:ind w:left="1920" w:hanging="621"/>
        <w:spacing w:after="0"/>
        <w:tabs>
          <w:tab w:leader="none" w:pos="192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If the Company at any time while this Agreement is outstanding and unexpired shall:</w:t>
      </w:r>
    </w:p>
    <w:p>
      <w:pPr>
        <w:spacing w:after="0" w:line="223" w:lineRule="exact"/>
        <w:rPr>
          <w:rFonts w:ascii="Arial" w:cs="Arial" w:eastAsia="Arial" w:hAnsi="Arial"/>
          <w:sz w:val="18"/>
          <w:szCs w:val="18"/>
          <w:color w:val="auto"/>
        </w:rPr>
      </w:pPr>
    </w:p>
    <w:p>
      <w:pPr>
        <w:jc w:val="both"/>
        <w:ind w:firstLine="1945"/>
        <w:spacing w:after="0" w:line="256" w:lineRule="auto"/>
        <w:tabs>
          <w:tab w:leader="none" w:pos="273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pay a dividend or distribution with respect to the Units payable in Units, then the Exercise Price shall be adjusted, from and after the date of determination of holders entitled to receive such dividend or distribution, to that price determined by multiplying the Exercise Price in effect immediately prior to such date of determination by a fraction (A) the numerator of which shall be the total number of Units outstanding immediately prior to such dividend or distribution, and (B) the denominator of which shall be the total number of Units outstanding immediately after such dividend or distribution; or</w:t>
      </w:r>
    </w:p>
    <w:p>
      <w:pPr>
        <w:spacing w:after="0" w:line="187" w:lineRule="exact"/>
        <w:rPr>
          <w:rFonts w:ascii="Arial" w:cs="Arial" w:eastAsia="Arial" w:hAnsi="Arial"/>
          <w:sz w:val="18"/>
          <w:szCs w:val="18"/>
          <w:color w:val="auto"/>
        </w:rPr>
      </w:pPr>
    </w:p>
    <w:p>
      <w:pPr>
        <w:jc w:val="both"/>
        <w:ind w:firstLine="1945"/>
        <w:spacing w:after="0" w:line="254" w:lineRule="auto"/>
        <w:tabs>
          <w:tab w:leader="none" w:pos="270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make any other distribution with respect to Units, except for a distribution of cash upon the outstanding units of a class of equity interests made solely for the purpose of permitting the holders thereof to satisfy their respective federal and state tax obligations in respect of the taxable income of the Company, or any distribution specifically provided for in any other clause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then, in each such case, provision shall be made by the Company such that the Warrantholder shall receive upon exercise or conversion of this Agreement a proportionate share of any such distribution as though it were the holder of the Units as of the record date fixed for the determination of the members of the Company entitled to receive such distribution.</w:t>
      </w:r>
    </w:p>
    <w:p>
      <w:pPr>
        <w:spacing w:after="0" w:line="84" w:lineRule="exact"/>
        <w:rPr>
          <w:rFonts w:ascii="Arial" w:cs="Arial" w:eastAsia="Arial" w:hAnsi="Arial"/>
          <w:sz w:val="18"/>
          <w:szCs w:val="18"/>
          <w:color w:val="auto"/>
        </w:rPr>
      </w:pPr>
    </w:p>
    <w:p>
      <w:pPr>
        <w:ind w:left="1900" w:hanging="601"/>
        <w:spacing w:after="0"/>
        <w:tabs>
          <w:tab w:leader="none" w:pos="190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48" w:name="page349"/>
    <w:bookmarkEnd w:id="348"/>
    <w:p>
      <w:pPr>
        <w:jc w:val="both"/>
        <w:ind w:firstLine="1299"/>
        <w:spacing w:after="0" w:line="268" w:lineRule="auto"/>
        <w:tabs>
          <w:tab w:leader="none" w:pos="1901"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Notice of Adjustments</w:t>
      </w:r>
      <w:r>
        <w:rPr>
          <w:rFonts w:ascii="Arial" w:cs="Arial" w:eastAsia="Arial" w:hAnsi="Arial"/>
          <w:sz w:val="17"/>
          <w:szCs w:val="17"/>
          <w:color w:val="auto"/>
        </w:rPr>
        <w:t>. If: (i) the Company shall declare any dividend or distribution upon its Units, whether in Units, cash, property or other securities; (ii) there shall be any Merger Event; (iii) there shall be an Initial Public Offering; (iv) the Company shall sell, lease, license or otherwise transfer all or substantially all of its assets; or (v) there shall be any reorganization, voluntary dissolution, liquidation or winding up of the Company; then, in connection with each such event, the Company shall send to the Warrantholder: (A) at least thirty (30) days’ prior written notice of the date on which the books of the Company shall close or a record shall be taken for such dividend, distribution, subscription rights (specifying the date on which the holders of Units shall be entitled thereto) or for determining rights to vote in respect of such Merger Event, reorganization, dissolution, liquidation or winding up; (B) in the case of any such Merger Event, sale, lease, license or other transfer of all or substantially all assets, reorganization, dissolution, liquidation or winding up, at least thirty (30) days’ prior written notice of the date when the same shall take place (and specifying the date on which the holders of Units shall be entitled to exchange their Units for securities or other property deliverable upon such Merger Event, reorganization, dissolution, liquidation or winding up); and (C) in the case of an Initial Public Offering, the Company shall give the Warrantholder at least thirty (30) days’ written notice prior to the effective date thereof.</w:t>
      </w:r>
    </w:p>
    <w:p>
      <w:pPr>
        <w:spacing w:after="0" w:line="7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 xml:space="preserve">Each such written notice shall set forth, in reasonable detail, (i) the event requiring the notice, and (ii) if any adjustment is required to be made, (A) the amount of such adjustment, (B) the method by which such adjustment was calculated, (C) the adjusted Exercise Price (if the Exercise Price has been adjusted), and (D) the number of Units subject to purchase hereunder after giving effect to such adjustment, and shall be given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13(g)</w:t>
      </w:r>
      <w:r>
        <w:rPr>
          <w:rFonts w:ascii="Arial" w:cs="Arial" w:eastAsia="Arial" w:hAnsi="Arial"/>
          <w:sz w:val="18"/>
          <w:szCs w:val="18"/>
          <w:color w:val="auto"/>
        </w:rPr>
        <w:t xml:space="preserve"> below.</w:t>
      </w:r>
    </w:p>
    <w:p>
      <w:pPr>
        <w:spacing w:after="0" w:line="79" w:lineRule="exact"/>
        <w:rPr>
          <w:sz w:val="20"/>
          <w:szCs w:val="20"/>
          <w:color w:val="auto"/>
        </w:rPr>
      </w:pPr>
    </w:p>
    <w:p>
      <w:pPr>
        <w:jc w:val="both"/>
        <w:ind w:firstLine="1299"/>
        <w:spacing w:after="0" w:line="278" w:lineRule="auto"/>
        <w:tabs>
          <w:tab w:leader="none" w:pos="2083"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Timely Notice</w:t>
      </w:r>
      <w:r>
        <w:rPr>
          <w:rFonts w:ascii="Arial" w:cs="Arial" w:eastAsia="Arial" w:hAnsi="Arial"/>
          <w:sz w:val="17"/>
          <w:szCs w:val="17"/>
          <w:color w:val="auto"/>
        </w:rPr>
        <w:t xml:space="preserve">. Failure to timely provide such notice required by </w:t>
      </w:r>
      <w:r>
        <w:rPr>
          <w:rFonts w:ascii="Arial" w:cs="Arial" w:eastAsia="Arial" w:hAnsi="Arial"/>
          <w:sz w:val="17"/>
          <w:szCs w:val="17"/>
          <w:u w:val="single" w:color="auto"/>
          <w:color w:val="auto"/>
        </w:rPr>
        <w:t>Section 8(f)</w:t>
      </w:r>
      <w:r>
        <w:rPr>
          <w:rFonts w:ascii="Arial" w:cs="Arial" w:eastAsia="Arial" w:hAnsi="Arial"/>
          <w:sz w:val="17"/>
          <w:szCs w:val="17"/>
          <w:color w:val="auto"/>
        </w:rPr>
        <w:t xml:space="preserve"> above shall entitle the Warrantholder to retain the benefit of the applicable notice period notwithstanding anything to the contrary contained in any insufficient notice received by the Warrantholder. For purposes of this </w:t>
      </w:r>
      <w:r>
        <w:rPr>
          <w:rFonts w:ascii="Arial" w:cs="Arial" w:eastAsia="Arial" w:hAnsi="Arial"/>
          <w:sz w:val="17"/>
          <w:szCs w:val="17"/>
          <w:u w:val="single" w:color="auto"/>
          <w:color w:val="auto"/>
        </w:rPr>
        <w:t>Section 8(g).</w:t>
      </w:r>
      <w:r>
        <w:rPr>
          <w:rFonts w:ascii="Arial" w:cs="Arial" w:eastAsia="Arial" w:hAnsi="Arial"/>
          <w:sz w:val="17"/>
          <w:szCs w:val="17"/>
          <w:color w:val="auto"/>
        </w:rPr>
        <w:t xml:space="preserve"> and notwithstanding anything to the contrary in </w:t>
      </w:r>
      <w:r>
        <w:rPr>
          <w:rFonts w:ascii="Arial" w:cs="Arial" w:eastAsia="Arial" w:hAnsi="Arial"/>
          <w:sz w:val="17"/>
          <w:szCs w:val="17"/>
          <w:u w:val="single" w:color="auto"/>
          <w:color w:val="auto"/>
        </w:rPr>
        <w:t>Section 13(g),</w:t>
      </w:r>
      <w:r>
        <w:rPr>
          <w:rFonts w:ascii="Arial" w:cs="Arial" w:eastAsia="Arial" w:hAnsi="Arial"/>
          <w:sz w:val="17"/>
          <w:szCs w:val="17"/>
          <w:color w:val="auto"/>
        </w:rPr>
        <w:t xml:space="preserve"> the notice period shall begin on the date the Warrantholder actually receives a written notice containing all the information required to be provided in such </w:t>
      </w:r>
      <w:r>
        <w:rPr>
          <w:rFonts w:ascii="Arial" w:cs="Arial" w:eastAsia="Arial" w:hAnsi="Arial"/>
          <w:sz w:val="17"/>
          <w:szCs w:val="17"/>
          <w:u w:val="single" w:color="auto"/>
          <w:color w:val="auto"/>
        </w:rPr>
        <w:t>Section 13(g)</w:t>
      </w:r>
      <w:r>
        <w:rPr>
          <w:rFonts w:ascii="Arial" w:cs="Arial" w:eastAsia="Arial" w:hAnsi="Arial"/>
          <w:sz w:val="17"/>
          <w:szCs w:val="17"/>
          <w:color w:val="auto"/>
        </w:rPr>
        <w:t>.</w:t>
      </w:r>
    </w:p>
    <w:p>
      <w:pPr>
        <w:spacing w:after="0" w:line="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REPRESENTATIONS, WARRANTIES AND COVENANTS OF THE COMPANY.</w:t>
      </w:r>
    </w:p>
    <w:p>
      <w:pPr>
        <w:spacing w:after="0" w:line="227" w:lineRule="exact"/>
        <w:rPr>
          <w:sz w:val="20"/>
          <w:szCs w:val="20"/>
          <w:color w:val="auto"/>
        </w:rPr>
      </w:pPr>
    </w:p>
    <w:p>
      <w:pPr>
        <w:jc w:val="both"/>
        <w:ind w:firstLine="1299"/>
        <w:spacing w:after="0" w:line="270" w:lineRule="auto"/>
        <w:tabs>
          <w:tab w:leader="none" w:pos="2073"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Reservation of Units</w:t>
      </w:r>
      <w:r>
        <w:rPr>
          <w:rFonts w:ascii="Arial" w:cs="Arial" w:eastAsia="Arial" w:hAnsi="Arial"/>
          <w:sz w:val="17"/>
          <w:szCs w:val="17"/>
          <w:color w:val="auto"/>
        </w:rPr>
        <w:t xml:space="preserve">. As of the Effective Date, the maximum number of Units that may become issuable upon exercise of the Warrantholder’s rights under this Agreement have been duly and validly reserved and, when issued in accordance with the provisions of this Agreement, will be validly issued, and will be free of any taxes, liens, charges or encumbrances of any nature whatsoever;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Units issuable pursuant to this Agreement may be subject to restrictions on transfer under state and/or federal securities laws. The Company has made available to the Warrantholder true, correct and complete copies of its Organizational Documents. The issuance of certificates for Units upon exercise of this Agreement shall be made without charge to the Warrantholder for any issuance tax in respect thereof, or other cost incurred by the Company in connection with such exercise and the related issuance of Units; provided, that the Company shall not be required to pay any tax which may be payable in respect of any transfer and the issuance and delivery of any certificate in a name other than that of the Warrantholder.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49" w:name="page350"/>
    <w:bookmarkEnd w:id="349"/>
    <w:p>
      <w:pPr>
        <w:jc w:val="both"/>
        <w:ind w:firstLine="1299"/>
        <w:spacing w:after="0" w:line="271" w:lineRule="auto"/>
        <w:tabs>
          <w:tab w:leader="none" w:pos="1895"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Due Authority</w:t>
      </w:r>
      <w:r>
        <w:rPr>
          <w:rFonts w:ascii="Arial" w:cs="Arial" w:eastAsia="Arial" w:hAnsi="Arial"/>
          <w:sz w:val="17"/>
          <w:szCs w:val="17"/>
          <w:color w:val="auto"/>
        </w:rPr>
        <w:t>. The execution and delivery by the Company of this Agreement and the performance of all obligations of the Company hereunder, including the issuance to the Warrantholder of the right to acquire the Units, have been duly authorized by all necessary action on the part of the Company. This Agreement: (i) does not violate the Organizational Documents; (ii) does not contravene any law or governmental rule, regulation or order applicable to the Company; (iii) does not give rise to any right of participation or similar right, except for any such right, which has been waived in writing, a copy of such waiver having been provided to the Warrantholder as of the date of exercise; and (iv)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w:t>
      </w:r>
    </w:p>
    <w:p>
      <w:pPr>
        <w:spacing w:after="0" w:line="69" w:lineRule="exact"/>
        <w:rPr>
          <w:rFonts w:ascii="Arial" w:cs="Arial" w:eastAsia="Arial" w:hAnsi="Arial"/>
          <w:sz w:val="17"/>
          <w:szCs w:val="17"/>
          <w:color w:val="auto"/>
        </w:rPr>
      </w:pPr>
    </w:p>
    <w:p>
      <w:pPr>
        <w:jc w:val="both"/>
        <w:ind w:firstLine="1299"/>
        <w:spacing w:after="0" w:line="258" w:lineRule="auto"/>
        <w:tabs>
          <w:tab w:leader="none" w:pos="188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Securities Act and any filing required by applicable state securities law, which filings will be effective by the time required thereby.</w:t>
      </w:r>
    </w:p>
    <w:p>
      <w:pPr>
        <w:spacing w:after="0" w:line="186" w:lineRule="exact"/>
        <w:rPr>
          <w:rFonts w:ascii="Arial" w:cs="Arial" w:eastAsia="Arial" w:hAnsi="Arial"/>
          <w:sz w:val="18"/>
          <w:szCs w:val="18"/>
          <w:color w:val="auto"/>
        </w:rPr>
      </w:pPr>
    </w:p>
    <w:p>
      <w:pPr>
        <w:jc w:val="both"/>
        <w:ind w:firstLine="1299"/>
        <w:spacing w:after="0" w:line="262" w:lineRule="auto"/>
        <w:tabs>
          <w:tab w:leader="none" w:pos="189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Issued Securities</w:t>
      </w:r>
      <w:r>
        <w:rPr>
          <w:rFonts w:ascii="Arial" w:cs="Arial" w:eastAsia="Arial" w:hAnsi="Arial"/>
          <w:sz w:val="18"/>
          <w:szCs w:val="18"/>
          <w:color w:val="auto"/>
        </w:rPr>
        <w:t>. All issued and outstanding units or other equity interests of the Company have been duly authorized and validly issued. All outstanding units and any other equity interests were issued in full compliance with all federal and state securities laws. In addition, as of the date immediately preceding the Effective Date:</w:t>
      </w:r>
    </w:p>
    <w:p>
      <w:pPr>
        <w:spacing w:after="0" w:line="183" w:lineRule="exact"/>
        <w:rPr>
          <w:rFonts w:ascii="Arial" w:cs="Arial" w:eastAsia="Arial" w:hAnsi="Arial"/>
          <w:sz w:val="18"/>
          <w:szCs w:val="18"/>
          <w:color w:val="auto"/>
        </w:rPr>
      </w:pPr>
    </w:p>
    <w:p>
      <w:pPr>
        <w:ind w:right="500" w:firstLine="1945"/>
        <w:spacing w:after="0" w:line="275" w:lineRule="auto"/>
        <w:tabs>
          <w:tab w:leader="none" w:pos="272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authorized capital of the Company consists of 108,968,247 Units of which 93,370,681 Units are issued and outstanding and 121,620 Unit Equivalents, none of which are issued and outstanding.</w:t>
      </w:r>
    </w:p>
    <w:p>
      <w:pPr>
        <w:spacing w:after="0" w:line="171" w:lineRule="exact"/>
        <w:rPr>
          <w:rFonts w:ascii="Arial" w:cs="Arial" w:eastAsia="Arial" w:hAnsi="Arial"/>
          <w:sz w:val="18"/>
          <w:szCs w:val="18"/>
          <w:color w:val="auto"/>
        </w:rPr>
      </w:pPr>
    </w:p>
    <w:p>
      <w:pPr>
        <w:ind w:right="200" w:firstLine="1945"/>
        <w:spacing w:after="0" w:line="262" w:lineRule="auto"/>
        <w:tabs>
          <w:tab w:leader="none" w:pos="270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There are no options, warrants, conversion privileges or other rights presently outstanding to purchase or otherwise acquire any authorized but unissued Units of the Company except as set forth on the capitalization table attached hereto as </w:t>
      </w:r>
      <w:r>
        <w:rPr>
          <w:rFonts w:ascii="Arial" w:cs="Arial" w:eastAsia="Arial" w:hAnsi="Arial"/>
          <w:sz w:val="18"/>
          <w:szCs w:val="18"/>
          <w:u w:val="single" w:color="auto"/>
          <w:color w:val="auto"/>
        </w:rPr>
        <w:t>Appendix I</w:t>
      </w:r>
      <w:r>
        <w:rPr>
          <w:rFonts w:ascii="Arial" w:cs="Arial" w:eastAsia="Arial" w:hAnsi="Arial"/>
          <w:sz w:val="18"/>
          <w:szCs w:val="18"/>
          <w:color w:val="auto"/>
        </w:rPr>
        <w:t>. The Company has no outstanding loans to any employee, officer or director of the Company.</w:t>
      </w:r>
    </w:p>
    <w:p>
      <w:pPr>
        <w:spacing w:after="0" w:line="183" w:lineRule="exact"/>
        <w:rPr>
          <w:rFonts w:ascii="Arial" w:cs="Arial" w:eastAsia="Arial" w:hAnsi="Arial"/>
          <w:sz w:val="18"/>
          <w:szCs w:val="18"/>
          <w:color w:val="auto"/>
        </w:rPr>
      </w:pPr>
    </w:p>
    <w:p>
      <w:pPr>
        <w:ind w:right="600" w:firstLine="1945"/>
        <w:spacing w:after="0" w:line="275" w:lineRule="auto"/>
        <w:tabs>
          <w:tab w:leader="none" w:pos="2681" w:val="left"/>
        </w:tabs>
        <w:numPr>
          <w:ilvl w:val="1"/>
          <w:numId w:val="231"/>
        </w:numPr>
        <w:rPr>
          <w:rFonts w:ascii="Arial" w:cs="Arial" w:eastAsia="Arial" w:hAnsi="Arial"/>
          <w:sz w:val="18"/>
          <w:szCs w:val="18"/>
          <w:color w:val="auto"/>
        </w:rPr>
      </w:pPr>
      <w:r>
        <w:rPr>
          <w:rFonts w:ascii="Arial" w:cs="Arial" w:eastAsia="Arial" w:hAnsi="Arial"/>
          <w:sz w:val="18"/>
          <w:szCs w:val="18"/>
          <w:color w:val="auto"/>
        </w:rPr>
        <w:t>No holder of Units of the Company has preemptive rights with respect to the issuance of this Agreement or the purchase of Units hereunder which have not been waived.</w:t>
      </w:r>
    </w:p>
    <w:p>
      <w:pPr>
        <w:spacing w:after="0" w:line="171" w:lineRule="exact"/>
        <w:rPr>
          <w:rFonts w:ascii="Arial" w:cs="Arial" w:eastAsia="Arial" w:hAnsi="Arial"/>
          <w:sz w:val="18"/>
          <w:szCs w:val="18"/>
          <w:color w:val="auto"/>
        </w:rPr>
      </w:pPr>
    </w:p>
    <w:p>
      <w:pPr>
        <w:jc w:val="both"/>
        <w:ind w:firstLine="1299"/>
        <w:spacing w:after="0" w:line="272" w:lineRule="auto"/>
        <w:tabs>
          <w:tab w:leader="none" w:pos="2073"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The Company agrees that any common equity issued and issuable upon conversion of the Units shall have the “Piggyback,” and S-3 registration rights pursuant to and as set forth in the Registration Rights Agreement attached as Exhibit B to the Operating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xml:space="preserve">”) to be entered into by and among the Company and the Members promptly following the Company IPO (as defined in the Operating Agreement)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parties thereto. The form of Registration Rights Agreement may not be amended, modified or waived in a manner adverse to the Warrantholder without the prior written consent of the Warrantholder unless such amendment, modification or waiver affects the rights associated with the Units issued and issuable upon exercise hereof in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50" w:name="page351"/>
    <w:bookmarkEnd w:id="350"/>
    <w:p>
      <w:pPr>
        <w:spacing w:after="0"/>
        <w:rPr>
          <w:sz w:val="20"/>
          <w:szCs w:val="20"/>
          <w:color w:val="auto"/>
        </w:rPr>
      </w:pPr>
      <w:r>
        <w:rPr>
          <w:rFonts w:ascii="Arial" w:cs="Arial" w:eastAsia="Arial" w:hAnsi="Arial"/>
          <w:sz w:val="17"/>
          <w:szCs w:val="17"/>
          <w:color w:val="auto"/>
        </w:rPr>
        <w:t>same manner as such amendment, modification, or waiver affects the rights associated with all outstanding Units whose holders are parties thereto.</w:t>
      </w:r>
    </w:p>
    <w:p>
      <w:pPr>
        <w:spacing w:after="0" w:line="127" w:lineRule="exact"/>
        <w:rPr>
          <w:sz w:val="20"/>
          <w:szCs w:val="20"/>
          <w:color w:val="auto"/>
        </w:rPr>
      </w:pPr>
    </w:p>
    <w:p>
      <w:pPr>
        <w:jc w:val="both"/>
        <w:ind w:firstLine="1299"/>
        <w:spacing w:after="0" w:line="262" w:lineRule="auto"/>
        <w:tabs>
          <w:tab w:leader="none" w:pos="1901"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Other Commitments to Register Securities</w:t>
      </w:r>
      <w:r>
        <w:rPr>
          <w:rFonts w:ascii="Arial" w:cs="Arial" w:eastAsia="Arial" w:hAnsi="Arial"/>
          <w:sz w:val="18"/>
          <w:szCs w:val="18"/>
          <w:color w:val="auto"/>
        </w:rPr>
        <w:t>. Except as set forth in this Agreement, the Company is not, pursuant to the terms of any other agreement currently in existence, under any obligation to register under the Securities Act any of its presently outstanding equity interests or any of its securities which may hereafter be issued.</w:t>
      </w:r>
    </w:p>
    <w:p>
      <w:pPr>
        <w:spacing w:after="0" w:line="75" w:lineRule="exact"/>
        <w:rPr>
          <w:rFonts w:ascii="Arial" w:cs="Arial" w:eastAsia="Arial" w:hAnsi="Arial"/>
          <w:sz w:val="18"/>
          <w:szCs w:val="18"/>
          <w:color w:val="auto"/>
        </w:rPr>
      </w:pPr>
    </w:p>
    <w:p>
      <w:pPr>
        <w:jc w:val="both"/>
        <w:ind w:firstLine="1299"/>
        <w:spacing w:after="0" w:line="262" w:lineRule="auto"/>
        <w:tabs>
          <w:tab w:leader="none" w:pos="1895"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Exempt Transaction</w:t>
      </w:r>
      <w:r>
        <w:rPr>
          <w:rFonts w:ascii="Arial" w:cs="Arial" w:eastAsia="Arial" w:hAnsi="Arial"/>
          <w:sz w:val="18"/>
          <w:szCs w:val="18"/>
          <w:color w:val="auto"/>
        </w:rPr>
        <w:t xml:space="preserve">. Subject to the accuracy of the Warrantholder’s representations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the issuance of the Units upon exercise of this Agreement will constitute a transaction exempt from (i) the registration requirements of Section 5 of the Securities Act, in reliance upon Section 4(a)(2) thereof, and (ii) the qualification requirements of the applicable state securities laws.</w:t>
      </w:r>
    </w:p>
    <w:p>
      <w:pPr>
        <w:spacing w:after="0" w:line="75" w:lineRule="exact"/>
        <w:rPr>
          <w:rFonts w:ascii="Arial" w:cs="Arial" w:eastAsia="Arial" w:hAnsi="Arial"/>
          <w:sz w:val="18"/>
          <w:szCs w:val="18"/>
          <w:color w:val="auto"/>
        </w:rPr>
      </w:pPr>
    </w:p>
    <w:p>
      <w:pPr>
        <w:jc w:val="both"/>
        <w:ind w:firstLine="1299"/>
        <w:spacing w:after="0" w:line="258" w:lineRule="auto"/>
        <w:tabs>
          <w:tab w:leader="none" w:pos="1895"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Compliance with Rule 144</w:t>
      </w:r>
      <w:r>
        <w:rPr>
          <w:rFonts w:ascii="Arial" w:cs="Arial" w:eastAsia="Arial" w:hAnsi="Arial"/>
          <w:sz w:val="18"/>
          <w:szCs w:val="18"/>
          <w:color w:val="auto"/>
        </w:rPr>
        <w:t>. If the Warrantholder proposes to sell Units issuable upon the exercise of this Agreement in compliance with Rule 144 promulgated by the SEC, then, upon the Warrantholder’s written request to the Company, the Company shall furnish to the Warrantholder, within ten days after receipt of such request, a written statement confirming the Company’s compliance with the filing requirements of the SEC as set forth in such Rule, as such Rule may be amended from time to time.</w:t>
      </w:r>
    </w:p>
    <w:p>
      <w:pPr>
        <w:spacing w:after="0" w:line="78" w:lineRule="exact"/>
        <w:rPr>
          <w:rFonts w:ascii="Arial" w:cs="Arial" w:eastAsia="Arial" w:hAnsi="Arial"/>
          <w:sz w:val="18"/>
          <w:szCs w:val="18"/>
          <w:color w:val="auto"/>
        </w:rPr>
      </w:pPr>
    </w:p>
    <w:p>
      <w:pPr>
        <w:jc w:val="both"/>
        <w:ind w:firstLine="1299"/>
        <w:spacing w:after="0" w:line="262" w:lineRule="auto"/>
        <w:tabs>
          <w:tab w:leader="none" w:pos="1891"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 xml:space="preserve">. During the term of this Agreement, the Warrantholder shall be entitled to the information rights contained in </w:t>
      </w:r>
      <w:r>
        <w:rPr>
          <w:rFonts w:ascii="Arial" w:cs="Arial" w:eastAsia="Arial" w:hAnsi="Arial"/>
          <w:sz w:val="18"/>
          <w:szCs w:val="18"/>
          <w:u w:val="single" w:color="auto"/>
          <w:color w:val="auto"/>
        </w:rPr>
        <w:t>Section 7.1(b), (c), and (i)</w:t>
      </w:r>
      <w:r>
        <w:rPr>
          <w:rFonts w:ascii="Arial" w:cs="Arial" w:eastAsia="Arial" w:hAnsi="Arial"/>
          <w:sz w:val="18"/>
          <w:szCs w:val="18"/>
          <w:color w:val="auto"/>
        </w:rPr>
        <w:t xml:space="preserve"> of the Loan Agreement, and </w:t>
      </w:r>
      <w:r>
        <w:rPr>
          <w:rFonts w:ascii="Arial" w:cs="Arial" w:eastAsia="Arial" w:hAnsi="Arial"/>
          <w:sz w:val="18"/>
          <w:szCs w:val="18"/>
          <w:u w:val="single" w:color="auto"/>
          <w:color w:val="auto"/>
        </w:rPr>
        <w:t>Section 7.1(b), (c), and (i)</w:t>
      </w:r>
      <w:r>
        <w:rPr>
          <w:rFonts w:ascii="Arial" w:cs="Arial" w:eastAsia="Arial" w:hAnsi="Arial"/>
          <w:sz w:val="18"/>
          <w:szCs w:val="18"/>
          <w:color w:val="auto"/>
        </w:rPr>
        <w:t xml:space="preserve"> of the Loan Agreement is hereby incorporated into this Agreement by this reference as though fully set forth herein.</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REPRESENTATIONS AND COVENANTS OF THE WARRANTHOLDER.</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Agreement has been entered into by the Company in reliance upon the following representations and covenants of the Warrantholder:</w:t>
      </w:r>
    </w:p>
    <w:p>
      <w:pPr>
        <w:spacing w:after="0" w:line="223" w:lineRule="exact"/>
        <w:rPr>
          <w:sz w:val="20"/>
          <w:szCs w:val="20"/>
          <w:color w:val="auto"/>
        </w:rPr>
      </w:pPr>
    </w:p>
    <w:p>
      <w:pPr>
        <w:jc w:val="both"/>
        <w:ind w:firstLine="1299"/>
        <w:spacing w:after="0" w:line="262" w:lineRule="auto"/>
        <w:tabs>
          <w:tab w:leader="none" w:pos="1885"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right to acquire Units is being acquired for investment and not with a view to the sale or distribution of any part thereof, and the Warrantholder has no present intention of selling or engaging in any public distribution of such rights or the Units except pursuant to an effective registration statement or an exemption from the registration requirements of the Securities Act.</w:t>
      </w:r>
    </w:p>
    <w:p>
      <w:pPr>
        <w:spacing w:after="0" w:line="129" w:lineRule="exact"/>
        <w:rPr>
          <w:rFonts w:ascii="Arial" w:cs="Arial" w:eastAsia="Arial" w:hAnsi="Arial"/>
          <w:sz w:val="18"/>
          <w:szCs w:val="18"/>
          <w:color w:val="auto"/>
        </w:rPr>
      </w:pPr>
    </w:p>
    <w:p>
      <w:pPr>
        <w:jc w:val="both"/>
        <w:ind w:firstLine="1299"/>
        <w:spacing w:after="0" w:line="258" w:lineRule="auto"/>
        <w:tabs>
          <w:tab w:leader="none" w:pos="1895"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Private Issue</w:t>
      </w:r>
      <w:r>
        <w:rPr>
          <w:rFonts w:ascii="Arial" w:cs="Arial" w:eastAsia="Arial" w:hAnsi="Arial"/>
          <w:sz w:val="18"/>
          <w:szCs w:val="18"/>
          <w:color w:val="auto"/>
        </w:rPr>
        <w:t xml:space="preserve">. The Warrantholder understands (i) that the Units issuable upon exercise of this Agreement is not registered under the Securities Act or qualified under applicable state securities laws on the ground that the issuance contemplated by this Agreement will be exempt from the registration and qualifications requirements thereof, and (ii) that the Company’s reliance on such exemption is predicated on the representations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10.</w:t>
      </w:r>
    </w:p>
    <w:p>
      <w:pPr>
        <w:spacing w:after="0" w:line="186" w:lineRule="exact"/>
        <w:rPr>
          <w:rFonts w:ascii="Arial" w:cs="Arial" w:eastAsia="Arial" w:hAnsi="Arial"/>
          <w:sz w:val="18"/>
          <w:szCs w:val="18"/>
          <w:color w:val="auto"/>
        </w:rPr>
      </w:pPr>
    </w:p>
    <w:p>
      <w:pPr>
        <w:ind w:firstLine="1299"/>
        <w:spacing w:after="0" w:line="275" w:lineRule="auto"/>
        <w:tabs>
          <w:tab w:leader="none" w:pos="1885"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Financial Risk</w:t>
      </w:r>
      <w:r>
        <w:rPr>
          <w:rFonts w:ascii="Arial" w:cs="Arial" w:eastAsia="Arial" w:hAnsi="Arial"/>
          <w:sz w:val="18"/>
          <w:szCs w:val="18"/>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51" w:name="page352"/>
    <w:bookmarkEnd w:id="351"/>
    <w:p>
      <w:pPr>
        <w:jc w:val="both"/>
        <w:ind w:firstLine="1299"/>
        <w:spacing w:after="0" w:line="292" w:lineRule="auto"/>
        <w:tabs>
          <w:tab w:leader="none" w:pos="1895"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Risk of No Registration</w:t>
      </w:r>
      <w:r>
        <w:rPr>
          <w:rFonts w:ascii="Arial" w:cs="Arial" w:eastAsia="Arial" w:hAnsi="Arial"/>
          <w:sz w:val="16"/>
          <w:szCs w:val="16"/>
          <w:color w:val="auto"/>
        </w:rPr>
        <w:t>. The Warrantholder understands that if the Company does not register with the SEC pursuant to Section 12 of the Securities Exchange Act of 1934, as amended (the “Exchange Act”), or file reports pursuant to Section 15(d) of the Exchange Act, or if a registration statement covering the securities under the Securities Act is not in effect when it desires to sell (i) the rights to purchase Units pursuant to this Agreement or (ii) the Units issued or issuable upon exercise of the right to purchase, it may be required to hold such securities for an indefinite period. The Warrantholder also understands that any sale of (A) its rights hereunder to purchase Units or (B) Units issued or issuable hereunder which might be made by it in reliance upon Rule 144 under the Securities Act may be made only in accordance with the terms and conditions of that Rule.</w:t>
      </w:r>
    </w:p>
    <w:p>
      <w:pPr>
        <w:spacing w:after="0" w:line="163" w:lineRule="exact"/>
        <w:rPr>
          <w:rFonts w:ascii="Arial" w:cs="Arial" w:eastAsia="Arial" w:hAnsi="Arial"/>
          <w:sz w:val="16"/>
          <w:szCs w:val="16"/>
          <w:color w:val="auto"/>
        </w:rPr>
      </w:pPr>
    </w:p>
    <w:p>
      <w:pPr>
        <w:ind w:firstLine="1299"/>
        <w:spacing w:after="0" w:line="275" w:lineRule="auto"/>
        <w:tabs>
          <w:tab w:leader="none" w:pos="1885"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The Warrantholder is an “accredited investor” within the meaning of the Securities and Exchange Rule 501 of Regulation D, as presently in effect.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TRANSFERS.</w:t>
      </w:r>
    </w:p>
    <w:p>
      <w:pPr>
        <w:spacing w:after="0" w:line="227" w:lineRule="exact"/>
        <w:rPr>
          <w:sz w:val="20"/>
          <w:szCs w:val="20"/>
          <w:color w:val="auto"/>
        </w:rPr>
      </w:pPr>
    </w:p>
    <w:p>
      <w:pPr>
        <w:jc w:val="both"/>
        <w:ind w:firstLine="1291"/>
        <w:spacing w:after="0" w:line="287" w:lineRule="auto"/>
        <w:rPr>
          <w:sz w:val="20"/>
          <w:szCs w:val="20"/>
          <w:color w:val="auto"/>
        </w:rPr>
      </w:pPr>
      <w:r>
        <w:rPr>
          <w:rFonts w:ascii="Arial" w:cs="Arial" w:eastAsia="Arial" w:hAnsi="Arial"/>
          <w:sz w:val="16"/>
          <w:szCs w:val="16"/>
          <w:color w:val="auto"/>
        </w:rPr>
        <w:t>Subject to compliance with applicable federal and state securities laws, this Agreement and all rights hereunder are transferable, in whole or in part, to an Affiliate of the Warrantholder or otherwise in accordance with Section 10.01(a) of the Operating Agreement,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“Transfer Notice”), at its principal offices and the payment to the Company of all transfer taxes and other governmental charges imposed on such transfer. Until the Company receives such Transfer Notice, the Company may treat the registered owner hereof as the owner for all purposes. The Warrantholder may not transfer this Warrant to a competitor of the Company, as reasonably determined by the Board of Managers.</w:t>
      </w:r>
    </w:p>
    <w:p>
      <w:pPr>
        <w:spacing w:after="0" w:line="16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color w:val="auto"/>
        </w:rPr>
        <w:t>SECTION 12.</w:t>
        <w:tab/>
        <w:t>TAX TREATMENT OF WARRANT.</w:t>
      </w:r>
    </w:p>
    <w:p>
      <w:pPr>
        <w:spacing w:after="0" w:line="227" w:lineRule="exact"/>
        <w:rPr>
          <w:sz w:val="20"/>
          <w:szCs w:val="20"/>
          <w:color w:val="auto"/>
        </w:rPr>
      </w:pPr>
    </w:p>
    <w:p>
      <w:pPr>
        <w:jc w:val="both"/>
        <w:ind w:firstLine="1299"/>
        <w:spacing w:after="0" w:line="270" w:lineRule="auto"/>
        <w:tabs>
          <w:tab w:leader="none" w:pos="1885"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Application of Noncompensatory Option Treasury Regulations</w:t>
      </w:r>
      <w:r>
        <w:rPr>
          <w:rFonts w:ascii="Arial" w:cs="Arial" w:eastAsia="Arial" w:hAnsi="Arial"/>
          <w:sz w:val="17"/>
          <w:szCs w:val="17"/>
          <w:color w:val="auto"/>
        </w:rPr>
        <w:t>. The parties hereto acknowledge and agree that at the time of the execution of this Agreement, the Company and the Warrantholder intend that the Agreement be treated as a “noncompensatory option” within the meaning of Treasury Regulations Section 1.721-2(f). Therefore, unless and until this Agreement is exercised in accordance with its terms, the Company is taxed as a corporation under the Internal Revenue Code of 1986, as amended, or any successor statute the (“Code”) (and only as to all periods commencing thereon or thereafter), or there is superseding authority under which the Company’s tax counsel determines in writing (and a copy thereof provided to the Warrantholder) such treatment is not appropriate, or a Final Determination (as defined below) to the contrary has been made, for federal and applicable state and local income tax purposes, the parties hereto agree to (i) treat the issuance of the Agreement as an open transaction and not as the issuance of a partnership or membership interest in the Company, (ii) treat each Warrantholder,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2" w:name="page353"/>
    <w:bookmarkEnd w:id="352"/>
    <w:p>
      <w:pPr>
        <w:jc w:val="both"/>
        <w:spacing w:after="0" w:line="267" w:lineRule="auto"/>
        <w:rPr>
          <w:sz w:val="20"/>
          <w:szCs w:val="20"/>
          <w:color w:val="auto"/>
        </w:rPr>
      </w:pPr>
      <w:r>
        <w:rPr>
          <w:rFonts w:ascii="Arial" w:cs="Arial" w:eastAsia="Arial" w:hAnsi="Arial"/>
          <w:sz w:val="17"/>
          <w:szCs w:val="17"/>
          <w:color w:val="auto"/>
        </w:rPr>
        <w:t>with respect to ownership of the Agreement, as the holder of a warrant or option exercisable for limited liability company units or interests and not as a partner or a Member of the Company, and (iii) consistent with the regulations promulgated by the Treasury Department (“</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xml:space="preserve">”) under the Code regarding noncompensatory partnership options, not allocate any profits or losses or other items of income, gain, deduction, loss or credit to a Warrantholder of this Agreement with respect to this Agreement or the limited liability company interests issuable on exercise hereof prior to the exercise of this Agreement. The parties shall file all tax returns and information reports in a manner consistent with the foregoing, except to the extent otherwise required by the adoption of any superseding authority under which the Company’s tax counsel determines in writing (and a copy thereof provided to the Warrantholder) such treatment is not appropriate or a Final Determination. To the extent the Company, after consultation with its tax counsel, determines that it is required to make any disclosure regarding the treatment of this Agreement described above under Code Section 6662 or otherwise on its tax returns or other tax filings, the Company shall promptly notify the Warrantholder and, prior to filing, give the Warrantholder and its agents and representatives an opportunity to review and comment on any such disclosure. For purposes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Final Determination</w:t>
      </w:r>
      <w:r>
        <w:rPr>
          <w:rFonts w:ascii="Arial" w:cs="Arial" w:eastAsia="Arial" w:hAnsi="Arial"/>
          <w:sz w:val="17"/>
          <w:szCs w:val="17"/>
          <w:color w:val="auto"/>
        </w:rPr>
        <w:t>” means, with respect to any issue, (x) a decision, judgment, decree or other order by any court of competent jurisdiction, which decision, judgment, decree or other order has become final and not subject to further appeal, (y) a closing agreement entered into under Code Section 7121 or any other binding settlement agreement entered into in connection with or in contemplation of an administrative or judicial proceeding, or (z) the completion of the highest level of administrative proceedings if a judicial contest is not or is no longer available.</w:t>
      </w:r>
    </w:p>
    <w:p>
      <w:pPr>
        <w:spacing w:after="0" w:line="184" w:lineRule="exact"/>
        <w:rPr>
          <w:sz w:val="20"/>
          <w:szCs w:val="20"/>
          <w:color w:val="auto"/>
        </w:rPr>
      </w:pPr>
    </w:p>
    <w:p>
      <w:pPr>
        <w:jc w:val="both"/>
        <w:ind w:firstLine="1299"/>
        <w:spacing w:after="0" w:line="268" w:lineRule="auto"/>
        <w:tabs>
          <w:tab w:leader="none" w:pos="1895"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Exercise of Warrant</w:t>
      </w:r>
      <w:r>
        <w:rPr>
          <w:rFonts w:ascii="Arial" w:cs="Arial" w:eastAsia="Arial" w:hAnsi="Arial"/>
          <w:sz w:val="17"/>
          <w:szCs w:val="17"/>
          <w:color w:val="auto"/>
        </w:rPr>
        <w:t>. Upon exercise of this Agreement, the parties agree, with respect to all periods prior to the date (if any) on which the Company began to be taxed as a corporation, to treat the exercise of this Agreement consistently with applicable Treasury Regulations, including, without limitation, to the extent allowed thereunder (i) establishing an initial Capital Account (as defined in the Operating Agreement) for the Warrantholder equal to the consideration paid or deemed paid to the Company for the issuance of this Agreement plus the fair market value of any property contributed to the Company upon exercise of this Agreement, if any, (ii) revaluing all Company assets and property immediately following exercise of this Agreement and allocating built-in gain or loss in the Company’s assets and property to the Warrantholder and then to the historic Members as contemplated under the Treasury Regulations and, to the extent such allocation is insufficient to adjust the Warrantholder’s Capital Account in accordance with its right to share in capital, shifting capital between the Warrantholder and the historic Members as contemplated under the Treasury Regulations, and (iii) making associated tax allocations required by the Treasury Regulations, including any necessary corrective allocations and Code Section 704(c) allocations, including, as applicable, remedial allocations under Section 1.704-3(d) of the Treasury Regulations.</w:t>
      </w:r>
    </w:p>
    <w:p>
      <w:pPr>
        <w:spacing w:after="0" w:line="184" w:lineRule="exact"/>
        <w:rPr>
          <w:rFonts w:ascii="Arial" w:cs="Arial" w:eastAsia="Arial" w:hAnsi="Arial"/>
          <w:sz w:val="17"/>
          <w:szCs w:val="17"/>
          <w:color w:val="auto"/>
        </w:rPr>
      </w:pPr>
    </w:p>
    <w:p>
      <w:pPr>
        <w:jc w:val="both"/>
        <w:ind w:firstLine="1299"/>
        <w:spacing w:after="0" w:line="256" w:lineRule="auto"/>
        <w:tabs>
          <w:tab w:leader="none" w:pos="1885"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Effect on Tax Distributions</w:t>
      </w:r>
      <w:r>
        <w:rPr>
          <w:rFonts w:ascii="Arial" w:cs="Arial" w:eastAsia="Arial" w:hAnsi="Arial"/>
          <w:sz w:val="18"/>
          <w:szCs w:val="18"/>
          <w:color w:val="auto"/>
        </w:rPr>
        <w:t xml:space="preserve">. For purposes of determining the amount of any tax distribution made under the Operating Agreement to an exercising Warrantholder who becomes a Member, any Code Section 704(c) allocations or “corrective allocations” made as contemplated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12(b)</w:t>
      </w:r>
      <w:r>
        <w:rPr>
          <w:rFonts w:ascii="Arial" w:cs="Arial" w:eastAsia="Arial" w:hAnsi="Arial"/>
          <w:sz w:val="18"/>
          <w:szCs w:val="18"/>
          <w:color w:val="auto"/>
        </w:rPr>
        <w:t xml:space="preserve"> to such Member shall be treated as taxable income allocated to such Member by the Company, a tax distribution shall be made with respect to such allocations, and any and all tax distributions to an exercising Warrantholder (whether made pursuant to this </w:t>
      </w:r>
      <w:r>
        <w:rPr>
          <w:rFonts w:ascii="Arial" w:cs="Arial" w:eastAsia="Arial" w:hAnsi="Arial"/>
          <w:sz w:val="18"/>
          <w:szCs w:val="18"/>
          <w:u w:val="single" w:color="auto"/>
          <w:color w:val="auto"/>
        </w:rPr>
        <w:t>Section 12(c)</w:t>
      </w:r>
      <w:r>
        <w:rPr>
          <w:rFonts w:ascii="Arial" w:cs="Arial" w:eastAsia="Arial" w:hAnsi="Arial"/>
          <w:sz w:val="18"/>
          <w:szCs w:val="18"/>
          <w:color w:val="auto"/>
        </w:rPr>
        <w:t xml:space="preserve"> or the Operating Agreement) shall be computed in accordance with the Operating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53" w:name="page354"/>
    <w:bookmarkEnd w:id="353"/>
    <w:p>
      <w:pPr>
        <w:jc w:val="both"/>
        <w:spacing w:after="0" w:line="284" w:lineRule="auto"/>
        <w:rPr>
          <w:sz w:val="20"/>
          <w:szCs w:val="20"/>
          <w:color w:val="auto"/>
        </w:rPr>
      </w:pPr>
      <w:r>
        <w:rPr>
          <w:rFonts w:ascii="Arial" w:cs="Arial" w:eastAsia="Arial" w:hAnsi="Arial"/>
          <w:sz w:val="16"/>
          <w:szCs w:val="16"/>
          <w:color w:val="auto"/>
        </w:rPr>
        <w:t xml:space="preserve">Agreement. If, pursuant to a Final Determination or otherwise, the Warrantholder is allocated taxable income with respect to this Agreement in respect of any period prior to exercise hereof and such Warrantholder has not otherwise received a tax distribution under the Operating Agreement with respect to such amounts, and/or if the Warrantholder is, with respect to any period prior to exercise hereof, treated by federal or state tax authorities as a Member and the Units issuable upon exercise hereof treated as outstanding pursuant to Treasury Regulation 1.761-3 and/or any corresponding applicable state tax regulation, then promptly upon making such required allocation of taxable income to the Warrantholder or receipt of the Warrantholder’s written notice of such Final Determination, as applicable, the Company shall indemnify the Warrantholder from and against, and shall either make a payment to all appropriate taxing authorities (if required) in satisfaction of, or shall make a distribution of cash to the Warrantholder to cover, such Warrantholder’s aggregate federal and state tax liabilities in respect of such amount of taxable income or treatment (which shall include, without limitation, (x) all interest, penalties and fines thereon, (y) and all penalties, fines and interest thereon, if any, in respect of the Warrantholder’s liability for failure to file tax returns in all applicable jurisdictions with respect to such periods for which such taxing authorities treat the Warrantholder as the owner of the Units, and (z) all amounts necessary for the Warrantholder to satisfy its aggregate federal and state tax liabilities in respect of such Company payments or distributions to the Warrantholder), and such payment or distribution shall be made prior to making any other subsequent distributions under the Operating Agreement. For the avoidance of doubt, any tax distributions to, or indemnification payments on behalf of, a Warrantholder made pursuant to this Section 12(c) or, as applicable, in accordance with Section 7.03 of the Operating Agreement applied in conjunction with this Section 12(c), will be treated for purposes of the Operating Agreement as advances on distributions pursuant to Section 7.02(a)(i) and Section 13.03(c)(iii) of the Operating Agreement and will reduce, dollar-for-dollar, the amount otherwise Distributable to such Member pursuant to Section 7.02(a)(i) and Section 13.03(c)(iii) of the Operating Agreement. Notwithstanding the foregoing, this </w:t>
      </w:r>
      <w:r>
        <w:rPr>
          <w:rFonts w:ascii="Arial" w:cs="Arial" w:eastAsia="Arial" w:hAnsi="Arial"/>
          <w:sz w:val="16"/>
          <w:szCs w:val="16"/>
          <w:u w:val="single" w:color="auto"/>
          <w:color w:val="auto"/>
        </w:rPr>
        <w:t>Section 12(c)</w:t>
      </w:r>
      <w:r>
        <w:rPr>
          <w:rFonts w:ascii="Arial" w:cs="Arial" w:eastAsia="Arial" w:hAnsi="Arial"/>
          <w:sz w:val="16"/>
          <w:szCs w:val="16"/>
          <w:color w:val="auto"/>
        </w:rPr>
        <w:t xml:space="preserve"> shall not apply with respect to income to the Warrantholder from its sale or other disposition of this Agreement or of any securities issued on exercise hereof.</w:t>
      </w:r>
    </w:p>
    <w:p>
      <w:pPr>
        <w:spacing w:after="0" w:line="171" w:lineRule="exact"/>
        <w:rPr>
          <w:sz w:val="20"/>
          <w:szCs w:val="20"/>
          <w:color w:val="auto"/>
        </w:rPr>
      </w:pPr>
    </w:p>
    <w:p>
      <w:pPr>
        <w:jc w:val="both"/>
        <w:ind w:firstLine="1299"/>
        <w:spacing w:after="0" w:line="258" w:lineRule="auto"/>
        <w:tabs>
          <w:tab w:leader="none" w:pos="1895"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Conversion Liability</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the Company’s obligations under </w:t>
      </w:r>
      <w:r>
        <w:rPr>
          <w:rFonts w:ascii="Arial" w:cs="Arial" w:eastAsia="Arial" w:hAnsi="Arial"/>
          <w:sz w:val="18"/>
          <w:szCs w:val="18"/>
          <w:u w:val="single" w:color="auto"/>
          <w:color w:val="auto"/>
        </w:rPr>
        <w:t>Section 12(c)</w:t>
      </w:r>
      <w:r>
        <w:rPr>
          <w:rFonts w:ascii="Arial" w:cs="Arial" w:eastAsia="Arial" w:hAnsi="Arial"/>
          <w:sz w:val="18"/>
          <w:szCs w:val="18"/>
          <w:color w:val="auto"/>
        </w:rPr>
        <w:t xml:space="preserve"> above shall not apply to any tax liability or obligation of the Warrantholder under the Code or Treasury Regulations (or applicable state tax laws or regulations) arising upon and by reason of any Company (or any such successor entity’s) reorganization, conversion, tax election or the like following which the Company (or any successor entity) is taxed as a corporation under the Code.</w:t>
      </w:r>
    </w:p>
    <w:p>
      <w:pPr>
        <w:spacing w:after="0" w:line="186" w:lineRule="exact"/>
        <w:rPr>
          <w:rFonts w:ascii="Arial" w:cs="Arial" w:eastAsia="Arial" w:hAnsi="Arial"/>
          <w:sz w:val="18"/>
          <w:szCs w:val="18"/>
          <w:color w:val="auto"/>
        </w:rPr>
      </w:pPr>
    </w:p>
    <w:p>
      <w:pPr>
        <w:ind w:firstLine="1299"/>
        <w:spacing w:after="0" w:line="275" w:lineRule="auto"/>
        <w:tabs>
          <w:tab w:leader="none" w:pos="1885"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survive (i) the exercise of this Agreement and the sale or other disposition by the Warrantholder of the Units, and (ii) the expiration or earlier termination of this Agreement.</w:t>
      </w:r>
    </w:p>
    <w:p>
      <w:pPr>
        <w:spacing w:after="0" w:line="16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color w:val="auto"/>
        </w:rPr>
        <w:t>SECTION 13.</w:t>
        <w:tab/>
        <w:t>MISCELLANEOUS.</w:t>
      </w:r>
    </w:p>
    <w:p>
      <w:pPr>
        <w:spacing w:after="0" w:line="227" w:lineRule="exact"/>
        <w:rPr>
          <w:sz w:val="20"/>
          <w:szCs w:val="20"/>
          <w:color w:val="auto"/>
        </w:rPr>
      </w:pPr>
    </w:p>
    <w:p>
      <w:pPr>
        <w:ind w:firstLine="1299"/>
        <w:spacing w:after="0" w:line="306" w:lineRule="auto"/>
        <w:tabs>
          <w:tab w:leader="none" w:pos="1921"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54" w:name="page355"/>
    <w:bookmarkEnd w:id="354"/>
    <w:p>
      <w:pPr>
        <w:jc w:val="both"/>
        <w:ind w:firstLine="1299"/>
        <w:spacing w:after="0" w:line="295" w:lineRule="auto"/>
        <w:tabs>
          <w:tab w:leader="none" w:pos="1904"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 The Company expressly agrees that it shall not oppose an application by the Warrantholder or any other person entitled to the benefit of this Agreement requiring specific performance of any or all provisions hereof or enjoining the Company from continuing to commit any such breach of this Agreement.</w:t>
      </w:r>
    </w:p>
    <w:p>
      <w:pPr>
        <w:spacing w:after="0" w:line="160" w:lineRule="exact"/>
        <w:rPr>
          <w:rFonts w:ascii="Arial" w:cs="Arial" w:eastAsia="Arial" w:hAnsi="Arial"/>
          <w:sz w:val="16"/>
          <w:szCs w:val="16"/>
          <w:color w:val="auto"/>
        </w:rPr>
      </w:pPr>
    </w:p>
    <w:p>
      <w:pPr>
        <w:jc w:val="both"/>
        <w:ind w:firstLine="1299"/>
        <w:spacing w:after="0" w:line="310" w:lineRule="auto"/>
        <w:tabs>
          <w:tab w:leader="none" w:pos="1885"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No Impairment of Rights</w:t>
      </w:r>
      <w:r>
        <w:rPr>
          <w:rFonts w:ascii="Arial" w:cs="Arial" w:eastAsia="Arial" w:hAnsi="Arial"/>
          <w:sz w:val="16"/>
          <w:szCs w:val="16"/>
          <w:color w:val="auto"/>
        </w:rPr>
        <w:t>. The Company will not, by amendment of its Organizational Documents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148" w:lineRule="exact"/>
        <w:rPr>
          <w:rFonts w:ascii="Arial" w:cs="Arial" w:eastAsia="Arial" w:hAnsi="Arial"/>
          <w:sz w:val="16"/>
          <w:szCs w:val="16"/>
          <w:color w:val="auto"/>
        </w:rPr>
      </w:pPr>
    </w:p>
    <w:p>
      <w:pPr>
        <w:jc w:val="both"/>
        <w:ind w:firstLine="1299"/>
        <w:spacing w:after="0" w:line="271" w:lineRule="auto"/>
        <w:tabs>
          <w:tab w:leader="none" w:pos="1895"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Additional Documents</w:t>
      </w:r>
      <w:r>
        <w:rPr>
          <w:rFonts w:ascii="Arial" w:cs="Arial" w:eastAsia="Arial" w:hAnsi="Arial"/>
          <w:sz w:val="17"/>
          <w:szCs w:val="17"/>
          <w:color w:val="auto"/>
        </w:rPr>
        <w:t>. The Company, upon execution of this Agreement, shall provide the Warrantholder with certified resolutions of the Company’s Board of Managers evidencing approval of the form and content of this Agreement and the authorization and reservation of Units that may become issuable upon exercise of this Warrant. The Company shall also supply documentation reasonably necessary to evaluate whether to exercise this Agreement, including without limitation, (i) any merger/purchase/asset sale agreement and related documents and estimated payout allocations to each of the respective Members, warrant and option holders in connection with a Merger Event, (ii) the most recent capitalization tables, 409A valuations (if any), and board determination of unit value (including any waterfall or per unit allocations provided to the unitholders), and (iii) most recent Organizational Documents.</w:t>
      </w:r>
    </w:p>
    <w:p>
      <w:pPr>
        <w:spacing w:after="0" w:line="69" w:lineRule="exact"/>
        <w:rPr>
          <w:rFonts w:ascii="Arial" w:cs="Arial" w:eastAsia="Arial" w:hAnsi="Arial"/>
          <w:sz w:val="17"/>
          <w:szCs w:val="17"/>
          <w:color w:val="auto"/>
        </w:rPr>
      </w:pPr>
    </w:p>
    <w:p>
      <w:pPr>
        <w:jc w:val="both"/>
        <w:ind w:firstLine="1299"/>
        <w:spacing w:after="0" w:line="254" w:lineRule="auto"/>
        <w:tabs>
          <w:tab w:leader="none" w:pos="1894"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13(e),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84" w:lineRule="exact"/>
        <w:rPr>
          <w:rFonts w:ascii="Arial" w:cs="Arial" w:eastAsia="Arial" w:hAnsi="Arial"/>
          <w:sz w:val="18"/>
          <w:szCs w:val="18"/>
          <w:color w:val="auto"/>
        </w:rPr>
      </w:pPr>
    </w:p>
    <w:p>
      <w:pPr>
        <w:jc w:val="both"/>
        <w:ind w:firstLine="1299"/>
        <w:spacing w:after="0" w:line="258" w:lineRule="auto"/>
        <w:tabs>
          <w:tab w:leader="none" w:pos="1901"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jc w:val="both"/>
        <w:ind w:firstLine="1299"/>
        <w:spacing w:after="0" w:line="258" w:lineRule="auto"/>
        <w:tabs>
          <w:tab w:leader="none" w:pos="1895"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the day of transmission by facsimile or hand delivery if transmission or delivery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55" w:name="page356"/>
    <w:bookmarkEnd w:id="355"/>
    <w:p>
      <w:pPr>
        <w:jc w:val="both"/>
        <w:spacing w:after="0" w:line="258" w:lineRule="auto"/>
        <w:rPr>
          <w:sz w:val="20"/>
          <w:szCs w:val="20"/>
          <w:color w:val="auto"/>
        </w:rPr>
      </w:pPr>
      <w:r>
        <w:rPr>
          <w:rFonts w:ascii="Arial" w:cs="Arial" w:eastAsia="Arial" w:hAnsi="Arial"/>
          <w:sz w:val="18"/>
          <w:szCs w:val="18"/>
          <w:color w:val="auto"/>
        </w:rPr>
        <w:t>occurs on a business day at or before 5:00 pm in the time zone of the recipient, or, if transmission or delivery occurs on a non-business day or after such time, the first business day thereafter, or the first business day after deposit with an overnight express service or overnight mail delivery service; or (ii) the third (3rd) calendar day after deposit in the United States mails, with proper first class postage prepaid, and shall be addressed to the party to be notified as follows: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Warrantholder:</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HERCULES TECHNOLOGY MANAGEMENT CO II, INC. Legal Department</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Chief Legal Officer and R. Bryan Jadot</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400 Hamilton Avenue, Suite 310</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Palo Alto, CA 94301</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650-473-9194</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Telephone: 650-289-3060</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With a copy to (which shall not constitute notice):</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Barnes &amp; Thornburg LLP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Troy Zander</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655 W. Broadway, Suite 900</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 Diego, C A 92101</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Telephone: (650) 260-4767</w:t>
      </w:r>
    </w:p>
    <w:p>
      <w:pPr>
        <w:spacing w:after="0" w:line="209" w:lineRule="exact"/>
        <w:rPr>
          <w:sz w:val="20"/>
          <w:szCs w:val="20"/>
          <w:color w:val="auto"/>
        </w:rPr>
      </w:pPr>
    </w:p>
    <w:p>
      <w:pPr>
        <w:ind w:left="1080" w:hanging="427"/>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CENTURY THERAPEUTICS, LLC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Douglas Carr</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3675 Market Street</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Philadelphia, PA 19104</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Telephone: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With a copy to (which shall not constitute notice):</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Troutman Pepper Hamilton Sanders LLP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Rachael Bushey and Kathryn Nordick</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Eighteenth and Arch Streets</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Philadelphia, PA 19103-2799</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Telephone: (215)981-4379</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such other address as each party may designate for itself by like notice.</w:t>
      </w:r>
    </w:p>
    <w:p>
      <w:pPr>
        <w:spacing w:after="0" w:line="223" w:lineRule="exact"/>
        <w:rPr>
          <w:sz w:val="20"/>
          <w:szCs w:val="20"/>
          <w:color w:val="auto"/>
        </w:rPr>
      </w:pPr>
    </w:p>
    <w:p>
      <w:pPr>
        <w:jc w:val="both"/>
        <w:ind w:firstLine="1299"/>
        <w:spacing w:after="0" w:line="262" w:lineRule="auto"/>
        <w:tabs>
          <w:tab w:leader="none" w:pos="189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Amendments.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56" w:name="page357"/>
    <w:bookmarkEnd w:id="356"/>
    <w:p>
      <w:pPr>
        <w:spacing w:after="0" w:line="275" w:lineRule="auto"/>
        <w:rPr>
          <w:sz w:val="20"/>
          <w:szCs w:val="20"/>
          <w:color w:val="auto"/>
        </w:rPr>
      </w:pPr>
      <w:r>
        <w:rPr>
          <w:rFonts w:ascii="Arial" w:cs="Arial" w:eastAsia="Arial" w:hAnsi="Arial"/>
          <w:sz w:val="18"/>
          <w:szCs w:val="18"/>
          <w:color w:val="auto"/>
        </w:rPr>
        <w:t>including the Warrantholder’s proposal letter dated June 23, 2020. None of the terms of this Agreement may be amended except by an instrument executed by each of the parties hereto.</w:t>
      </w:r>
    </w:p>
    <w:p>
      <w:pPr>
        <w:spacing w:after="0" w:line="171" w:lineRule="exact"/>
        <w:rPr>
          <w:sz w:val="20"/>
          <w:szCs w:val="20"/>
          <w:color w:val="auto"/>
        </w:rPr>
      </w:pPr>
    </w:p>
    <w:p>
      <w:pPr>
        <w:ind w:firstLine="1299"/>
        <w:spacing w:after="0" w:line="275" w:lineRule="auto"/>
        <w:tabs>
          <w:tab w:leader="none" w:pos="189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various headings in this Agreement are inserted for convenience only and shall not affect the meaning or interpretation of this Agreement or any provisions hereof.</w:t>
      </w:r>
    </w:p>
    <w:p>
      <w:pPr>
        <w:spacing w:after="0" w:line="171" w:lineRule="exact"/>
        <w:rPr>
          <w:rFonts w:ascii="Arial" w:cs="Arial" w:eastAsia="Arial" w:hAnsi="Arial"/>
          <w:sz w:val="18"/>
          <w:szCs w:val="18"/>
          <w:color w:val="auto"/>
        </w:rPr>
      </w:pPr>
    </w:p>
    <w:p>
      <w:pPr>
        <w:jc w:val="both"/>
        <w:ind w:firstLine="1299"/>
        <w:spacing w:after="0" w:line="285" w:lineRule="auto"/>
        <w:tabs>
          <w:tab w:leader="none" w:pos="1891"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64" w:lineRule="exact"/>
        <w:rPr>
          <w:rFonts w:ascii="Arial" w:cs="Arial" w:eastAsia="Arial" w:hAnsi="Arial"/>
          <w:sz w:val="17"/>
          <w:szCs w:val="17"/>
          <w:color w:val="auto"/>
        </w:rPr>
      </w:pPr>
    </w:p>
    <w:p>
      <w:pPr>
        <w:jc w:val="both"/>
        <w:ind w:firstLine="1299"/>
        <w:spacing w:after="0" w:line="285" w:lineRule="auto"/>
        <w:tabs>
          <w:tab w:leader="none" w:pos="1895"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w:t>
      </w:r>
    </w:p>
    <w:p>
      <w:pPr>
        <w:spacing w:after="0" w:line="164" w:lineRule="exact"/>
        <w:rPr>
          <w:rFonts w:ascii="Arial" w:cs="Arial" w:eastAsia="Arial" w:hAnsi="Arial"/>
          <w:sz w:val="17"/>
          <w:szCs w:val="17"/>
          <w:color w:val="auto"/>
        </w:rPr>
      </w:pPr>
    </w:p>
    <w:p>
      <w:pPr>
        <w:jc w:val="both"/>
        <w:ind w:firstLine="1299"/>
        <w:spacing w:after="0" w:line="262" w:lineRule="auto"/>
        <w:tabs>
          <w:tab w:leader="none" w:pos="189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183" w:lineRule="exact"/>
        <w:rPr>
          <w:rFonts w:ascii="Arial" w:cs="Arial" w:eastAsia="Arial" w:hAnsi="Arial"/>
          <w:sz w:val="18"/>
          <w:szCs w:val="18"/>
          <w:color w:val="auto"/>
        </w:rPr>
      </w:pPr>
    </w:p>
    <w:p>
      <w:pPr>
        <w:jc w:val="both"/>
        <w:ind w:firstLine="1299"/>
        <w:spacing w:after="0" w:line="258" w:lineRule="auto"/>
        <w:tabs>
          <w:tab w:leader="none" w:pos="1909"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has been negotiated and delivered to the Warrantholder in the State of California, and shall have been accepted by the Warrantholder in the State of California. Delivery of Units to the Warrantholder by the Company under this Agreement is due in the State of California. This Agreement shall be governed by, and construed and enforced in accordance with, the laws of the State of Delaware, excluding conflict of laws principles that would cause the application of laws of any other jurisdiction.</w:t>
      </w:r>
    </w:p>
    <w:p>
      <w:pPr>
        <w:spacing w:after="0" w:line="186" w:lineRule="exact"/>
        <w:rPr>
          <w:rFonts w:ascii="Arial" w:cs="Arial" w:eastAsia="Arial" w:hAnsi="Arial"/>
          <w:sz w:val="18"/>
          <w:szCs w:val="18"/>
          <w:color w:val="auto"/>
        </w:rPr>
      </w:pPr>
    </w:p>
    <w:p>
      <w:pPr>
        <w:jc w:val="both"/>
        <w:ind w:firstLine="1299"/>
        <w:spacing w:after="0" w:line="270" w:lineRule="auto"/>
        <w:tabs>
          <w:tab w:leader="none" w:pos="1895"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Consent to Jurisdiction and Venue</w:t>
      </w:r>
      <w:r>
        <w:rPr>
          <w:rFonts w:ascii="Arial" w:cs="Arial" w:eastAsia="Arial" w:hAnsi="Arial"/>
          <w:sz w:val="17"/>
          <w:szCs w:val="17"/>
          <w:color w:val="auto"/>
        </w:rPr>
        <w:t xml:space="preserve">.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w:t>
      </w:r>
      <w:r>
        <w:rPr>
          <w:rFonts w:ascii="Arial" w:cs="Arial" w:eastAsia="Arial" w:hAnsi="Arial"/>
          <w:sz w:val="17"/>
          <w:szCs w:val="17"/>
          <w:u w:val="single" w:color="auto"/>
          <w:color w:val="auto"/>
        </w:rPr>
        <w:t>Section 13(g),</w:t>
      </w:r>
      <w:r>
        <w:rPr>
          <w:rFonts w:ascii="Arial" w:cs="Arial" w:eastAsia="Arial" w:hAnsi="Arial"/>
          <w:sz w:val="17"/>
          <w:szCs w:val="17"/>
          <w:color w:val="auto"/>
        </w:rPr>
        <w:t xml:space="preserve"> and shall be deemed effective and received as set forth in </w:t>
      </w:r>
      <w:r>
        <w:rPr>
          <w:rFonts w:ascii="Arial" w:cs="Arial" w:eastAsia="Arial" w:hAnsi="Arial"/>
          <w:sz w:val="17"/>
          <w:szCs w:val="17"/>
          <w:u w:val="single" w:color="auto"/>
          <w:color w:val="auto"/>
        </w:rPr>
        <w:t>Section 13(g)</w:t>
      </w:r>
      <w:r>
        <w:rPr>
          <w:rFonts w:ascii="Arial" w:cs="Arial" w:eastAsia="Arial" w:hAnsi="Arial"/>
          <w:sz w:val="17"/>
          <w:szCs w:val="17"/>
          <w:color w:val="auto"/>
        </w:rPr>
        <w:t>. Nothing herein shall affect the right to serve process in any other manner permitted by law or shall limit the right of either party to bring proceedings in the courts of any other jurisdiction.</w:t>
      </w:r>
    </w:p>
    <w:p>
      <w:pPr>
        <w:spacing w:after="0" w:line="177" w:lineRule="exact"/>
        <w:rPr>
          <w:rFonts w:ascii="Arial" w:cs="Arial" w:eastAsia="Arial" w:hAnsi="Arial"/>
          <w:sz w:val="17"/>
          <w:szCs w:val="17"/>
          <w:color w:val="auto"/>
        </w:rPr>
      </w:pPr>
    </w:p>
    <w:p>
      <w:pPr>
        <w:ind w:right="20" w:firstLine="1299"/>
        <w:spacing w:after="0" w:line="275" w:lineRule="auto"/>
        <w:tabs>
          <w:tab w:leader="none" w:pos="1895"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Mutual Waiver of Jury Trial</w:t>
      </w:r>
      <w:r>
        <w:rPr>
          <w:rFonts w:ascii="Arial" w:cs="Arial" w:eastAsia="Arial" w:hAnsi="Arial"/>
          <w:sz w:val="18"/>
          <w:szCs w:val="18"/>
          <w:color w:val="auto"/>
        </w:rPr>
        <w:t>. Because disputes arising in connection with complex financial transactions are most quickly and economically resolved by an experienced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57" w:name="page358"/>
    <w:bookmarkEnd w:id="357"/>
    <w:p>
      <w:pPr>
        <w:jc w:val="both"/>
        <w:spacing w:after="0" w:line="253" w:lineRule="auto"/>
        <w:rPr>
          <w:sz w:val="20"/>
          <w:szCs w:val="20"/>
          <w:color w:val="auto"/>
        </w:rPr>
      </w:pPr>
      <w:r>
        <w:rPr>
          <w:rFonts w:ascii="Arial" w:cs="Arial" w:eastAsia="Arial" w:hAnsi="Arial"/>
          <w:sz w:val="18"/>
          <w:szCs w:val="18"/>
          <w:color w:val="auto"/>
        </w:rPr>
        <w:t>expert person and the parties wish applicable state and federal laws to apply (rather than arbitration rules), the parties desire that their disputes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This waiver extends to all such Claims, including Claims that involve persons other than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192" w:lineRule="exact"/>
        <w:rPr>
          <w:sz w:val="20"/>
          <w:szCs w:val="20"/>
          <w:color w:val="auto"/>
        </w:rPr>
      </w:pPr>
    </w:p>
    <w:p>
      <w:pPr>
        <w:jc w:val="both"/>
        <w:ind w:firstLine="1299"/>
        <w:spacing w:after="0" w:line="278" w:lineRule="auto"/>
        <w:tabs>
          <w:tab w:leader="none" w:pos="1895"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Judicial Reference</w:t>
      </w:r>
      <w:r>
        <w:rPr>
          <w:rFonts w:ascii="Arial" w:cs="Arial" w:eastAsia="Arial" w:hAnsi="Arial"/>
          <w:sz w:val="17"/>
          <w:szCs w:val="17"/>
          <w:color w:val="auto"/>
        </w:rPr>
        <w:t>. If the waiver of jury trial set forth above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Santa Clara County, California. Such proceeding shall be conducted in Santa Clara County, California, with California rules of evidence and discovery applicable to such proceeding.</w:t>
      </w:r>
    </w:p>
    <w:p>
      <w:pPr>
        <w:spacing w:after="0" w:line="170" w:lineRule="exact"/>
        <w:rPr>
          <w:rFonts w:ascii="Arial" w:cs="Arial" w:eastAsia="Arial" w:hAnsi="Arial"/>
          <w:sz w:val="17"/>
          <w:szCs w:val="17"/>
          <w:color w:val="auto"/>
        </w:rPr>
      </w:pPr>
    </w:p>
    <w:p>
      <w:pPr>
        <w:jc w:val="both"/>
        <w:ind w:firstLine="1299"/>
        <w:spacing w:after="0" w:line="262" w:lineRule="auto"/>
        <w:tabs>
          <w:tab w:leader="none" w:pos="1895"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Prejudgment Relief</w:t>
      </w:r>
      <w:r>
        <w:rPr>
          <w:rFonts w:ascii="Arial" w:cs="Arial" w:eastAsia="Arial" w:hAnsi="Arial"/>
          <w:sz w:val="18"/>
          <w:szCs w:val="18"/>
          <w:color w:val="auto"/>
        </w:rPr>
        <w:t>. In the event Claims are to be resolved by arbitration, either party may seek from a court of competent jurisdiction identified in Section 13(n), any prejudgment order, writ or other relief and have such prejudgment order, writ or other relief enforced to the fullest extent permitted by law notwithstanding that all Claims are otherwise subject to resolution by judicial reference.</w:t>
      </w:r>
    </w:p>
    <w:p>
      <w:pPr>
        <w:spacing w:after="0" w:line="183" w:lineRule="exact"/>
        <w:rPr>
          <w:rFonts w:ascii="Arial" w:cs="Arial" w:eastAsia="Arial" w:hAnsi="Arial"/>
          <w:sz w:val="18"/>
          <w:szCs w:val="18"/>
          <w:color w:val="auto"/>
        </w:rPr>
      </w:pPr>
    </w:p>
    <w:p>
      <w:pPr>
        <w:jc w:val="both"/>
        <w:ind w:firstLine="1299"/>
        <w:spacing w:after="0" w:line="262" w:lineRule="auto"/>
        <w:tabs>
          <w:tab w:leader="none" w:pos="1901"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58" w:name="page359"/>
    <w:bookmarkEnd w:id="358"/>
    <w:p>
      <w:pPr>
        <w:ind w:left="660"/>
        <w:spacing w:after="0"/>
        <w:rPr>
          <w:sz w:val="20"/>
          <w:szCs w:val="20"/>
          <w:color w:val="auto"/>
        </w:rPr>
      </w:pPr>
      <w:r>
        <w:rPr>
          <w:rFonts w:ascii="Arial" w:cs="Arial" w:eastAsia="Arial" w:hAnsi="Arial"/>
          <w:sz w:val="18"/>
          <w:szCs w:val="18"/>
          <w:color w:val="auto"/>
        </w:rPr>
        <w:t>[SIGNATURE PAGE TO WARRANT AGREEMENT TO PURCHASE UNITS]</w:t>
      </w:r>
    </w:p>
    <w:p>
      <w:pPr>
        <w:spacing w:after="0" w:line="223"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IN WITNESS WHEREOF, the parties hereto have caused this Agreement to be executed by its officers thereunto duly authorized as of the Effective Date.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COMPANY:</w:t>
            </w:r>
          </w:p>
        </w:tc>
        <w:tc>
          <w:tcPr>
            <w:tcW w:w="6200" w:type="dxa"/>
            <w:vAlign w:val="bottom"/>
            <w:gridSpan w:val="3"/>
          </w:tcPr>
          <w:p>
            <w:pPr>
              <w:ind w:left="1760"/>
              <w:spacing w:after="0"/>
              <w:rPr>
                <w:sz w:val="20"/>
                <w:szCs w:val="20"/>
                <w:color w:val="auto"/>
              </w:rPr>
            </w:pPr>
            <w:r>
              <w:rPr>
                <w:rFonts w:ascii="Arial" w:cs="Arial" w:eastAsia="Arial" w:hAnsi="Arial"/>
                <w:sz w:val="18"/>
                <w:szCs w:val="18"/>
                <w:color w:val="auto"/>
              </w:rPr>
              <w:t>CENTURY THERAPEUTICS, LLC</w:t>
            </w:r>
          </w:p>
        </w:tc>
      </w:tr>
      <w:tr>
        <w:trPr>
          <w:trHeight w:val="430"/>
        </w:trPr>
        <w:tc>
          <w:tcPr>
            <w:tcW w:w="342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Douglas Carr</w:t>
            </w:r>
          </w:p>
        </w:tc>
      </w:tr>
      <w:tr>
        <w:trPr>
          <w:trHeight w:val="194"/>
        </w:trPr>
        <w:tc>
          <w:tcPr>
            <w:tcW w:w="3420" w:type="dxa"/>
            <w:vAlign w:val="bottom"/>
          </w:tcPr>
          <w:p>
            <w:pPr>
              <w:spacing w:after="0"/>
              <w:rPr>
                <w:sz w:val="16"/>
                <w:szCs w:val="16"/>
                <w:color w:val="auto"/>
              </w:rPr>
            </w:pPr>
          </w:p>
        </w:tc>
        <w:tc>
          <w:tcPr>
            <w:tcW w:w="2340" w:type="dxa"/>
            <w:vAlign w:val="bottom"/>
          </w:tcPr>
          <w:p>
            <w:pPr>
              <w:ind w:left="1760"/>
              <w:spacing w:after="0" w:line="195" w:lineRule="exact"/>
              <w:rPr>
                <w:sz w:val="20"/>
                <w:szCs w:val="20"/>
                <w:color w:val="auto"/>
              </w:rPr>
            </w:pPr>
            <w:r>
              <w:rPr>
                <w:rFonts w:ascii="Arial" w:cs="Arial" w:eastAsia="Arial" w:hAnsi="Arial"/>
                <w:sz w:val="18"/>
                <w:szCs w:val="18"/>
                <w:color w:val="auto"/>
              </w:rPr>
              <w:t>Name:</w:t>
            </w: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Douglas Carr</w:t>
            </w:r>
          </w:p>
        </w:tc>
        <w:tc>
          <w:tcPr>
            <w:tcW w:w="500" w:type="dxa"/>
            <w:vAlign w:val="bottom"/>
          </w:tcPr>
          <w:p>
            <w:pPr>
              <w:spacing w:after="0"/>
              <w:rPr>
                <w:sz w:val="16"/>
                <w:szCs w:val="16"/>
                <w:color w:val="auto"/>
              </w:rPr>
            </w:pPr>
          </w:p>
        </w:tc>
      </w:tr>
      <w:tr>
        <w:trPr>
          <w:trHeight w:val="230"/>
        </w:trPr>
        <w:tc>
          <w:tcPr>
            <w:tcW w:w="3420" w:type="dxa"/>
            <w:vAlign w:val="bottom"/>
          </w:tcPr>
          <w:p>
            <w:pPr>
              <w:spacing w:after="0"/>
              <w:rPr>
                <w:sz w:val="19"/>
                <w:szCs w:val="19"/>
                <w:color w:val="auto"/>
              </w:rPr>
            </w:pPr>
          </w:p>
        </w:tc>
        <w:tc>
          <w:tcPr>
            <w:tcW w:w="2340" w:type="dxa"/>
            <w:vAlign w:val="bottom"/>
          </w:tcPr>
          <w:p>
            <w:pPr>
              <w:ind w:left="1760"/>
              <w:spacing w:after="0"/>
              <w:rPr>
                <w:sz w:val="20"/>
                <w:szCs w:val="20"/>
                <w:color w:val="auto"/>
              </w:rPr>
            </w:pPr>
            <w:r>
              <w:rPr>
                <w:rFonts w:ascii="Arial" w:cs="Arial" w:eastAsia="Arial" w:hAnsi="Arial"/>
                <w:sz w:val="18"/>
                <w:szCs w:val="18"/>
                <w:color w:val="auto"/>
              </w:rPr>
              <w:t>Title:</w:t>
            </w:r>
          </w:p>
        </w:tc>
        <w:tc>
          <w:tcPr>
            <w:tcW w:w="3860" w:type="dxa"/>
            <w:vAlign w:val="bottom"/>
            <w:gridSpan w:val="2"/>
          </w:tcPr>
          <w:p>
            <w:pPr>
              <w:spacing w:after="0"/>
              <w:rPr>
                <w:sz w:val="20"/>
                <w:szCs w:val="20"/>
                <w:color w:val="auto"/>
              </w:rPr>
            </w:pPr>
            <w:r>
              <w:rPr>
                <w:rFonts w:ascii="Arial" w:cs="Arial" w:eastAsia="Arial" w:hAnsi="Arial"/>
                <w:sz w:val="18"/>
                <w:szCs w:val="18"/>
                <w:color w:val="auto"/>
              </w:rPr>
              <w:t>Vice President Finance &amp; Operations</w:t>
            </w:r>
          </w:p>
        </w:tc>
      </w:tr>
      <w:tr>
        <w:trPr>
          <w:trHeight w:val="646"/>
        </w:trPr>
        <w:tc>
          <w:tcPr>
            <w:tcW w:w="3420" w:type="dxa"/>
            <w:vAlign w:val="bottom"/>
          </w:tcPr>
          <w:p>
            <w:pPr>
              <w:spacing w:after="0"/>
              <w:rPr>
                <w:sz w:val="20"/>
                <w:szCs w:val="20"/>
                <w:color w:val="auto"/>
              </w:rPr>
            </w:pPr>
            <w:r>
              <w:rPr>
                <w:rFonts w:ascii="Arial" w:cs="Arial" w:eastAsia="Arial" w:hAnsi="Arial"/>
                <w:sz w:val="18"/>
                <w:szCs w:val="18"/>
                <w:color w:val="auto"/>
              </w:rPr>
              <w:t>WARRANTHOLDER:</w:t>
            </w:r>
          </w:p>
        </w:tc>
        <w:tc>
          <w:tcPr>
            <w:tcW w:w="6200" w:type="dxa"/>
            <w:vAlign w:val="bottom"/>
            <w:gridSpan w:val="3"/>
          </w:tcPr>
          <w:p>
            <w:pPr>
              <w:ind w:left="1760"/>
              <w:spacing w:after="0"/>
              <w:rPr>
                <w:sz w:val="20"/>
                <w:szCs w:val="20"/>
                <w:color w:val="auto"/>
              </w:rPr>
            </w:pPr>
            <w:r>
              <w:rPr>
                <w:rFonts w:ascii="Arial" w:cs="Arial" w:eastAsia="Arial" w:hAnsi="Arial"/>
                <w:sz w:val="18"/>
                <w:szCs w:val="18"/>
                <w:color w:val="auto"/>
                <w:w w:val="96"/>
              </w:rPr>
              <w:t>HERCULES TECHNOLOGY MANAGEMENT CO II, INC.</w:t>
            </w:r>
          </w:p>
        </w:tc>
      </w:tr>
      <w:tr>
        <w:trPr>
          <w:trHeight w:val="430"/>
        </w:trPr>
        <w:tc>
          <w:tcPr>
            <w:tcW w:w="342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Jennifer Choe</w:t>
            </w:r>
          </w:p>
        </w:tc>
      </w:tr>
      <w:tr>
        <w:trPr>
          <w:trHeight w:val="209"/>
        </w:trPr>
        <w:tc>
          <w:tcPr>
            <w:tcW w:w="3420" w:type="dxa"/>
            <w:vAlign w:val="bottom"/>
          </w:tcPr>
          <w:p>
            <w:pPr>
              <w:spacing w:after="0"/>
              <w:rPr>
                <w:sz w:val="18"/>
                <w:szCs w:val="18"/>
                <w:color w:val="auto"/>
              </w:rPr>
            </w:pPr>
          </w:p>
        </w:tc>
        <w:tc>
          <w:tcPr>
            <w:tcW w:w="2340" w:type="dxa"/>
            <w:vAlign w:val="bottom"/>
          </w:tcPr>
          <w:p>
            <w:pPr>
              <w:ind w:left="1760"/>
              <w:spacing w:after="0"/>
              <w:rPr>
                <w:sz w:val="20"/>
                <w:szCs w:val="20"/>
                <w:color w:val="auto"/>
              </w:rPr>
            </w:pPr>
            <w:r>
              <w:rPr>
                <w:rFonts w:ascii="Arial" w:cs="Arial" w:eastAsia="Arial" w:hAnsi="Arial"/>
                <w:sz w:val="18"/>
                <w:szCs w:val="18"/>
                <w:color w:val="auto"/>
              </w:rPr>
              <w:t>Name:</w:t>
            </w:r>
          </w:p>
        </w:tc>
        <w:tc>
          <w:tcPr>
            <w:tcW w:w="3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Jennifer Choe</w:t>
            </w:r>
          </w:p>
        </w:tc>
        <w:tc>
          <w:tcPr>
            <w:tcW w:w="500" w:type="dxa"/>
            <w:vAlign w:val="bottom"/>
          </w:tcPr>
          <w:p>
            <w:pPr>
              <w:spacing w:after="0"/>
              <w:rPr>
                <w:sz w:val="18"/>
                <w:szCs w:val="18"/>
                <w:color w:val="auto"/>
              </w:rPr>
            </w:pPr>
          </w:p>
        </w:tc>
      </w:tr>
      <w:tr>
        <w:trPr>
          <w:trHeight w:val="209"/>
        </w:trPr>
        <w:tc>
          <w:tcPr>
            <w:tcW w:w="3420" w:type="dxa"/>
            <w:vAlign w:val="bottom"/>
          </w:tcPr>
          <w:p>
            <w:pPr>
              <w:spacing w:after="0"/>
              <w:rPr>
                <w:sz w:val="18"/>
                <w:szCs w:val="18"/>
                <w:color w:val="auto"/>
              </w:rPr>
            </w:pPr>
          </w:p>
        </w:tc>
        <w:tc>
          <w:tcPr>
            <w:tcW w:w="2340" w:type="dxa"/>
            <w:vAlign w:val="bottom"/>
          </w:tcPr>
          <w:p>
            <w:pPr>
              <w:ind w:left="1760"/>
              <w:spacing w:after="0"/>
              <w:rPr>
                <w:sz w:val="20"/>
                <w:szCs w:val="20"/>
                <w:color w:val="auto"/>
              </w:rPr>
            </w:pPr>
            <w:r>
              <w:rPr>
                <w:rFonts w:ascii="Arial" w:cs="Arial" w:eastAsia="Arial" w:hAnsi="Arial"/>
                <w:sz w:val="18"/>
                <w:szCs w:val="18"/>
                <w:color w:val="auto"/>
              </w:rPr>
              <w:t>Title: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Associate General Counsel</w:t>
            </w:r>
          </w:p>
        </w:tc>
        <w:tc>
          <w:tcPr>
            <w:tcW w:w="500" w:type="dxa"/>
            <w:vAlign w:val="bottom"/>
          </w:tcPr>
          <w:p>
            <w:pPr>
              <w:spacing w:after="0"/>
              <w:rPr>
                <w:sz w:val="18"/>
                <w:szCs w:val="18"/>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9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b w:val="1"/>
          <w:bCs w:val="1"/>
          <w:color w:val="auto"/>
        </w:rPr>
        <w:t>EXHIBIT 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CENTURY THERAPEUTICS, LLC</w:t>
      </w:r>
    </w:p>
    <w:p>
      <w:pPr>
        <w:spacing w:after="0" w:line="223" w:lineRule="exact"/>
        <w:rPr>
          <w:sz w:val="20"/>
          <w:szCs w:val="20"/>
          <w:color w:val="auto"/>
        </w:rPr>
      </w:pPr>
    </w:p>
    <w:p>
      <w:pPr>
        <w:jc w:val="both"/>
        <w:ind w:left="660" w:hanging="652"/>
        <w:spacing w:after="0" w:line="278" w:lineRule="auto"/>
        <w:tabs>
          <w:tab w:leader="none" w:pos="6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undersigned Warrantholder hereby elects to purchase to purchase [________] Units of CENTURY THERAPEUTICS, LLC, pursuant to the terms of the Warrant Agreement dated September 14, 2020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CENTURY THERAPEUTICS, LLC and the Warrantholder, and [CASH PAYMENT: tenders herewith payment of the Purchase Price in full, together with all applicable transfer taxes, if any.] [NET ISSUANCE: elects pursuant to Section 3(a) of the Agreement to effect a Net Issuance.]</w:t>
      </w:r>
    </w:p>
    <w:p>
      <w:pPr>
        <w:spacing w:after="0" w:line="170" w:lineRule="exact"/>
        <w:rPr>
          <w:rFonts w:ascii="Arial" w:cs="Arial" w:eastAsia="Arial" w:hAnsi="Arial"/>
          <w:sz w:val="17"/>
          <w:szCs w:val="17"/>
          <w:color w:val="auto"/>
        </w:rPr>
      </w:pPr>
    </w:p>
    <w:p>
      <w:pPr>
        <w:ind w:left="660" w:hanging="652"/>
        <w:spacing w:after="0"/>
        <w:tabs>
          <w:tab w:leader="none" w:pos="6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Please issue a certificate or certificates representing said Units in the name of the undersigned or in such other name as is specified below.</w:t>
      </w:r>
    </w:p>
    <w:p>
      <w:pPr>
        <w:spacing w:after="0" w:line="200" w:lineRule="exact"/>
        <w:rPr>
          <w:sz w:val="20"/>
          <w:szCs w:val="20"/>
          <w:color w:val="auto"/>
        </w:rPr>
      </w:pPr>
    </w:p>
    <w:p>
      <w:pPr>
        <w:spacing w:after="0" w:line="26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-130175</wp:posOffset>
            </wp:positionV>
            <wp:extent cx="24942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-130175</wp:posOffset>
            </wp:positionV>
            <wp:extent cx="24942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WARRANTHOLDER:</w:t>
      </w:r>
      <w:r>
        <w:rPr>
          <w:sz w:val="20"/>
          <w:szCs w:val="20"/>
          <w:color w:val="auto"/>
        </w:rPr>
        <w:tab/>
      </w:r>
      <w:r>
        <w:rPr>
          <w:rFonts w:ascii="Arial" w:cs="Arial" w:eastAsia="Arial" w:hAnsi="Arial"/>
          <w:sz w:val="18"/>
          <w:szCs w:val="18"/>
          <w:color w:val="auto"/>
        </w:rPr>
        <w:t>HERCULES TECHNOLOGY MANAGEMENT CO II, INC.</w:t>
      </w:r>
    </w:p>
    <w:p>
      <w:pPr>
        <w:spacing w:after="0" w:line="2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213550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35505"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-122555</wp:posOffset>
            </wp:positionV>
            <wp:extent cx="213550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35505" cy="8255"/>
                    </a:xfrm>
                    <a:prstGeom prst="rect">
                      <a:avLst/>
                    </a:prstGeom>
                    <a:noFill/>
                  </pic:spPr>
                </pic:pic>
              </a:graphicData>
            </a:graphic>
          </wp:anchor>
        </w:drawing>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22225</wp:posOffset>
            </wp:positionV>
            <wp:extent cx="213550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3550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-122555</wp:posOffset>
            </wp:positionV>
            <wp:extent cx="213550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35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1329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t>EXHIBIT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 OF EXERCISE</w:t>
      </w:r>
    </w:p>
    <w:p>
      <w:pPr>
        <w:spacing w:after="0" w:line="2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undersigned CENTURY THERAPEUTICS, LLC, hereby acknowledges receipt of the Notice of Exercise from HERCULES TECHNOLOGY MANAGEMENT CO II, INC. (“Warrantholder”) to purchase [________] Units of CENTURY THERAPEUTICS, LLC, pursuant to the terms of the</w:t>
      </w:r>
    </w:p>
    <w:p>
      <w:pPr>
        <w:spacing w:after="0" w:line="259" w:lineRule="auto"/>
        <w:rPr>
          <w:sz w:val="20"/>
          <w:szCs w:val="20"/>
          <w:color w:val="auto"/>
        </w:rPr>
      </w:pPr>
      <w:r>
        <w:rPr>
          <w:rFonts w:ascii="Arial" w:cs="Arial" w:eastAsia="Arial" w:hAnsi="Arial"/>
          <w:sz w:val="18"/>
          <w:szCs w:val="18"/>
          <w:color w:val="auto"/>
        </w:rPr>
        <w:t>Warrant Agreement by and between CENTURY THERAPEUTICS, LLC and Warrantholder, dated as of September 14, 2020 (the “</w:t>
      </w:r>
      <w:r>
        <w:rPr>
          <w:rFonts w:ascii="Arial" w:cs="Arial" w:eastAsia="Arial" w:hAnsi="Arial"/>
          <w:sz w:val="18"/>
          <w:szCs w:val="18"/>
          <w:u w:val="single" w:color="auto"/>
          <w:color w:val="auto"/>
        </w:rPr>
        <w:t>Agreement</w:t>
      </w:r>
      <w:r>
        <w:rPr>
          <w:rFonts w:ascii="Arial" w:cs="Arial" w:eastAsia="Arial" w:hAnsi="Arial"/>
          <w:sz w:val="18"/>
          <w:szCs w:val="18"/>
          <w:color w:val="auto"/>
        </w:rPr>
        <w:t>”), and further acknowledges that [_________________] units remain subject to purchase under the terms of the Agreement.</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COMPANY: CENTURY THERAPEUTICS, LLC</w:t>
      </w: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14605</wp:posOffset>
            </wp:positionV>
            <wp:extent cx="328041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280410" cy="8255"/>
                    </a:xfrm>
                    <a:prstGeom prst="rect">
                      <a:avLst/>
                    </a:prstGeom>
                    <a:noFill/>
                  </pic:spPr>
                </pic:pic>
              </a:graphicData>
            </a:graphic>
          </wp:anchor>
        </w:drawing>
      </w:r>
    </w:p>
    <w:p>
      <w:pPr>
        <w:spacing w:after="0" w:line="21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14605</wp:posOffset>
            </wp:positionV>
            <wp:extent cx="328041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280410" cy="8255"/>
                    </a:xfrm>
                    <a:prstGeom prst="rect">
                      <a:avLst/>
                    </a:prstGeom>
                    <a:noFill/>
                  </pic:spPr>
                </pic:pic>
              </a:graphicData>
            </a:graphic>
          </wp:anchor>
        </w:drawing>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14605</wp:posOffset>
            </wp:positionV>
            <wp:extent cx="32804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2804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9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1" w:name="page362"/>
    <w:bookmarkEnd w:id="361"/>
    <w:p>
      <w:pPr>
        <w:jc w:val="center"/>
        <w:ind w:right="-19"/>
        <w:spacing w:after="0"/>
        <w:rPr>
          <w:sz w:val="20"/>
          <w:szCs w:val="20"/>
          <w:color w:val="auto"/>
        </w:rPr>
      </w:pPr>
      <w:r>
        <w:rPr>
          <w:rFonts w:ascii="Arial" w:cs="Arial" w:eastAsia="Arial" w:hAnsi="Arial"/>
          <w:sz w:val="18"/>
          <w:szCs w:val="18"/>
          <w:b w:val="1"/>
          <w:bCs w:val="1"/>
          <w:color w:val="auto"/>
        </w:rPr>
        <w:t>EXHIBIT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NOTICE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transfer or assign the foregoing Agreement execute this form and supply required information. Do not use this form to purchase units.)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foregoing Agreement and all rights evidenced thereby are hereby transferred and assigned to</w:t>
      </w:r>
    </w:p>
    <w:p>
      <w:pPr>
        <w:spacing w:after="0" w:line="200" w:lineRule="exact"/>
        <w:rPr>
          <w:sz w:val="20"/>
          <w:szCs w:val="20"/>
          <w:color w:val="auto"/>
        </w:rPr>
      </w:pP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-130175</wp:posOffset>
            </wp:positionV>
            <wp:extent cx="669734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697345" cy="8255"/>
                    </a:xfrm>
                    <a:prstGeom prst="rect">
                      <a:avLst/>
                    </a:prstGeom>
                    <a:noFill/>
                  </pic:spPr>
                </pic:pic>
              </a:graphicData>
            </a:graphic>
          </wp:anchor>
        </w:drawing>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270510</wp:posOffset>
            </wp:positionV>
            <wp:extent cx="669734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697345" cy="8255"/>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14605</wp:posOffset>
            </wp:positionV>
            <wp:extent cx="57658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76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63080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630805" cy="8255"/>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63080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30805" cy="8255"/>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151130</wp:posOffset>
            </wp:positionV>
            <wp:extent cx="356235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56235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14605</wp:posOffset>
            </wp:positionV>
            <wp:extent cx="26308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630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Guaranteed: _________________________________</w:t>
      </w:r>
    </w:p>
    <w:p>
      <w:pPr>
        <w:spacing w:after="0" w:line="22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NOTE: The signature to this Transfer Notice must correspond with the name as it appears on the face of the Agreement, without alteration or enlargement or any change whatever. Officers of corporations and those acting in a fiduciary or other representative capacity should file proper evidence of authority to assign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9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t>EXHIBIT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27"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Reference is hereby made to the Amended and Restated Limited Liability Company Agreement of Century Therapeutics, LLC, dated June 21, 2019, as amended, restated and/or otherwise modified from time to time (the “</w:t>
      </w:r>
      <w:r>
        <w:rPr>
          <w:rFonts w:ascii="Arial" w:cs="Arial" w:eastAsia="Arial" w:hAnsi="Arial"/>
          <w:sz w:val="17"/>
          <w:szCs w:val="17"/>
          <w:u w:val="single" w:color="auto"/>
          <w:color w:val="auto"/>
        </w:rPr>
        <w:t>LLC Agreement</w:t>
      </w:r>
      <w:r>
        <w:rPr>
          <w:rFonts w:ascii="Arial" w:cs="Arial" w:eastAsia="Arial" w:hAnsi="Arial"/>
          <w:sz w:val="17"/>
          <w:szCs w:val="17"/>
          <w:color w:val="auto"/>
        </w:rPr>
        <w:t>”), among Century Therapeutics, LLC, a company organized under the laws of Delaware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members of the Company that are party thereto. Pursuant to and in accordance with Section 4.01(b) of the LLC Agreement, the undersigned hereby acknowledges that it has received and reviewed a complete copy of the LLC Agreement and agrees that upon execution of this Joinder Agreement, such Person will become a party to the LLC Agreement and will be fully bound by, and subject to, all of the covenants, terms and conditions of the LLC Agreement as though an original party thereto and will be deemed, and is hereby admitted as, a Member for all purposes thereof and entitled to all the rights incidental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without definition will have the meanings ascribed thereto in the LLC Agreement.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[DATE].</w:t>
      </w:r>
    </w:p>
    <w:p>
      <w:pPr>
        <w:spacing w:after="0" w:line="200" w:lineRule="exact"/>
        <w:rPr>
          <w:sz w:val="20"/>
          <w:szCs w:val="20"/>
          <w:color w:val="auto"/>
        </w:rPr>
      </w:pPr>
    </w:p>
    <w:p>
      <w:pPr>
        <w:spacing w:after="0" w:line="23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[NEW MEMBER]</w:t>
      </w:r>
    </w:p>
    <w:p>
      <w:pPr>
        <w:spacing w:after="0" w:line="22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20669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066925" cy="82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9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82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rPr>
              <w:t>APPENDIX I</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0"/>
        </w:trPr>
        <w:tc>
          <w:tcPr>
            <w:tcW w:w="4040" w:type="dxa"/>
            <w:vAlign w:val="bottom"/>
          </w:tcPr>
          <w:p>
            <w:pPr>
              <w:spacing w:after="0"/>
              <w:rPr>
                <w:sz w:val="24"/>
                <w:szCs w:val="24"/>
                <w:color w:val="auto"/>
              </w:rPr>
            </w:pPr>
          </w:p>
        </w:tc>
        <w:tc>
          <w:tcPr>
            <w:tcW w:w="382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rPr>
              <w:t>CAPITALIZATION TABLE</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4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Number of Unit</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4040" w:type="dxa"/>
            <w:vAlign w:val="bottom"/>
          </w:tcPr>
          <w:p>
            <w:pPr>
              <w:ind w:left="2340"/>
              <w:spacing w:after="0"/>
              <w:rPr>
                <w:sz w:val="20"/>
                <w:szCs w:val="20"/>
                <w:color w:val="auto"/>
              </w:rPr>
            </w:pPr>
            <w:r>
              <w:rPr>
                <w:rFonts w:ascii="Arial" w:cs="Arial" w:eastAsia="Arial" w:hAnsi="Arial"/>
                <w:sz w:val="18"/>
                <w:szCs w:val="18"/>
                <w:b w:val="1"/>
                <w:bCs w:val="1"/>
                <w:color w:val="auto"/>
              </w:rPr>
              <w:t>Record Owners</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 of Units</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Equivalents</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Ownership</w:t>
            </w:r>
          </w:p>
        </w:tc>
      </w:tr>
      <w:tr>
        <w:trPr>
          <w:trHeight w:val="222"/>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Century Therapeutics, Inc.</w:t>
            </w:r>
          </w:p>
        </w:tc>
        <w:tc>
          <w:tcPr>
            <w:tcW w:w="18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67,226,891</w:t>
            </w:r>
          </w:p>
        </w:tc>
        <w:tc>
          <w:tcPr>
            <w:tcW w:w="3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4"/>
              </w:rPr>
              <w:t>%</w:t>
            </w:r>
          </w:p>
        </w:tc>
      </w:tr>
      <w:tr>
        <w:trPr>
          <w:trHeight w:val="20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Bayer Healthcare, LLC</w:t>
            </w:r>
          </w:p>
        </w:tc>
        <w:tc>
          <w:tcPr>
            <w:tcW w:w="1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26,143,790</w:t>
            </w: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Reserved</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15,598,186</w:t>
            </w:r>
          </w:p>
        </w:tc>
        <w:tc>
          <w:tcPr>
            <w:tcW w:w="3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121,620</w:t>
            </w:r>
          </w:p>
        </w:tc>
        <w:tc>
          <w:tcPr>
            <w:tcW w:w="3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108,968,867</w:t>
            </w:r>
          </w:p>
        </w:tc>
        <w:tc>
          <w:tcPr>
            <w:tcW w:w="34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121,620</w:t>
            </w:r>
          </w:p>
        </w:tc>
        <w:tc>
          <w:tcPr>
            <w:tcW w:w="3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Commitment Agreement by and among the Company, Century Therapeutics, Inc. (“</w:t>
      </w:r>
      <w:r>
        <w:rPr>
          <w:rFonts w:ascii="Arial" w:cs="Arial" w:eastAsia="Arial" w:hAnsi="Arial"/>
          <w:sz w:val="18"/>
          <w:szCs w:val="18"/>
          <w:u w:val="single" w:color="auto"/>
          <w:color w:val="auto"/>
        </w:rPr>
        <w:t>Century</w:t>
      </w:r>
      <w:r>
        <w:rPr>
          <w:rFonts w:ascii="Arial" w:cs="Arial" w:eastAsia="Arial" w:hAnsi="Arial"/>
          <w:sz w:val="18"/>
          <w:szCs w:val="18"/>
          <w:color w:val="auto"/>
        </w:rPr>
        <w:t>”), and Bayer HealthCare, LLC (“</w:t>
      </w:r>
      <w:r>
        <w:rPr>
          <w:rFonts w:ascii="Arial" w:cs="Arial" w:eastAsia="Arial" w:hAnsi="Arial"/>
          <w:sz w:val="18"/>
          <w:szCs w:val="18"/>
          <w:u w:val="single" w:color="auto"/>
          <w:color w:val="auto"/>
        </w:rPr>
        <w:t>Bayer</w:t>
      </w:r>
      <w:r>
        <w:rPr>
          <w:rFonts w:ascii="Arial" w:cs="Arial" w:eastAsia="Arial" w:hAnsi="Arial"/>
          <w:sz w:val="18"/>
          <w:szCs w:val="18"/>
          <w:color w:val="auto"/>
        </w:rPr>
        <w:t>”), dated as of June 21, 2019 and as amended by that certain First Amendment to Commitment Agreement, the Company will issue 12,621,140 Units to Bayer promptly following the Second Tranche Closing (as defined therein).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8.14 of the Operating Agreement, the Company will issue 2,855,426 Units to Century promptly following the Second Tranche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9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4" w:name="page365"/>
    <w:bookmarkEnd w:id="364"/>
    <w:p>
      <w:pPr>
        <w:jc w:val="center"/>
        <w:ind w:right="-1100"/>
        <w:spacing w:after="0"/>
        <w:rPr>
          <w:sz w:val="20"/>
          <w:szCs w:val="20"/>
          <w:color w:val="auto"/>
        </w:rPr>
      </w:pPr>
      <w:r>
        <w:rPr>
          <w:rFonts w:ascii="Arial" w:cs="Arial" w:eastAsia="Arial" w:hAnsi="Arial"/>
          <w:sz w:val="17"/>
          <w:szCs w:val="17"/>
          <w:b w:val="1"/>
          <w:bCs w:val="1"/>
          <w:color w:val="auto"/>
        </w:rPr>
        <w:t>SCHEDULE A</w:t>
      </w:r>
    </w:p>
    <w:p>
      <w:pPr>
        <w:spacing w:after="0" w:line="23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UNITS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the Effective Date – 40,540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9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39"/>
          </w:cols>
          <w:pgMar w:left="320" w:top="901" w:right="1440" w:bottom="1440" w:gutter="0" w:footer="0" w:header="0"/>
        </w:sectPr>
      </w:pPr>
    </w:p>
    <w:bookmarkStart w:id="365" w:name="page366"/>
    <w:bookmarkEnd w:id="365"/>
    <w:p>
      <w:pPr>
        <w:ind w:left="10120"/>
        <w:spacing w:after="0"/>
        <w:rPr>
          <w:sz w:val="20"/>
          <w:szCs w:val="20"/>
          <w:color w:val="auto"/>
        </w:rPr>
      </w:pPr>
      <w:r>
        <w:rPr>
          <w:rFonts w:ascii="Arial" w:cs="Arial" w:eastAsia="Arial" w:hAnsi="Arial"/>
          <w:sz w:val="18"/>
          <w:szCs w:val="18"/>
          <w:b w:val="1"/>
          <w:bCs w:val="1"/>
          <w:color w:val="auto"/>
        </w:rPr>
        <w:t>EXHIBIT 10.1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INDEMNIFICATION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[___________], 2020 between Century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Therapeutics, LLC,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and [___________]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WITNESSETH THAT:</w:t>
      </w:r>
    </w:p>
    <w:p>
      <w:pPr>
        <w:spacing w:after="0" w:line="223"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companies as managers or in other capacities unless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with adequate protection through insurance or adequate indemnification against inordinate risks of claims and actions against them arising out of their service to and activities on behalf of the company;</w:t>
      </w:r>
    </w:p>
    <w:p>
      <w:pPr>
        <w:spacing w:after="0" w:line="175"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Managers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has determined that, in order to attract and retain qualified individuals to serve</w:t>
      </w:r>
      <w:r>
        <w:rPr>
          <w:rFonts w:ascii="Arial" w:cs="Arial" w:eastAsia="Arial" w:hAnsi="Arial"/>
          <w:sz w:val="17"/>
          <w:szCs w:val="17"/>
          <w:b w:val="1"/>
          <w:bCs w:val="1"/>
          <w:color w:val="auto"/>
        </w:rPr>
        <w:t xml:space="preserve"> </w:t>
      </w:r>
      <w:r>
        <w:rPr>
          <w:rFonts w:ascii="Arial" w:cs="Arial" w:eastAsia="Arial" w:hAnsi="Arial"/>
          <w:sz w:val="17"/>
          <w:szCs w:val="17"/>
          <w:color w:val="auto"/>
        </w:rPr>
        <w:t>on the Board,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companies and other business enterprises, the Company believes that, given current market conditions and trends, such insurance may not be available to it on terms that the Company considers to be commercially reasonable or, if available to it on commercially reasonable terms during some period of time, may be available to it in the future only at higher premiums and with more exclusions. At the same time, managers, officers, and other persons in service to companies or business enterprises are being increasingly subjected to expensive and time-consuming litigation relating to, among other things, matters that traditionally would have been brought only against the Company or business enterprise itself. The Amended and Restated Limited Liability Company Agreement (as the same may be amended and/or restated from time to time, the “</w:t>
      </w:r>
      <w:r>
        <w:rPr>
          <w:rFonts w:ascii="Arial" w:cs="Arial" w:eastAsia="Arial" w:hAnsi="Arial"/>
          <w:sz w:val="17"/>
          <w:szCs w:val="17"/>
          <w:b w:val="1"/>
          <w:bCs w:val="1"/>
          <w:color w:val="auto"/>
        </w:rPr>
        <w:t>LLC Agreement</w:t>
      </w:r>
      <w:r>
        <w:rPr>
          <w:rFonts w:ascii="Arial" w:cs="Arial" w:eastAsia="Arial" w:hAnsi="Arial"/>
          <w:sz w:val="17"/>
          <w:szCs w:val="17"/>
          <w:color w:val="auto"/>
        </w:rPr>
        <w:t>”) of the Company requires indemnification of the officers and managers of the Company. Indemnitee may also be entitled to indemnification pursuant to the Delaware Limited Liability Company Act, 6 Del. C. §§ 18-101, et seq. (the “</w:t>
      </w:r>
      <w:r>
        <w:rPr>
          <w:rFonts w:ascii="Arial" w:cs="Arial" w:eastAsia="Arial" w:hAnsi="Arial"/>
          <w:sz w:val="17"/>
          <w:szCs w:val="17"/>
          <w:b w:val="1"/>
          <w:bCs w:val="1"/>
          <w:color w:val="auto"/>
        </w:rPr>
        <w:t>LLC Act</w:t>
      </w:r>
      <w:r>
        <w:rPr>
          <w:rFonts w:ascii="Arial" w:cs="Arial" w:eastAsia="Arial" w:hAnsi="Arial"/>
          <w:sz w:val="17"/>
          <w:szCs w:val="17"/>
          <w:color w:val="auto"/>
        </w:rPr>
        <w:t>”). The LLC Agreement and the LLC Act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76"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uncertainties relating to such insurance and to indemnification have increased the difficulty of attracting and retaining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to serve on the Board;</w:t>
      </w:r>
    </w:p>
    <w:p>
      <w:pPr>
        <w:spacing w:after="0" w:line="163" w:lineRule="exact"/>
        <w:rPr>
          <w:sz w:val="20"/>
          <w:szCs w:val="20"/>
          <w:color w:val="auto"/>
        </w:rPr>
      </w:pPr>
    </w:p>
    <w:p>
      <w:pPr>
        <w:jc w:val="both"/>
        <w:ind w:firstLine="646"/>
        <w:spacing w:after="0" w:line="34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members and that the Company should act to assure such persons that there will be increased certainty of such protection in the future;</w:t>
      </w:r>
    </w:p>
    <w:p>
      <w:pPr>
        <w:spacing w:after="0" w:line="117"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and to advance expenses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such persons to the fullest extent permitted by applicable law so that they will serve or continue to serve the Company free from undue concern that they will not be so indemnified;</w:t>
      </w:r>
    </w:p>
    <w:p>
      <w:pPr>
        <w:spacing w:after="0" w:line="175"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LLC Agreement and any resolutions adopted pursuant thereto,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deemed a substitute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9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color w:val="auto"/>
        </w:rPr>
        <w:t>therefor, nor to diminish or abrogate any rights of Indemnitee thereunder;</w:t>
      </w:r>
    </w:p>
    <w:p>
      <w:pPr>
        <w:spacing w:after="0" w:line="219"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does not regard the protection available under the LLC Agreement and insurance as adequate in the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and may not be willing to serve as a director/manager without adequate protection, and the Company desires Indemnitee to serve in such capacity. Indemnitee is willing to serve, continue to serve and to take on additional service for or on behalf of the Company on the condition that Indemnitee be so indemnified;</w:t>
      </w:r>
    </w:p>
    <w:p>
      <w:pPr>
        <w:spacing w:after="0" w:line="183" w:lineRule="exact"/>
        <w:rPr>
          <w:sz w:val="20"/>
          <w:szCs w:val="20"/>
          <w:color w:val="auto"/>
        </w:rPr>
      </w:pPr>
    </w:p>
    <w:p>
      <w:pPr>
        <w:jc w:val="both"/>
        <w:ind w:firstLine="646"/>
        <w:spacing w:after="0" w:line="31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Indemnitee may have certain rights to indemnification and/or insurance provided by Indemnitee’s employer or other third parties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their affiliates which is intended to be secondary to the primary obligation of the Company to indemnify Indemnitee as provided herein, with the Company’s acknowledgement and agreement to the foregoing being a material condition to Indemnitee’s willingness to serve on the Board; and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capitalized terms used herein are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Indemnitee’s agreement to serve or continue to serve, as applicable, as director/manager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from and after the date hereof, the parties hereto, intending to be legally bound, hereby agree as follows:</w:t>
      </w:r>
    </w:p>
    <w:p>
      <w:pPr>
        <w:spacing w:after="0" w:line="209" w:lineRule="exact"/>
        <w:rPr>
          <w:sz w:val="20"/>
          <w:szCs w:val="20"/>
          <w:color w:val="auto"/>
        </w:rPr>
      </w:pPr>
    </w:p>
    <w:p>
      <w:pPr>
        <w:ind w:right="20" w:firstLine="653"/>
        <w:spacing w:after="0" w:line="306" w:lineRule="auto"/>
        <w:tabs>
          <w:tab w:leader="none" w:pos="1148"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Indemnity of Indemnitee</w:t>
      </w:r>
      <w:r>
        <w:rPr>
          <w:rFonts w:ascii="Arial" w:cs="Arial" w:eastAsia="Arial" w:hAnsi="Arial"/>
          <w:sz w:val="17"/>
          <w:szCs w:val="17"/>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47" w:lineRule="exact"/>
        <w:rPr>
          <w:rFonts w:ascii="Arial" w:cs="Arial" w:eastAsia="Arial" w:hAnsi="Arial"/>
          <w:sz w:val="17"/>
          <w:szCs w:val="17"/>
          <w:color w:val="auto"/>
        </w:rPr>
      </w:pPr>
    </w:p>
    <w:p>
      <w:pPr>
        <w:jc w:val="both"/>
        <w:ind w:firstLine="1170"/>
        <w:spacing w:after="0" w:line="253" w:lineRule="auto"/>
        <w:tabs>
          <w:tab w:leader="none" w:pos="1612"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Proceedings Other Than Proceedings by or in the Right of the Company</w:t>
      </w:r>
      <w:r>
        <w:rPr>
          <w:rFonts w:ascii="Arial" w:cs="Arial" w:eastAsia="Arial" w:hAnsi="Arial"/>
          <w:sz w:val="18"/>
          <w:szCs w:val="18"/>
          <w:color w:val="auto"/>
        </w:rPr>
        <w:t xml:space="preserve">. Indemnitee shall be entitled to the rights of indemnification provided in this </w:t>
      </w:r>
      <w:r>
        <w:rPr>
          <w:rFonts w:ascii="Arial" w:cs="Arial" w:eastAsia="Arial" w:hAnsi="Arial"/>
          <w:sz w:val="18"/>
          <w:szCs w:val="18"/>
          <w:u w:val="single" w:color="auto"/>
          <w:color w:val="auto"/>
        </w:rPr>
        <w:t>Section l(a)</w:t>
      </w:r>
      <w:r>
        <w:rPr>
          <w:rFonts w:ascii="Arial" w:cs="Arial" w:eastAsia="Arial" w:hAnsi="Arial"/>
          <w:sz w:val="18"/>
          <w:szCs w:val="18"/>
          <w:color w:val="auto"/>
        </w:rPr>
        <w:t xml:space="preserve"> if, by reason of Indemnitee’s Company Status, Indemnitee is, or is threatened to be made, a party to or participant in any Proceeding other than a Proceeding by or in the right of the Company. Pursuant to this </w:t>
      </w:r>
      <w:r>
        <w:rPr>
          <w:rFonts w:ascii="Arial" w:cs="Arial" w:eastAsia="Arial" w:hAnsi="Arial"/>
          <w:sz w:val="18"/>
          <w:szCs w:val="18"/>
          <w:u w:val="single" w:color="auto"/>
          <w:color w:val="auto"/>
        </w:rPr>
        <w:t>Section 1(a)</w:t>
      </w:r>
      <w:r>
        <w:rPr>
          <w:rFonts w:ascii="Arial" w:cs="Arial" w:eastAsia="Arial" w:hAnsi="Arial"/>
          <w:sz w:val="18"/>
          <w:szCs w:val="18"/>
          <w:color w:val="auto"/>
        </w:rPr>
        <w:t>, Indemnitee shall be indemnified against all Expenses, judgments, penalties,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Indemnitee’s conduct was unlawful.</w:t>
      </w:r>
    </w:p>
    <w:p>
      <w:pPr>
        <w:spacing w:after="0" w:line="194" w:lineRule="exact"/>
        <w:rPr>
          <w:rFonts w:ascii="Arial" w:cs="Arial" w:eastAsia="Arial" w:hAnsi="Arial"/>
          <w:sz w:val="18"/>
          <w:szCs w:val="18"/>
          <w:color w:val="auto"/>
        </w:rPr>
      </w:pPr>
    </w:p>
    <w:p>
      <w:pPr>
        <w:jc w:val="both"/>
        <w:ind w:firstLine="1170"/>
        <w:spacing w:after="0" w:line="270" w:lineRule="auto"/>
        <w:tabs>
          <w:tab w:leader="none" w:pos="1622"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t>Proceedings by or in the Right of the Company</w:t>
      </w:r>
      <w:r>
        <w:rPr>
          <w:rFonts w:ascii="Arial" w:cs="Arial" w:eastAsia="Arial" w:hAnsi="Arial"/>
          <w:sz w:val="17"/>
          <w:szCs w:val="17"/>
          <w:color w:val="auto"/>
        </w:rPr>
        <w:t xml:space="preserve">. Indemnitee shall be entitled to the rights of indemnification provided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1(b)</w:t>
      </w:r>
      <w:r>
        <w:rPr>
          <w:rFonts w:ascii="Arial" w:cs="Arial" w:eastAsia="Arial" w:hAnsi="Arial"/>
          <w:sz w:val="17"/>
          <w:szCs w:val="17"/>
          <w:color w:val="auto"/>
        </w:rPr>
        <w:t xml:space="preserve"> if, by reason of Indemnitee’s Company Status, Indemnitee is, or is threatened to be made, a party to or participant in any Proceeding brought by or in the right of the Company. Pursuant to this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(or such other court in which the Proceeding is properly brought) shall determine that Indemnitee is fairly and reasonably entitled to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9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67" w:name="page368"/>
    <w:bookmarkEnd w:id="367"/>
    <w:p>
      <w:pPr>
        <w:jc w:val="both"/>
        <w:ind w:firstLine="1170"/>
        <w:spacing w:after="0" w:line="270" w:lineRule="auto"/>
        <w:tabs>
          <w:tab w:leader="none" w:pos="1612"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xml:space="preserve">. Notwithstanding any other provision of this Agreement, to the extent that Indemnitee is, by reason of Indemnitee’s Company Status, a party to and is successful, on the merits or otherwise, in any Proceeding,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177" w:lineRule="exact"/>
        <w:rPr>
          <w:rFonts w:ascii="Arial" w:cs="Arial" w:eastAsia="Arial" w:hAnsi="Arial"/>
          <w:sz w:val="17"/>
          <w:szCs w:val="17"/>
          <w:color w:val="auto"/>
        </w:rPr>
      </w:pPr>
    </w:p>
    <w:p>
      <w:pPr>
        <w:jc w:val="both"/>
        <w:ind w:firstLine="1170"/>
        <w:spacing w:after="0" w:line="291" w:lineRule="auto"/>
        <w:tabs>
          <w:tab w:leader="none" w:pos="162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Indemnification of Appointing Unitholder</w:t>
      </w:r>
      <w:r>
        <w:rPr>
          <w:rFonts w:ascii="Arial" w:cs="Arial" w:eastAsia="Arial" w:hAnsi="Arial"/>
          <w:sz w:val="16"/>
          <w:szCs w:val="16"/>
          <w:color w:val="auto"/>
        </w:rPr>
        <w:t>. Without diminishing or impairing the obligations of the Company set forth in Section 14.02(b) of the LLC Agreement, if (i) Indemnitee is or was affiliated with one or more venture capital funds or other investment entities that has invested in the Company (an “</w:t>
      </w:r>
      <w:r>
        <w:rPr>
          <w:rFonts w:ascii="Arial" w:cs="Arial" w:eastAsia="Arial" w:hAnsi="Arial"/>
          <w:sz w:val="16"/>
          <w:szCs w:val="16"/>
          <w:b w:val="1"/>
          <w:bCs w:val="1"/>
          <w:color w:val="auto"/>
        </w:rPr>
        <w:t>Appointing Unitholder</w:t>
      </w:r>
      <w:r>
        <w:rPr>
          <w:rFonts w:ascii="Arial" w:cs="Arial" w:eastAsia="Arial" w:hAnsi="Arial"/>
          <w:sz w:val="16"/>
          <w:szCs w:val="16"/>
          <w:color w:val="auto"/>
        </w:rPr>
        <w:t>”) and (ii) the Appointing Unitholder is, or is threatened to be made, a party to or a participant in any Proceeding relating to or arising by reason of Appointing Unitholder’s appointment of or affiliation with Indemnitee or any other director/manager, including, without limitation, any alleged misappropriation of a Company asset or corporate opportunity, any claim of misappropriation or infringement of intellectual property relating to the Company, any alleged false or misleading statement or omission made by the Company (or on its behalf) or its employees or agents, or any allegation of inappropriate control or influence over the Company or its Board members, officers, equity holders or debt holders, then the Appointing Unitholder will be entitled to indemnification hereunder for Expenses to the same extent as Indemnitee, and the terms of this Agreement as they relate to procedures for indemnification of Indemnitee and advancement of Expenses shall apply to any such indemnification of Appointing Unitholder.]</w:t>
      </w:r>
      <w:r>
        <w:rPr>
          <w:rFonts w:ascii="Arial" w:cs="Arial" w:eastAsia="Arial" w:hAnsi="Arial"/>
          <w:sz w:val="26"/>
          <w:szCs w:val="26"/>
          <w:color w:val="auto"/>
          <w:vertAlign w:val="superscript"/>
        </w:rPr>
        <w:t>1</w:t>
      </w:r>
    </w:p>
    <w:p>
      <w:pPr>
        <w:spacing w:after="0" w:line="46" w:lineRule="exact"/>
        <w:rPr>
          <w:sz w:val="20"/>
          <w:szCs w:val="20"/>
          <w:color w:val="auto"/>
        </w:rPr>
      </w:pPr>
    </w:p>
    <w:p>
      <w:pPr>
        <w:jc w:val="both"/>
        <w:ind w:firstLine="646"/>
        <w:spacing w:after="0" w:line="292" w:lineRule="auto"/>
        <w:rPr>
          <w:sz w:val="20"/>
          <w:szCs w:val="20"/>
          <w:color w:val="auto"/>
        </w:rPr>
      </w:pPr>
      <w:r>
        <w:rPr>
          <w:rFonts w:ascii="Arial" w:cs="Arial" w:eastAsia="Arial" w:hAnsi="Arial"/>
          <w:sz w:val="16"/>
          <w:szCs w:val="16"/>
          <w:color w:val="auto"/>
        </w:rPr>
        <w:t xml:space="preserve">[The rights provided to the Appointing Unitholder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(i) be suspended during any period during which the Appointing Unitholder does not have a representative on the Company’s Board, and (ii) terminate on an initial public offering of the units or common stock of a corporate successor or affiliate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any such suspension or termination, the Appointing Unitholder’s rights to indemnification will not be suspended or terminated with respect to any Proceeding based in whole or in part on facts and circumstances occurring at any time prior to such suspension or termination regardless of whether the Proceeding arises before or after such suspension or termination. The Company and Indemnitee agree that the Appointing Unitholder is an express third party beneficiary of the terms of this </w:t>
      </w:r>
      <w:r>
        <w:rPr>
          <w:rFonts w:ascii="Arial" w:cs="Arial" w:eastAsia="Arial" w:hAnsi="Arial"/>
          <w:sz w:val="16"/>
          <w:szCs w:val="16"/>
          <w:u w:val="single" w:color="auto"/>
          <w:color w:val="auto"/>
        </w:rPr>
        <w:t>Section 1(d)</w:t>
      </w:r>
      <w:r>
        <w:rPr>
          <w:rFonts w:ascii="Arial" w:cs="Arial" w:eastAsia="Arial" w:hAnsi="Arial"/>
          <w:sz w:val="16"/>
          <w:szCs w:val="16"/>
          <w:color w:val="auto"/>
        </w:rPr>
        <w:t>.]</w:t>
      </w:r>
    </w:p>
    <w:p>
      <w:pPr>
        <w:spacing w:after="0" w:line="164" w:lineRule="exact"/>
        <w:rPr>
          <w:sz w:val="20"/>
          <w:szCs w:val="20"/>
          <w:color w:val="auto"/>
        </w:rPr>
      </w:pPr>
    </w:p>
    <w:p>
      <w:pPr>
        <w:jc w:val="both"/>
        <w:ind w:firstLine="653"/>
        <w:spacing w:after="0" w:line="258" w:lineRule="auto"/>
        <w:tabs>
          <w:tab w:leader="none" w:pos="143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Additional Indemnity</w:t>
      </w:r>
      <w:r>
        <w:rPr>
          <w:rFonts w:ascii="Arial" w:cs="Arial" w:eastAsia="Arial" w:hAnsi="Arial"/>
          <w:sz w:val="18"/>
          <w:szCs w:val="18"/>
          <w:color w:val="auto"/>
        </w:rPr>
        <w:t xml:space="preserve">. In addition to, and without regard to any limitations on, the indemnification provided for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Agreement, the Company shall and hereby does indemnify and hold harmless Indemnitee against all Expenses, judgments, penalties, fines and amounts paid in settlement actually and reasonably incurred by Indemnitee or on Indemnitee’s behalf if, by reason of Indemnitee’s Company Status, Indemnitee is, or is threatened to be made, a party to or participant in any Proceeding (including a Proceeding by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56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18" w:lineRule="exact"/>
        <w:rPr>
          <w:sz w:val="20"/>
          <w:szCs w:val="20"/>
          <w:color w:val="auto"/>
        </w:rPr>
      </w:pPr>
    </w:p>
    <w:p>
      <w:pPr>
        <w:ind w:left="120" w:hanging="112"/>
        <w:spacing w:after="0"/>
        <w:tabs>
          <w:tab w:leader="none" w:pos="120" w:val="left"/>
        </w:tabs>
        <w:numPr>
          <w:ilvl w:val="0"/>
          <w:numId w:val="248"/>
        </w:numPr>
        <w:rPr>
          <w:rFonts w:ascii="Arial" w:cs="Arial" w:eastAsia="Arial" w:hAnsi="Arial"/>
          <w:sz w:val="30"/>
          <w:szCs w:val="30"/>
          <w:color w:val="auto"/>
          <w:vertAlign w:val="superscript"/>
        </w:rPr>
      </w:pPr>
      <w:r>
        <w:rPr>
          <w:rFonts w:ascii="Arial" w:cs="Arial" w:eastAsia="Arial" w:hAnsi="Arial"/>
          <w:sz w:val="18"/>
          <w:szCs w:val="18"/>
          <w:b w:val="1"/>
          <w:bCs w:val="1"/>
          <w:color w:val="auto"/>
        </w:rPr>
        <w:t>NTD</w:t>
      </w:r>
      <w:r>
        <w:rPr>
          <w:rFonts w:ascii="Arial" w:cs="Arial" w:eastAsia="Arial" w:hAnsi="Arial"/>
          <w:sz w:val="18"/>
          <w:szCs w:val="18"/>
          <w:color w:val="auto"/>
        </w:rPr>
        <w:t>: Delete this section and revise/remove corresponding references for non-member appointed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9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68" w:name="page369"/>
    <w:bookmarkEnd w:id="368"/>
    <w:p>
      <w:pPr>
        <w:jc w:val="both"/>
        <w:spacing w:after="0" w:line="258" w:lineRule="auto"/>
        <w:rPr>
          <w:sz w:val="20"/>
          <w:szCs w:val="20"/>
          <w:color w:val="auto"/>
        </w:rPr>
      </w:pPr>
      <w:r>
        <w:rPr>
          <w:rFonts w:ascii="Arial" w:cs="Arial" w:eastAsia="Arial" w:hAnsi="Arial"/>
          <w:sz w:val="18"/>
          <w:szCs w:val="18"/>
          <w:color w:val="auto"/>
        </w:rPr>
        <w:t xml:space="preserve">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to be unlawful.</w:t>
      </w:r>
    </w:p>
    <w:p>
      <w:pPr>
        <w:spacing w:after="0" w:line="186" w:lineRule="exact"/>
        <w:rPr>
          <w:sz w:val="20"/>
          <w:szCs w:val="20"/>
          <w:color w:val="auto"/>
        </w:rPr>
      </w:pPr>
    </w:p>
    <w:p>
      <w:pPr>
        <w:ind w:left="1240" w:hanging="587"/>
        <w:spacing w:after="0"/>
        <w:tabs>
          <w:tab w:leader="none" w:pos="124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170"/>
        <w:spacing w:after="0" w:line="253" w:lineRule="auto"/>
        <w:tabs>
          <w:tab w:leader="none" w:pos="18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Whether or not the indemnification provided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is available, in respect of any threatened, pending or completed action, suit or proceeding in which the Company is jointly liable with Indemnitee (or would be if joined in such action, suit or proceeding), to the fullest extent permitted under applicable law,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94" w:lineRule="exact"/>
        <w:rPr>
          <w:rFonts w:ascii="Arial" w:cs="Arial" w:eastAsia="Arial" w:hAnsi="Arial"/>
          <w:sz w:val="18"/>
          <w:szCs w:val="18"/>
          <w:color w:val="auto"/>
        </w:rPr>
      </w:pPr>
    </w:p>
    <w:p>
      <w:pPr>
        <w:jc w:val="both"/>
        <w:ind w:firstLine="1170"/>
        <w:spacing w:after="0" w:line="267" w:lineRule="auto"/>
        <w:tabs>
          <w:tab w:leader="none" w:pos="1715" w:val="left"/>
        </w:tabs>
        <w:numPr>
          <w:ilvl w:val="1"/>
          <w:numId w:val="249"/>
        </w:numPr>
        <w:rPr>
          <w:rFonts w:ascii="Arial" w:cs="Arial" w:eastAsia="Arial" w:hAnsi="Arial"/>
          <w:sz w:val="17"/>
          <w:szCs w:val="17"/>
          <w:color w:val="auto"/>
        </w:rPr>
      </w:pPr>
      <w:r>
        <w:rPr>
          <w:rFonts w:ascii="Arial" w:cs="Arial" w:eastAsia="Arial" w:hAnsi="Arial"/>
          <w:sz w:val="17"/>
          <w:szCs w:val="17"/>
          <w:color w:val="auto"/>
        </w:rPr>
        <w:t xml:space="preserve">Without diminishing or impairing the obligations of the Company set forth in the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above,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to the fullest extent permitted under applicable law, the Company shall contribute to the amount of Expenses, judgments, fines and amounts paid in settlement actually and reasonably incurred and paid or payable by Indemnitee in proportion to the relative benefits received by the Company and all officers, managers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proportion determined on the basis of relative benefit may, to the extent necessary to conform to law, be further adjusted by reference to the relative fault of the Company and all officers, managers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managers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81" w:lineRule="exact"/>
        <w:rPr>
          <w:rFonts w:ascii="Arial" w:cs="Arial" w:eastAsia="Arial" w:hAnsi="Arial"/>
          <w:sz w:val="17"/>
          <w:szCs w:val="17"/>
          <w:color w:val="auto"/>
        </w:rPr>
      </w:pPr>
    </w:p>
    <w:p>
      <w:pPr>
        <w:jc w:val="both"/>
        <w:ind w:firstLine="1170"/>
        <w:spacing w:after="0" w:line="262" w:lineRule="auto"/>
        <w:tabs>
          <w:tab w:leader="none" w:pos="173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To the fullest extent permitted under applicable law, the Company hereby agrees to fully indemnify and hold Indemnitee harmless from any claims of contribution which may be brought by officers, managers, or employees of the Company, other than Indemnitee, who may be jointly liable with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9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69" w:name="page370"/>
    <w:bookmarkEnd w:id="369"/>
    <w:p>
      <w:pPr>
        <w:jc w:val="both"/>
        <w:ind w:left="-653" w:firstLine="1170"/>
        <w:spacing w:after="0" w:line="253" w:lineRule="auto"/>
        <w:tabs>
          <w:tab w:leader="none" w:pos="119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actually and reasonably incurred,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managers, officers, employees and agents) and Indemnitee in connection with such event(s) and/or transaction(s).</w:t>
      </w:r>
    </w:p>
    <w:p>
      <w:pPr>
        <w:spacing w:after="0" w:line="194" w:lineRule="exact"/>
        <w:rPr>
          <w:rFonts w:ascii="Arial" w:cs="Arial" w:eastAsia="Arial" w:hAnsi="Arial"/>
          <w:sz w:val="18"/>
          <w:szCs w:val="18"/>
          <w:color w:val="auto"/>
        </w:rPr>
      </w:pPr>
    </w:p>
    <w:p>
      <w:pPr>
        <w:jc w:val="both"/>
        <w:ind w:left="-653" w:firstLine="653"/>
        <w:spacing w:after="0" w:line="258" w:lineRule="auto"/>
        <w:tabs>
          <w:tab w:leader="none" w:pos="683"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Notwithstanding any other provision of this Agreement, to the extent that Indemnitee is, by reason of Indemnitee’s Company Status, a witness, or is made (or asked) to respond to discovery requests, in any Proceeding to which Indemnitee is not a party, Indemnitee shall be indemnified against all Expenses actually and reasonably incurred by Indemnitee or on Indemnitee’s behalf in connection therewith.</w:t>
      </w:r>
    </w:p>
    <w:p>
      <w:pPr>
        <w:spacing w:after="0" w:line="186" w:lineRule="exact"/>
        <w:rPr>
          <w:rFonts w:ascii="Arial" w:cs="Arial" w:eastAsia="Arial" w:hAnsi="Arial"/>
          <w:sz w:val="18"/>
          <w:szCs w:val="18"/>
          <w:color w:val="auto"/>
        </w:rPr>
      </w:pPr>
    </w:p>
    <w:p>
      <w:pPr>
        <w:jc w:val="both"/>
        <w:ind w:left="-653" w:firstLine="653"/>
        <w:spacing w:after="0" w:line="289" w:lineRule="auto"/>
        <w:tabs>
          <w:tab w:leader="none" w:pos="602"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Notwithstanding any other provision of this Agreement, the Company shall advance all Expenses actually and reasonably incurred by or on behalf of Indemnitee in connection with any Proceeding by reason of Indemnitee’s Company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actually and reasonably incurred by Indemnitee and shall include or be preceded or accompanied by a written undertaking by or on behalf of Indemnitee to repay any Expenses advanced if it shall ultimately be determined that Indemnitee is not entitled to be indemnified against such Expenses. Advances shall be made without regard to Indemnitee’s ability to repay Expenses and without regard to Indemnitee’s ultimate entitlement to indemnification under the other provisions of this Agreement. Any advances and undertakings to repay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unsecured and interest free.</w:t>
      </w:r>
    </w:p>
    <w:p>
      <w:pPr>
        <w:spacing w:after="0" w:line="164" w:lineRule="exact"/>
        <w:rPr>
          <w:rFonts w:ascii="Arial" w:cs="Arial" w:eastAsia="Arial" w:hAnsi="Arial"/>
          <w:sz w:val="16"/>
          <w:szCs w:val="16"/>
          <w:color w:val="auto"/>
        </w:rPr>
      </w:pPr>
    </w:p>
    <w:p>
      <w:pPr>
        <w:jc w:val="both"/>
        <w:ind w:left="-653" w:firstLine="653"/>
        <w:spacing w:after="0" w:line="258" w:lineRule="auto"/>
        <w:tabs>
          <w:tab w:leader="none" w:pos="831"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Procedures and Presumptions for Determination of Entitlement to Indemnification</w:t>
      </w:r>
      <w:r>
        <w:rPr>
          <w:rFonts w:ascii="Arial" w:cs="Arial" w:eastAsia="Arial" w:hAnsi="Arial"/>
          <w:sz w:val="18"/>
          <w:szCs w:val="18"/>
          <w:color w:val="auto"/>
        </w:rPr>
        <w:t>. It is the intent of this Agreement to secure for Indemnitee rights of indemnity that are as favorable as may be permitted under applicable law, including, without limitation, the LLC Act and public policy of the State of Delaware. Accordingly, the parties agree that the following procedures and presumptions shall apply in the event of any question as to whether Indemnitee is entitled to indemnification under this Agreement:</w:t>
      </w:r>
    </w:p>
    <w:p>
      <w:pPr>
        <w:spacing w:after="0" w:line="186" w:lineRule="exact"/>
        <w:rPr>
          <w:rFonts w:ascii="Arial" w:cs="Arial" w:eastAsia="Arial" w:hAnsi="Arial"/>
          <w:sz w:val="18"/>
          <w:szCs w:val="18"/>
          <w:color w:val="auto"/>
        </w:rPr>
      </w:pPr>
    </w:p>
    <w:p>
      <w:pPr>
        <w:jc w:val="both"/>
        <w:ind w:left="-653" w:firstLine="1170"/>
        <w:spacing w:after="0" w:line="272" w:lineRule="auto"/>
        <w:tabs>
          <w:tab w:leader="none" w:pos="112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Chief Executive Officer, President, Secretary or other appropriate officer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275590</wp:posOffset>
            </wp:positionV>
            <wp:extent cx="71329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87"/>
          </w:cols>
          <w:pgMar w:left="973" w:top="690" w:right="33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t>failure actually and materially prejudices the interests of the Company its affiliates and subsidiaries.</w:t>
      </w:r>
    </w:p>
    <w:p>
      <w:pPr>
        <w:spacing w:after="0" w:line="223" w:lineRule="exact"/>
        <w:rPr>
          <w:sz w:val="20"/>
          <w:szCs w:val="20"/>
          <w:color w:val="auto"/>
        </w:rPr>
      </w:pPr>
    </w:p>
    <w:p>
      <w:pPr>
        <w:jc w:val="both"/>
        <w:ind w:firstLine="1170"/>
        <w:spacing w:after="0" w:line="254" w:lineRule="auto"/>
        <w:tabs>
          <w:tab w:leader="none" w:pos="17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Upon written request by Indemnitee for indemnification pursuant to the first sentence of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 a determination with respect to Indemnitee’s entitlement thereto shall be made in the specific case by one of the following four methods, which shall be at the election of the Board (1) by a majority vote of the Disinterested Managers, even though less than a quorum, (2) by a committee of Disinterested Managers designated by a majority vote of the Disinterested Managers, even though less than a quorum, (3) if there are no Disinterested Managers or if the Disinterested Managers so direct, by Independent Counsel in a written opinion to the Board, a copy of which shall be delivered to Indemnitee, or (4) if so directed by the Board, by the members of the Company.</w:t>
      </w:r>
    </w:p>
    <w:p>
      <w:pPr>
        <w:spacing w:after="0" w:line="192" w:lineRule="exact"/>
        <w:rPr>
          <w:rFonts w:ascii="Arial" w:cs="Arial" w:eastAsia="Arial" w:hAnsi="Arial"/>
          <w:sz w:val="18"/>
          <w:szCs w:val="18"/>
          <w:color w:val="auto"/>
        </w:rPr>
      </w:pPr>
    </w:p>
    <w:p>
      <w:pPr>
        <w:jc w:val="both"/>
        <w:ind w:firstLine="1170"/>
        <w:spacing w:after="0" w:line="267" w:lineRule="auto"/>
        <w:tabs>
          <w:tab w:leader="none" w:pos="176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If the determination of entitlement to indemnification is to be made by Independent Counsel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the Independent Counsel shall be selected as provided in this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The Independent Counsel shall be selected by the Board and written notice of such selection shall be given to Indemnitee. Indemnitee may, within ten (10) days after such written notice of selection of Independent Counsel shall have been given, deliver to the Company a written objection to such selection;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objection may be asserted only on the ground that the Independent Counsel so selected does not meet the requirements of “</w:t>
      </w:r>
      <w:r>
        <w:rPr>
          <w:rFonts w:ascii="Arial" w:cs="Arial" w:eastAsia="Arial" w:hAnsi="Arial"/>
          <w:sz w:val="17"/>
          <w:szCs w:val="17"/>
          <w:b w:val="1"/>
          <w:bCs w:val="1"/>
          <w:color w:val="auto"/>
        </w:rPr>
        <w:t>Independent Counsel</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of competant jurisdiction has determined that such objection is without merit. If, within twenty (20) days after submission by Indemnitee of a written request for indemnification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Indemnitee to the Board’s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and the Company shall pay all reasonable fees and expenses incident to the procedures of this </w:t>
      </w:r>
      <w:r>
        <w:rPr>
          <w:rFonts w:ascii="Arial" w:cs="Arial" w:eastAsia="Arial" w:hAnsi="Arial"/>
          <w:sz w:val="17"/>
          <w:szCs w:val="17"/>
          <w:u w:val="single" w:color="auto"/>
          <w:color w:val="auto"/>
        </w:rPr>
        <w:t>Section 6(c)</w:t>
      </w:r>
      <w:r>
        <w:rPr>
          <w:rFonts w:ascii="Arial" w:cs="Arial" w:eastAsia="Arial" w:hAnsi="Arial"/>
          <w:sz w:val="17"/>
          <w:szCs w:val="17"/>
          <w:color w:val="auto"/>
        </w:rPr>
        <w:t>, regardless of the manner in which such Independent Counsel was selected or appointed.</w:t>
      </w:r>
    </w:p>
    <w:p>
      <w:pPr>
        <w:spacing w:after="0" w:line="179" w:lineRule="exact"/>
        <w:rPr>
          <w:rFonts w:ascii="Arial" w:cs="Arial" w:eastAsia="Arial" w:hAnsi="Arial"/>
          <w:sz w:val="17"/>
          <w:szCs w:val="17"/>
          <w:color w:val="auto"/>
        </w:rPr>
      </w:pPr>
    </w:p>
    <w:p>
      <w:pPr>
        <w:jc w:val="both"/>
        <w:ind w:firstLine="1170"/>
        <w:spacing w:after="0" w:line="254" w:lineRule="auto"/>
        <w:tabs>
          <w:tab w:leader="none" w:pos="178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managers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managers or Independent Counsel) that Indemnitee has not met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9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71" w:name="page372"/>
    <w:bookmarkEnd w:id="371"/>
    <w:p>
      <w:pPr>
        <w:spacing w:after="0"/>
        <w:rPr>
          <w:sz w:val="20"/>
          <w:szCs w:val="20"/>
          <w:color w:val="auto"/>
        </w:rPr>
      </w:pPr>
      <w:r>
        <w:rPr>
          <w:rFonts w:ascii="Arial" w:cs="Arial" w:eastAsia="Arial" w:hAnsi="Arial"/>
          <w:sz w:val="16"/>
          <w:szCs w:val="16"/>
          <w:color w:val="auto"/>
        </w:rPr>
        <w:t>applicable standard of conduct, shall be a defense to the action or create a presumption that Indemnitee has not met the applicable standard of conduct.</w:t>
      </w:r>
    </w:p>
    <w:p>
      <w:pPr>
        <w:spacing w:after="0" w:line="246" w:lineRule="exact"/>
        <w:rPr>
          <w:sz w:val="20"/>
          <w:szCs w:val="20"/>
          <w:color w:val="auto"/>
        </w:rPr>
      </w:pPr>
    </w:p>
    <w:p>
      <w:pPr>
        <w:jc w:val="both"/>
        <w:ind w:firstLine="1170"/>
        <w:spacing w:after="0" w:line="269" w:lineRule="auto"/>
        <w:tabs>
          <w:tab w:leader="none" w:pos="171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applicable law, including the LLC Act, 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director/manager,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80" w:lineRule="exact"/>
        <w:rPr>
          <w:rFonts w:ascii="Arial" w:cs="Arial" w:eastAsia="Arial" w:hAnsi="Arial"/>
          <w:sz w:val="17"/>
          <w:szCs w:val="17"/>
          <w:color w:val="auto"/>
        </w:rPr>
      </w:pPr>
    </w:p>
    <w:p>
      <w:pPr>
        <w:jc w:val="both"/>
        <w:ind w:firstLine="1170"/>
        <w:spacing w:after="0" w:line="267" w:lineRule="auto"/>
        <w:tabs>
          <w:tab w:leader="none" w:pos="198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to the fullest extent permitted by applicable law, including the LLC Act,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foregoing provisions of this </w:t>
      </w:r>
      <w:r>
        <w:rPr>
          <w:rFonts w:ascii="Arial" w:cs="Arial" w:eastAsia="Arial" w:hAnsi="Arial"/>
          <w:sz w:val="17"/>
          <w:szCs w:val="17"/>
          <w:u w:val="single" w:color="auto"/>
          <w:color w:val="auto"/>
        </w:rPr>
        <w:t>Section 6(f)</w:t>
      </w:r>
      <w:r>
        <w:rPr>
          <w:rFonts w:ascii="Arial" w:cs="Arial" w:eastAsia="Arial" w:hAnsi="Arial"/>
          <w:sz w:val="17"/>
          <w:szCs w:val="17"/>
          <w:color w:val="auto"/>
        </w:rPr>
        <w:t xml:space="preserve"> shall not apply if the determination of entitlement to indemnification is to be made by the members of the Company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and if (A) within fifteen (15) days after receipt by the Company of the request for such determination, the Board or the Disinterested Managers, if appropriate, resolve to submit such determination to the members for their consideration thereof at the next regularly scheduled meeting of the members, to be held within seventy five (75) days after such receipt and such determination is made thereat, or (B) a special meeting of members is called within fifteen (15) days after such receipt for the purpose of making such determination, such meeting is held for such purpose within sixty (60) days after having been so called and at which, such determination is made.</w:t>
      </w:r>
    </w:p>
    <w:p>
      <w:pPr>
        <w:spacing w:after="0" w:line="184" w:lineRule="exact"/>
        <w:rPr>
          <w:rFonts w:ascii="Arial" w:cs="Arial" w:eastAsia="Arial" w:hAnsi="Arial"/>
          <w:sz w:val="17"/>
          <w:szCs w:val="17"/>
          <w:color w:val="auto"/>
        </w:rPr>
      </w:pPr>
    </w:p>
    <w:p>
      <w:pPr>
        <w:jc w:val="both"/>
        <w:ind w:firstLine="1170"/>
        <w:spacing w:after="0" w:line="295" w:lineRule="auto"/>
        <w:tabs>
          <w:tab w:leader="none" w:pos="177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member of the Company shall act reasonably and in good faith in making a determination regarding Indemnitee’s entitlement to indemnification under this Agreement. Any costs or expenses (including reasonable attorneys’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9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72" w:name="page373"/>
    <w:bookmarkEnd w:id="372"/>
    <w:p>
      <w:pPr>
        <w:jc w:val="both"/>
        <w:spacing w:after="0" w:line="262" w:lineRule="auto"/>
        <w:rPr>
          <w:sz w:val="20"/>
          <w:szCs w:val="20"/>
          <w:color w:val="auto"/>
        </w:rPr>
      </w:pPr>
      <w:r>
        <w:rPr>
          <w:rFonts w:ascii="Arial" w:cs="Arial" w:eastAsia="Arial" w:hAnsi="Arial"/>
          <w:sz w:val="18"/>
          <w:szCs w:val="18"/>
          <w:color w:val="auto"/>
        </w:rPr>
        <w:t>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83" w:lineRule="exact"/>
        <w:rPr>
          <w:sz w:val="20"/>
          <w:szCs w:val="20"/>
          <w:color w:val="auto"/>
        </w:rPr>
      </w:pPr>
    </w:p>
    <w:p>
      <w:pPr>
        <w:jc w:val="both"/>
        <w:ind w:firstLine="1170"/>
        <w:spacing w:after="0" w:line="295" w:lineRule="auto"/>
        <w:tabs>
          <w:tab w:leader="none" w:pos="1722"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60" w:lineRule="exact"/>
        <w:rPr>
          <w:rFonts w:ascii="Arial" w:cs="Arial" w:eastAsia="Arial" w:hAnsi="Arial"/>
          <w:sz w:val="16"/>
          <w:szCs w:val="16"/>
          <w:color w:val="auto"/>
        </w:rPr>
      </w:pPr>
    </w:p>
    <w:p>
      <w:pPr>
        <w:jc w:val="both"/>
        <w:ind w:firstLine="1170"/>
        <w:spacing w:after="0" w:line="256" w:lineRule="auto"/>
        <w:tabs>
          <w:tab w:leader="none" w:pos="169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1240" w:hanging="587"/>
        <w:spacing w:after="0"/>
        <w:tabs>
          <w:tab w:leader="none" w:pos="124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170"/>
        <w:spacing w:after="0" w:line="267" w:lineRule="auto"/>
        <w:tabs>
          <w:tab w:leader="none" w:pos="1957" w:val="left"/>
        </w:tabs>
        <w:numPr>
          <w:ilvl w:val="1"/>
          <w:numId w:val="255"/>
        </w:numPr>
        <w:rPr>
          <w:rFonts w:ascii="Arial" w:cs="Arial" w:eastAsia="Arial" w:hAnsi="Arial"/>
          <w:sz w:val="17"/>
          <w:szCs w:val="17"/>
          <w:color w:val="auto"/>
        </w:rPr>
      </w:pPr>
      <w:r>
        <w:rPr>
          <w:rFonts w:ascii="Arial" w:cs="Arial" w:eastAsia="Arial" w:hAnsi="Arial"/>
          <w:sz w:val="17"/>
          <w:szCs w:val="17"/>
          <w:color w:val="auto"/>
        </w:rPr>
        <w:t xml:space="preserve">In the event that (i) a determination is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that Indemnitee is not entitled to indemnification under this Agreement, (ii) advancement of Expenses is not timely made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Agreement, (iii) no determination of entitlement to indemnification is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within ninety (90) days after receipt by the Company of the request for indemnification, (iv) payment of indemnification is not made pursuant to this Agreement within ten (10) days after receipt by the Company of a written request therefor, (v) 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or (vi)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clause shall not apply in respect of any proceeding brought by Indemnitee to enforce Indemnitee’s rights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 The Company shall not oppose Indemnitee’s right to seek any such adjudication.</w:t>
      </w:r>
    </w:p>
    <w:p>
      <w:pPr>
        <w:spacing w:after="0" w:line="186" w:lineRule="exact"/>
        <w:rPr>
          <w:rFonts w:ascii="Arial" w:cs="Arial" w:eastAsia="Arial" w:hAnsi="Arial"/>
          <w:sz w:val="17"/>
          <w:szCs w:val="17"/>
          <w:color w:val="auto"/>
        </w:rPr>
      </w:pPr>
    </w:p>
    <w:p>
      <w:pPr>
        <w:ind w:firstLine="1170"/>
        <w:spacing w:after="0" w:line="275" w:lineRule="auto"/>
        <w:tabs>
          <w:tab w:leader="none" w:pos="168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not entitled to indemnification, any judicial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9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73" w:name="page374"/>
    <w:bookmarkEnd w:id="373"/>
    <w:p>
      <w:pPr>
        <w:spacing w:after="0" w:line="275" w:lineRule="auto"/>
        <w:rPr>
          <w:sz w:val="20"/>
          <w:szCs w:val="20"/>
          <w:color w:val="auto"/>
        </w:rPr>
      </w:pPr>
      <w:r>
        <w:rPr>
          <w:rFonts w:ascii="Arial" w:cs="Arial" w:eastAsia="Arial" w:hAnsi="Arial"/>
          <w:sz w:val="18"/>
          <w:szCs w:val="18"/>
          <w:color w:val="auto"/>
        </w:rPr>
        <w:t xml:space="preserve">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conducted in all respects as a de novo trial on the merits, and Indemnitee shall not be prejudiced by reason of the adverse determination under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171" w:lineRule="exact"/>
        <w:rPr>
          <w:sz w:val="20"/>
          <w:szCs w:val="20"/>
          <w:color w:val="auto"/>
        </w:rPr>
      </w:pPr>
    </w:p>
    <w:p>
      <w:pPr>
        <w:jc w:val="both"/>
        <w:ind w:firstLine="1170"/>
        <w:spacing w:after="0" w:line="258" w:lineRule="auto"/>
        <w:tabs>
          <w:tab w:leader="none" w:pos="1635"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If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86" w:lineRule="exact"/>
        <w:rPr>
          <w:rFonts w:ascii="Arial" w:cs="Arial" w:eastAsia="Arial" w:hAnsi="Arial"/>
          <w:sz w:val="18"/>
          <w:szCs w:val="18"/>
          <w:color w:val="auto"/>
        </w:rPr>
      </w:pPr>
    </w:p>
    <w:p>
      <w:pPr>
        <w:jc w:val="both"/>
        <w:ind w:firstLine="1170"/>
        <w:spacing w:after="0" w:line="256" w:lineRule="auto"/>
        <w:tabs>
          <w:tab w:leader="none" w:pos="175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In the event that Indemnitee,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 actually and reasonably incurred by Indemnitee in such judicial adjudication, regardless of whether Indemnitee ultimately is determined to be entitled to such indemnification, advancement of expenses or insurance recovery.</w:t>
      </w:r>
    </w:p>
    <w:p>
      <w:pPr>
        <w:spacing w:after="0" w:line="187" w:lineRule="exact"/>
        <w:rPr>
          <w:rFonts w:ascii="Arial" w:cs="Arial" w:eastAsia="Arial" w:hAnsi="Arial"/>
          <w:sz w:val="18"/>
          <w:szCs w:val="18"/>
          <w:color w:val="auto"/>
        </w:rPr>
      </w:pPr>
    </w:p>
    <w:p>
      <w:pPr>
        <w:jc w:val="both"/>
        <w:ind w:firstLine="1170"/>
        <w:spacing w:after="0" w:line="253" w:lineRule="auto"/>
        <w:tabs>
          <w:tab w:leader="none" w:pos="163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actually and reasonably incurred and, if requested by Indemnitee, shall (within ten (10) days after receipt by the Company of a written request therefore) advance, to the extent not prohibited by law, such Expenses to Indemnitee, which are actually and reasonably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91" w:lineRule="exact"/>
        <w:rPr>
          <w:rFonts w:ascii="Arial" w:cs="Arial" w:eastAsia="Arial" w:hAnsi="Arial"/>
          <w:sz w:val="18"/>
          <w:szCs w:val="18"/>
          <w:color w:val="auto"/>
        </w:rPr>
      </w:pPr>
    </w:p>
    <w:p>
      <w:pPr>
        <w:ind w:firstLine="1170"/>
        <w:spacing w:after="0" w:line="275" w:lineRule="auto"/>
        <w:tabs>
          <w:tab w:leader="none" w:pos="184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71" w:lineRule="exact"/>
        <w:rPr>
          <w:rFonts w:ascii="Arial" w:cs="Arial" w:eastAsia="Arial" w:hAnsi="Arial"/>
          <w:sz w:val="18"/>
          <w:szCs w:val="18"/>
          <w:color w:val="auto"/>
        </w:rPr>
      </w:pPr>
    </w:p>
    <w:p>
      <w:pPr>
        <w:ind w:left="1240" w:hanging="587"/>
        <w:spacing w:after="0"/>
        <w:tabs>
          <w:tab w:leader="none" w:pos="124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Primacy of Indemnification; Subrogation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170"/>
        <w:spacing w:after="0" w:line="272" w:lineRule="auto"/>
        <w:tabs>
          <w:tab w:leader="none" w:pos="1703" w:val="left"/>
        </w:tabs>
        <w:numPr>
          <w:ilvl w:val="1"/>
          <w:numId w:val="257"/>
        </w:numPr>
        <w:rPr>
          <w:rFonts w:ascii="Arial" w:cs="Arial" w:eastAsia="Arial" w:hAnsi="Arial"/>
          <w:sz w:val="17"/>
          <w:szCs w:val="17"/>
          <w:color w:val="auto"/>
        </w:rPr>
      </w:pPr>
      <w:r>
        <w:rPr>
          <w:rFonts w:ascii="Arial" w:cs="Arial" w:eastAsia="Arial" w:hAnsi="Arial"/>
          <w:sz w:val="17"/>
          <w:szCs w:val="17"/>
          <w:color w:val="auto"/>
        </w:rPr>
        <w:t>The rights of indemnification and the right to receive advancement of Expenses as provided by this Agreement shall not be deemed exclusive of any other rights to which Indemnitee may at any time be entitled under applicable law, the LLC Agreement, any agreement, a vote of members, a resolution of managers of the Company, or otherwise. No amendment, alteration or repeal of this Agreement or of any provision hereof shall limit or restrict any right of Indemnitee under this Agreement in respect of any action taken or omitted by such Indemnitee in Indemnitee’s Company Status prior to such amendment, alteration or repeal. To the extent that a change in the LLC Act, whether by statute or judicial decision, permits greater indemnification or advancement of expenses than would be afforded currently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9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374" w:name="page375"/>
    <w:bookmarkEnd w:id="374"/>
    <w:p>
      <w:pPr>
        <w:jc w:val="both"/>
        <w:spacing w:after="0" w:line="300" w:lineRule="auto"/>
        <w:rPr>
          <w:sz w:val="20"/>
          <w:szCs w:val="20"/>
          <w:color w:val="auto"/>
        </w:rPr>
      </w:pPr>
      <w:r>
        <w:rPr>
          <w:rFonts w:ascii="Arial" w:cs="Arial" w:eastAsia="Arial" w:hAnsi="Arial"/>
          <w:sz w:val="16"/>
          <w:szCs w:val="16"/>
          <w:color w:val="auto"/>
        </w:rPr>
        <w:t>LLC Agreement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56" w:lineRule="exact"/>
        <w:rPr>
          <w:sz w:val="20"/>
          <w:szCs w:val="20"/>
          <w:color w:val="auto"/>
        </w:rPr>
      </w:pPr>
    </w:p>
    <w:p>
      <w:pPr>
        <w:jc w:val="both"/>
        <w:ind w:firstLine="1170"/>
        <w:spacing w:after="0" w:line="289" w:lineRule="auto"/>
        <w:tabs>
          <w:tab w:leader="none" w:pos="172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To the extent that the Company or its affiliates or subsidiaries maintain an insurance policy or policies providing liability insurance for managers, officers, employees, or agents or fiduciaries of the Company or of any other corporation, partnership, limited liability company, joint venture, trust, employee benefit plan or other enterprise that such person serves at the request of the Company, Indemnitee shall be covered by such policy or policies in accordance with its or their terms to the maximum extent of the coverage available for any director/manager,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4" w:lineRule="exact"/>
        <w:rPr>
          <w:rFonts w:ascii="Arial" w:cs="Arial" w:eastAsia="Arial" w:hAnsi="Arial"/>
          <w:sz w:val="16"/>
          <w:szCs w:val="16"/>
          <w:color w:val="auto"/>
        </w:rPr>
      </w:pPr>
    </w:p>
    <w:p>
      <w:pPr>
        <w:jc w:val="both"/>
        <w:ind w:firstLine="1170"/>
        <w:spacing w:after="0" w:line="269" w:lineRule="auto"/>
        <w:tabs>
          <w:tab w:leader="none" w:pos="1739"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Company hereby acknowledges that Indemnitee may have certain rights to indemnification, advancement of expenses and/or insurance provided by Indemnitee’s employer or other third parties and certain of their affiliates (collectively, the “</w:t>
      </w:r>
      <w:r>
        <w:rPr>
          <w:rFonts w:ascii="Arial" w:cs="Arial" w:eastAsia="Arial" w:hAnsi="Arial"/>
          <w:sz w:val="17"/>
          <w:szCs w:val="17"/>
          <w:b w:val="1"/>
          <w:bCs w:val="1"/>
          <w:color w:val="auto"/>
        </w:rPr>
        <w:t>Other Indemnitors</w:t>
      </w:r>
      <w:r>
        <w:rPr>
          <w:rFonts w:ascii="Arial" w:cs="Arial" w:eastAsia="Arial" w:hAnsi="Arial"/>
          <w:sz w:val="17"/>
          <w:szCs w:val="17"/>
          <w:color w:val="auto"/>
        </w:rPr>
        <w:t>”). The Company hereby agrees (i) that it is the indemnitor of first resort (</w:t>
      </w:r>
      <w:r>
        <w:rPr>
          <w:rFonts w:ascii="Arial" w:cs="Arial" w:eastAsia="Arial" w:hAnsi="Arial"/>
          <w:sz w:val="17"/>
          <w:szCs w:val="17"/>
          <w:i w:val="1"/>
          <w:iCs w:val="1"/>
          <w:color w:val="auto"/>
        </w:rPr>
        <w:t>i.e.</w:t>
      </w:r>
      <w:r>
        <w:rPr>
          <w:rFonts w:ascii="Arial" w:cs="Arial" w:eastAsia="Arial" w:hAnsi="Arial"/>
          <w:sz w:val="17"/>
          <w:szCs w:val="17"/>
          <w:color w:val="auto"/>
        </w:rPr>
        <w:t xml:space="preserve">, its obligations to Indemnitee are primary and any obligation of the Other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LLC Agreement of the Company (or any other agreement between the Company and Indemnitee), without regard to any rights Indemnitee may have against the Other Indemnitors and (iii) that it irrevocably waives, relinquishes and releases the Other Indemnitors from any and all claims against the Other Indemnitors for contribution, subrogation or any other recovery of any kind in respect thereof. The Company further agrees that no advancement or payment by the Other Indemnitors on behalf of Indemnitee with respect to any claim for which Indemnitee has sought indemnification from the Company shall affect the foregoing and the Other Indemnitors shall have a right of contribution and/or be subrogated to the extent of such advancement or payment to all of the rights of recovery of Indemnitee against the Company. The Company and Indemnitee agree that the Other Indemnitors are express third party beneficiaries of the terms of this </w:t>
      </w:r>
      <w:r>
        <w:rPr>
          <w:rFonts w:ascii="Arial" w:cs="Arial" w:eastAsia="Arial" w:hAnsi="Arial"/>
          <w:sz w:val="17"/>
          <w:szCs w:val="17"/>
          <w:u w:val="single" w:color="auto"/>
          <w:color w:val="auto"/>
        </w:rPr>
        <w:t>Section 8(c)</w:t>
      </w:r>
      <w:r>
        <w:rPr>
          <w:rFonts w:ascii="Arial" w:cs="Arial" w:eastAsia="Arial" w:hAnsi="Arial"/>
          <w:sz w:val="17"/>
          <w:szCs w:val="17"/>
          <w:color w:val="auto"/>
        </w:rPr>
        <w:t>.]</w:t>
      </w:r>
      <w:r>
        <w:rPr>
          <w:rFonts w:ascii="Arial" w:cs="Arial" w:eastAsia="Arial" w:hAnsi="Arial"/>
          <w:sz w:val="28"/>
          <w:szCs w:val="28"/>
          <w:color w:val="auto"/>
          <w:vertAlign w:val="superscript"/>
        </w:rPr>
        <w:t>2</w:t>
      </w:r>
    </w:p>
    <w:p>
      <w:pPr>
        <w:spacing w:after="0" w:line="63" w:lineRule="exact"/>
        <w:rPr>
          <w:rFonts w:ascii="Arial" w:cs="Arial" w:eastAsia="Arial" w:hAnsi="Arial"/>
          <w:sz w:val="17"/>
          <w:szCs w:val="17"/>
          <w:color w:val="auto"/>
        </w:rPr>
      </w:pPr>
    </w:p>
    <w:p>
      <w:pPr>
        <w:jc w:val="both"/>
        <w:ind w:firstLine="1170"/>
        <w:spacing w:after="0" w:line="262" w:lineRule="auto"/>
        <w:tabs>
          <w:tab w:leader="none" w:pos="174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8(c)</w:t>
      </w:r>
      <w:r>
        <w:rPr>
          <w:rFonts w:ascii="Arial" w:cs="Arial" w:eastAsia="Arial" w:hAnsi="Arial"/>
          <w:sz w:val="18"/>
          <w:szCs w:val="18"/>
          <w:color w:val="auto"/>
        </w:rPr>
        <w:t xml:space="preserve"> above, in the event of any payment under this Agreement, the Company shall be subrogated to the extent of such payment to all of the rights of recovery of Indemnitee (other than against the Other Indemnitors), who shall execute all papers required and take all action necessary to secure such rights,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856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15" w:lineRule="exact"/>
        <w:rPr>
          <w:sz w:val="20"/>
          <w:szCs w:val="20"/>
          <w:color w:val="auto"/>
        </w:rPr>
      </w:pPr>
    </w:p>
    <w:p>
      <w:pPr>
        <w:ind w:left="120" w:hanging="112"/>
        <w:spacing w:after="0"/>
        <w:tabs>
          <w:tab w:leader="none" w:pos="120" w:val="left"/>
        </w:tabs>
        <w:numPr>
          <w:ilvl w:val="0"/>
          <w:numId w:val="259"/>
        </w:numPr>
        <w:rPr>
          <w:rFonts w:ascii="Arial" w:cs="Arial" w:eastAsia="Arial" w:hAnsi="Arial"/>
          <w:sz w:val="30"/>
          <w:szCs w:val="30"/>
          <w:color w:val="auto"/>
          <w:vertAlign w:val="superscript"/>
        </w:rPr>
      </w:pPr>
      <w:r>
        <w:rPr>
          <w:rFonts w:ascii="Arial" w:cs="Arial" w:eastAsia="Arial" w:hAnsi="Arial"/>
          <w:sz w:val="18"/>
          <w:szCs w:val="18"/>
          <w:b w:val="1"/>
          <w:bCs w:val="1"/>
          <w:color w:val="auto"/>
        </w:rPr>
        <w:t>NTD</w:t>
      </w:r>
      <w:r>
        <w:rPr>
          <w:rFonts w:ascii="Arial" w:cs="Arial" w:eastAsia="Arial" w:hAnsi="Arial"/>
          <w:sz w:val="18"/>
          <w:szCs w:val="18"/>
          <w:color w:val="auto"/>
        </w:rPr>
        <w:t>: Delete this section and revise/remove corresponding references for non-member appointed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9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t>execution of such documents as are necessary to enable the Company to bring suit to enforce such rights.</w:t>
      </w:r>
    </w:p>
    <w:p>
      <w:pPr>
        <w:spacing w:after="0" w:line="223" w:lineRule="exact"/>
        <w:rPr>
          <w:sz w:val="20"/>
          <w:szCs w:val="20"/>
          <w:color w:val="auto"/>
        </w:rPr>
      </w:pPr>
    </w:p>
    <w:p>
      <w:pPr>
        <w:jc w:val="both"/>
        <w:ind w:firstLine="1170"/>
        <w:spacing w:after="0" w:line="262" w:lineRule="auto"/>
        <w:tabs>
          <w:tab w:leader="none" w:pos="168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8(c)</w:t>
      </w:r>
      <w:r>
        <w:rPr>
          <w:rFonts w:ascii="Arial" w:cs="Arial" w:eastAsia="Arial" w:hAnsi="Arial"/>
          <w:sz w:val="18"/>
          <w:szCs w:val="18"/>
          <w:color w:val="auto"/>
        </w:rPr>
        <w:t xml:space="preserve"> above, the Company shall not be liable under this Agreement to make any payment of amounts otherwise indemnifiable hereunder if and to the extent that Indemnitee has otherwise actually received such payment under any insurance policy, contract, agreement or otherwise and has no obligation to return or repay such funds.</w:t>
      </w:r>
    </w:p>
    <w:p>
      <w:pPr>
        <w:spacing w:after="0" w:line="183" w:lineRule="exact"/>
        <w:rPr>
          <w:rFonts w:ascii="Arial" w:cs="Arial" w:eastAsia="Arial" w:hAnsi="Arial"/>
          <w:sz w:val="18"/>
          <w:szCs w:val="18"/>
          <w:color w:val="auto"/>
        </w:rPr>
      </w:pPr>
    </w:p>
    <w:p>
      <w:pPr>
        <w:jc w:val="both"/>
        <w:ind w:firstLine="1170"/>
        <w:spacing w:after="0" w:line="254" w:lineRule="auto"/>
        <w:tabs>
          <w:tab w:leader="none" w:pos="1799"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8(c)</w:t>
      </w:r>
      <w:r>
        <w:rPr>
          <w:rFonts w:ascii="Arial" w:cs="Arial" w:eastAsia="Arial" w:hAnsi="Arial"/>
          <w:sz w:val="18"/>
          <w:szCs w:val="18"/>
          <w:color w:val="auto"/>
        </w:rPr>
        <w:t xml:space="preserve"> above, the Company’s obligation to indemnify or advance Expenses hereunder to Indemnitee who is or was serving at the request of the Company as a director/manager, officer, employee or agent of any other corporation, partnership, limited liability company, joint venture, trust, employee benefit plan or other enterprise shall be reduced by any amount Indemnitee has actually received as indemnification or advancement of expenses from such other corporation, partnership, limited liability company, joint venture, trust, employee benefit plan or other enterprise. The Company shall not adopt any amendment to the LLC Agreement, the effect of which would be to deny, diminish or encumber Indemnitee’s right to indemnification under this Agreement.</w:t>
      </w:r>
    </w:p>
    <w:p>
      <w:pPr>
        <w:spacing w:after="0" w:line="192" w:lineRule="exact"/>
        <w:rPr>
          <w:rFonts w:ascii="Arial" w:cs="Arial" w:eastAsia="Arial" w:hAnsi="Arial"/>
          <w:sz w:val="18"/>
          <w:szCs w:val="18"/>
          <w:color w:val="auto"/>
        </w:rPr>
      </w:pPr>
    </w:p>
    <w:p>
      <w:pPr>
        <w:ind w:firstLine="653"/>
        <w:spacing w:after="0" w:line="275" w:lineRule="auto"/>
        <w:tabs>
          <w:tab w:leader="none" w:pos="1309"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Exception to Right of Indemnification</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171" w:lineRule="exact"/>
        <w:rPr>
          <w:rFonts w:ascii="Arial" w:cs="Arial" w:eastAsia="Arial" w:hAnsi="Arial"/>
          <w:sz w:val="18"/>
          <w:szCs w:val="18"/>
          <w:color w:val="auto"/>
        </w:rPr>
      </w:pPr>
    </w:p>
    <w:p>
      <w:pPr>
        <w:jc w:val="both"/>
        <w:ind w:firstLine="1170"/>
        <w:spacing w:after="0" w:line="262" w:lineRule="auto"/>
        <w:tabs>
          <w:tab w:leader="none" w:pos="1731"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Other Indemnitors set forth in </w:t>
      </w:r>
      <w:r>
        <w:rPr>
          <w:rFonts w:ascii="Arial" w:cs="Arial" w:eastAsia="Arial" w:hAnsi="Arial"/>
          <w:sz w:val="18"/>
          <w:szCs w:val="18"/>
          <w:u w:val="single" w:color="auto"/>
          <w:color w:val="auto"/>
        </w:rPr>
        <w:t>Section 8(c)</w:t>
      </w:r>
      <w:r>
        <w:rPr>
          <w:rFonts w:ascii="Arial" w:cs="Arial" w:eastAsia="Arial" w:hAnsi="Arial"/>
          <w:sz w:val="18"/>
          <w:szCs w:val="18"/>
          <w:color w:val="auto"/>
        </w:rPr>
        <w:t xml:space="preserve"> above; or</w:t>
      </w:r>
    </w:p>
    <w:p>
      <w:pPr>
        <w:spacing w:after="0" w:line="183" w:lineRule="exact"/>
        <w:rPr>
          <w:rFonts w:ascii="Arial" w:cs="Arial" w:eastAsia="Arial" w:hAnsi="Arial"/>
          <w:sz w:val="18"/>
          <w:szCs w:val="18"/>
          <w:color w:val="auto"/>
        </w:rPr>
      </w:pPr>
    </w:p>
    <w:p>
      <w:pPr>
        <w:jc w:val="both"/>
        <w:ind w:firstLine="1170"/>
        <w:spacing w:after="0" w:line="262" w:lineRule="auto"/>
        <w:tabs>
          <w:tab w:leader="none" w:pos="1721"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for an accounting of profits made from the purchase and sale (or sale and purchase) by Indemnitee of securities of the Company its affiliates or subsidiaries within the meaning of </w:t>
      </w:r>
      <w:r>
        <w:rPr>
          <w:rFonts w:ascii="Arial" w:cs="Arial" w:eastAsia="Arial" w:hAnsi="Arial"/>
          <w:sz w:val="18"/>
          <w:szCs w:val="18"/>
          <w:u w:val="single" w:color="auto"/>
          <w:color w:val="auto"/>
        </w:rPr>
        <w:t>Section 16(b)</w:t>
      </w:r>
      <w:r>
        <w:rPr>
          <w:rFonts w:ascii="Arial" w:cs="Arial" w:eastAsia="Arial" w:hAnsi="Arial"/>
          <w:sz w:val="18"/>
          <w:szCs w:val="18"/>
          <w:color w:val="auto"/>
        </w:rPr>
        <w:t xml:space="preserve"> of the Securities Exchange Act of 1934, as amended, or similar provisions of state statutory law or common law; or</w:t>
      </w:r>
    </w:p>
    <w:p>
      <w:pPr>
        <w:spacing w:after="0" w:line="183" w:lineRule="exact"/>
        <w:rPr>
          <w:rFonts w:ascii="Arial" w:cs="Arial" w:eastAsia="Arial" w:hAnsi="Arial"/>
          <w:sz w:val="18"/>
          <w:szCs w:val="18"/>
          <w:color w:val="auto"/>
        </w:rPr>
      </w:pPr>
    </w:p>
    <w:p>
      <w:pPr>
        <w:jc w:val="both"/>
        <w:ind w:firstLine="1170"/>
        <w:spacing w:after="0" w:line="278" w:lineRule="auto"/>
        <w:tabs>
          <w:tab w:leader="none" w:pos="1724" w:val="left"/>
        </w:tabs>
        <w:numPr>
          <w:ilvl w:val="1"/>
          <w:numId w:val="261"/>
        </w:numPr>
        <w:rPr>
          <w:rFonts w:ascii="Arial" w:cs="Arial" w:eastAsia="Arial" w:hAnsi="Arial"/>
          <w:sz w:val="17"/>
          <w:szCs w:val="17"/>
          <w:color w:val="auto"/>
        </w:rPr>
      </w:pPr>
      <w:r>
        <w:rPr>
          <w:rFonts w:ascii="Arial" w:cs="Arial" w:eastAsia="Arial" w:hAnsi="Arial"/>
          <w:sz w:val="17"/>
          <w:szCs w:val="17"/>
          <w:color w:val="auto"/>
        </w:rPr>
        <w:t>except as otherwise expressly contemplated by this Agreement, in connection with any Proceeding (or any part of any Proceeding) initiated by Indemnitee, including any Proceeding (or any part of any Proceeding) initiated by Indemnitee against the Company or its managers,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70" w:lineRule="exact"/>
        <w:rPr>
          <w:rFonts w:ascii="Arial" w:cs="Arial" w:eastAsia="Arial" w:hAnsi="Arial"/>
          <w:sz w:val="17"/>
          <w:szCs w:val="17"/>
          <w:color w:val="auto"/>
        </w:rPr>
      </w:pPr>
    </w:p>
    <w:p>
      <w:pPr>
        <w:jc w:val="both"/>
        <w:ind w:firstLine="653"/>
        <w:spacing w:after="0" w:line="274" w:lineRule="auto"/>
        <w:tabs>
          <w:tab w:leader="none" w:pos="1287"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xml:space="preserve">. All agreements and obligations of the Company contained herein shall continue during the period Indemnitee is a director/manager of the Company (or is or was serving at the request of the Company as a director/manager, officer, employee or agent of another corporation, partnership, limited liability company, joint venture, trust or other enterprise) and shall continue thereafter so long as Indemnitee shall be subject to any Proceeding (or any proceeding commenced under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by reason of Indemnitee’s Company Status, whether or not Indemnitee is acting or serving in any such capacity at the time any liability or expense is incurred for which indemnification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9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76" w:name="page377"/>
    <w:bookmarkEnd w:id="376"/>
    <w:p>
      <w:pPr>
        <w:jc w:val="both"/>
        <w:spacing w:after="0" w:line="285" w:lineRule="auto"/>
        <w:rPr>
          <w:sz w:val="20"/>
          <w:szCs w:val="20"/>
          <w:color w:val="auto"/>
        </w:rPr>
      </w:pPr>
      <w:r>
        <w:rPr>
          <w:rFonts w:ascii="Arial" w:cs="Arial" w:eastAsia="Arial" w:hAnsi="Arial"/>
          <w:sz w:val="17"/>
          <w:szCs w:val="17"/>
          <w:color w:val="auto"/>
        </w:rPr>
        <w:t>provided under this Agreement. This Agreement shall be binding upon and inure to the benefit of and be enforceable by the parties hereto and their respective successors (including any direct or indirect successor by reorganization, purchase, merger, consolidation or otherwise to all or substantially all of the business, units or assets of the Company), assigns, spouses, heirs, executors and personal and legal representatives.</w:t>
      </w:r>
    </w:p>
    <w:p>
      <w:pPr>
        <w:spacing w:after="0" w:line="165" w:lineRule="exact"/>
        <w:rPr>
          <w:sz w:val="20"/>
          <w:szCs w:val="20"/>
          <w:color w:val="auto"/>
        </w:rPr>
      </w:pPr>
    </w:p>
    <w:p>
      <w:pPr>
        <w:jc w:val="both"/>
        <w:ind w:firstLine="653"/>
        <w:spacing w:after="0" w:line="262" w:lineRule="auto"/>
        <w:tabs>
          <w:tab w:leader="none" w:pos="1293"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83" w:lineRule="exact"/>
        <w:rPr>
          <w:rFonts w:ascii="Arial" w:cs="Arial" w:eastAsia="Arial" w:hAnsi="Arial"/>
          <w:sz w:val="18"/>
          <w:szCs w:val="18"/>
          <w:color w:val="auto"/>
        </w:rPr>
      </w:pPr>
    </w:p>
    <w:p>
      <w:pPr>
        <w:ind w:left="1280" w:hanging="627"/>
        <w:spacing w:after="0"/>
        <w:tabs>
          <w:tab w:leader="none" w:pos="128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170"/>
        <w:spacing w:after="0" w:line="262" w:lineRule="auto"/>
        <w:tabs>
          <w:tab w:leader="none" w:pos="179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 director/manager of the Company, and the Company acknowledges that Indemnitee is relying upon this Agreement in serving as a director/manager of the Company.</w:t>
      </w:r>
    </w:p>
    <w:p>
      <w:pPr>
        <w:spacing w:after="0" w:line="183" w:lineRule="exact"/>
        <w:rPr>
          <w:rFonts w:ascii="Arial" w:cs="Arial" w:eastAsia="Arial" w:hAnsi="Arial"/>
          <w:sz w:val="18"/>
          <w:szCs w:val="18"/>
          <w:color w:val="auto"/>
        </w:rPr>
      </w:pPr>
    </w:p>
    <w:p>
      <w:pPr>
        <w:ind w:firstLine="1170"/>
        <w:spacing w:after="0" w:line="306" w:lineRule="auto"/>
        <w:tabs>
          <w:tab w:leader="none" w:pos="1712"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7" w:lineRule="exact"/>
        <w:rPr>
          <w:rFonts w:ascii="Arial" w:cs="Arial" w:eastAsia="Arial" w:hAnsi="Arial"/>
          <w:sz w:val="17"/>
          <w:szCs w:val="17"/>
          <w:color w:val="auto"/>
        </w:rPr>
      </w:pPr>
    </w:p>
    <w:p>
      <w:pPr>
        <w:ind w:right="20" w:firstLine="1170"/>
        <w:spacing w:after="0" w:line="275" w:lineRule="auto"/>
        <w:tabs>
          <w:tab w:leader="none" w:pos="186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Company shall not seek from a court, or agree to, a "bar order" which would have the effect of prohibiting or limiting Indemnitee’s rights to receive advancement of expenses under this Agreement.</w:t>
      </w:r>
    </w:p>
    <w:p>
      <w:pPr>
        <w:spacing w:after="0" w:line="171" w:lineRule="exact"/>
        <w:rPr>
          <w:rFonts w:ascii="Arial" w:cs="Arial" w:eastAsia="Arial" w:hAnsi="Arial"/>
          <w:sz w:val="18"/>
          <w:szCs w:val="18"/>
          <w:color w:val="auto"/>
        </w:rPr>
      </w:pPr>
    </w:p>
    <w:p>
      <w:pPr>
        <w:ind w:left="1280" w:hanging="627"/>
        <w:spacing w:after="0"/>
        <w:tabs>
          <w:tab w:leader="none" w:pos="128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19" w:lineRule="exact"/>
        <w:rPr>
          <w:rFonts w:ascii="Arial" w:cs="Arial" w:eastAsia="Arial" w:hAnsi="Arial"/>
          <w:sz w:val="18"/>
          <w:szCs w:val="18"/>
          <w:color w:val="auto"/>
        </w:rPr>
      </w:pPr>
    </w:p>
    <w:p>
      <w:pPr>
        <w:jc w:val="both"/>
        <w:ind w:firstLine="1170"/>
        <w:spacing w:after="0" w:line="265" w:lineRule="auto"/>
        <w:tabs>
          <w:tab w:leader="none" w:pos="169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Status</w:t>
      </w:r>
      <w:r>
        <w:rPr>
          <w:rFonts w:ascii="Arial" w:cs="Arial" w:eastAsia="Arial" w:hAnsi="Arial"/>
          <w:sz w:val="18"/>
          <w:szCs w:val="18"/>
          <w:color w:val="auto"/>
        </w:rPr>
        <w:t>” means the status of a person who is or was a director/manager, officer, employee, agent or fiduciary of the Company or of any other corporation, partnership, limited liability company, joint venture, trust, employee benefit plan or other enterprise that such person is or was serving at the express written request of the Company.</w:t>
      </w:r>
    </w:p>
    <w:p>
      <w:pPr>
        <w:spacing w:after="0" w:line="175" w:lineRule="exact"/>
        <w:rPr>
          <w:rFonts w:ascii="Arial" w:cs="Arial" w:eastAsia="Arial" w:hAnsi="Arial"/>
          <w:sz w:val="18"/>
          <w:szCs w:val="18"/>
          <w:color w:val="auto"/>
        </w:rPr>
      </w:pPr>
    </w:p>
    <w:p>
      <w:pPr>
        <w:ind w:firstLine="1170"/>
        <w:spacing w:after="0" w:line="280" w:lineRule="auto"/>
        <w:tabs>
          <w:tab w:leader="none" w:pos="166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Manager</w:t>
      </w:r>
      <w:r>
        <w:rPr>
          <w:rFonts w:ascii="Arial" w:cs="Arial" w:eastAsia="Arial" w:hAnsi="Arial"/>
          <w:sz w:val="18"/>
          <w:szCs w:val="18"/>
          <w:color w:val="auto"/>
        </w:rPr>
        <w:t>” means a director/manager of the Company who is not and was not a party to the Proceeding in respect of which indemnification is sought by Indemnitee.</w:t>
      </w:r>
    </w:p>
    <w:p>
      <w:pPr>
        <w:spacing w:after="0" w:line="162" w:lineRule="exact"/>
        <w:rPr>
          <w:rFonts w:ascii="Arial" w:cs="Arial" w:eastAsia="Arial" w:hAnsi="Arial"/>
          <w:sz w:val="18"/>
          <w:szCs w:val="18"/>
          <w:color w:val="auto"/>
        </w:rPr>
      </w:pPr>
    </w:p>
    <w:p>
      <w:pPr>
        <w:jc w:val="both"/>
        <w:ind w:firstLine="1170"/>
        <w:spacing w:after="0" w:line="265" w:lineRule="auto"/>
        <w:tabs>
          <w:tab w:leader="none" w:pos="186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Enterprise</w:t>
      </w:r>
      <w:r>
        <w:rPr>
          <w:rFonts w:ascii="Arial" w:cs="Arial" w:eastAsia="Arial" w:hAnsi="Arial"/>
          <w:sz w:val="18"/>
          <w:szCs w:val="18"/>
          <w:color w:val="auto"/>
        </w:rPr>
        <w:t>” shall mean the Company and any other corporation, partnership, limited liability company, joint venture, trust, employee benefit plan or other enterprise that Indemnitee is or was serving at the express written request of the Company as a director/manager, officer, employee, agent or fiduciary.</w:t>
      </w:r>
    </w:p>
    <w:p>
      <w:pPr>
        <w:spacing w:after="0" w:line="175" w:lineRule="exact"/>
        <w:rPr>
          <w:rFonts w:ascii="Arial" w:cs="Arial" w:eastAsia="Arial" w:hAnsi="Arial"/>
          <w:sz w:val="18"/>
          <w:szCs w:val="18"/>
          <w:color w:val="auto"/>
        </w:rPr>
      </w:pPr>
    </w:p>
    <w:p>
      <w:pPr>
        <w:jc w:val="both"/>
        <w:ind w:firstLine="1170"/>
        <w:spacing w:after="0" w:line="279" w:lineRule="auto"/>
        <w:tabs>
          <w:tab w:leader="none" w:pos="1663" w:val="left"/>
        </w:tabs>
        <w:numPr>
          <w:ilvl w:val="1"/>
          <w:numId w:val="2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Expenses</w:t>
      </w:r>
      <w:r>
        <w:rPr>
          <w:rFonts w:ascii="Arial" w:cs="Arial" w:eastAsia="Arial" w:hAnsi="Arial"/>
          <w:sz w:val="17"/>
          <w:szCs w:val="17"/>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9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77" w:name="page378"/>
    <w:bookmarkEnd w:id="377"/>
    <w:p>
      <w:pPr>
        <w:jc w:val="both"/>
        <w:spacing w:after="0" w:line="285" w:lineRule="auto"/>
        <w:rPr>
          <w:sz w:val="20"/>
          <w:szCs w:val="20"/>
          <w:color w:val="auto"/>
        </w:rPr>
      </w:pPr>
      <w:r>
        <w:rPr>
          <w:rFonts w:ascii="Arial" w:cs="Arial" w:eastAsia="Arial" w:hAnsi="Arial"/>
          <w:sz w:val="17"/>
          <w:szCs w:val="17"/>
          <w:color w:val="auto"/>
        </w:rPr>
        <w:t>Proceeding. Expenses also shall include Expenses actually and reasonably incurred in connection with any appeal resulting from any Proceeding,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61" w:lineRule="exact"/>
        <w:rPr>
          <w:sz w:val="20"/>
          <w:szCs w:val="20"/>
          <w:color w:val="auto"/>
        </w:rPr>
      </w:pPr>
    </w:p>
    <w:p>
      <w:pPr>
        <w:jc w:val="both"/>
        <w:ind w:firstLine="1170"/>
        <w:spacing w:after="0" w:line="290" w:lineRule="auto"/>
        <w:tabs>
          <w:tab w:leader="none" w:pos="1679" w:val="left"/>
        </w:tabs>
        <w:numPr>
          <w:ilvl w:val="1"/>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Counsel</w:t>
      </w:r>
      <w:r>
        <w:rPr>
          <w:rFonts w:ascii="Arial" w:cs="Arial" w:eastAsia="Arial" w:hAnsi="Arial"/>
          <w:sz w:val="16"/>
          <w:szCs w:val="16"/>
          <w:color w:val="auto"/>
        </w:rPr>
        <w:t>” means a law firm, or a member of a law firm, or a solo practitioner that is experienced and licensed in matters of limited liability company law in the relevant jurisdiction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58" w:lineRule="exact"/>
        <w:rPr>
          <w:rFonts w:ascii="Arial" w:cs="Arial" w:eastAsia="Arial" w:hAnsi="Arial"/>
          <w:sz w:val="16"/>
          <w:szCs w:val="16"/>
          <w:color w:val="auto"/>
        </w:rPr>
      </w:pPr>
    </w:p>
    <w:p>
      <w:pPr>
        <w:jc w:val="both"/>
        <w:ind w:firstLine="1170"/>
        <w:spacing w:after="0" w:line="272" w:lineRule="auto"/>
        <w:tabs>
          <w:tab w:leader="none" w:pos="1682" w:val="left"/>
        </w:tabs>
        <w:numPr>
          <w:ilvl w:val="1"/>
          <w:numId w:val="2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Indemnitee’s Company Status, by reason of any action taken by Indemnitee or of any inaction on Indemnitee’s part while acting in Indemnitee’s Company Status; in each case whether or not Indemnitee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Agreement to enforce Indemnitee’s rights under this Agreement.</w:t>
      </w:r>
    </w:p>
    <w:p>
      <w:pPr>
        <w:spacing w:after="0" w:line="175" w:lineRule="exact"/>
        <w:rPr>
          <w:rFonts w:ascii="Arial" w:cs="Arial" w:eastAsia="Arial" w:hAnsi="Arial"/>
          <w:sz w:val="17"/>
          <w:szCs w:val="17"/>
          <w:color w:val="auto"/>
        </w:rPr>
      </w:pPr>
    </w:p>
    <w:p>
      <w:pPr>
        <w:jc w:val="both"/>
        <w:ind w:firstLine="653"/>
        <w:spacing w:after="0" w:line="254" w:lineRule="auto"/>
        <w:tabs>
          <w:tab w:leader="none" w:pos="1354"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hereof shall in no way affect the validity or enforceability of any other provision. Further, the invalidity or unenforceability of any provision hereof as to either Indemnitee or Appointing Unitholder shall in no way affect the validity or enforceability of any provision hereof as to the other. Without limiting the generality of the foregoing, this Agreement is intended to confer upon Indemnitee and Appointing Unitholder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92" w:lineRule="exact"/>
        <w:rPr>
          <w:rFonts w:ascii="Arial" w:cs="Arial" w:eastAsia="Arial" w:hAnsi="Arial"/>
          <w:sz w:val="18"/>
          <w:szCs w:val="18"/>
          <w:color w:val="auto"/>
        </w:rPr>
      </w:pPr>
    </w:p>
    <w:p>
      <w:pPr>
        <w:jc w:val="both"/>
        <w:ind w:firstLine="653"/>
        <w:spacing w:after="0" w:line="262" w:lineRule="auto"/>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9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378" w:name="page379"/>
    <w:bookmarkEnd w:id="378"/>
    <w:p>
      <w:pPr>
        <w:jc w:val="both"/>
        <w:ind w:firstLine="653"/>
        <w:spacing w:after="0" w:line="278" w:lineRule="auto"/>
        <w:tabs>
          <w:tab w:leader="none" w:pos="1327"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Notice By Indemnitee</w:t>
      </w:r>
      <w:r>
        <w:rPr>
          <w:rFonts w:ascii="Arial" w:cs="Arial" w:eastAsia="Arial" w:hAnsi="Arial"/>
          <w:sz w:val="17"/>
          <w:szCs w:val="17"/>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70" w:lineRule="exact"/>
        <w:rPr>
          <w:rFonts w:ascii="Arial" w:cs="Arial" w:eastAsia="Arial" w:hAnsi="Arial"/>
          <w:sz w:val="17"/>
          <w:szCs w:val="17"/>
          <w:color w:val="auto"/>
        </w:rPr>
      </w:pPr>
    </w:p>
    <w:p>
      <w:pPr>
        <w:jc w:val="both"/>
        <w:ind w:firstLine="653"/>
        <w:spacing w:after="0" w:line="256" w:lineRule="auto"/>
        <w:tabs>
          <w:tab w:leader="none" w:pos="1475"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87" w:lineRule="exact"/>
        <w:rPr>
          <w:rFonts w:ascii="Arial" w:cs="Arial" w:eastAsia="Arial" w:hAnsi="Arial"/>
          <w:sz w:val="18"/>
          <w:szCs w:val="18"/>
          <w:color w:val="auto"/>
        </w:rPr>
      </w:pPr>
    </w:p>
    <w:p>
      <w:pPr>
        <w:ind w:left="1860" w:hanging="723"/>
        <w:spacing w:after="0"/>
        <w:tabs>
          <w:tab w:leader="none" w:pos="18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Indemnitee at the address set forth below Indemnitee signature hereto.</w:t>
      </w:r>
    </w:p>
    <w:p>
      <w:pPr>
        <w:spacing w:after="0" w:line="223" w:lineRule="exact"/>
        <w:rPr>
          <w:rFonts w:ascii="Arial" w:cs="Arial" w:eastAsia="Arial" w:hAnsi="Arial"/>
          <w:sz w:val="18"/>
          <w:szCs w:val="18"/>
          <w:color w:val="auto"/>
        </w:rPr>
      </w:pPr>
    </w:p>
    <w:p>
      <w:pPr>
        <w:ind w:left="1860" w:hanging="723"/>
        <w:spacing w:after="0"/>
        <w:tabs>
          <w:tab w:leader="none" w:pos="18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the Company at:</w:t>
      </w:r>
    </w:p>
    <w:p>
      <w:pPr>
        <w:spacing w:after="0" w:line="223" w:lineRule="exact"/>
        <w:rPr>
          <w:rFonts w:ascii="Arial" w:cs="Arial" w:eastAsia="Arial" w:hAnsi="Arial"/>
          <w:sz w:val="18"/>
          <w:szCs w:val="18"/>
          <w:color w:val="auto"/>
        </w:rPr>
      </w:pPr>
    </w:p>
    <w:p>
      <w:pPr>
        <w:ind w:left="1860" w:right="6900"/>
        <w:spacing w:after="0" w:line="278" w:lineRule="auto"/>
        <w:rPr>
          <w:rFonts w:ascii="Arial" w:cs="Arial" w:eastAsia="Arial" w:hAnsi="Arial"/>
          <w:sz w:val="18"/>
          <w:szCs w:val="18"/>
          <w:color w:val="auto"/>
        </w:rPr>
      </w:pPr>
      <w:r>
        <w:rPr>
          <w:rFonts w:ascii="Arial" w:cs="Arial" w:eastAsia="Arial" w:hAnsi="Arial"/>
          <w:sz w:val="17"/>
          <w:szCs w:val="17"/>
          <w:color w:val="auto"/>
        </w:rPr>
        <w:t>Century Therapeutics, LLC 3675 Market Street Philadelphia PA 19104 Attention: Chief Executive Officer</w:t>
      </w:r>
    </w:p>
    <w:p>
      <w:pPr>
        <w:spacing w:after="0" w:line="170"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3" w:lineRule="exact"/>
        <w:rPr>
          <w:rFonts w:ascii="Arial" w:cs="Arial" w:eastAsia="Arial" w:hAnsi="Arial"/>
          <w:sz w:val="18"/>
          <w:szCs w:val="18"/>
          <w:color w:val="auto"/>
        </w:rPr>
      </w:pPr>
    </w:p>
    <w:p>
      <w:pPr>
        <w:ind w:left="1860" w:right="6900"/>
        <w:spacing w:after="0" w:line="278" w:lineRule="auto"/>
        <w:rPr>
          <w:rFonts w:ascii="Arial" w:cs="Arial" w:eastAsia="Arial" w:hAnsi="Arial"/>
          <w:sz w:val="18"/>
          <w:szCs w:val="18"/>
          <w:color w:val="auto"/>
        </w:rPr>
      </w:pPr>
      <w:r>
        <w:rPr>
          <w:rFonts w:ascii="Arial" w:cs="Arial" w:eastAsia="Arial" w:hAnsi="Arial"/>
          <w:sz w:val="17"/>
          <w:szCs w:val="17"/>
          <w:color w:val="auto"/>
        </w:rPr>
        <w:t>c/o Century Therapeutics, Inc. 3675 Market Street Philadelphia PA 19104 Attention: Chief Executive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 to such other address as may have been furnished to Indemnitee by the Company or to the Company by Indemnitee, as the case may be.</w:t>
      </w:r>
    </w:p>
    <w:p>
      <w:pPr>
        <w:spacing w:after="0" w:line="223" w:lineRule="exact"/>
        <w:rPr>
          <w:sz w:val="20"/>
          <w:szCs w:val="20"/>
          <w:color w:val="auto"/>
        </w:rPr>
      </w:pPr>
    </w:p>
    <w:p>
      <w:pPr>
        <w:jc w:val="both"/>
        <w:ind w:firstLine="653"/>
        <w:spacing w:after="0" w:line="258" w:lineRule="auto"/>
        <w:tabs>
          <w:tab w:leader="none" w:pos="1381"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(2) or more counterparts, each of which shall be deemed an original, but all of which together shall constitute one and the same the same instrument. Counterparts may be delivered via facsimile, electronic mail (including pdf or any electronic signature complying with the U.S. federal ESIGN Act of 2000, </w:t>
      </w: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any counterpart so delivered shall be deemed to have been duly and validly delivered and be valid and effective for all purposes.</w:t>
      </w:r>
    </w:p>
    <w:p>
      <w:pPr>
        <w:spacing w:after="0" w:line="186" w:lineRule="exact"/>
        <w:rPr>
          <w:rFonts w:ascii="Arial" w:cs="Arial" w:eastAsia="Arial" w:hAnsi="Arial"/>
          <w:sz w:val="18"/>
          <w:szCs w:val="18"/>
          <w:color w:val="auto"/>
        </w:rPr>
      </w:pPr>
    </w:p>
    <w:p>
      <w:pPr>
        <w:ind w:firstLine="653"/>
        <w:spacing w:after="0" w:line="275" w:lineRule="auto"/>
        <w:tabs>
          <w:tab w:leader="none" w:pos="1314"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1" w:lineRule="exact"/>
        <w:rPr>
          <w:rFonts w:ascii="Arial" w:cs="Arial" w:eastAsia="Arial" w:hAnsi="Arial"/>
          <w:sz w:val="18"/>
          <w:szCs w:val="18"/>
          <w:color w:val="auto"/>
        </w:rPr>
      </w:pPr>
    </w:p>
    <w:p>
      <w:pPr>
        <w:ind w:firstLine="653"/>
        <w:spacing w:after="0" w:line="275" w:lineRule="auto"/>
        <w:tabs>
          <w:tab w:leader="none" w:pos="1273"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xml:space="preserve"> This Agreement and the legal relations among the parties shall be governed by, and construed and enforced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9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79" w:name="page380"/>
    <w:bookmarkEnd w:id="379"/>
    <w:p>
      <w:pPr>
        <w:jc w:val="both"/>
        <w:spacing w:after="0" w:line="292" w:lineRule="auto"/>
        <w:rPr>
          <w:sz w:val="20"/>
          <w:szCs w:val="20"/>
          <w:color w:val="auto"/>
        </w:rPr>
      </w:pPr>
      <w:r>
        <w:rPr>
          <w:rFonts w:ascii="Arial" w:cs="Arial" w:eastAsia="Arial" w:hAnsi="Arial"/>
          <w:sz w:val="16"/>
          <w:szCs w:val="16"/>
          <w:color w:val="auto"/>
        </w:rPr>
        <w:t>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6"/>
          <w:szCs w:val="16"/>
          <w:b w:val="1"/>
          <w:bCs w:val="1"/>
          <w:color w:val="auto"/>
        </w:rPr>
        <w:t>Delaware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1329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80" w:name="page381"/>
    <w:bookmarkEnd w:id="380"/>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Indemnification Agreement on and as of the day and year first above written.</w:t>
      </w:r>
    </w:p>
    <w:p>
      <w:pPr>
        <w:spacing w:after="0" w:line="24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CENTURY THERAPEUTICS, LLC</w:t>
      </w:r>
    </w:p>
    <w:p>
      <w:pPr>
        <w:spacing w:after="0" w:line="2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14605</wp:posOffset>
            </wp:positionV>
            <wp:extent cx="322897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228975" cy="8255"/>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22225</wp:posOffset>
            </wp:positionV>
            <wp:extent cx="32289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228975" cy="8255"/>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-122555</wp:posOffset>
            </wp:positionV>
            <wp:extent cx="322897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22897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5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14605</wp:posOffset>
            </wp:positionV>
            <wp:extent cx="322897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22897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-130175</wp:posOffset>
            </wp:positionV>
            <wp:extent cx="353631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159385</wp:posOffset>
            </wp:positionV>
            <wp:extent cx="35363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53631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14605</wp:posOffset>
            </wp:positionV>
            <wp:extent cx="353631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Last updated August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9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60"/>
          </w:cols>
          <w:pgMar w:left="320" w:top="686" w:right="619" w:bottom="1440" w:gutter="0" w:footer="0" w:header="0"/>
        </w:sectPr>
      </w:pPr>
    </w:p>
    <w:bookmarkStart w:id="381" w:name="page382"/>
    <w:bookmarkEnd w:id="381"/>
    <w:p>
      <w:pPr>
        <w:ind w:left="10120"/>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OPTION AND GRANT PLAN</w:t>
      </w:r>
    </w:p>
    <w:p>
      <w:pPr>
        <w:spacing w:after="0" w:line="200" w:lineRule="exact"/>
        <w:rPr>
          <w:sz w:val="20"/>
          <w:szCs w:val="20"/>
          <w:color w:val="auto"/>
        </w:rPr>
      </w:pPr>
    </w:p>
    <w:p>
      <w:pPr>
        <w:spacing w:after="0" w:line="2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7"/>
          <w:szCs w:val="17"/>
          <w:color w:val="auto"/>
        </w:rPr>
        <w:t xml:space="preserve">1. </w:t>
      </w:r>
      <w:r>
        <w:rPr>
          <w:rFonts w:ascii="Arial" w:cs="Arial" w:eastAsia="Arial" w:hAnsi="Arial"/>
          <w:sz w:val="17"/>
          <w:szCs w:val="17"/>
          <w:u w:val="single" w:color="auto"/>
          <w:color w:val="auto"/>
        </w:rPr>
        <w:t>GENERAL PURPOSE OF THE PLAN; DEFINITIONS</w:t>
      </w:r>
    </w:p>
    <w:p>
      <w:pPr>
        <w:spacing w:after="0" w:line="223"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The name of the plan is the Century Therapeutics, Inc. 2018 Stock Option and Grant Plan (the “</w:t>
      </w:r>
      <w:r>
        <w:rPr>
          <w:rFonts w:ascii="Arial" w:cs="Arial" w:eastAsia="Arial" w:hAnsi="Arial"/>
          <w:sz w:val="18"/>
          <w:szCs w:val="18"/>
          <w:i w:val="1"/>
          <w:iCs w:val="1"/>
          <w:color w:val="auto"/>
        </w:rPr>
        <w:t>Plan</w:t>
      </w:r>
      <w:r>
        <w:rPr>
          <w:rFonts w:ascii="Arial" w:cs="Arial" w:eastAsia="Arial" w:hAnsi="Arial"/>
          <w:sz w:val="18"/>
          <w:szCs w:val="18"/>
          <w:color w:val="auto"/>
        </w:rPr>
        <w:t>”). The purpose of the Plan is to encourage and enable the officers, employees, directors, Consultants and other key persons of Century Therapeutics, Inc., a Delaware corporation (including any successor entity, the “</w:t>
      </w:r>
      <w:r>
        <w:rPr>
          <w:rFonts w:ascii="Arial" w:cs="Arial" w:eastAsia="Arial" w:hAnsi="Arial"/>
          <w:sz w:val="18"/>
          <w:szCs w:val="18"/>
          <w:i w:val="1"/>
          <w:iCs w:val="1"/>
          <w:color w:val="auto"/>
        </w:rPr>
        <w:t>Company</w:t>
      </w:r>
      <w:r>
        <w:rPr>
          <w:rFonts w:ascii="Arial" w:cs="Arial" w:eastAsia="Arial" w:hAnsi="Arial"/>
          <w:sz w:val="18"/>
          <w:szCs w:val="18"/>
          <w:color w:val="auto"/>
        </w:rPr>
        <w:t>”) and its Subsidiaries, upon whose judgment, initiative and efforts the Company largely depends for the successful conduct of its business, to acquire a proprietary interest in the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3"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86" w:lineRule="exact"/>
        <w:rPr>
          <w:sz w:val="20"/>
          <w:szCs w:val="20"/>
          <w:color w:val="auto"/>
        </w:rPr>
      </w:pPr>
    </w:p>
    <w:p>
      <w:pPr>
        <w:jc w:val="both"/>
        <w:ind w:firstLine="646"/>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w:t>
      </w:r>
      <w:r>
        <w:rPr>
          <w:rFonts w:ascii="Arial" w:cs="Arial" w:eastAsia="Arial" w:hAnsi="Arial"/>
          <w:sz w:val="17"/>
          <w:szCs w:val="17"/>
          <w:color w:val="auto"/>
        </w:rPr>
        <w:t>” or “</w:t>
      </w:r>
      <w:r>
        <w:rPr>
          <w:rFonts w:ascii="Arial" w:cs="Arial" w:eastAsia="Arial" w:hAnsi="Arial"/>
          <w:sz w:val="17"/>
          <w:szCs w:val="17"/>
          <w:i w:val="1"/>
          <w:iCs w:val="1"/>
          <w:color w:val="auto"/>
        </w:rPr>
        <w:t>Awards,</w:t>
      </w:r>
      <w:r>
        <w:rPr>
          <w:rFonts w:ascii="Arial" w:cs="Arial" w:eastAsia="Arial" w:hAnsi="Arial"/>
          <w:sz w:val="17"/>
          <w:szCs w:val="17"/>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47"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 written or electronic agreement setting forth the terms and provisions applicable to an Award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Award Agreement may contain terms and conditions in addition to those set forth in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in the event of any conflict in the terms of the Plan and the Award Agreement, the terms of the Plan shall govern</w:t>
      </w:r>
      <w:r>
        <w:rPr>
          <w:rFonts w:ascii="Arial" w:cs="Arial" w:eastAsia="Arial" w:hAnsi="Arial"/>
          <w:sz w:val="18"/>
          <w:szCs w:val="18"/>
          <w:b w:val="1"/>
          <w:bCs w:val="1"/>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3"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9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2" w:name="page383"/>
    <w:bookmarkEnd w:id="382"/>
    <w:p>
      <w:pPr>
        <w:jc w:val="both"/>
        <w:ind w:firstLine="646"/>
        <w:spacing w:after="0" w:line="275" w:lineRule="auto"/>
        <w:rPr>
          <w:sz w:val="20"/>
          <w:szCs w:val="20"/>
          <w:color w:val="auto"/>
        </w:rPr>
      </w:pPr>
      <w:r>
        <w:rPr>
          <w:rFonts w:ascii="Arial" w:cs="Arial" w:eastAsia="Arial" w:hAnsi="Arial"/>
          <w:sz w:val="18"/>
          <w:szCs w:val="18"/>
          <w:i w:val="1"/>
          <w:iCs w:val="1"/>
          <w:color w:val="auto"/>
        </w:rPr>
        <w:t xml:space="preserve">“Chief Executive Officer” </w:t>
      </w:r>
      <w:r>
        <w:rPr>
          <w:rFonts w:ascii="Arial" w:cs="Arial" w:eastAsia="Arial" w:hAnsi="Arial"/>
          <w:sz w:val="18"/>
          <w:szCs w:val="18"/>
          <w:color w:val="auto"/>
        </w:rPr>
        <w:t>means the Chief Executive Officer of the Company or, if there is no Chief Executive Officer, then the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 and any successor Code, and related rules, regulations and interpretations.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of the Board referred to in Section 2.</w:t>
      </w:r>
    </w:p>
    <w:p>
      <w:pPr>
        <w:spacing w:after="0" w:line="22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any natural person that provides bona fide services to the Company (including a Subsidiary), and such services are not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offer or sale of securities in a capital-raising transaction and do not directly or indirectly promote or maintain a market for the Company’s securities.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“disability” as defined in Section 422(c) of the Code.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Plan is adopted as set forth on the final page of the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3" w:lineRule="exact"/>
        <w:rPr>
          <w:sz w:val="20"/>
          <w:szCs w:val="20"/>
          <w:color w:val="auto"/>
        </w:rPr>
      </w:pPr>
    </w:p>
    <w:p>
      <w:pPr>
        <w:jc w:val="both"/>
        <w:ind w:firstLine="646"/>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64"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shall have the meaning as set forth in the Award Agreement(s). In the case that any Award Agreement does not contain a</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88"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71"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with respect to an Award or any Shares, the Person holding such Award or Shares, including the initial recipient of the Award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Permitted Transferee.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83" w:name="page384"/>
    <w:bookmarkEnd w:id="383"/>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any Stock Option designated and qualified as an “incentive stock option” as defined in Section 422 of the Code.</w:t>
      </w:r>
    </w:p>
    <w:p>
      <w:pPr>
        <w:spacing w:after="0" w:line="246"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or “</w:t>
      </w:r>
      <w:r>
        <w:rPr>
          <w:rFonts w:ascii="Arial" w:cs="Arial" w:eastAsia="Arial" w:hAnsi="Arial"/>
          <w:sz w:val="18"/>
          <w:szCs w:val="18"/>
          <w:i w:val="1"/>
          <w:iCs w:val="1"/>
          <w:color w:val="auto"/>
        </w:rPr>
        <w:t>Stock Option</w:t>
      </w:r>
      <w:r>
        <w:rPr>
          <w:rFonts w:ascii="Arial" w:cs="Arial" w:eastAsia="Arial" w:hAnsi="Arial"/>
          <w:sz w:val="18"/>
          <w:szCs w:val="18"/>
          <w:color w:val="auto"/>
        </w:rPr>
        <w:t>” means any option to purchase shares of Stock granted pursuant to Section 5.</w:t>
      </w:r>
    </w:p>
    <w:p>
      <w:pPr>
        <w:spacing w:after="0" w:line="223"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Transferees</w:t>
      </w:r>
      <w:r>
        <w:rPr>
          <w:rFonts w:ascii="Arial" w:cs="Arial" w:eastAsia="Arial" w:hAnsi="Arial"/>
          <w:sz w:val="18"/>
          <w:szCs w:val="18"/>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Arial" w:cs="Arial" w:eastAsia="Arial" w:hAnsi="Arial"/>
          <w:sz w:val="18"/>
          <w:szCs w:val="18"/>
          <w:i w:val="1"/>
          <w:iCs w:val="1"/>
          <w:color w:val="auto"/>
        </w:rPr>
        <w:t>; provided, however,</w:t>
      </w:r>
      <w:r>
        <w:rPr>
          <w:rFonts w:ascii="Arial" w:cs="Arial" w:eastAsia="Arial" w:hAnsi="Arial"/>
          <w:sz w:val="18"/>
          <w:szCs w:val="18"/>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92"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“Restricted Stock Award” </w:t>
      </w:r>
      <w:r>
        <w:rPr>
          <w:rFonts w:ascii="Arial" w:cs="Arial" w:eastAsia="Arial" w:hAnsi="Arial"/>
          <w:sz w:val="16"/>
          <w:szCs w:val="16"/>
          <w:color w:val="auto"/>
        </w:rPr>
        <w:t>means Awards granted pursuant to Section 6 and</w:t>
      </w:r>
      <w:r>
        <w:rPr>
          <w:rFonts w:ascii="Arial" w:cs="Arial" w:eastAsia="Arial" w:hAnsi="Arial"/>
          <w:sz w:val="16"/>
          <w:szCs w:val="16"/>
          <w:i w:val="1"/>
          <w:iCs w:val="1"/>
          <w:color w:val="auto"/>
        </w:rPr>
        <w:t xml:space="preserve"> “Restricted Stock” </w:t>
      </w:r>
      <w:r>
        <w:rPr>
          <w:rFonts w:ascii="Arial" w:cs="Arial" w:eastAsia="Arial" w:hAnsi="Arial"/>
          <w:sz w:val="16"/>
          <w:szCs w:val="16"/>
          <w:color w:val="auto"/>
        </w:rPr>
        <w:t>means Shares issued pursuant to such Awards.</w:t>
      </w:r>
    </w:p>
    <w:p>
      <w:pPr>
        <w:spacing w:after="0" w:line="246"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an Award of phantom stock units to a grantee, which may be settled in cash or Shares as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pursuant to Section 8.</w:t>
      </w:r>
    </w:p>
    <w:p>
      <w:pPr>
        <w:spacing w:after="0" w:line="171"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Sale Event”</w:t>
      </w:r>
      <w:r>
        <w:rPr>
          <w:rFonts w:ascii="Arial" w:cs="Arial" w:eastAsia="Arial" w:hAnsi="Arial"/>
          <w:sz w:val="17"/>
          <w:szCs w:val="17"/>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9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84" w:name="page385"/>
    <w:bookmarkEnd w:id="384"/>
    <w:p>
      <w:pPr>
        <w:ind w:left="66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thereunder.</w:t>
      </w:r>
    </w:p>
    <w:p>
      <w:pPr>
        <w:spacing w:after="0" w:line="22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 full-time employee, part-time employee, director or other key person (including Consultants)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any Subsidiary or any successor entity (e.g., a Service Relationship shall be deemed to continue without interruption in the event an individual’s status changes from full-time employee to part-time employee or Consultant).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means shares of Stock.</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par value $0.0001 per share, of the Company.</w:t>
      </w:r>
    </w:p>
    <w:p>
      <w:pPr>
        <w:spacing w:after="0" w:line="223"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or other entity (other than the Company) in which the Company has more than a 50 percent interest, either directly or indirectly.</w:t>
      </w:r>
    </w:p>
    <w:p>
      <w:pPr>
        <w:spacing w:after="0" w:line="171" w:lineRule="exact"/>
        <w:rPr>
          <w:sz w:val="20"/>
          <w:szCs w:val="20"/>
          <w:color w:val="auto"/>
        </w:rPr>
      </w:pPr>
    </w:p>
    <w:p>
      <w:pPr>
        <w:jc w:val="both"/>
        <w:ind w:firstLine="646"/>
        <w:spacing w:after="0" w:line="306"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Code)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10 percent of the combined voting power of all classes of stock of the Company or any parent of the Company or any Subsidiary.</w:t>
      </w:r>
    </w:p>
    <w:p>
      <w:pPr>
        <w:spacing w:after="0" w:line="147" w:lineRule="exact"/>
        <w:rPr>
          <w:sz w:val="20"/>
          <w:szCs w:val="20"/>
          <w:color w:val="auto"/>
        </w:rPr>
      </w:pPr>
    </w:p>
    <w:p>
      <w:pPr>
        <w:jc w:val="both"/>
        <w:ind w:firstLine="646"/>
        <w:spacing w:after="0" w:line="292" w:lineRule="auto"/>
        <w:rPr>
          <w:sz w:val="20"/>
          <w:szCs w:val="20"/>
          <w:color w:val="auto"/>
        </w:rPr>
      </w:pPr>
      <w:r>
        <w:rPr>
          <w:rFonts w:ascii="Arial" w:cs="Arial" w:eastAsia="Arial" w:hAnsi="Arial"/>
          <w:sz w:val="16"/>
          <w:szCs w:val="16"/>
          <w:i w:val="1"/>
          <w:iCs w:val="1"/>
          <w:color w:val="auto"/>
        </w:rPr>
        <w:t xml:space="preserve">“Termination Event” </w:t>
      </w:r>
      <w:r>
        <w:rPr>
          <w:rFonts w:ascii="Arial" w:cs="Arial" w:eastAsia="Arial" w:hAnsi="Arial"/>
          <w:sz w:val="16"/>
          <w:szCs w:val="16"/>
          <w:color w:val="auto"/>
        </w:rPr>
        <w:t>means the termination of the Award recipient’s Service Relationship with the Company and its Subsidiaries for any reason</w:t>
      </w:r>
      <w:r>
        <w:rPr>
          <w:rFonts w:ascii="Arial" w:cs="Arial" w:eastAsia="Arial" w:hAnsi="Arial"/>
          <w:sz w:val="16"/>
          <w:szCs w:val="16"/>
          <w:i w:val="1"/>
          <w:iCs w:val="1"/>
          <w:color w:val="auto"/>
        </w:rPr>
        <w:t xml:space="preserve"> </w:t>
      </w:r>
      <w:r>
        <w:rPr>
          <w:rFonts w:ascii="Arial" w:cs="Arial" w:eastAsia="Arial" w:hAnsi="Arial"/>
          <w:sz w:val="16"/>
          <w:szCs w:val="16"/>
          <w:color w:val="auto"/>
        </w:rPr>
        <w:t>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Stock Award”</w:t>
      </w:r>
      <w:r>
        <w:rPr>
          <w:rFonts w:ascii="Arial" w:cs="Arial" w:eastAsia="Arial" w:hAnsi="Arial"/>
          <w:sz w:val="16"/>
          <w:szCs w:val="16"/>
          <w:color w:val="auto"/>
        </w:rPr>
        <w:t xml:space="preserve"> means any Award granted pursuant to Section 7 and </w:t>
      </w:r>
      <w:r>
        <w:rPr>
          <w:rFonts w:ascii="Arial" w:cs="Arial" w:eastAsia="Arial" w:hAnsi="Arial"/>
          <w:sz w:val="16"/>
          <w:szCs w:val="16"/>
          <w:i w:val="1"/>
          <w:iCs w:val="1"/>
          <w:color w:val="auto"/>
        </w:rPr>
        <w:t>“Unrestricted Stock”</w:t>
      </w:r>
      <w:r>
        <w:rPr>
          <w:rFonts w:ascii="Arial" w:cs="Arial" w:eastAsia="Arial" w:hAnsi="Arial"/>
          <w:sz w:val="16"/>
          <w:szCs w:val="16"/>
          <w:color w:val="auto"/>
        </w:rPr>
        <w:t xml:space="preserve"> means Shares issued pursuant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COMMITTEE AUTHORITY TO SELECT GRANTEES AND DETERMINE AWARDS</w:t>
      </w:r>
    </w:p>
    <w:p>
      <w:pPr>
        <w:spacing w:after="0" w:line="223" w:lineRule="exact"/>
        <w:rPr>
          <w:sz w:val="20"/>
          <w:szCs w:val="20"/>
          <w:color w:val="auto"/>
        </w:rPr>
      </w:pPr>
    </w:p>
    <w:p>
      <w:pPr>
        <w:jc w:val="both"/>
        <w:ind w:firstLine="653"/>
        <w:spacing w:after="0" w:line="285" w:lineRule="auto"/>
        <w:tabs>
          <w:tab w:leader="none" w:pos="1611"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Administration of Plan</w:t>
      </w:r>
      <w:r>
        <w:rPr>
          <w:rFonts w:ascii="Arial" w:cs="Arial" w:eastAsia="Arial" w:hAnsi="Arial"/>
          <w:sz w:val="17"/>
          <w:szCs w:val="17"/>
          <w:color w:val="auto"/>
        </w:rPr>
        <w:t>. The Plan shall be administered by the Board, or at the discretion of the Board, by a committee of the Board, comprised of not less than two directors. All references herein to the “</w:t>
      </w:r>
      <w:r>
        <w:rPr>
          <w:rFonts w:ascii="Arial" w:cs="Arial" w:eastAsia="Arial" w:hAnsi="Arial"/>
          <w:sz w:val="17"/>
          <w:szCs w:val="17"/>
          <w:i w:val="1"/>
          <w:iCs w:val="1"/>
          <w:color w:val="auto"/>
        </w:rPr>
        <w:t>Committee</w:t>
      </w:r>
      <w:r>
        <w:rPr>
          <w:rFonts w:ascii="Arial" w:cs="Arial" w:eastAsia="Arial" w:hAnsi="Arial"/>
          <w:sz w:val="17"/>
          <w:szCs w:val="17"/>
          <w:color w:val="auto"/>
        </w:rPr>
        <w:t>” shall be deemed to refer to the group then responsible for administration of the Plan at the relevant time (i.e., either the Board of Directors or a committee or committees of the Board, as applicable).</w:t>
      </w:r>
    </w:p>
    <w:p>
      <w:pPr>
        <w:spacing w:after="0" w:line="164" w:lineRule="exact"/>
        <w:rPr>
          <w:rFonts w:ascii="Arial" w:cs="Arial" w:eastAsia="Arial" w:hAnsi="Arial"/>
          <w:sz w:val="17"/>
          <w:szCs w:val="17"/>
          <w:color w:val="auto"/>
        </w:rPr>
      </w:pPr>
    </w:p>
    <w:p>
      <w:pPr>
        <w:ind w:firstLine="653"/>
        <w:spacing w:after="0" w:line="275" w:lineRule="auto"/>
        <w:tabs>
          <w:tab w:leader="none" w:pos="1742"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Powers of Committee</w:t>
      </w:r>
      <w:r>
        <w:rPr>
          <w:rFonts w:ascii="Arial" w:cs="Arial" w:eastAsia="Arial" w:hAnsi="Arial"/>
          <w:sz w:val="18"/>
          <w:szCs w:val="18"/>
          <w:color w:val="auto"/>
        </w:rPr>
        <w:t>. The Committee shall have the power and authority to grant Awards consistent with the terms of the Plan, including the power and authority: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85" w:name="page386"/>
    <w:bookmarkEnd w:id="385"/>
    <w:p>
      <w:pPr>
        <w:ind w:left="2000" w:hanging="701"/>
        <w:spacing w:after="0"/>
        <w:tabs>
          <w:tab w:leader="none" w:pos="2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3" w:lineRule="exact"/>
        <w:rPr>
          <w:rFonts w:ascii="Arial" w:cs="Arial" w:eastAsia="Arial" w:hAnsi="Arial"/>
          <w:sz w:val="18"/>
          <w:szCs w:val="18"/>
          <w:color w:val="auto"/>
        </w:rPr>
      </w:pPr>
    </w:p>
    <w:p>
      <w:pPr>
        <w:ind w:firstLine="1299"/>
        <w:spacing w:after="0" w:line="340" w:lineRule="auto"/>
        <w:tabs>
          <w:tab w:leader="none" w:pos="219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124" w:lineRule="exact"/>
        <w:rPr>
          <w:rFonts w:ascii="Arial" w:cs="Arial" w:eastAsia="Arial" w:hAnsi="Arial"/>
          <w:sz w:val="16"/>
          <w:szCs w:val="16"/>
          <w:color w:val="auto"/>
        </w:rPr>
      </w:pPr>
    </w:p>
    <w:p>
      <w:pPr>
        <w:ind w:firstLine="1299"/>
        <w:spacing w:after="0" w:line="275" w:lineRule="auto"/>
        <w:tabs>
          <w:tab w:leader="none" w:pos="210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any Award and, subject to the provisions of the Plan, the price, exercise price, conversion ratio or other price relating thereto;</w:t>
      </w:r>
    </w:p>
    <w:p>
      <w:pPr>
        <w:spacing w:after="0" w:line="171" w:lineRule="exact"/>
        <w:rPr>
          <w:rFonts w:ascii="Arial" w:cs="Arial" w:eastAsia="Arial" w:hAnsi="Arial"/>
          <w:sz w:val="18"/>
          <w:szCs w:val="18"/>
          <w:color w:val="auto"/>
        </w:rPr>
      </w:pPr>
    </w:p>
    <w:p>
      <w:pPr>
        <w:jc w:val="both"/>
        <w:ind w:firstLine="1299"/>
        <w:spacing w:after="0" w:line="262" w:lineRule="auto"/>
        <w:tabs>
          <w:tab w:leader="none" w:pos="22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183" w:lineRule="exact"/>
        <w:rPr>
          <w:rFonts w:ascii="Arial" w:cs="Arial" w:eastAsia="Arial" w:hAnsi="Arial"/>
          <w:sz w:val="18"/>
          <w:szCs w:val="18"/>
          <w:color w:val="auto"/>
        </w:rPr>
      </w:pPr>
    </w:p>
    <w:p>
      <w:pPr>
        <w:ind w:left="2000" w:hanging="701"/>
        <w:spacing w:after="0"/>
        <w:tabs>
          <w:tab w:leader="none" w:pos="2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223" w:lineRule="exact"/>
        <w:rPr>
          <w:rFonts w:ascii="Arial" w:cs="Arial" w:eastAsia="Arial" w:hAnsi="Arial"/>
          <w:sz w:val="18"/>
          <w:szCs w:val="18"/>
          <w:color w:val="auto"/>
        </w:rPr>
      </w:pPr>
    </w:p>
    <w:p>
      <w:pPr>
        <w:ind w:firstLine="1299"/>
        <w:spacing w:after="0" w:line="275" w:lineRule="auto"/>
        <w:tabs>
          <w:tab w:leader="none" w:pos="21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impose any limitations on Awards, including limitations on transfers, repurchase provisions and the like, and to exercise repurchase rights or obligations;</w:t>
      </w:r>
    </w:p>
    <w:p>
      <w:pPr>
        <w:spacing w:after="0" w:line="171" w:lineRule="exact"/>
        <w:rPr>
          <w:rFonts w:ascii="Arial" w:cs="Arial" w:eastAsia="Arial" w:hAnsi="Arial"/>
          <w:sz w:val="18"/>
          <w:szCs w:val="18"/>
          <w:color w:val="auto"/>
        </w:rPr>
      </w:pPr>
    </w:p>
    <w:p>
      <w:pPr>
        <w:ind w:firstLine="1299"/>
        <w:spacing w:after="0" w:line="275" w:lineRule="auto"/>
        <w:tabs>
          <w:tab w:leader="none" w:pos="217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subject to Section 5(a)(ii) and any restrictions imposed by Section 409A, to extend at any time the period in which Stock Options may be exercised; and</w:t>
      </w:r>
    </w:p>
    <w:p>
      <w:pPr>
        <w:spacing w:after="0" w:line="171" w:lineRule="exact"/>
        <w:rPr>
          <w:rFonts w:ascii="Arial" w:cs="Arial" w:eastAsia="Arial" w:hAnsi="Arial"/>
          <w:sz w:val="18"/>
          <w:szCs w:val="18"/>
          <w:color w:val="auto"/>
        </w:rPr>
      </w:pPr>
    </w:p>
    <w:p>
      <w:pPr>
        <w:jc w:val="both"/>
        <w:ind w:firstLine="1299"/>
        <w:spacing w:after="0" w:line="258" w:lineRule="auto"/>
        <w:tabs>
          <w:tab w:leader="none" w:pos="203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All decisions and interpretations of the Committee shall be binding on all persons, including the Company and all Holders.</w:t>
      </w:r>
    </w:p>
    <w:p>
      <w:pPr>
        <w:spacing w:after="0" w:line="223" w:lineRule="exact"/>
        <w:rPr>
          <w:sz w:val="20"/>
          <w:szCs w:val="20"/>
          <w:color w:val="auto"/>
        </w:rPr>
      </w:pPr>
    </w:p>
    <w:p>
      <w:pPr>
        <w:ind w:left="1560" w:hanging="907"/>
        <w:spacing w:after="0"/>
        <w:tabs>
          <w:tab w:leader="none" w:pos="1560"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Award Agreement</w:t>
      </w:r>
      <w:r>
        <w:rPr>
          <w:rFonts w:ascii="Arial" w:cs="Arial" w:eastAsia="Arial" w:hAnsi="Arial"/>
          <w:sz w:val="16"/>
          <w:szCs w:val="16"/>
          <w:color w:val="auto"/>
        </w:rPr>
        <w:t>. Awards under the Plan shall be evidenced by Award Agreements that set forth the terms, conditions and limitations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each Award.</w:t>
      </w:r>
    </w:p>
    <w:p>
      <w:pPr>
        <w:spacing w:after="0" w:line="208" w:lineRule="exact"/>
        <w:rPr>
          <w:rFonts w:ascii="Arial" w:cs="Arial" w:eastAsia="Arial" w:hAnsi="Arial"/>
          <w:sz w:val="16"/>
          <w:szCs w:val="16"/>
          <w:color w:val="auto"/>
        </w:rPr>
      </w:pPr>
    </w:p>
    <w:p>
      <w:pPr>
        <w:jc w:val="both"/>
        <w:ind w:firstLine="653"/>
        <w:spacing w:after="0" w:line="295" w:lineRule="auto"/>
        <w:tabs>
          <w:tab w:leader="none" w:pos="1621"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color w:val="auto"/>
        </w:rPr>
        <w:t>be in effect from time to time and/or any indemnification agreement between such individual and the Company.</w:t>
      </w:r>
    </w:p>
    <w:p>
      <w:pPr>
        <w:spacing w:after="0" w:line="223" w:lineRule="exact"/>
        <w:rPr>
          <w:sz w:val="20"/>
          <w:szCs w:val="20"/>
          <w:color w:val="auto"/>
        </w:rPr>
      </w:pPr>
    </w:p>
    <w:p>
      <w:pPr>
        <w:jc w:val="both"/>
        <w:ind w:firstLine="653"/>
        <w:spacing w:after="0" w:line="269" w:lineRule="auto"/>
        <w:tabs>
          <w:tab w:leader="none" w:pos="1772"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Foreign Award Recipients</w:t>
      </w:r>
      <w:r>
        <w:rPr>
          <w:rFonts w:ascii="Arial" w:cs="Arial" w:eastAsia="Arial" w:hAnsi="Arial"/>
          <w:sz w:val="17"/>
          <w:szCs w:val="17"/>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7"/>
          <w:szCs w:val="17"/>
          <w:color w:val="auto"/>
        </w:rPr>
        <w:t xml:space="preserve">3. </w:t>
      </w:r>
      <w:r>
        <w:rPr>
          <w:rFonts w:ascii="Arial" w:cs="Arial" w:eastAsia="Arial" w:hAnsi="Arial"/>
          <w:sz w:val="17"/>
          <w:szCs w:val="17"/>
          <w:u w:val="single" w:color="auto"/>
          <w:color w:val="auto"/>
        </w:rPr>
        <w:t>STOCK ISSUABLE UNDER THE PLAN; MERGERS AND OTHER TRANSACTIONS; SUBSTITUTION</w:t>
      </w:r>
    </w:p>
    <w:p>
      <w:pPr>
        <w:spacing w:after="0" w:line="223" w:lineRule="exact"/>
        <w:rPr>
          <w:sz w:val="20"/>
          <w:szCs w:val="20"/>
          <w:color w:val="auto"/>
        </w:rPr>
      </w:pPr>
    </w:p>
    <w:p>
      <w:pPr>
        <w:jc w:val="both"/>
        <w:ind w:firstLine="653"/>
        <w:spacing w:after="0" w:line="289" w:lineRule="auto"/>
        <w:tabs>
          <w:tab w:leader="none" w:pos="1517"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Stock Issuable</w:t>
      </w:r>
      <w:r>
        <w:rPr>
          <w:rFonts w:ascii="Arial" w:cs="Arial" w:eastAsia="Arial" w:hAnsi="Arial"/>
          <w:sz w:val="16"/>
          <w:szCs w:val="16"/>
          <w:color w:val="auto"/>
        </w:rPr>
        <w:t>. The maximum number of Shares reserved and available for issuance under the Plan shall be 10,000,000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10,000,000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10,000,000 Shares shall be granted to any one individual in any calendar year period.</w:t>
      </w:r>
    </w:p>
    <w:p>
      <w:pPr>
        <w:spacing w:after="0" w:line="164" w:lineRule="exact"/>
        <w:rPr>
          <w:rFonts w:ascii="Arial" w:cs="Arial" w:eastAsia="Arial" w:hAnsi="Arial"/>
          <w:sz w:val="16"/>
          <w:szCs w:val="16"/>
          <w:color w:val="auto"/>
        </w:rPr>
      </w:pPr>
    </w:p>
    <w:p>
      <w:pPr>
        <w:jc w:val="both"/>
        <w:ind w:firstLine="653"/>
        <w:spacing w:after="0" w:line="270" w:lineRule="auto"/>
        <w:tabs>
          <w:tab w:leader="none" w:pos="1554"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Changes in Stock</w:t>
      </w:r>
      <w:r>
        <w:rPr>
          <w:rFonts w:ascii="Arial" w:cs="Arial" w:eastAsia="Arial" w:hAnsi="Arial"/>
          <w:sz w:val="17"/>
          <w:szCs w:val="17"/>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9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87" w:name="page388"/>
    <w:bookmarkEnd w:id="387"/>
    <w:p>
      <w:pPr>
        <w:jc w:val="both"/>
        <w:ind w:firstLine="646"/>
        <w:spacing w:after="0" w:line="256" w:lineRule="auto"/>
        <w:rPr>
          <w:sz w:val="20"/>
          <w:szCs w:val="20"/>
          <w:color w:val="auto"/>
        </w:rPr>
      </w:pPr>
      <w:r>
        <w:rPr>
          <w:rFonts w:ascii="Arial" w:cs="Arial" w:eastAsia="Arial" w:hAnsi="Arial"/>
          <w:sz w:val="18"/>
          <w:szCs w:val="18"/>
          <w:color w:val="auto"/>
        </w:rPr>
        <w:t>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188" w:lineRule="exact"/>
        <w:rPr>
          <w:sz w:val="20"/>
          <w:szCs w:val="20"/>
          <w:color w:val="auto"/>
        </w:rPr>
      </w:pPr>
    </w:p>
    <w:p>
      <w:pPr>
        <w:ind w:left="1520" w:hanging="867"/>
        <w:spacing w:after="0"/>
        <w:tabs>
          <w:tab w:leader="none" w:pos="152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Sale Events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2100" w:hanging="801"/>
        <w:spacing w:after="0"/>
        <w:tabs>
          <w:tab w:leader="none" w:pos="2100"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660" w:firstLine="1285"/>
        <w:spacing w:after="0" w:line="256" w:lineRule="auto"/>
        <w:tabs>
          <w:tab w:leader="none" w:pos="2783" w:val="left"/>
        </w:tabs>
        <w:numPr>
          <w:ilvl w:val="2"/>
          <w:numId w:val="272"/>
        </w:numPr>
        <w:rPr>
          <w:rFonts w:ascii="Arial" w:cs="Arial" w:eastAsia="Arial" w:hAnsi="Arial"/>
          <w:sz w:val="18"/>
          <w:szCs w:val="18"/>
          <w:color w:val="auto"/>
        </w:rPr>
      </w:pPr>
      <w:r>
        <w:rPr>
          <w:rFonts w:ascii="Arial" w:cs="Arial" w:eastAsia="Arial" w:hAnsi="Arial"/>
          <w:sz w:val="18"/>
          <w:szCs w:val="18"/>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87" w:lineRule="exact"/>
        <w:rPr>
          <w:rFonts w:ascii="Arial" w:cs="Arial" w:eastAsia="Arial" w:hAnsi="Arial"/>
          <w:sz w:val="18"/>
          <w:szCs w:val="18"/>
          <w:color w:val="auto"/>
        </w:rPr>
      </w:pPr>
    </w:p>
    <w:p>
      <w:pPr>
        <w:jc w:val="both"/>
        <w:ind w:left="660" w:firstLine="1285"/>
        <w:spacing w:after="0" w:line="300" w:lineRule="auto"/>
        <w:tabs>
          <w:tab w:leader="none" w:pos="2966" w:val="left"/>
        </w:tabs>
        <w:numPr>
          <w:ilvl w:val="2"/>
          <w:numId w:val="272"/>
        </w:numPr>
        <w:rPr>
          <w:rFonts w:ascii="Arial" w:cs="Arial" w:eastAsia="Arial" w:hAnsi="Arial"/>
          <w:sz w:val="16"/>
          <w:szCs w:val="16"/>
          <w:color w:val="auto"/>
        </w:rPr>
      </w:pPr>
      <w:r>
        <w:rPr>
          <w:rFonts w:ascii="Arial" w:cs="Arial" w:eastAsia="Arial" w:hAnsi="Arial"/>
          <w:sz w:val="16"/>
          <w:szCs w:val="16"/>
          <w:color w:val="auto"/>
        </w:rPr>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exercise of Options not exercisable prior to the Sale Event shall be subject to the consummation of the Sale Event.</w:t>
      </w:r>
    </w:p>
    <w:p>
      <w:pPr>
        <w:spacing w:after="0" w:line="156" w:lineRule="exact"/>
        <w:rPr>
          <w:rFonts w:ascii="Arial" w:cs="Arial" w:eastAsia="Arial" w:hAnsi="Arial"/>
          <w:sz w:val="16"/>
          <w:szCs w:val="16"/>
          <w:color w:val="auto"/>
        </w:rPr>
      </w:pPr>
    </w:p>
    <w:p>
      <w:pPr>
        <w:jc w:val="both"/>
        <w:ind w:left="660" w:firstLine="1285"/>
        <w:spacing w:after="0" w:line="272" w:lineRule="auto"/>
        <w:tabs>
          <w:tab w:leader="none" w:pos="2845" w:val="left"/>
        </w:tabs>
        <w:numPr>
          <w:ilvl w:val="2"/>
          <w:numId w:val="272"/>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w:t>
      </w:r>
      <w:r>
        <w:rPr>
          <w:rFonts w:ascii="Arial" w:cs="Arial" w:eastAsia="Arial" w:hAnsi="Arial"/>
          <w:sz w:val="17"/>
          <w:szCs w:val="17"/>
          <w:i w:val="1"/>
          <w:iCs w:val="1"/>
          <w:color w:val="auto"/>
        </w:rPr>
        <w:t>Sale Price</w:t>
      </w:r>
      <w:r>
        <w:rPr>
          <w:rFonts w:ascii="Arial" w:cs="Arial" w:eastAsia="Arial" w:hAnsi="Arial"/>
          <w:sz w:val="17"/>
          <w:szCs w:val="17"/>
          <w:color w:val="auto"/>
        </w:rPr>
        <w:t>”)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77" w:lineRule="exact"/>
        <w:rPr>
          <w:rFonts w:ascii="Arial" w:cs="Arial" w:eastAsia="Arial" w:hAnsi="Arial"/>
          <w:sz w:val="17"/>
          <w:szCs w:val="17"/>
          <w:color w:val="auto"/>
        </w:rPr>
      </w:pPr>
    </w:p>
    <w:p>
      <w:pPr>
        <w:ind w:left="2140" w:hanging="841"/>
        <w:spacing w:after="0"/>
        <w:tabs>
          <w:tab w:leader="none" w:pos="2140"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660" w:firstLine="1285"/>
        <w:spacing w:after="0" w:line="310" w:lineRule="auto"/>
        <w:tabs>
          <w:tab w:leader="none" w:pos="2783" w:val="left"/>
        </w:tabs>
        <w:numPr>
          <w:ilvl w:val="2"/>
          <w:numId w:val="272"/>
        </w:numPr>
        <w:rPr>
          <w:rFonts w:ascii="Arial" w:cs="Arial" w:eastAsia="Arial" w:hAnsi="Arial"/>
          <w:sz w:val="16"/>
          <w:szCs w:val="16"/>
          <w:color w:val="auto"/>
        </w:rPr>
      </w:pPr>
      <w:r>
        <w:rPr>
          <w:rFonts w:ascii="Arial" w:cs="Arial" w:eastAsia="Arial" w:hAnsi="Arial"/>
          <w:sz w:val="16"/>
          <w:szCs w:val="16"/>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88" w:name="page389"/>
    <w:bookmarkEnd w:id="388"/>
    <w:p>
      <w:pPr>
        <w:ind w:left="660"/>
        <w:spacing w:after="0" w:line="306" w:lineRule="auto"/>
        <w:rPr>
          <w:sz w:val="20"/>
          <w:szCs w:val="20"/>
          <w:color w:val="auto"/>
        </w:rPr>
      </w:pPr>
      <w:r>
        <w:rPr>
          <w:rFonts w:ascii="Arial" w:cs="Arial" w:eastAsia="Arial" w:hAnsi="Arial"/>
          <w:sz w:val="17"/>
          <w:szCs w:val="17"/>
          <w:color w:val="auto"/>
        </w:rPr>
        <w:t>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147" w:lineRule="exact"/>
        <w:rPr>
          <w:sz w:val="20"/>
          <w:szCs w:val="20"/>
          <w:color w:val="auto"/>
        </w:rPr>
      </w:pPr>
    </w:p>
    <w:p>
      <w:pPr>
        <w:jc w:val="both"/>
        <w:ind w:left="660" w:firstLine="1285"/>
        <w:spacing w:after="0" w:line="262" w:lineRule="auto"/>
        <w:tabs>
          <w:tab w:leader="none" w:pos="304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w:t>
      </w:r>
    </w:p>
    <w:p>
      <w:pPr>
        <w:spacing w:after="0" w:line="183" w:lineRule="exact"/>
        <w:rPr>
          <w:rFonts w:ascii="Arial" w:cs="Arial" w:eastAsia="Arial" w:hAnsi="Arial"/>
          <w:sz w:val="18"/>
          <w:szCs w:val="18"/>
          <w:color w:val="auto"/>
        </w:rPr>
      </w:pPr>
    </w:p>
    <w:p>
      <w:pPr>
        <w:jc w:val="both"/>
        <w:ind w:left="660" w:firstLine="1285"/>
        <w:spacing w:after="0" w:line="278" w:lineRule="auto"/>
        <w:tabs>
          <w:tab w:leader="none" w:pos="281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tab/>
        <w:t xml:space="preserve">4. </w:t>
      </w:r>
      <w:r>
        <w:rPr>
          <w:rFonts w:ascii="Arial" w:cs="Arial" w:eastAsia="Arial" w:hAnsi="Arial"/>
          <w:sz w:val="18"/>
          <w:szCs w:val="18"/>
          <w:u w:val="single" w:color="auto"/>
          <w:color w:val="auto"/>
        </w:rPr>
        <w:t>ELIGIBILITY</w:t>
      </w:r>
    </w:p>
    <w:p>
      <w:pPr>
        <w:spacing w:after="0" w:line="22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shall be granted only to those individuals described in Rule 701(c) of the Securities Act.</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6"/>
          <w:szCs w:val="16"/>
          <w:color w:val="auto"/>
        </w:rPr>
        <w:t xml:space="preserve">5. </w:t>
      </w:r>
      <w:r>
        <w:rPr>
          <w:rFonts w:ascii="Arial" w:cs="Arial" w:eastAsia="Arial" w:hAnsi="Arial"/>
          <w:sz w:val="16"/>
          <w:szCs w:val="16"/>
          <w:u w:val="single" w:color="auto"/>
          <w:color w:val="auto"/>
        </w:rPr>
        <w:t>STOCK OPTIONS</w:t>
      </w:r>
    </w:p>
    <w:p>
      <w:pPr>
        <w:spacing w:after="0" w:line="223" w:lineRule="exact"/>
        <w:rPr>
          <w:sz w:val="20"/>
          <w:szCs w:val="20"/>
          <w:color w:val="auto"/>
        </w:rPr>
      </w:pPr>
    </w:p>
    <w:p>
      <w:pPr>
        <w:jc w:val="both"/>
        <w:ind w:firstLine="646"/>
        <w:spacing w:after="0" w:line="306" w:lineRule="auto"/>
        <w:rPr>
          <w:sz w:val="20"/>
          <w:szCs w:val="20"/>
          <w:color w:val="auto"/>
        </w:rPr>
      </w:pPr>
      <w:r>
        <w:rPr>
          <w:rFonts w:ascii="Arial" w:cs="Arial" w:eastAsia="Arial" w:hAnsi="Arial"/>
          <w:sz w:val="17"/>
          <w:szCs w:val="17"/>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47" w:lineRule="exact"/>
        <w:rPr>
          <w:sz w:val="20"/>
          <w:szCs w:val="20"/>
          <w:color w:val="auto"/>
        </w:rPr>
      </w:pPr>
    </w:p>
    <w:p>
      <w:pPr>
        <w:jc w:val="both"/>
        <w:ind w:firstLine="646"/>
        <w:spacing w:after="0" w:line="285"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5" w:lineRule="exact"/>
        <w:rPr>
          <w:sz w:val="20"/>
          <w:szCs w:val="20"/>
          <w:color w:val="auto"/>
        </w:rPr>
      </w:pPr>
    </w:p>
    <w:p>
      <w:pPr>
        <w:jc w:val="both"/>
        <w:ind w:firstLine="653"/>
        <w:spacing w:after="0" w:line="262" w:lineRule="auto"/>
        <w:tabs>
          <w:tab w:leader="none" w:pos="178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Terms of Stock Options</w:t>
      </w:r>
      <w:r>
        <w:rPr>
          <w:rFonts w:ascii="Arial" w:cs="Arial" w:eastAsia="Arial" w:hAnsi="Arial"/>
          <w:sz w:val="18"/>
          <w:szCs w:val="18"/>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183" w:lineRule="exact"/>
        <w:rPr>
          <w:rFonts w:ascii="Arial" w:cs="Arial" w:eastAsia="Arial" w:hAnsi="Arial"/>
          <w:sz w:val="18"/>
          <w:szCs w:val="18"/>
          <w:color w:val="auto"/>
        </w:rPr>
      </w:pPr>
    </w:p>
    <w:p>
      <w:pPr>
        <w:jc w:val="both"/>
        <w:ind w:firstLine="1299"/>
        <w:spacing w:after="0" w:line="258" w:lineRule="auto"/>
        <w:tabs>
          <w:tab w:leader="none" w:pos="2102"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89" w:name="page390"/>
    <w:bookmarkEnd w:id="389"/>
    <w:p>
      <w:pPr>
        <w:jc w:val="both"/>
        <w:ind w:firstLine="1299"/>
        <w:spacing w:after="0" w:line="262" w:lineRule="auto"/>
        <w:tabs>
          <w:tab w:leader="none" w:pos="216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183" w:lineRule="exact"/>
        <w:rPr>
          <w:rFonts w:ascii="Arial" w:cs="Arial" w:eastAsia="Arial" w:hAnsi="Arial"/>
          <w:sz w:val="18"/>
          <w:szCs w:val="18"/>
          <w:color w:val="auto"/>
        </w:rPr>
      </w:pPr>
    </w:p>
    <w:p>
      <w:pPr>
        <w:jc w:val="both"/>
        <w:ind w:firstLine="1299"/>
        <w:spacing w:after="0" w:line="270" w:lineRule="auto"/>
        <w:tabs>
          <w:tab w:leader="none" w:pos="2165"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Exercisability; Rights of a Stockholder</w:t>
      </w:r>
      <w:r>
        <w:rPr>
          <w:rFonts w:ascii="Arial" w:cs="Arial" w:eastAsia="Arial" w:hAnsi="Arial"/>
          <w:sz w:val="17"/>
          <w:szCs w:val="17"/>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177" w:lineRule="exact"/>
        <w:rPr>
          <w:rFonts w:ascii="Arial" w:cs="Arial" w:eastAsia="Arial" w:hAnsi="Arial"/>
          <w:sz w:val="17"/>
          <w:szCs w:val="17"/>
          <w:color w:val="auto"/>
        </w:rPr>
      </w:pPr>
    </w:p>
    <w:p>
      <w:pPr>
        <w:jc w:val="both"/>
        <w:ind w:firstLine="1299"/>
        <w:spacing w:after="0" w:line="262" w:lineRule="auto"/>
        <w:tabs>
          <w:tab w:leader="none" w:pos="2236"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183" w:lineRule="exact"/>
        <w:rPr>
          <w:rFonts w:ascii="Arial" w:cs="Arial" w:eastAsia="Arial" w:hAnsi="Arial"/>
          <w:sz w:val="18"/>
          <w:szCs w:val="18"/>
          <w:color w:val="auto"/>
        </w:rPr>
      </w:pPr>
    </w:p>
    <w:p>
      <w:pPr>
        <w:ind w:left="2780" w:hanging="835"/>
        <w:spacing w:after="0"/>
        <w:tabs>
          <w:tab w:leader="none" w:pos="278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In cash, by certified or bank check, by wire transfer of immediately available funds, or other instrument acceptable to</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Committee;</w:t>
      </w:r>
    </w:p>
    <w:p>
      <w:pPr>
        <w:spacing w:after="0" w:line="208" w:lineRule="exact"/>
        <w:rPr>
          <w:rFonts w:ascii="Arial" w:cs="Arial" w:eastAsia="Arial" w:hAnsi="Arial"/>
          <w:sz w:val="16"/>
          <w:szCs w:val="16"/>
          <w:color w:val="auto"/>
        </w:rPr>
      </w:pPr>
    </w:p>
    <w:p>
      <w:pPr>
        <w:jc w:val="both"/>
        <w:ind w:left="660" w:firstLine="1285"/>
        <w:spacing w:after="0" w:line="310" w:lineRule="auto"/>
        <w:tabs>
          <w:tab w:leader="none" w:pos="3046"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Arial" w:cs="Arial" w:eastAsia="Arial" w:hAnsi="Arial"/>
          <w:sz w:val="16"/>
          <w:szCs w:val="16"/>
          <w:u w:val="single" w:color="auto"/>
          <w:color w:val="auto"/>
        </w:rPr>
        <w:t>provided</w:t>
      </w:r>
      <w:r>
        <w:rPr>
          <w:rFonts w:ascii="Arial" w:cs="Arial" w:eastAsia="Arial" w:hAnsi="Arial"/>
          <w:sz w:val="16"/>
          <w:szCs w:val="16"/>
          <w:color w:val="auto"/>
        </w:rPr>
        <w:t>, that at least so much of the exercise price as represents the par value of the Stock shall be paid in cash if required by state law;</w:t>
      </w:r>
    </w:p>
    <w:p>
      <w:pPr>
        <w:spacing w:after="0" w:line="148" w:lineRule="exact"/>
        <w:rPr>
          <w:rFonts w:ascii="Arial" w:cs="Arial" w:eastAsia="Arial" w:hAnsi="Arial"/>
          <w:sz w:val="16"/>
          <w:szCs w:val="16"/>
          <w:color w:val="auto"/>
        </w:rPr>
      </w:pPr>
    </w:p>
    <w:p>
      <w:pPr>
        <w:jc w:val="both"/>
        <w:ind w:left="660" w:firstLine="1285"/>
        <w:spacing w:after="0" w:line="295" w:lineRule="auto"/>
        <w:tabs>
          <w:tab w:leader="none" w:pos="2786"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160" w:lineRule="exact"/>
        <w:rPr>
          <w:rFonts w:ascii="Arial" w:cs="Arial" w:eastAsia="Arial" w:hAnsi="Arial"/>
          <w:sz w:val="16"/>
          <w:szCs w:val="16"/>
          <w:color w:val="auto"/>
        </w:rPr>
      </w:pPr>
    </w:p>
    <w:p>
      <w:pPr>
        <w:ind w:left="660" w:firstLine="1285"/>
        <w:spacing w:after="0" w:line="306" w:lineRule="auto"/>
        <w:tabs>
          <w:tab w:leader="none" w:pos="2796" w:val="left"/>
        </w:tabs>
        <w:numPr>
          <w:ilvl w:val="1"/>
          <w:numId w:val="275"/>
        </w:numPr>
        <w:rPr>
          <w:rFonts w:ascii="Arial" w:cs="Arial" w:eastAsia="Arial" w:hAnsi="Arial"/>
          <w:sz w:val="17"/>
          <w:szCs w:val="17"/>
          <w:color w:val="auto"/>
        </w:rPr>
      </w:pPr>
      <w:r>
        <w:rPr>
          <w:rFonts w:ascii="Arial" w:cs="Arial" w:eastAsia="Arial" w:hAnsi="Arial"/>
          <w:sz w:val="17"/>
          <w:szCs w:val="17"/>
          <w:color w:val="auto"/>
        </w:rPr>
        <w:t>If permitted by the Committee and the Initial Public Offering has occurred (or the Stock otherwise becomes publicly-traded), by the optionee delivering to the Company a properly executed exercise notice together with irrevocable instructions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90" w:name="page391"/>
    <w:bookmarkEnd w:id="390"/>
    <w:p>
      <w:pPr>
        <w:jc w:val="both"/>
        <w:ind w:left="660"/>
        <w:spacing w:after="0" w:line="310" w:lineRule="auto"/>
        <w:rPr>
          <w:sz w:val="20"/>
          <w:szCs w:val="20"/>
          <w:color w:val="auto"/>
        </w:rPr>
      </w:pPr>
      <w:r>
        <w:rPr>
          <w:rFonts w:ascii="Arial" w:cs="Arial" w:eastAsia="Arial" w:hAnsi="Arial"/>
          <w:sz w:val="16"/>
          <w:szCs w:val="16"/>
          <w:color w:val="auto"/>
        </w:rPr>
        <w:t xml:space="preserve">a broker to promptly deliver to the Company cash or a check payable and acceptable to the Company for the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148" w:lineRule="exact"/>
        <w:rPr>
          <w:sz w:val="20"/>
          <w:szCs w:val="20"/>
          <w:color w:val="auto"/>
        </w:rPr>
      </w:pPr>
    </w:p>
    <w:p>
      <w:pPr>
        <w:jc w:val="both"/>
        <w:ind w:left="660" w:firstLine="1285"/>
        <w:spacing w:after="0" w:line="262" w:lineRule="auto"/>
        <w:tabs>
          <w:tab w:leader="none" w:pos="280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83" w:lineRule="exact"/>
        <w:rPr>
          <w:sz w:val="20"/>
          <w:szCs w:val="20"/>
          <w:color w:val="auto"/>
        </w:rPr>
      </w:pPr>
    </w:p>
    <w:p>
      <w:pPr>
        <w:jc w:val="both"/>
        <w:ind w:firstLine="646"/>
        <w:spacing w:after="0" w:line="267" w:lineRule="auto"/>
        <w:rPr>
          <w:sz w:val="20"/>
          <w:szCs w:val="20"/>
          <w:color w:val="auto"/>
        </w:rPr>
      </w:pPr>
      <w:r>
        <w:rPr>
          <w:rFonts w:ascii="Arial" w:cs="Arial" w:eastAsia="Arial" w:hAnsi="Arial"/>
          <w:sz w:val="17"/>
          <w:szCs w:val="17"/>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 (iii) 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184" w:lineRule="exact"/>
        <w:rPr>
          <w:sz w:val="20"/>
          <w:szCs w:val="20"/>
          <w:color w:val="auto"/>
        </w:rPr>
      </w:pPr>
    </w:p>
    <w:p>
      <w:pPr>
        <w:jc w:val="both"/>
        <w:ind w:firstLine="653"/>
        <w:spacing w:after="0" w:line="256" w:lineRule="auto"/>
        <w:tabs>
          <w:tab w:leader="none" w:pos="1527"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87" w:lineRule="exact"/>
        <w:rPr>
          <w:rFonts w:ascii="Arial" w:cs="Arial" w:eastAsia="Arial" w:hAnsi="Arial"/>
          <w:sz w:val="18"/>
          <w:szCs w:val="18"/>
          <w:color w:val="auto"/>
        </w:rPr>
      </w:pPr>
    </w:p>
    <w:p>
      <w:pPr>
        <w:ind w:firstLine="653"/>
        <w:spacing w:after="0" w:line="306" w:lineRule="auto"/>
        <w:tabs>
          <w:tab w:leader="none" w:pos="1719"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Any portion of a Stock Option that is not vested and exercisable on the date of termination of an optionee’s Service Relationship shall immediately expire and be null and void. Once any portion of the Stock Option becomes vested and exercisable,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91" w:name="page392"/>
    <w:bookmarkEnd w:id="391"/>
    <w:p>
      <w:pPr>
        <w:jc w:val="both"/>
        <w:spacing w:after="0" w:line="270" w:lineRule="auto"/>
        <w:rPr>
          <w:sz w:val="20"/>
          <w:szCs w:val="20"/>
          <w:color w:val="auto"/>
        </w:rPr>
      </w:pPr>
      <w:r>
        <w:rPr>
          <w:rFonts w:ascii="Arial" w:cs="Arial" w:eastAsia="Arial" w:hAnsi="Arial"/>
          <w:sz w:val="17"/>
          <w:szCs w:val="17"/>
          <w:color w:val="auto"/>
        </w:rPr>
        <w:t xml:space="preserve">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three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6"/>
          <w:szCs w:val="16"/>
          <w:color w:val="auto"/>
        </w:rPr>
        <w:t xml:space="preserve">6. </w:t>
      </w:r>
      <w:r>
        <w:rPr>
          <w:rFonts w:ascii="Arial" w:cs="Arial" w:eastAsia="Arial" w:hAnsi="Arial"/>
          <w:sz w:val="16"/>
          <w:szCs w:val="16"/>
          <w:u w:val="single" w:color="auto"/>
          <w:color w:val="auto"/>
        </w:rPr>
        <w:t>RESTRICTED STOCK AWARDS</w:t>
      </w:r>
    </w:p>
    <w:p>
      <w:pPr>
        <w:spacing w:after="0" w:line="223" w:lineRule="exact"/>
        <w:rPr>
          <w:sz w:val="20"/>
          <w:szCs w:val="20"/>
          <w:color w:val="auto"/>
        </w:rPr>
      </w:pPr>
    </w:p>
    <w:p>
      <w:pPr>
        <w:jc w:val="both"/>
        <w:ind w:firstLine="653"/>
        <w:spacing w:after="0" w:line="292" w:lineRule="auto"/>
        <w:tabs>
          <w:tab w:leader="none" w:pos="1584"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Committee may, in its sole discretion, grant (or sell at par value or such other purchase price 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163" w:lineRule="exact"/>
        <w:rPr>
          <w:rFonts w:ascii="Arial" w:cs="Arial" w:eastAsia="Arial" w:hAnsi="Arial"/>
          <w:sz w:val="16"/>
          <w:szCs w:val="16"/>
          <w:color w:val="auto"/>
        </w:rPr>
      </w:pPr>
    </w:p>
    <w:p>
      <w:pPr>
        <w:jc w:val="both"/>
        <w:ind w:firstLine="653"/>
        <w:spacing w:after="0" w:line="290" w:lineRule="auto"/>
        <w:tabs>
          <w:tab w:leader="none" w:pos="1675"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165" w:lineRule="exact"/>
        <w:rPr>
          <w:rFonts w:ascii="Arial" w:cs="Arial" w:eastAsia="Arial" w:hAnsi="Arial"/>
          <w:sz w:val="16"/>
          <w:szCs w:val="16"/>
          <w:color w:val="auto"/>
        </w:rPr>
      </w:pPr>
    </w:p>
    <w:p>
      <w:pPr>
        <w:jc w:val="both"/>
        <w:ind w:firstLine="653"/>
        <w:spacing w:after="0" w:line="256" w:lineRule="auto"/>
        <w:tabs>
          <w:tab w:leader="none" w:pos="1772"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92" w:name="page393"/>
    <w:bookmarkEnd w:id="392"/>
    <w:p>
      <w:pPr>
        <w:jc w:val="both"/>
        <w:ind w:firstLine="653"/>
        <w:spacing w:after="0" w:line="310" w:lineRule="auto"/>
        <w:tabs>
          <w:tab w:leader="none" w:pos="1675"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w:t>
      </w:r>
      <w:r>
        <w:rPr>
          <w:rFonts w:ascii="Arial" w:cs="Arial" w:eastAsia="Arial" w:hAnsi="Arial"/>
          <w:sz w:val="16"/>
          <w:szCs w:val="16"/>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1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6"/>
          <w:szCs w:val="16"/>
          <w:color w:val="auto"/>
        </w:rPr>
        <w:t xml:space="preserve">7. </w:t>
      </w:r>
      <w:r>
        <w:rPr>
          <w:rFonts w:ascii="Arial" w:cs="Arial" w:eastAsia="Arial" w:hAnsi="Arial"/>
          <w:sz w:val="16"/>
          <w:szCs w:val="16"/>
          <w:u w:val="single" w:color="auto"/>
          <w:color w:val="auto"/>
        </w:rPr>
        <w:t>UNRESTRICTED STOCK AWARDS</w:t>
      </w:r>
    </w:p>
    <w:p>
      <w:pPr>
        <w:spacing w:after="0" w:line="22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7"/>
          <w:szCs w:val="17"/>
          <w:color w:val="auto"/>
        </w:rPr>
        <w:t xml:space="preserve">8. </w:t>
      </w:r>
      <w:r>
        <w:rPr>
          <w:rFonts w:ascii="Arial" w:cs="Arial" w:eastAsia="Arial" w:hAnsi="Arial"/>
          <w:sz w:val="17"/>
          <w:szCs w:val="17"/>
          <w:u w:val="single" w:color="auto"/>
          <w:color w:val="auto"/>
        </w:rPr>
        <w:t>RESTRICTED STOCK UNITS</w:t>
      </w:r>
    </w:p>
    <w:p>
      <w:pPr>
        <w:spacing w:after="0" w:line="223" w:lineRule="exact"/>
        <w:rPr>
          <w:sz w:val="20"/>
          <w:szCs w:val="20"/>
          <w:color w:val="auto"/>
        </w:rPr>
      </w:pPr>
    </w:p>
    <w:p>
      <w:pPr>
        <w:jc w:val="both"/>
        <w:ind w:firstLine="653"/>
        <w:spacing w:after="0" w:line="289" w:lineRule="auto"/>
        <w:tabs>
          <w:tab w:leader="none" w:pos="1799"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164" w:lineRule="exact"/>
        <w:rPr>
          <w:rFonts w:ascii="Arial" w:cs="Arial" w:eastAsia="Arial" w:hAnsi="Arial"/>
          <w:sz w:val="16"/>
          <w:szCs w:val="16"/>
          <w:color w:val="auto"/>
        </w:rPr>
      </w:pPr>
    </w:p>
    <w:p>
      <w:pPr>
        <w:jc w:val="both"/>
        <w:ind w:firstLine="653"/>
        <w:spacing w:after="0" w:line="256" w:lineRule="auto"/>
        <w:tabs>
          <w:tab w:leader="none" w:pos="1796"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187" w:lineRule="exact"/>
        <w:rPr>
          <w:rFonts w:ascii="Arial" w:cs="Arial" w:eastAsia="Arial" w:hAnsi="Arial"/>
          <w:sz w:val="18"/>
          <w:szCs w:val="18"/>
          <w:color w:val="auto"/>
        </w:rPr>
      </w:pPr>
    </w:p>
    <w:p>
      <w:pPr>
        <w:jc w:val="both"/>
        <w:ind w:firstLine="653"/>
        <w:spacing w:after="0" w:line="262" w:lineRule="auto"/>
        <w:tabs>
          <w:tab w:leader="none" w:pos="1678"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93" w:name="page394"/>
    <w:bookmarkEnd w:id="393"/>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7"/>
          <w:szCs w:val="17"/>
          <w:color w:val="auto"/>
        </w:rPr>
        <w:t xml:space="preserve">9. </w:t>
      </w:r>
      <w:r>
        <w:rPr>
          <w:rFonts w:ascii="Arial" w:cs="Arial" w:eastAsia="Arial" w:hAnsi="Arial"/>
          <w:sz w:val="17"/>
          <w:szCs w:val="17"/>
          <w:u w:val="single" w:color="auto"/>
          <w:color w:val="auto"/>
        </w:rPr>
        <w:t>TRANSFER RESTRICTIONS; COMPANY RIGHT OF FIRST REFUSAL; COMPANY REPURCHASE RIGHTS</w:t>
      </w:r>
    </w:p>
    <w:p>
      <w:pPr>
        <w:spacing w:after="0" w:line="223" w:lineRule="exact"/>
        <w:rPr>
          <w:sz w:val="20"/>
          <w:szCs w:val="20"/>
          <w:color w:val="auto"/>
        </w:rPr>
      </w:pPr>
    </w:p>
    <w:p>
      <w:pPr>
        <w:ind w:left="1520" w:hanging="867"/>
        <w:spacing w:after="0"/>
        <w:tabs>
          <w:tab w:leader="none" w:pos="152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9"/>
        <w:spacing w:after="0" w:line="268" w:lineRule="auto"/>
        <w:tabs>
          <w:tab w:leader="none" w:pos="2209"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Non-Transferability of Stock Options</w:t>
      </w:r>
      <w:r>
        <w:rPr>
          <w:rFonts w:ascii="Arial" w:cs="Arial" w:eastAsia="Arial" w:hAnsi="Arial"/>
          <w:sz w:val="17"/>
          <w:szCs w:val="17"/>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181" w:lineRule="exact"/>
        <w:rPr>
          <w:rFonts w:ascii="Arial" w:cs="Arial" w:eastAsia="Arial" w:hAnsi="Arial"/>
          <w:sz w:val="17"/>
          <w:szCs w:val="17"/>
          <w:color w:val="auto"/>
        </w:rPr>
      </w:pPr>
    </w:p>
    <w:p>
      <w:pPr>
        <w:jc w:val="both"/>
        <w:ind w:firstLine="1299"/>
        <w:spacing w:after="0" w:line="267" w:lineRule="auto"/>
        <w:tabs>
          <w:tab w:leader="none" w:pos="2147"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94" w:name="page395"/>
    <w:bookmarkEnd w:id="394"/>
    <w:p>
      <w:pPr>
        <w:jc w:val="both"/>
        <w:ind w:left="660" w:firstLine="1285"/>
        <w:spacing w:after="0" w:line="254" w:lineRule="auto"/>
        <w:tabs>
          <w:tab w:leader="none" w:pos="3025"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Transfers to Permitted Transferees</w:t>
      </w:r>
      <w:r>
        <w:rPr>
          <w:rFonts w:ascii="Arial" w:cs="Arial" w:eastAsia="Arial" w:hAnsi="Arial"/>
          <w:sz w:val="18"/>
          <w:szCs w:val="18"/>
          <w:color w:val="auto"/>
        </w:rPr>
        <w:t xml:space="preserve">. The Holder may transfer any or all of the Shares to one or more Permitted Transferees;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following such transfer, such Shares shall continue to be subject to the terms of this Plan (including this Section 9) and 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192" w:lineRule="exact"/>
        <w:rPr>
          <w:rFonts w:ascii="Arial" w:cs="Arial" w:eastAsia="Arial" w:hAnsi="Arial"/>
          <w:sz w:val="18"/>
          <w:szCs w:val="18"/>
          <w:color w:val="auto"/>
        </w:rPr>
      </w:pPr>
    </w:p>
    <w:p>
      <w:pPr>
        <w:jc w:val="both"/>
        <w:ind w:left="660" w:firstLine="1285"/>
        <w:spacing w:after="0" w:line="278" w:lineRule="auto"/>
        <w:tabs>
          <w:tab w:leader="none" w:pos="2912"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Transfers Upon Death</w:t>
      </w:r>
      <w:r>
        <w:rPr>
          <w:rFonts w:ascii="Arial" w:cs="Arial" w:eastAsia="Arial" w:hAnsi="Arial"/>
          <w:sz w:val="17"/>
          <w:szCs w:val="17"/>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170" w:lineRule="exact"/>
        <w:rPr>
          <w:rFonts w:ascii="Arial" w:cs="Arial" w:eastAsia="Arial" w:hAnsi="Arial"/>
          <w:sz w:val="17"/>
          <w:szCs w:val="17"/>
          <w:color w:val="auto"/>
        </w:rPr>
      </w:pPr>
    </w:p>
    <w:p>
      <w:pPr>
        <w:jc w:val="both"/>
        <w:ind w:firstLine="653"/>
        <w:spacing w:after="0" w:line="284" w:lineRule="auto"/>
        <w:tabs>
          <w:tab w:leader="none" w:pos="1648"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w:t>
      </w:r>
      <w:r>
        <w:rPr>
          <w:rFonts w:ascii="Arial" w:cs="Arial" w:eastAsia="Arial" w:hAnsi="Arial"/>
          <w:sz w:val="16"/>
          <w:szCs w:val="16"/>
          <w:i w:val="1"/>
          <w:iCs w:val="1"/>
          <w:color w:val="auto"/>
        </w:rPr>
        <w:t>Offered Shares</w:t>
      </w:r>
      <w:r>
        <w:rPr>
          <w:rFonts w:ascii="Arial" w:cs="Arial" w:eastAsia="Arial" w:hAnsi="Arial"/>
          <w:sz w:val="16"/>
          <w:szCs w:val="16"/>
          <w:color w:val="auto"/>
        </w:rPr>
        <w:t>”),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shall be required to pay a transaction processing fee of $10,000 to the Company (unless waived by the Committee) and then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95" w:name="page396"/>
    <w:bookmarkEnd w:id="395"/>
    <w:p>
      <w:pPr>
        <w:ind w:left="1520" w:hanging="867"/>
        <w:spacing w:after="0"/>
        <w:tabs>
          <w:tab w:leader="none" w:pos="15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Company’s Right of Repurchase</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9"/>
        <w:spacing w:after="0" w:line="272" w:lineRule="auto"/>
        <w:tabs>
          <w:tab w:leader="none" w:pos="2128"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Right of Repurchase for Unvested Shares Issued Upon the Exercise of an Option</w:t>
      </w:r>
      <w:r>
        <w:rPr>
          <w:rFonts w:ascii="Arial" w:cs="Arial" w:eastAsia="Arial" w:hAnsi="Arial"/>
          <w:sz w:val="17"/>
          <w:szCs w:val="17"/>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177" w:lineRule="exact"/>
        <w:rPr>
          <w:rFonts w:ascii="Arial" w:cs="Arial" w:eastAsia="Arial" w:hAnsi="Arial"/>
          <w:sz w:val="17"/>
          <w:szCs w:val="17"/>
          <w:color w:val="auto"/>
        </w:rPr>
      </w:pPr>
    </w:p>
    <w:p>
      <w:pPr>
        <w:jc w:val="both"/>
        <w:ind w:firstLine="1299"/>
        <w:spacing w:after="0" w:line="295" w:lineRule="auto"/>
        <w:tabs>
          <w:tab w:leader="none" w:pos="2174"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Right of Repurchase With Respect to Restricted Stock</w:t>
      </w:r>
      <w:r>
        <w:rPr>
          <w:rFonts w:ascii="Arial" w:cs="Arial" w:eastAsia="Arial" w:hAnsi="Arial"/>
          <w:sz w:val="16"/>
          <w:szCs w:val="16"/>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160" w:lineRule="exact"/>
        <w:rPr>
          <w:rFonts w:ascii="Arial" w:cs="Arial" w:eastAsia="Arial" w:hAnsi="Arial"/>
          <w:sz w:val="16"/>
          <w:szCs w:val="16"/>
          <w:color w:val="auto"/>
        </w:rPr>
      </w:pPr>
    </w:p>
    <w:p>
      <w:pPr>
        <w:jc w:val="both"/>
        <w:ind w:firstLine="1299"/>
        <w:spacing w:after="0" w:line="253" w:lineRule="auto"/>
        <w:tabs>
          <w:tab w:leader="none" w:pos="2300"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may pay the repurchase price by offsetting and canceling any indebtedness then owed by the Holder to the Company.</w:t>
      </w:r>
    </w:p>
    <w:p>
      <w:pPr>
        <w:spacing w:after="0" w:line="194" w:lineRule="exact"/>
        <w:rPr>
          <w:rFonts w:ascii="Arial" w:cs="Arial" w:eastAsia="Arial" w:hAnsi="Arial"/>
          <w:sz w:val="18"/>
          <w:szCs w:val="18"/>
          <w:color w:val="auto"/>
        </w:rPr>
      </w:pPr>
    </w:p>
    <w:p>
      <w:pPr>
        <w:ind w:left="1540" w:hanging="887"/>
        <w:spacing w:after="0"/>
        <w:tabs>
          <w:tab w:leader="none" w:pos="154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520" w:hanging="867"/>
        <w:spacing w:after="0"/>
        <w:tabs>
          <w:tab w:leader="none" w:pos="15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Escrow Arrangement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9"/>
        <w:spacing w:after="0" w:line="271" w:lineRule="auto"/>
        <w:tabs>
          <w:tab w:leader="none" w:pos="2128"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Escrow</w:t>
      </w:r>
      <w:r>
        <w:rPr>
          <w:rFonts w:ascii="Arial" w:cs="Arial" w:eastAsia="Arial" w:hAnsi="Arial"/>
          <w:sz w:val="17"/>
          <w:szCs w:val="17"/>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9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96" w:name="page397"/>
    <w:bookmarkEnd w:id="396"/>
    <w:p>
      <w:pPr>
        <w:jc w:val="both"/>
        <w:ind w:firstLine="1299"/>
        <w:spacing w:after="0" w:line="268" w:lineRule="auto"/>
        <w:tabs>
          <w:tab w:leader="none" w:pos="2107" w:val="left"/>
        </w:tabs>
        <w:numPr>
          <w:ilvl w:val="1"/>
          <w:numId w:val="285"/>
        </w:numPr>
        <w:rPr>
          <w:rFonts w:ascii="Arial" w:cs="Arial" w:eastAsia="Arial" w:hAnsi="Arial"/>
          <w:sz w:val="17"/>
          <w:szCs w:val="17"/>
          <w:color w:val="auto"/>
        </w:rPr>
      </w:pPr>
      <w:r>
        <w:rPr>
          <w:rFonts w:ascii="Arial" w:cs="Arial" w:eastAsia="Arial" w:hAnsi="Arial"/>
          <w:sz w:val="17"/>
          <w:szCs w:val="17"/>
          <w:u w:val="single" w:color="auto"/>
          <w:color w:val="auto"/>
        </w:rPr>
        <w:t>Remedy</w:t>
      </w:r>
      <w:r>
        <w:rPr>
          <w:rFonts w:ascii="Arial" w:cs="Arial" w:eastAsia="Arial" w:hAnsi="Arial"/>
          <w:sz w:val="17"/>
          <w:szCs w:val="17"/>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181" w:lineRule="exact"/>
        <w:rPr>
          <w:rFonts w:ascii="Arial" w:cs="Arial" w:eastAsia="Arial" w:hAnsi="Arial"/>
          <w:sz w:val="17"/>
          <w:szCs w:val="17"/>
          <w:color w:val="auto"/>
        </w:rPr>
      </w:pPr>
    </w:p>
    <w:p>
      <w:pPr>
        <w:jc w:val="both"/>
        <w:ind w:firstLine="653"/>
        <w:spacing w:after="0" w:line="258" w:lineRule="auto"/>
        <w:tabs>
          <w:tab w:leader="none" w:pos="173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Lockup Provision</w:t>
      </w:r>
      <w:r>
        <w:rPr>
          <w:rFonts w:ascii="Arial" w:cs="Arial" w:eastAsia="Arial" w:hAnsi="Arial"/>
          <w:sz w:val="18"/>
          <w:szCs w:val="18"/>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186" w:lineRule="exact"/>
        <w:rPr>
          <w:rFonts w:ascii="Arial" w:cs="Arial" w:eastAsia="Arial" w:hAnsi="Arial"/>
          <w:sz w:val="18"/>
          <w:szCs w:val="18"/>
          <w:color w:val="auto"/>
        </w:rPr>
      </w:pPr>
    </w:p>
    <w:p>
      <w:pPr>
        <w:jc w:val="both"/>
        <w:ind w:firstLine="653"/>
        <w:spacing w:after="0" w:line="258" w:lineRule="auto"/>
        <w:tabs>
          <w:tab w:leader="none" w:pos="1661"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186" w:lineRule="exact"/>
        <w:rPr>
          <w:rFonts w:ascii="Arial" w:cs="Arial" w:eastAsia="Arial" w:hAnsi="Arial"/>
          <w:sz w:val="18"/>
          <w:szCs w:val="18"/>
          <w:color w:val="auto"/>
        </w:rPr>
      </w:pPr>
    </w:p>
    <w:p>
      <w:pPr>
        <w:jc w:val="both"/>
        <w:ind w:firstLine="653"/>
        <w:spacing w:after="0" w:line="258" w:lineRule="auto"/>
        <w:tabs>
          <w:tab w:leader="none" w:pos="1702"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18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7"/>
          <w:szCs w:val="17"/>
          <w:color w:val="auto"/>
        </w:rPr>
        <w:t xml:space="preserve">10. </w:t>
      </w:r>
      <w:r>
        <w:rPr>
          <w:rFonts w:ascii="Arial" w:cs="Arial" w:eastAsia="Arial" w:hAnsi="Arial"/>
          <w:sz w:val="17"/>
          <w:szCs w:val="17"/>
          <w:u w:val="single" w:color="auto"/>
          <w:color w:val="auto"/>
        </w:rPr>
        <w:t>TAX WITHHOLDING</w:t>
      </w:r>
    </w:p>
    <w:p>
      <w:pPr>
        <w:spacing w:after="0" w:line="223" w:lineRule="exact"/>
        <w:rPr>
          <w:sz w:val="20"/>
          <w:szCs w:val="20"/>
          <w:color w:val="auto"/>
        </w:rPr>
      </w:pPr>
    </w:p>
    <w:p>
      <w:pPr>
        <w:jc w:val="both"/>
        <w:ind w:firstLine="653"/>
        <w:spacing w:after="0" w:line="256" w:lineRule="auto"/>
        <w:tabs>
          <w:tab w:leader="none" w:pos="1624"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97" w:name="page398"/>
    <w:bookmarkEnd w:id="397"/>
    <w:p>
      <w:pPr>
        <w:spacing w:after="0" w:line="275" w:lineRule="auto"/>
        <w:rPr>
          <w:sz w:val="20"/>
          <w:szCs w:val="20"/>
          <w:color w:val="auto"/>
        </w:rPr>
      </w:pPr>
      <w:r>
        <w:rPr>
          <w:rFonts w:ascii="Arial" w:cs="Arial" w:eastAsia="Arial" w:hAnsi="Arial"/>
          <w:sz w:val="18"/>
          <w:szCs w:val="18"/>
          <w:color w:val="auto"/>
        </w:rPr>
        <w:t>Company’s obligation to deliver stock certificates (or evidence of book entry) to any grantee is subject to and conditioned on any such tax withholding obligations being satisfied by the grantee.</w:t>
      </w:r>
    </w:p>
    <w:p>
      <w:pPr>
        <w:spacing w:after="0" w:line="171" w:lineRule="exact"/>
        <w:rPr>
          <w:sz w:val="20"/>
          <w:szCs w:val="20"/>
          <w:color w:val="auto"/>
        </w:rPr>
      </w:pPr>
    </w:p>
    <w:p>
      <w:pPr>
        <w:jc w:val="both"/>
        <w:ind w:firstLine="653"/>
        <w:spacing w:after="0" w:line="262" w:lineRule="auto"/>
        <w:tabs>
          <w:tab w:leader="none" w:pos="1836"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6"/>
          <w:szCs w:val="16"/>
          <w:color w:val="auto"/>
        </w:rPr>
        <w:t xml:space="preserve">11. </w:t>
      </w:r>
      <w:r>
        <w:rPr>
          <w:rFonts w:ascii="Arial" w:cs="Arial" w:eastAsia="Arial" w:hAnsi="Arial"/>
          <w:sz w:val="16"/>
          <w:szCs w:val="16"/>
          <w:u w:val="single" w:color="auto"/>
          <w:color w:val="auto"/>
        </w:rPr>
        <w:t>SECTION 409A AWARDS.</w:t>
      </w:r>
    </w:p>
    <w:p>
      <w:pPr>
        <w:spacing w:after="0" w:line="223"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To the extent that any Award is determined to constitute “nonqualified deferred compensation” within the meaning of Section 409A (a “</w:t>
      </w:r>
      <w:r>
        <w:rPr>
          <w:rFonts w:ascii="Arial" w:cs="Arial" w:eastAsia="Arial" w:hAnsi="Arial"/>
          <w:sz w:val="18"/>
          <w:szCs w:val="18"/>
          <w:i w:val="1"/>
          <w:iCs w:val="1"/>
          <w:color w:val="auto"/>
        </w:rPr>
        <w:t>409A</w:t>
      </w:r>
      <w:r>
        <w:rPr>
          <w:rFonts w:ascii="Arial" w:cs="Arial" w:eastAsia="Arial" w:hAnsi="Arial"/>
          <w:sz w:val="18"/>
          <w:szCs w:val="18"/>
          <w:color w:val="auto"/>
        </w:rPr>
        <w:t xml:space="preserve"> </w:t>
      </w:r>
      <w:r>
        <w:rPr>
          <w:rFonts w:ascii="Arial" w:cs="Arial" w:eastAsia="Arial" w:hAnsi="Arial"/>
          <w:sz w:val="18"/>
          <w:szCs w:val="18"/>
          <w:i w:val="1"/>
          <w:iCs w:val="1"/>
          <w:color w:val="auto"/>
        </w:rPr>
        <w:t>Award</w:t>
      </w:r>
      <w:r>
        <w:rPr>
          <w:rFonts w:ascii="Arial" w:cs="Arial" w:eastAsia="Arial" w:hAnsi="Arial"/>
          <w:sz w:val="18"/>
          <w:szCs w:val="18"/>
          <w:color w:val="auto"/>
        </w:rPr>
        <w:t>”), the Award shall be subject to such additional rules and requirements as may be specified by the Committee from time to time. In this regard, if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19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7"/>
          <w:szCs w:val="17"/>
          <w:color w:val="auto"/>
        </w:rPr>
        <w:t xml:space="preserve">12. </w:t>
      </w:r>
      <w:r>
        <w:rPr>
          <w:rFonts w:ascii="Arial" w:cs="Arial" w:eastAsia="Arial" w:hAnsi="Arial"/>
          <w:sz w:val="17"/>
          <w:szCs w:val="17"/>
          <w:u w:val="single" w:color="auto"/>
          <w:color w:val="auto"/>
        </w:rPr>
        <w:t>AMENDMENTS AND TERMINATION</w:t>
      </w:r>
    </w:p>
    <w:p>
      <w:pPr>
        <w:spacing w:after="0" w:line="223"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6"/>
          <w:szCs w:val="16"/>
          <w:color w:val="auto"/>
        </w:rPr>
        <w:t xml:space="preserve">13. </w:t>
      </w:r>
      <w:r>
        <w:rPr>
          <w:rFonts w:ascii="Arial" w:cs="Arial" w:eastAsia="Arial" w:hAnsi="Arial"/>
          <w:sz w:val="16"/>
          <w:szCs w:val="16"/>
          <w:u w:val="single" w:color="auto"/>
          <w:color w:val="auto"/>
        </w:rPr>
        <w:t>STATUS OF PLAN</w:t>
      </w:r>
    </w:p>
    <w:p>
      <w:pPr>
        <w:spacing w:after="0" w:line="22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98" w:name="page399"/>
    <w:bookmarkEnd w:id="398"/>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7"/>
          <w:szCs w:val="17"/>
          <w:color w:val="auto"/>
        </w:rPr>
        <w:t xml:space="preserve">14. </w:t>
      </w:r>
      <w:r>
        <w:rPr>
          <w:rFonts w:ascii="Arial" w:cs="Arial" w:eastAsia="Arial" w:hAnsi="Arial"/>
          <w:sz w:val="17"/>
          <w:szCs w:val="17"/>
          <w:u w:val="single" w:color="auto"/>
          <w:color w:val="auto"/>
        </w:rPr>
        <w:t>GENERAL PROVISIONS</w:t>
      </w:r>
    </w:p>
    <w:p>
      <w:pPr>
        <w:spacing w:after="0" w:line="223" w:lineRule="exact"/>
        <w:rPr>
          <w:sz w:val="20"/>
          <w:szCs w:val="20"/>
          <w:color w:val="auto"/>
        </w:rPr>
      </w:pPr>
    </w:p>
    <w:p>
      <w:pPr>
        <w:jc w:val="both"/>
        <w:ind w:firstLine="653"/>
        <w:spacing w:after="0" w:line="300" w:lineRule="auto"/>
        <w:tabs>
          <w:tab w:leader="none" w:pos="1091"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No Distribution; Compliance with Legal Requirements</w:t>
      </w:r>
      <w:r>
        <w:rPr>
          <w:rFonts w:ascii="Arial" w:cs="Arial" w:eastAsia="Arial" w:hAnsi="Arial"/>
          <w:sz w:val="16"/>
          <w:szCs w:val="16"/>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156" w:lineRule="exact"/>
        <w:rPr>
          <w:rFonts w:ascii="Arial" w:cs="Arial" w:eastAsia="Arial" w:hAnsi="Arial"/>
          <w:sz w:val="16"/>
          <w:szCs w:val="16"/>
          <w:color w:val="auto"/>
        </w:rPr>
      </w:pPr>
    </w:p>
    <w:p>
      <w:pPr>
        <w:jc w:val="both"/>
        <w:ind w:firstLine="653"/>
        <w:spacing w:after="0" w:line="253" w:lineRule="auto"/>
        <w:tabs>
          <w:tab w:leader="none" w:pos="110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Delivery of Stock Certificates</w:t>
      </w:r>
      <w:r>
        <w:rPr>
          <w:rFonts w:ascii="Arial" w:cs="Arial" w:eastAsia="Arial" w:hAnsi="Arial"/>
          <w:sz w:val="18"/>
          <w:szCs w:val="18"/>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194" w:lineRule="exact"/>
        <w:rPr>
          <w:rFonts w:ascii="Arial" w:cs="Arial" w:eastAsia="Arial" w:hAnsi="Arial"/>
          <w:sz w:val="18"/>
          <w:szCs w:val="18"/>
          <w:color w:val="auto"/>
        </w:rPr>
      </w:pPr>
    </w:p>
    <w:p>
      <w:pPr>
        <w:ind w:firstLine="653"/>
        <w:spacing w:after="0" w:line="275" w:lineRule="auto"/>
        <w:tabs>
          <w:tab w:leader="none" w:pos="109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The adoption of the Plan and the grant of Awards do not confer upon any Person any right to continued employment or Service Relationship with the Company or any Subsidiary.</w:t>
      </w:r>
    </w:p>
    <w:p>
      <w:pPr>
        <w:spacing w:after="0" w:line="171" w:lineRule="exact"/>
        <w:rPr>
          <w:rFonts w:ascii="Arial" w:cs="Arial" w:eastAsia="Arial" w:hAnsi="Arial"/>
          <w:sz w:val="18"/>
          <w:szCs w:val="18"/>
          <w:color w:val="auto"/>
        </w:rPr>
      </w:pPr>
    </w:p>
    <w:p>
      <w:pPr>
        <w:ind w:firstLine="653"/>
        <w:spacing w:after="0" w:line="340" w:lineRule="auto"/>
        <w:tabs>
          <w:tab w:leader="none" w:pos="1101"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Trading Policy Restrictions</w:t>
      </w:r>
      <w:r>
        <w:rPr>
          <w:rFonts w:ascii="Arial" w:cs="Arial" w:eastAsia="Arial" w:hAnsi="Arial"/>
          <w:sz w:val="16"/>
          <w:szCs w:val="16"/>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124" w:lineRule="exact"/>
        <w:rPr>
          <w:rFonts w:ascii="Arial" w:cs="Arial" w:eastAsia="Arial" w:hAnsi="Arial"/>
          <w:sz w:val="16"/>
          <w:szCs w:val="16"/>
          <w:color w:val="auto"/>
        </w:rPr>
      </w:pPr>
    </w:p>
    <w:p>
      <w:pPr>
        <w:jc w:val="both"/>
        <w:ind w:firstLine="653"/>
        <w:spacing w:after="0" w:line="300" w:lineRule="auto"/>
        <w:tabs>
          <w:tab w:leader="none" w:pos="1091"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156" w:lineRule="exact"/>
        <w:rPr>
          <w:rFonts w:ascii="Arial" w:cs="Arial" w:eastAsia="Arial" w:hAnsi="Arial"/>
          <w:sz w:val="16"/>
          <w:szCs w:val="16"/>
          <w:color w:val="auto"/>
        </w:rPr>
      </w:pPr>
    </w:p>
    <w:p>
      <w:pPr>
        <w:ind w:right="20" w:firstLine="653"/>
        <w:spacing w:after="0" w:line="275" w:lineRule="auto"/>
        <w:tabs>
          <w:tab w:leader="none" w:pos="107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Any certificate(s) representing the Shares shall carry substantially the following legend (and with respect to uncertificated Stock, the book entries evidencing such shares shall contain the following notation):</w:t>
      </w:r>
    </w:p>
    <w:p>
      <w:pPr>
        <w:spacing w:after="0" w:line="171" w:lineRule="exact"/>
        <w:rPr>
          <w:sz w:val="20"/>
          <w:szCs w:val="20"/>
          <w:color w:val="auto"/>
        </w:rPr>
      </w:pPr>
    </w:p>
    <w:p>
      <w:pPr>
        <w:jc w:val="both"/>
        <w:ind w:left="1300" w:right="1300"/>
        <w:spacing w:after="0" w:line="262"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restrictions, terms and conditions (including repurchase and restrictions against transfers) contained in the Century Therapeutics, Inc. 2018 Stock Option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99" w:name="page400"/>
    <w:bookmarkEnd w:id="399"/>
    <w:p>
      <w:pPr>
        <w:ind w:left="1300" w:right="1300"/>
        <w:spacing w:after="0" w:line="275" w:lineRule="auto"/>
        <w:rPr>
          <w:sz w:val="20"/>
          <w:szCs w:val="20"/>
          <w:color w:val="auto"/>
        </w:rPr>
      </w:pPr>
      <w:r>
        <w:rPr>
          <w:rFonts w:ascii="Arial" w:cs="Arial" w:eastAsia="Arial" w:hAnsi="Arial"/>
          <w:sz w:val="18"/>
          <w:szCs w:val="18"/>
          <w:color w:val="auto"/>
        </w:rPr>
        <w:t>Grant Plan and any agreements entered into thereunder by and between the company and the holder of this certificate (a copy of which is available at the offices of the company for examination).</w:t>
      </w:r>
    </w:p>
    <w:p>
      <w:pPr>
        <w:spacing w:after="0" w:line="171" w:lineRule="exact"/>
        <w:rPr>
          <w:sz w:val="20"/>
          <w:szCs w:val="20"/>
          <w:color w:val="auto"/>
        </w:rPr>
      </w:pPr>
    </w:p>
    <w:p>
      <w:pPr>
        <w:jc w:val="both"/>
        <w:ind w:firstLine="653"/>
        <w:spacing w:after="0" w:line="290" w:lineRule="auto"/>
        <w:tabs>
          <w:tab w:leader="none" w:pos="1101"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Information to Holders of Options</w:t>
      </w:r>
      <w:r>
        <w:rPr>
          <w:rFonts w:ascii="Arial" w:cs="Arial" w:eastAsia="Arial" w:hAnsi="Arial"/>
          <w:sz w:val="16"/>
          <w:szCs w:val="16"/>
          <w:color w:val="auto"/>
        </w:rPr>
        <w:t>. In the event the Company is relying on the exemption from the registration requirements of Section 12(g) of the Exchange Act contained in paragraph (f)(1) of Rule 12h-1 of the Exchange Act, the Company shall provide the information described in Rule 701(e)</w:t>
      </w:r>
    </w:p>
    <w:p>
      <w:pPr>
        <w:jc w:val="both"/>
        <w:spacing w:after="0" w:line="249" w:lineRule="auto"/>
        <w:rPr>
          <w:rFonts w:ascii="Arial" w:cs="Arial" w:eastAsia="Arial" w:hAnsi="Arial"/>
          <w:sz w:val="16"/>
          <w:szCs w:val="16"/>
          <w:color w:val="auto"/>
        </w:rPr>
      </w:pPr>
      <w:r>
        <w:rPr>
          <w:rFonts w:ascii="Arial" w:cs="Arial" w:eastAsia="Arial" w:hAnsi="Arial"/>
          <w:sz w:val="18"/>
          <w:szCs w:val="18"/>
          <w:color w:val="auto"/>
        </w:rPr>
        <w:t>(3),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8"/>
          <w:szCs w:val="18"/>
          <w:color w:val="auto"/>
        </w:rPr>
        <w:t xml:space="preserve">15. </w:t>
      </w:r>
      <w:r>
        <w:rPr>
          <w:rFonts w:ascii="Arial" w:cs="Arial" w:eastAsia="Arial" w:hAnsi="Arial"/>
          <w:sz w:val="18"/>
          <w:szCs w:val="18"/>
          <w:u w:val="single" w:color="auto"/>
          <w:color w:val="auto"/>
        </w:rPr>
        <w:t>EFFECTIVE DATE OF PLAN</w:t>
      </w:r>
    </w:p>
    <w:p>
      <w:pPr>
        <w:spacing w:after="0" w:line="209"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1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w:t>
      </w:r>
      <w:r>
        <w:rPr>
          <w:sz w:val="20"/>
          <w:szCs w:val="20"/>
          <w:color w:val="auto"/>
        </w:rPr>
        <w:tab/>
      </w:r>
      <w:r>
        <w:rPr>
          <w:rFonts w:ascii="Arial" w:cs="Arial" w:eastAsia="Arial" w:hAnsi="Arial"/>
          <w:sz w:val="17"/>
          <w:szCs w:val="17"/>
          <w:color w:val="auto"/>
        </w:rPr>
        <w:t xml:space="preserve">16. </w:t>
      </w:r>
      <w:r>
        <w:rPr>
          <w:rFonts w:ascii="Arial" w:cs="Arial" w:eastAsia="Arial" w:hAnsi="Arial"/>
          <w:sz w:val="17"/>
          <w:szCs w:val="17"/>
          <w:u w:val="single" w:color="auto"/>
          <w:color w:val="auto"/>
        </w:rPr>
        <w:t>GOVERNING LAW</w:t>
      </w:r>
    </w:p>
    <w:p>
      <w:pPr>
        <w:spacing w:after="0" w:line="223"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New York, without regard to conflict of law principles that would result in the application of any law other than the law of the State of New York.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ADOPTED BY THE BOARD OF DIRECTORS: June 1,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THE STOCKHOLDERS: June 1, 2018</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9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10.3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OPTION AND GRANT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187"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WHEREAS, up to 10,000,000 shares of Common Stock, par value $0.0001 per share, of Century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are currently reserved under the Company’s 2018 Stock Option and Grant Plan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31" w:lineRule="exact"/>
        <w:rPr>
          <w:sz w:val="20"/>
          <w:szCs w:val="20"/>
          <w:color w:val="auto"/>
        </w:rPr>
      </w:pPr>
    </w:p>
    <w:p>
      <w:pPr>
        <w:jc w:val="both"/>
        <w:ind w:firstLine="646"/>
        <w:spacing w:after="0" w:line="340"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pursuant to a Written Consent of the Board dated as of September 10, 2018, approved and authorized this Amendment to the Plan, pursuant to which the number of shares reserved under the Plan shall be decreased as set forth herein.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Section 3(a) of the Plan is hereby amended and restated as follows:</w:t>
      </w:r>
    </w:p>
    <w:p>
      <w:pPr>
        <w:spacing w:after="0" w:line="183" w:lineRule="exact"/>
        <w:rPr>
          <w:sz w:val="20"/>
          <w:szCs w:val="20"/>
          <w:color w:val="auto"/>
        </w:rPr>
      </w:pPr>
    </w:p>
    <w:p>
      <w:pPr>
        <w:jc w:val="both"/>
        <w:ind w:left="1300" w:right="6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8,500,000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8,500,000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8,500,000 Shares shall be granted to any one individual in any calendar year period.”</w:t>
      </w:r>
    </w:p>
    <w:p>
      <w:pPr>
        <w:spacing w:after="0" w:line="144"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9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1" w:name="page402"/>
    <w:bookmarkEnd w:id="401"/>
    <w:p>
      <w:pPr>
        <w:ind w:left="10120"/>
        <w:spacing w:after="0"/>
        <w:rPr>
          <w:sz w:val="20"/>
          <w:szCs w:val="20"/>
          <w:color w:val="auto"/>
        </w:rPr>
      </w:pPr>
      <w:r>
        <w:rPr>
          <w:rFonts w:ascii="Arial" w:cs="Arial" w:eastAsia="Arial" w:hAnsi="Arial"/>
          <w:sz w:val="18"/>
          <w:szCs w:val="18"/>
          <w:b w:val="1"/>
          <w:bCs w:val="1"/>
          <w:color w:val="auto"/>
        </w:rPr>
        <w:t>EXHIBIT 10.4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OPTION AND GRANT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27" w:lineRule="exact"/>
        <w:rPr>
          <w:sz w:val="20"/>
          <w:szCs w:val="20"/>
          <w:color w:val="auto"/>
        </w:rPr>
      </w:pPr>
    </w:p>
    <w:p>
      <w:pPr>
        <w:jc w:val="both"/>
        <w:ind w:firstLine="646"/>
        <w:spacing w:after="0" w:line="275" w:lineRule="auto"/>
        <w:rPr>
          <w:sz w:val="20"/>
          <w:szCs w:val="20"/>
          <w:color w:val="auto"/>
        </w:rPr>
      </w:pPr>
      <w:r>
        <w:rPr>
          <w:rFonts w:ascii="Arial" w:cs="Arial" w:eastAsia="Arial" w:hAnsi="Arial"/>
          <w:sz w:val="18"/>
          <w:szCs w:val="18"/>
          <w:color w:val="auto"/>
        </w:rPr>
        <w:t>WHEREAS, up to 8,500,000 shares of Common Stock, par value $0.0001 per share, of Century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are currently reserved under the Company’s 2018 Stock Option and Grant Plan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71"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pursuant to a Written Consent of the Board dated as of June 21, 2019, approved and authorized this Amendment No. 2 to the Plan, pursuant to which the number of shares reserved under the Plan shall be increased as set forth herein.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Section 3(a) of the Plan is hereby amended and restated as follows:</w:t>
      </w:r>
    </w:p>
    <w:p>
      <w:pPr>
        <w:spacing w:after="0" w:line="223" w:lineRule="exact"/>
        <w:rPr>
          <w:sz w:val="20"/>
          <w:szCs w:val="20"/>
          <w:color w:val="auto"/>
        </w:rPr>
      </w:pPr>
    </w:p>
    <w:p>
      <w:pPr>
        <w:jc w:val="both"/>
        <w:ind w:left="1300" w:right="6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15,260,038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15,260,038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15,260,038 Shares shall be granted to any one individual in any calendar year period.”</w:t>
      </w:r>
    </w:p>
    <w:p>
      <w:pPr>
        <w:spacing w:after="0" w:line="185"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9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2" w:name="page403"/>
    <w:bookmarkEnd w:id="402"/>
    <w:p>
      <w:pPr>
        <w:ind w:left="10120"/>
        <w:spacing w:after="0"/>
        <w:rPr>
          <w:sz w:val="20"/>
          <w:szCs w:val="20"/>
          <w:color w:val="auto"/>
        </w:rPr>
      </w:pPr>
      <w:r>
        <w:rPr>
          <w:rFonts w:ascii="Arial" w:cs="Arial" w:eastAsia="Arial" w:hAnsi="Arial"/>
          <w:sz w:val="18"/>
          <w:szCs w:val="18"/>
          <w:b w:val="1"/>
          <w:bCs w:val="1"/>
          <w:color w:val="auto"/>
        </w:rPr>
        <w:t>EXHIBIT 10.5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OPTION AND GRANT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WHEREAS, up to 15,260,038 shares of Common Stock, par value $0.0001 per share, of Century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arc currently reserved under the Company’s 2018 Stock Option and Grant Plan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71" w:lineRule="exact"/>
        <w:rPr>
          <w:sz w:val="20"/>
          <w:szCs w:val="20"/>
          <w:color w:val="auto"/>
        </w:rPr>
      </w:pPr>
    </w:p>
    <w:p>
      <w:pPr>
        <w:ind w:right="20" w:firstLine="646"/>
        <w:spacing w:after="0" w:line="306"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pursuant at a meeting held on March 18, 2019, approved and authorized this Amendment No. 3 to the Plan, pursuant to which the number of shares reserved under the Plan shall be increased as set forth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Section 3(a) of the Plan is hereby amended and restated as follows:</w:t>
      </w:r>
    </w:p>
    <w:p>
      <w:pPr>
        <w:spacing w:after="0" w:line="223" w:lineRule="exact"/>
        <w:rPr>
          <w:sz w:val="20"/>
          <w:szCs w:val="20"/>
          <w:color w:val="auto"/>
        </w:rPr>
      </w:pPr>
    </w:p>
    <w:p>
      <w:pPr>
        <w:jc w:val="both"/>
        <w:ind w:left="1300" w:right="6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16,476,891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16,476,891 Shares may be issued pursuant to Incentive Stock Options. The Shares available for issuance under the Plan may be authorized but unissued Shares or Shares reacquired by the Company. Beginning on the date that the Company becomes subject to Section I62(m) of the Code, Options with respect to no more than 16,476,891 Shares shall be granted to any one individual in any calendar year period.”</w:t>
      </w:r>
    </w:p>
    <w:p>
      <w:pPr>
        <w:spacing w:after="0" w:line="185"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9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3" w:name="page404"/>
    <w:bookmarkEnd w:id="403"/>
    <w:p>
      <w:pPr>
        <w:ind w:left="10120"/>
        <w:spacing w:after="0"/>
        <w:rPr>
          <w:sz w:val="20"/>
          <w:szCs w:val="20"/>
          <w:color w:val="auto"/>
        </w:rPr>
      </w:pPr>
      <w:r>
        <w:rPr>
          <w:rFonts w:ascii="Arial" w:cs="Arial" w:eastAsia="Arial" w:hAnsi="Arial"/>
          <w:sz w:val="18"/>
          <w:szCs w:val="18"/>
          <w:b w:val="1"/>
          <w:bCs w:val="1"/>
          <w:color w:val="auto"/>
        </w:rPr>
        <w:t>EXHIBIT 10.6</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4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OPTION AND GRANT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27"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WHEREAS, up to 16,476,891 shares of Common Stock, par value $0.0001 per share, of Century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are currently reserved under the Company’s 2018 Stock Option and Grant Plan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71" w:lineRule="exact"/>
        <w:rPr>
          <w:sz w:val="20"/>
          <w:szCs w:val="20"/>
          <w:color w:val="auto"/>
        </w:rPr>
      </w:pPr>
    </w:p>
    <w:p>
      <w:pPr>
        <w:ind w:firstLine="646"/>
        <w:spacing w:after="0" w:line="306" w:lineRule="auto"/>
        <w:rPr>
          <w:sz w:val="20"/>
          <w:szCs w:val="20"/>
          <w:color w:val="auto"/>
        </w:rPr>
      </w:pPr>
      <w:r>
        <w:rPr>
          <w:rFonts w:ascii="Arial" w:cs="Arial" w:eastAsia="Arial" w:hAnsi="Arial"/>
          <w:sz w:val="17"/>
          <w:szCs w:val="17"/>
          <w:color w:val="auto"/>
        </w:rPr>
        <w:t>WHEREAS, the Board of Directors of the Company (the “Board”), pursuant at a meeting held on December 16, 2020, approved and authorized this Amendment No. 4 to the Plan, pursuant to which the number of shares reserved under the Plan shall be increased as set forth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Section 3(a) of the Plan is hereby amended and restated as follows:</w:t>
      </w:r>
    </w:p>
    <w:p>
      <w:pPr>
        <w:spacing w:after="0" w:line="223" w:lineRule="exact"/>
        <w:rPr>
          <w:sz w:val="20"/>
          <w:szCs w:val="20"/>
          <w:color w:val="auto"/>
        </w:rPr>
      </w:pPr>
    </w:p>
    <w:p>
      <w:pPr>
        <w:jc w:val="both"/>
        <w:ind w:left="1300" w:right="6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19,498,781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19,498,781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19,498,781 Shares shall be granted to any one individual in any calendar year period.”</w:t>
      </w:r>
    </w:p>
    <w:p>
      <w:pPr>
        <w:spacing w:after="0" w:line="185"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9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4" w:name="page405"/>
    <w:bookmarkEnd w:id="404"/>
    <w:p>
      <w:pPr>
        <w:ind w:left="10120"/>
        <w:spacing w:after="0"/>
        <w:rPr>
          <w:sz w:val="20"/>
          <w:szCs w:val="20"/>
          <w:color w:val="auto"/>
        </w:rPr>
      </w:pPr>
      <w:r>
        <w:rPr>
          <w:rFonts w:ascii="Arial" w:cs="Arial" w:eastAsia="Arial" w:hAnsi="Arial"/>
          <w:sz w:val="18"/>
          <w:szCs w:val="18"/>
          <w:b w:val="1"/>
          <w:bCs w:val="1"/>
          <w:color w:val="auto"/>
        </w:rPr>
        <w:t>EXHIBIT 10.7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5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OPTION AND GRANT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27"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WHEREAS, up to 19,498,781 shares of Common Stock, par value $0.0001 per share, of Century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are currently reserved under the Century Therapeutics, Inc. 2018 Stock Option and Grant Plan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71" w:lineRule="exact"/>
        <w:rPr>
          <w:sz w:val="20"/>
          <w:szCs w:val="20"/>
          <w:color w:val="auto"/>
        </w:rPr>
      </w:pPr>
    </w:p>
    <w:p>
      <w:pPr>
        <w:ind w:firstLine="646"/>
        <w:spacing w:after="0" w:line="340"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acting by unanimous written consent dated as of February 25, 2021, approved and authorized this Amendment No. 5 to the Plan, pursuant to which the number of shares reserved under the Plan shall be increased as set forth herein.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Section 3(a) of the Plan is hereby amended and restated as follows:</w:t>
      </w:r>
    </w:p>
    <w:p>
      <w:pPr>
        <w:spacing w:after="0" w:line="223"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reserved and available for issuance under the Plan shall be 23,498,781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23,498,781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23,498,781 Shares shall be granted to any one individual in any calendar year period.”</w:t>
      </w:r>
    </w:p>
    <w:p>
      <w:pPr>
        <w:spacing w:after="0" w:line="181" w:lineRule="exact"/>
        <w:rPr>
          <w:sz w:val="20"/>
          <w:szCs w:val="20"/>
          <w:color w:val="auto"/>
        </w:rPr>
      </w:pPr>
    </w:p>
    <w:p>
      <w:pPr>
        <w:ind w:firstLine="646"/>
        <w:spacing w:after="0" w:line="275" w:lineRule="auto"/>
        <w:rPr>
          <w:sz w:val="20"/>
          <w:szCs w:val="20"/>
          <w:color w:val="auto"/>
        </w:rPr>
      </w:pPr>
      <w:r>
        <w:rPr>
          <w:rFonts w:ascii="Arial" w:cs="Arial" w:eastAsia="Arial" w:hAnsi="Arial"/>
          <w:sz w:val="18"/>
          <w:szCs w:val="18"/>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9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10.10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TOCK</w:t>
      </w:r>
      <w:r>
        <w:rPr>
          <w:rFonts w:ascii="Arial" w:cs="Arial" w:eastAsia="Arial" w:hAnsi="Arial"/>
          <w:sz w:val="22"/>
          <w:szCs w:val="22"/>
          <w:b w:val="1"/>
          <w:bCs w:val="1"/>
          <w:color w:val="auto"/>
        </w:rPr>
        <w:t xml:space="preserve"> AWARD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UNDER THE </w:t>
      </w:r>
      <w:r>
        <w:rPr>
          <w:rFonts w:ascii="Arial" w:cs="Arial" w:eastAsia="Arial" w:hAnsi="Arial"/>
          <w:sz w:val="21"/>
          <w:szCs w:val="21"/>
          <w:b w:val="1"/>
          <w:bCs w:val="1"/>
          <w:color w:val="auto"/>
        </w:rPr>
        <w:t>CENTURY THERAPEUTICS,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S</w:t>
      </w:r>
      <w:r>
        <w:rPr>
          <w:rFonts w:ascii="Arial" w:cs="Arial" w:eastAsia="Arial" w:hAnsi="Arial"/>
          <w:sz w:val="17"/>
          <w:szCs w:val="17"/>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7"/>
          <w:szCs w:val="17"/>
          <w:b w:val="1"/>
          <w:bCs w:val="1"/>
          <w:color w:val="auto"/>
        </w:rPr>
        <w:t>PTION AND</w:t>
      </w:r>
      <w:r>
        <w:rPr>
          <w:rFonts w:ascii="Arial" w:cs="Arial" w:eastAsia="Arial" w:hAnsi="Arial"/>
          <w:sz w:val="22"/>
          <w:szCs w:val="22"/>
          <w:b w:val="1"/>
          <w:bCs w:val="1"/>
          <w:color w:val="auto"/>
        </w:rPr>
        <w:t xml:space="preserve"> G</w:t>
      </w:r>
      <w:r>
        <w:rPr>
          <w:rFonts w:ascii="Arial" w:cs="Arial" w:eastAsia="Arial" w:hAnsi="Arial"/>
          <w:sz w:val="17"/>
          <w:szCs w:val="17"/>
          <w:b w:val="1"/>
          <w:bCs w:val="1"/>
          <w:color w:val="auto"/>
        </w:rPr>
        <w:t>RANT</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LAN</w:t>
      </w:r>
    </w:p>
    <w:p>
      <w:pPr>
        <w:spacing w:after="0" w:line="194" w:lineRule="exact"/>
        <w:rPr>
          <w:sz w:val="20"/>
          <w:szCs w:val="20"/>
          <w:color w:val="auto"/>
        </w:rPr>
      </w:pPr>
    </w:p>
    <w:p>
      <w:pPr>
        <w:jc w:val="both"/>
        <w:ind w:right="100" w:firstLine="646"/>
        <w:spacing w:after="0" w:line="284" w:lineRule="auto"/>
        <w:rPr>
          <w:sz w:val="20"/>
          <w:szCs w:val="20"/>
          <w:color w:val="auto"/>
        </w:rPr>
      </w:pPr>
      <w:r>
        <w:rPr>
          <w:rFonts w:ascii="Arial" w:cs="Arial" w:eastAsia="Arial" w:hAnsi="Arial"/>
          <w:sz w:val="16"/>
          <w:szCs w:val="16"/>
          <w:color w:val="auto"/>
        </w:rPr>
        <w:t>Pursuant to the Century Therapeutics, Inc. 2018 Stock Option and Grant Plan (the “Plan”), Century Therapeutics, Inc.,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 ______ ] in full payment for the Shares.</w:t>
      </w:r>
    </w:p>
    <w:p>
      <w:pPr>
        <w:spacing w:after="0" w:line="2" w:lineRule="exact"/>
        <w:rPr>
          <w:sz w:val="20"/>
          <w:szCs w:val="20"/>
          <w:color w:val="auto"/>
        </w:rPr>
      </w:pPr>
    </w:p>
    <w:p>
      <w:pPr>
        <w:jc w:val="both"/>
        <w:ind w:right="100"/>
        <w:spacing w:after="0" w:line="280" w:lineRule="auto"/>
        <w:rPr>
          <w:sz w:val="20"/>
          <w:szCs w:val="20"/>
          <w:color w:val="auto"/>
        </w:rPr>
      </w:pPr>
      <w:r>
        <w:rPr>
          <w:rFonts w:ascii="Arial" w:cs="Arial" w:eastAsia="Arial" w:hAnsi="Arial"/>
          <w:sz w:val="16"/>
          <w:szCs w:val="16"/>
          <w:color w:val="auto"/>
        </w:rPr>
        <w:t>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at the date hereof.</w:t>
            </w:r>
          </w:p>
        </w:tc>
        <w:tc>
          <w:tcPr>
            <w:tcW w:w="8180" w:type="dxa"/>
            <w:vAlign w:val="bottom"/>
          </w:tcPr>
          <w:p>
            <w:pPr>
              <w:spacing w:after="0"/>
              <w:rPr>
                <w:sz w:val="19"/>
                <w:szCs w:val="19"/>
                <w:color w:val="auto"/>
              </w:rPr>
            </w:pPr>
          </w:p>
        </w:tc>
      </w:tr>
      <w:tr>
        <w:trPr>
          <w:trHeight w:val="429"/>
        </w:trPr>
        <w:tc>
          <w:tcPr>
            <w:tcW w:w="3060" w:type="dxa"/>
            <w:vAlign w:val="bottom"/>
          </w:tcPr>
          <w:p>
            <w:pPr>
              <w:spacing w:after="0"/>
              <w:rPr>
                <w:sz w:val="20"/>
                <w:szCs w:val="20"/>
                <w:color w:val="auto"/>
              </w:rPr>
            </w:pPr>
            <w:r>
              <w:rPr>
                <w:rFonts w:ascii="Arial" w:cs="Arial" w:eastAsia="Arial" w:hAnsi="Arial"/>
                <w:sz w:val="18"/>
                <w:szCs w:val="18"/>
                <w:color w:val="auto"/>
              </w:rPr>
              <w:t>Name of Grantee:</w:t>
            </w:r>
          </w:p>
        </w:tc>
        <w:tc>
          <w:tcPr>
            <w:tcW w:w="8180" w:type="dxa"/>
            <w:vAlign w:val="bottom"/>
          </w:tcPr>
          <w:p>
            <w:pPr>
              <w:ind w:left="860"/>
              <w:spacing w:after="0"/>
              <w:rPr>
                <w:sz w:val="20"/>
                <w:szCs w:val="20"/>
                <w:color w:val="auto"/>
              </w:rPr>
            </w:pPr>
            <w:r>
              <w:rPr>
                <w:rFonts w:ascii="Arial" w:cs="Arial" w:eastAsia="Arial" w:hAnsi="Arial"/>
                <w:sz w:val="18"/>
                <w:szCs w:val="18"/>
                <w:color w:val="auto"/>
              </w:rPr>
              <w:t>__________________(the “Grantee”)</w:t>
            </w:r>
          </w:p>
        </w:tc>
      </w:tr>
      <w:tr>
        <w:trPr>
          <w:trHeight w:val="430"/>
        </w:trPr>
        <w:tc>
          <w:tcPr>
            <w:tcW w:w="3060" w:type="dxa"/>
            <w:vAlign w:val="bottom"/>
          </w:tcPr>
          <w:p>
            <w:pPr>
              <w:spacing w:after="0"/>
              <w:rPr>
                <w:sz w:val="20"/>
                <w:szCs w:val="20"/>
                <w:color w:val="auto"/>
              </w:rPr>
            </w:pPr>
            <w:r>
              <w:rPr>
                <w:rFonts w:ascii="Arial" w:cs="Arial" w:eastAsia="Arial" w:hAnsi="Arial"/>
                <w:sz w:val="18"/>
                <w:szCs w:val="18"/>
                <w:color w:val="auto"/>
              </w:rPr>
              <w:t>No. of Shares:</w:t>
            </w:r>
          </w:p>
        </w:tc>
        <w:tc>
          <w:tcPr>
            <w:tcW w:w="8180" w:type="dxa"/>
            <w:vAlign w:val="bottom"/>
          </w:tcPr>
          <w:p>
            <w:pPr>
              <w:ind w:left="860"/>
              <w:spacing w:after="0"/>
              <w:rPr>
                <w:sz w:val="20"/>
                <w:szCs w:val="20"/>
                <w:color w:val="auto"/>
              </w:rPr>
            </w:pPr>
            <w:r>
              <w:rPr>
                <w:rFonts w:ascii="Arial" w:cs="Arial" w:eastAsia="Arial" w:hAnsi="Arial"/>
                <w:sz w:val="18"/>
                <w:szCs w:val="18"/>
                <w:color w:val="auto"/>
              </w:rPr>
              <w:t>____________ Shares of Common Stock (the “Shares”)</w:t>
            </w:r>
          </w:p>
        </w:tc>
      </w:tr>
      <w:tr>
        <w:trPr>
          <w:trHeight w:val="430"/>
        </w:trPr>
        <w:tc>
          <w:tcPr>
            <w:tcW w:w="3060" w:type="dxa"/>
            <w:vAlign w:val="bottom"/>
          </w:tcPr>
          <w:p>
            <w:pPr>
              <w:spacing w:after="0"/>
              <w:rPr>
                <w:sz w:val="20"/>
                <w:szCs w:val="20"/>
                <w:color w:val="auto"/>
              </w:rPr>
            </w:pPr>
            <w:r>
              <w:rPr>
                <w:rFonts w:ascii="Arial" w:cs="Arial" w:eastAsia="Arial" w:hAnsi="Arial"/>
                <w:sz w:val="18"/>
                <w:szCs w:val="18"/>
                <w:color w:val="auto"/>
              </w:rPr>
              <w:t>Grant Date:</w:t>
            </w:r>
          </w:p>
        </w:tc>
        <w:tc>
          <w:tcPr>
            <w:tcW w:w="8180" w:type="dxa"/>
            <w:vAlign w:val="bottom"/>
          </w:tcPr>
          <w:p>
            <w:pPr>
              <w:ind w:left="860"/>
              <w:spacing w:after="0"/>
              <w:rPr>
                <w:sz w:val="20"/>
                <w:szCs w:val="20"/>
                <w:color w:val="auto"/>
              </w:rPr>
            </w:pPr>
            <w:r>
              <w:rPr>
                <w:rFonts w:ascii="Arial" w:cs="Arial" w:eastAsia="Arial" w:hAnsi="Arial"/>
                <w:sz w:val="18"/>
                <w:szCs w:val="18"/>
                <w:color w:val="auto"/>
              </w:rPr>
              <w:t>___________ __, __</w:t>
            </w:r>
          </w:p>
        </w:tc>
      </w:tr>
      <w:tr>
        <w:trPr>
          <w:trHeight w:val="430"/>
        </w:trPr>
        <w:tc>
          <w:tcPr>
            <w:tcW w:w="3060" w:type="dxa"/>
            <w:vAlign w:val="bottom"/>
          </w:tcPr>
          <w:p>
            <w:pPr>
              <w:spacing w:after="0"/>
              <w:rPr>
                <w:sz w:val="20"/>
                <w:szCs w:val="20"/>
                <w:color w:val="auto"/>
              </w:rPr>
            </w:pPr>
            <w:r>
              <w:rPr>
                <w:rFonts w:ascii="Arial" w:cs="Arial" w:eastAsia="Arial" w:hAnsi="Arial"/>
                <w:sz w:val="18"/>
                <w:szCs w:val="18"/>
                <w:color w:val="auto"/>
              </w:rPr>
              <w:t>Date of Purchase of Shares:</w:t>
            </w:r>
          </w:p>
        </w:tc>
        <w:tc>
          <w:tcPr>
            <w:tcW w:w="8180" w:type="dxa"/>
            <w:vAlign w:val="bottom"/>
          </w:tcPr>
          <w:p>
            <w:pPr>
              <w:ind w:left="860"/>
              <w:spacing w:after="0"/>
              <w:rPr>
                <w:sz w:val="20"/>
                <w:szCs w:val="20"/>
                <w:color w:val="auto"/>
              </w:rPr>
            </w:pPr>
            <w:r>
              <w:rPr>
                <w:rFonts w:ascii="Arial" w:cs="Arial" w:eastAsia="Arial" w:hAnsi="Arial"/>
                <w:sz w:val="18"/>
                <w:szCs w:val="18"/>
                <w:color w:val="auto"/>
              </w:rPr>
              <w:t>___________ __, __</w:t>
            </w:r>
          </w:p>
        </w:tc>
      </w:tr>
      <w:tr>
        <w:trPr>
          <w:trHeight w:val="430"/>
        </w:trPr>
        <w:tc>
          <w:tcPr>
            <w:tcW w:w="306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8180" w:type="dxa"/>
            <w:vAlign w:val="bottom"/>
          </w:tcPr>
          <w:p>
            <w:pPr>
              <w:ind w:left="860"/>
              <w:spacing w:after="0"/>
              <w:rPr>
                <w:sz w:val="20"/>
                <w:szCs w:val="20"/>
                <w:color w:val="auto"/>
              </w:rPr>
            </w:pPr>
            <w:r>
              <w:rPr>
                <w:rFonts w:ascii="Arial" w:cs="Arial" w:eastAsia="Arial" w:hAnsi="Arial"/>
                <w:sz w:val="18"/>
                <w:szCs w:val="18"/>
                <w:color w:val="auto"/>
              </w:rPr>
              <w:t>___________ __, __ (the “Vesting Commencement Date”)</w:t>
            </w:r>
          </w:p>
        </w:tc>
      </w:tr>
      <w:tr>
        <w:trPr>
          <w:trHeight w:val="430"/>
        </w:trPr>
        <w:tc>
          <w:tcPr>
            <w:tcW w:w="3060" w:type="dxa"/>
            <w:vAlign w:val="bottom"/>
          </w:tcPr>
          <w:p>
            <w:pPr>
              <w:spacing w:after="0"/>
              <w:rPr>
                <w:sz w:val="20"/>
                <w:szCs w:val="20"/>
                <w:color w:val="auto"/>
              </w:rPr>
            </w:pPr>
            <w:r>
              <w:rPr>
                <w:rFonts w:ascii="Arial" w:cs="Arial" w:eastAsia="Arial" w:hAnsi="Arial"/>
                <w:sz w:val="18"/>
                <w:szCs w:val="18"/>
                <w:color w:val="auto"/>
              </w:rPr>
              <w:t>Per Share Purchase Price:</w:t>
            </w:r>
          </w:p>
        </w:tc>
        <w:tc>
          <w:tcPr>
            <w:tcW w:w="8180" w:type="dxa"/>
            <w:vAlign w:val="bottom"/>
          </w:tcPr>
          <w:p>
            <w:pPr>
              <w:ind w:left="860"/>
              <w:spacing w:after="0"/>
              <w:rPr>
                <w:sz w:val="20"/>
                <w:szCs w:val="20"/>
                <w:color w:val="auto"/>
              </w:rPr>
            </w:pPr>
            <w:r>
              <w:rPr>
                <w:rFonts w:ascii="Arial" w:cs="Arial" w:eastAsia="Arial" w:hAnsi="Arial"/>
                <w:sz w:val="18"/>
                <w:szCs w:val="18"/>
                <w:color w:val="auto"/>
              </w:rPr>
              <w:t>$_______(the “Per Share Purchase Price”)</w:t>
            </w:r>
          </w:p>
        </w:tc>
      </w:tr>
      <w:tr>
        <w:trPr>
          <w:trHeight w:val="470"/>
        </w:trPr>
        <w:tc>
          <w:tcPr>
            <w:tcW w:w="3060" w:type="dxa"/>
            <w:vAlign w:val="bottom"/>
          </w:tcPr>
          <w:p>
            <w:pPr>
              <w:spacing w:after="0"/>
              <w:rPr>
                <w:sz w:val="20"/>
                <w:szCs w:val="20"/>
                <w:color w:val="auto"/>
              </w:rPr>
            </w:pPr>
            <w:r>
              <w:rPr>
                <w:rFonts w:ascii="Arial" w:cs="Arial" w:eastAsia="Arial" w:hAnsi="Arial"/>
                <w:sz w:val="18"/>
                <w:szCs w:val="18"/>
                <w:color w:val="auto"/>
              </w:rPr>
              <w:t>1.</w:t>
            </w:r>
          </w:p>
        </w:tc>
        <w:tc>
          <w:tcPr>
            <w:tcW w:w="8180" w:type="dxa"/>
            <w:vAlign w:val="bottom"/>
          </w:tcPr>
          <w:p>
            <w:pPr>
              <w:ind w:left="860"/>
              <w:spacing w:after="0"/>
              <w:rPr>
                <w:sz w:val="20"/>
                <w:szCs w:val="20"/>
                <w:color w:val="auto"/>
              </w:rPr>
            </w:pPr>
            <w:r>
              <w:rPr>
                <w:rFonts w:ascii="Arial" w:cs="Arial" w:eastAsia="Arial" w:hAnsi="Arial"/>
                <w:sz w:val="18"/>
                <w:szCs w:val="18"/>
                <w:color w:val="auto"/>
              </w:rPr>
              <w:t>Vesting Schedule: 25 percent of the Shares shall vest on the first anniversary of the Vesting</w:t>
            </w:r>
          </w:p>
        </w:tc>
      </w:tr>
      <w:tr>
        <w:trPr>
          <w:trHeight w:val="215"/>
        </w:trPr>
        <w:tc>
          <w:tcPr>
            <w:tcW w:w="306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w w:val="92"/>
              </w:rPr>
              <w:t>Commencement Date; provided that the Grantee continues to have a Service Relationship with the</w:t>
            </w:r>
          </w:p>
        </w:tc>
      </w:tr>
      <w:tr>
        <w:trPr>
          <w:trHeight w:val="215"/>
        </w:trPr>
        <w:tc>
          <w:tcPr>
            <w:tcW w:w="306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w w:val="95"/>
              </w:rPr>
              <w:t>Company at such time. Thereafter, the remaining 75 percent of the Shares shall vest in 36 equal</w:t>
            </w:r>
          </w:p>
        </w:tc>
      </w:tr>
      <w:tr>
        <w:trPr>
          <w:trHeight w:val="215"/>
        </w:trPr>
        <w:tc>
          <w:tcPr>
            <w:tcW w:w="306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w w:val="94"/>
              </w:rPr>
              <w:t>monthly installments following the first anniversary of the Vesting Commencement Date, provided</w:t>
            </w:r>
          </w:p>
        </w:tc>
      </w:tr>
      <w:tr>
        <w:trPr>
          <w:trHeight w:val="215"/>
        </w:trPr>
        <w:tc>
          <w:tcPr>
            <w:tcW w:w="306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w w:val="97"/>
              </w:rPr>
              <w:t>the  Grantee  continues  to  have  a  Service  Relationship  with  the  Company  at  such  time.</w:t>
            </w:r>
          </w:p>
        </w:tc>
      </w:tr>
      <w:tr>
        <w:trPr>
          <w:trHeight w:val="230"/>
        </w:trPr>
        <w:tc>
          <w:tcPr>
            <w:tcW w:w="306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Notwithstanding anything in the Agreement to the contrary in the case of a Sale</w:t>
            </w:r>
          </w:p>
        </w:tc>
      </w:tr>
      <w:tr>
        <w:trPr>
          <w:trHeight w:val="430"/>
        </w:trPr>
        <w:tc>
          <w:tcPr>
            <w:tcW w:w="30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06" w:name="page407"/>
    <w:bookmarkEnd w:id="406"/>
    <w:p>
      <w:pPr>
        <w:ind w:left="2800"/>
        <w:spacing w:after="0"/>
        <w:rPr>
          <w:sz w:val="20"/>
          <w:szCs w:val="20"/>
          <w:color w:val="auto"/>
        </w:rPr>
      </w:pPr>
      <w:r>
        <w:rPr>
          <w:rFonts w:ascii="Arial" w:cs="Arial" w:eastAsia="Arial" w:hAnsi="Arial"/>
          <w:sz w:val="16"/>
          <w:szCs w:val="16"/>
          <w:color w:val="auto"/>
        </w:rPr>
        <w:t>Event, the Shares of Restricted Stock shall be treated as provided in Section 3(c) of the Plan.</w:t>
      </w:r>
    </w:p>
    <w:p>
      <w:pPr>
        <w:sectPr>
          <w:pgSz w:w="11900" w:h="16838" w:orient="portrait"/>
          <w:cols w:equalWidth="0" w:num="1">
            <w:col w:w="9440"/>
          </w:cols>
          <w:pgMar w:left="1440" w:top="905" w:right="1019" w:bottom="1440" w:gutter="0" w:footer="0" w:header="0"/>
        </w:sectPr>
      </w:pP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50800</wp:posOffset>
            </wp:positionV>
            <wp:extent cx="71329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40"/>
          </w:cols>
          <w:pgMar w:left="1440" w:top="905" w:right="1019" w:bottom="1440" w:gutter="0" w:footer="0" w:header="0"/>
          <w:type w:val="continuous"/>
        </w:sectPr>
      </w:pPr>
    </w:p>
    <w:bookmarkStart w:id="407" w:name="page408"/>
    <w:bookmarkEnd w:id="407"/>
    <w:p>
      <w:pPr>
        <w:jc w:val="center"/>
        <w:ind w:right="-39"/>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GREEMENT</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UNDER THE </w:t>
      </w:r>
      <w:r>
        <w:rPr>
          <w:rFonts w:ascii="Arial" w:cs="Arial" w:eastAsia="Arial" w:hAnsi="Arial"/>
          <w:sz w:val="21"/>
          <w:szCs w:val="21"/>
          <w:b w:val="1"/>
          <w:bCs w:val="1"/>
          <w:color w:val="auto"/>
        </w:rPr>
        <w:t>CENTURY THERAPEUTICS,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2018 S</w:t>
      </w:r>
      <w:r>
        <w:rPr>
          <w:rFonts w:ascii="Arial" w:cs="Arial" w:eastAsia="Arial" w:hAnsi="Arial"/>
          <w:sz w:val="17"/>
          <w:szCs w:val="17"/>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7"/>
          <w:szCs w:val="17"/>
          <w:b w:val="1"/>
          <w:bCs w:val="1"/>
          <w:color w:val="auto"/>
        </w:rPr>
        <w:t>PTION AND</w:t>
      </w:r>
      <w:r>
        <w:rPr>
          <w:rFonts w:ascii="Arial" w:cs="Arial" w:eastAsia="Arial" w:hAnsi="Arial"/>
          <w:sz w:val="22"/>
          <w:szCs w:val="22"/>
          <w:b w:val="1"/>
          <w:bCs w:val="1"/>
          <w:color w:val="auto"/>
        </w:rPr>
        <w:t xml:space="preserve"> G</w:t>
      </w:r>
      <w:r>
        <w:rPr>
          <w:rFonts w:ascii="Arial" w:cs="Arial" w:eastAsia="Arial" w:hAnsi="Arial"/>
          <w:sz w:val="17"/>
          <w:szCs w:val="17"/>
          <w:b w:val="1"/>
          <w:bCs w:val="1"/>
          <w:color w:val="auto"/>
        </w:rPr>
        <w:t>RANT</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LAN</w:t>
      </w:r>
    </w:p>
    <w:p>
      <w:pPr>
        <w:spacing w:after="0" w:line="34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All capitalized terms used herein and not otherwise defined shall have the respective meanings set forth in the Award Notice and the Plan.</w:t>
      </w:r>
    </w:p>
    <w:p>
      <w:pPr>
        <w:spacing w:after="0" w:line="235" w:lineRule="exact"/>
        <w:rPr>
          <w:sz w:val="20"/>
          <w:szCs w:val="20"/>
          <w:color w:val="auto"/>
        </w:rPr>
      </w:pPr>
    </w:p>
    <w:p>
      <w:pPr>
        <w:ind w:left="1220" w:hanging="647"/>
        <w:spacing w:after="0"/>
        <w:tabs>
          <w:tab w:leader="none" w:pos="122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Purchase and Sale of Shares; Vesting; Investment Representations</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ind w:left="-80" w:firstLine="1299"/>
        <w:spacing w:after="0" w:line="275" w:lineRule="auto"/>
        <w:tabs>
          <w:tab w:leader="none" w:pos="1563"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The Company hereby sells to the Grantee, and the Grantee hereby purchases from the Company, the number of Shares set forth in the Award Notice for the Per Share Purchase Price.</w:t>
      </w:r>
    </w:p>
    <w:p>
      <w:pPr>
        <w:spacing w:after="0" w:line="171" w:lineRule="exact"/>
        <w:rPr>
          <w:rFonts w:ascii="Arial" w:cs="Arial" w:eastAsia="Arial" w:hAnsi="Arial"/>
          <w:sz w:val="18"/>
          <w:szCs w:val="18"/>
          <w:color w:val="auto"/>
        </w:rPr>
      </w:pPr>
    </w:p>
    <w:p>
      <w:pPr>
        <w:ind w:left="-80" w:firstLine="1299"/>
        <w:spacing w:after="0" w:line="340" w:lineRule="auto"/>
        <w:tabs>
          <w:tab w:leader="none" w:pos="1586"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124" w:lineRule="exact"/>
        <w:rPr>
          <w:rFonts w:ascii="Arial" w:cs="Arial" w:eastAsia="Arial" w:hAnsi="Arial"/>
          <w:sz w:val="16"/>
          <w:szCs w:val="16"/>
          <w:color w:val="auto"/>
        </w:rPr>
      </w:pPr>
    </w:p>
    <w:p>
      <w:pPr>
        <w:ind w:left="-80" w:firstLine="1299"/>
        <w:spacing w:after="0" w:line="275" w:lineRule="auto"/>
        <w:tabs>
          <w:tab w:leader="none" w:pos="1590"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In connection with the purchase and sale of the Shares contemplated by Section 1(a) above, the Grantee hereby represents and warrants to the Company as follows:</w:t>
      </w:r>
    </w:p>
    <w:p>
      <w:pPr>
        <w:spacing w:after="0" w:line="171" w:lineRule="exact"/>
        <w:rPr>
          <w:rFonts w:ascii="Arial" w:cs="Arial" w:eastAsia="Arial" w:hAnsi="Arial"/>
          <w:sz w:val="18"/>
          <w:szCs w:val="18"/>
          <w:color w:val="auto"/>
        </w:rPr>
      </w:pPr>
    </w:p>
    <w:p>
      <w:pPr>
        <w:ind w:left="580" w:firstLine="1026"/>
        <w:spacing w:after="0" w:line="275" w:lineRule="auto"/>
        <w:tabs>
          <w:tab w:leader="none" w:pos="1935"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Grantee is purchasing the Shares for the Grantee’s own account for investment only, and not for resale or with a view to the distribution thereof.</w:t>
      </w:r>
    </w:p>
    <w:p>
      <w:pPr>
        <w:spacing w:after="0" w:line="171" w:lineRule="exact"/>
        <w:rPr>
          <w:rFonts w:ascii="Arial" w:cs="Arial" w:eastAsia="Arial" w:hAnsi="Arial"/>
          <w:sz w:val="18"/>
          <w:szCs w:val="18"/>
          <w:color w:val="auto"/>
        </w:rPr>
      </w:pPr>
    </w:p>
    <w:p>
      <w:pPr>
        <w:jc w:val="both"/>
        <w:ind w:left="580" w:firstLine="1026"/>
        <w:spacing w:after="0" w:line="262" w:lineRule="auto"/>
        <w:tabs>
          <w:tab w:leader="none" w:pos="1984"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183" w:lineRule="exact"/>
        <w:rPr>
          <w:rFonts w:ascii="Arial" w:cs="Arial" w:eastAsia="Arial" w:hAnsi="Arial"/>
          <w:sz w:val="18"/>
          <w:szCs w:val="18"/>
          <w:color w:val="auto"/>
        </w:rPr>
      </w:pPr>
    </w:p>
    <w:p>
      <w:pPr>
        <w:ind w:left="580" w:firstLine="1026"/>
        <w:spacing w:after="0" w:line="275" w:lineRule="auto"/>
        <w:tabs>
          <w:tab w:leader="none" w:pos="2034"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171" w:lineRule="exact"/>
        <w:rPr>
          <w:rFonts w:ascii="Arial" w:cs="Arial" w:eastAsia="Arial" w:hAnsi="Arial"/>
          <w:sz w:val="18"/>
          <w:szCs w:val="18"/>
          <w:color w:val="auto"/>
        </w:rPr>
      </w:pPr>
    </w:p>
    <w:p>
      <w:pPr>
        <w:ind w:left="580" w:firstLine="1026"/>
        <w:spacing w:after="0" w:line="275" w:lineRule="auto"/>
        <w:tabs>
          <w:tab w:leader="none" w:pos="2038"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Grantee can afford a complete loss of the value of the Shares and is able to bear the economic risk of holding such Shares for an indefinite period.</w:t>
      </w:r>
    </w:p>
    <w:p>
      <w:pPr>
        <w:spacing w:after="0" w:line="171" w:lineRule="exact"/>
        <w:rPr>
          <w:rFonts w:ascii="Arial" w:cs="Arial" w:eastAsia="Arial" w:hAnsi="Arial"/>
          <w:sz w:val="18"/>
          <w:szCs w:val="18"/>
          <w:color w:val="auto"/>
        </w:rPr>
      </w:pPr>
    </w:p>
    <w:p>
      <w:pPr>
        <w:jc w:val="both"/>
        <w:ind w:left="580" w:firstLine="1026"/>
        <w:spacing w:after="0" w:line="256" w:lineRule="auto"/>
        <w:tabs>
          <w:tab w:leader="none" w:pos="1974"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22860</wp:posOffset>
            </wp:positionV>
            <wp:extent cx="71329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040"/>
          </w:cols>
          <w:pgMar w:left="400" w:top="825" w:right="459" w:bottom="1440" w:gutter="0" w:footer="0" w:header="0"/>
        </w:sectPr>
      </w:pPr>
    </w:p>
    <w:bookmarkStart w:id="408" w:name="page409"/>
    <w:bookmarkEnd w:id="408"/>
    <w:p>
      <w:pPr>
        <w:ind w:left="580"/>
        <w:spacing w:after="0"/>
        <w:rPr>
          <w:sz w:val="20"/>
          <w:szCs w:val="20"/>
          <w:color w:val="auto"/>
        </w:rPr>
      </w:pPr>
      <w:r>
        <w:rPr>
          <w:rFonts w:ascii="Arial" w:cs="Arial" w:eastAsia="Arial" w:hAnsi="Arial"/>
          <w:sz w:val="18"/>
          <w:szCs w:val="18"/>
          <w:color w:val="auto"/>
        </w:rPr>
        <w:t>restrictive legends reflecting the foregoing and/or that book entries for uncertificated Shares will include similar restrictive notations.</w:t>
      </w:r>
    </w:p>
    <w:p>
      <w:pPr>
        <w:spacing w:after="0" w:line="223" w:lineRule="exact"/>
        <w:rPr>
          <w:sz w:val="20"/>
          <w:szCs w:val="20"/>
          <w:color w:val="auto"/>
        </w:rPr>
      </w:pPr>
    </w:p>
    <w:p>
      <w:pPr>
        <w:ind w:left="580" w:right="20" w:firstLine="1026"/>
        <w:spacing w:after="0" w:line="275" w:lineRule="auto"/>
        <w:tabs>
          <w:tab w:leader="none" w:pos="2024" w:val="left"/>
        </w:tabs>
        <w:numPr>
          <w:ilvl w:val="2"/>
          <w:numId w:val="292"/>
        </w:numPr>
        <w:rPr>
          <w:rFonts w:ascii="Arial" w:cs="Arial" w:eastAsia="Arial" w:hAnsi="Arial"/>
          <w:sz w:val="18"/>
          <w:szCs w:val="18"/>
          <w:color w:val="auto"/>
        </w:rPr>
      </w:pPr>
      <w:r>
        <w:rPr>
          <w:rFonts w:ascii="Arial" w:cs="Arial" w:eastAsia="Arial" w:hAnsi="Arial"/>
          <w:sz w:val="18"/>
          <w:szCs w:val="18"/>
          <w:color w:val="auto"/>
        </w:rPr>
        <w:t>The Grantee has read and understands the Plan and acknowledges and agrees that the Shares are subject to all of the relevant terms of the Plan, including without limitation, the transfer restrictions set forth in Section 9 of the Plan.</w:t>
      </w:r>
    </w:p>
    <w:p>
      <w:pPr>
        <w:spacing w:after="0" w:line="184" w:lineRule="exact"/>
        <w:rPr>
          <w:rFonts w:ascii="Arial" w:cs="Arial" w:eastAsia="Arial" w:hAnsi="Arial"/>
          <w:sz w:val="18"/>
          <w:szCs w:val="18"/>
          <w:color w:val="auto"/>
        </w:rPr>
      </w:pPr>
    </w:p>
    <w:p>
      <w:pPr>
        <w:ind w:left="580" w:right="20" w:firstLine="1026"/>
        <w:spacing w:after="0" w:line="275" w:lineRule="auto"/>
        <w:tabs>
          <w:tab w:leader="none" w:pos="2052" w:val="left"/>
        </w:tabs>
        <w:numPr>
          <w:ilvl w:val="2"/>
          <w:numId w:val="292"/>
        </w:numPr>
        <w:rPr>
          <w:rFonts w:ascii="Arial" w:cs="Arial" w:eastAsia="Arial" w:hAnsi="Arial"/>
          <w:sz w:val="18"/>
          <w:szCs w:val="18"/>
          <w:color w:val="auto"/>
        </w:rPr>
      </w:pPr>
      <w:r>
        <w:rPr>
          <w:rFonts w:ascii="Arial" w:cs="Arial" w:eastAsia="Arial" w:hAnsi="Arial"/>
          <w:sz w:val="18"/>
          <w:szCs w:val="18"/>
          <w:color w:val="auto"/>
        </w:rPr>
        <w:t>The Grantee understands and agrees that the Company has a right of first refusal with respect to the Shares pursuant to Section 9(b) of the Plan.</w:t>
      </w:r>
    </w:p>
    <w:p>
      <w:pPr>
        <w:spacing w:after="0" w:line="171" w:lineRule="exact"/>
        <w:rPr>
          <w:rFonts w:ascii="Arial" w:cs="Arial" w:eastAsia="Arial" w:hAnsi="Arial"/>
          <w:sz w:val="18"/>
          <w:szCs w:val="18"/>
          <w:color w:val="auto"/>
        </w:rPr>
      </w:pPr>
    </w:p>
    <w:p>
      <w:pPr>
        <w:ind w:left="580" w:right="20" w:firstLine="1026"/>
        <w:spacing w:after="0" w:line="275" w:lineRule="auto"/>
        <w:tabs>
          <w:tab w:leader="none" w:pos="2101" w:val="left"/>
        </w:tabs>
        <w:numPr>
          <w:ilvl w:val="2"/>
          <w:numId w:val="292"/>
        </w:numPr>
        <w:rPr>
          <w:rFonts w:ascii="Arial" w:cs="Arial" w:eastAsia="Arial" w:hAnsi="Arial"/>
          <w:sz w:val="18"/>
          <w:szCs w:val="18"/>
          <w:color w:val="auto"/>
        </w:rPr>
      </w:pPr>
      <w:r>
        <w:rPr>
          <w:rFonts w:ascii="Arial" w:cs="Arial" w:eastAsia="Arial" w:hAnsi="Arial"/>
          <w:sz w:val="18"/>
          <w:szCs w:val="18"/>
          <w:color w:val="auto"/>
        </w:rPr>
        <w:t>The Grantee understands and agree that the Company has certain repurchase rights with respect to the Shares pursuant to Section 9(c) of the Plan.</w:t>
      </w:r>
    </w:p>
    <w:p>
      <w:pPr>
        <w:spacing w:after="0" w:line="171" w:lineRule="exact"/>
        <w:rPr>
          <w:rFonts w:ascii="Arial" w:cs="Arial" w:eastAsia="Arial" w:hAnsi="Arial"/>
          <w:sz w:val="18"/>
          <w:szCs w:val="18"/>
          <w:color w:val="auto"/>
        </w:rPr>
      </w:pPr>
    </w:p>
    <w:p>
      <w:pPr>
        <w:ind w:left="580" w:right="20" w:firstLine="1026"/>
        <w:spacing w:after="0" w:line="275" w:lineRule="auto"/>
        <w:tabs>
          <w:tab w:leader="none" w:pos="2024" w:val="left"/>
        </w:tabs>
        <w:numPr>
          <w:ilvl w:val="2"/>
          <w:numId w:val="292"/>
        </w:numPr>
        <w:rPr>
          <w:rFonts w:ascii="Arial" w:cs="Arial" w:eastAsia="Arial" w:hAnsi="Arial"/>
          <w:sz w:val="18"/>
          <w:szCs w:val="18"/>
          <w:color w:val="auto"/>
        </w:rPr>
      </w:pPr>
      <w:r>
        <w:rPr>
          <w:rFonts w:ascii="Arial" w:cs="Arial" w:eastAsia="Arial" w:hAnsi="Arial"/>
          <w:sz w:val="18"/>
          <w:szCs w:val="18"/>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171" w:lineRule="exact"/>
        <w:rPr>
          <w:rFonts w:ascii="Arial" w:cs="Arial" w:eastAsia="Arial" w:hAnsi="Arial"/>
          <w:sz w:val="18"/>
          <w:szCs w:val="18"/>
          <w:color w:val="auto"/>
        </w:rPr>
      </w:pPr>
    </w:p>
    <w:p>
      <w:pPr>
        <w:ind w:left="-80" w:right="20" w:firstLine="653"/>
        <w:spacing w:after="0" w:line="275" w:lineRule="auto"/>
        <w:tabs>
          <w:tab w:leader="none" w:pos="1166"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Repurchase Right</w:t>
      </w:r>
      <w:r>
        <w:rPr>
          <w:rFonts w:ascii="Arial" w:cs="Arial" w:eastAsia="Arial" w:hAnsi="Arial"/>
          <w:sz w:val="18"/>
          <w:szCs w:val="18"/>
          <w:color w:val="auto"/>
        </w:rPr>
        <w:t>. Upon a Termination Event, the Company shall have the right to repurchase Shares of Restricted Stock that are unvested as of the date of such Termination Event as set forth in Section 9(c) of the Plan.</w:t>
      </w:r>
    </w:p>
    <w:p>
      <w:pPr>
        <w:spacing w:after="0" w:line="171" w:lineRule="exact"/>
        <w:rPr>
          <w:rFonts w:ascii="Arial" w:cs="Arial" w:eastAsia="Arial" w:hAnsi="Arial"/>
          <w:sz w:val="18"/>
          <w:szCs w:val="18"/>
          <w:color w:val="auto"/>
        </w:rPr>
      </w:pPr>
    </w:p>
    <w:p>
      <w:pPr>
        <w:ind w:left="-80" w:right="20" w:firstLine="653"/>
        <w:spacing w:after="0" w:line="275" w:lineRule="auto"/>
        <w:tabs>
          <w:tab w:leader="none" w:pos="113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(whether or not vested) shall be subject to certain transfer restrictions and other limitations including, without limitation, the provisions contained in Section 9 of the Plan.</w:t>
      </w:r>
    </w:p>
    <w:p>
      <w:pPr>
        <w:spacing w:after="0" w:line="171" w:lineRule="exact"/>
        <w:rPr>
          <w:rFonts w:ascii="Arial" w:cs="Arial" w:eastAsia="Arial" w:hAnsi="Arial"/>
          <w:sz w:val="18"/>
          <w:szCs w:val="18"/>
          <w:color w:val="auto"/>
        </w:rPr>
      </w:pPr>
    </w:p>
    <w:p>
      <w:pPr>
        <w:ind w:left="-80" w:firstLine="653"/>
        <w:spacing w:after="0" w:line="275" w:lineRule="auto"/>
        <w:tabs>
          <w:tab w:leader="none" w:pos="113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Restricted Stock Award shall be subject to and governed by all the terms and conditions of the Plan.</w:t>
      </w:r>
    </w:p>
    <w:p>
      <w:pPr>
        <w:spacing w:after="0" w:line="252" w:lineRule="exact"/>
        <w:rPr>
          <w:rFonts w:ascii="Arial" w:cs="Arial" w:eastAsia="Arial" w:hAnsi="Arial"/>
          <w:sz w:val="18"/>
          <w:szCs w:val="18"/>
          <w:color w:val="auto"/>
        </w:rPr>
      </w:pPr>
    </w:p>
    <w:p>
      <w:pPr>
        <w:ind w:left="1160" w:hanging="587"/>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80" w:right="20" w:firstLine="1299"/>
        <w:spacing w:after="0" w:line="258" w:lineRule="auto"/>
        <w:tabs>
          <w:tab w:leader="none" w:pos="1563"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Record Owner; Dividends</w:t>
      </w:r>
      <w:r>
        <w:rPr>
          <w:rFonts w:ascii="Arial" w:cs="Arial" w:eastAsia="Arial" w:hAnsi="Arial"/>
          <w:sz w:val="18"/>
          <w:szCs w:val="18"/>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is under no duty to declare any such dividends or to make any such distribution.</w:t>
      </w:r>
    </w:p>
    <w:p>
      <w:pPr>
        <w:spacing w:after="0" w:line="186" w:lineRule="exact"/>
        <w:rPr>
          <w:rFonts w:ascii="Arial" w:cs="Arial" w:eastAsia="Arial" w:hAnsi="Arial"/>
          <w:sz w:val="18"/>
          <w:szCs w:val="18"/>
          <w:color w:val="auto"/>
        </w:rPr>
      </w:pPr>
    </w:p>
    <w:p>
      <w:pPr>
        <w:jc w:val="both"/>
        <w:ind w:left="-80" w:firstLine="1299"/>
        <w:spacing w:after="0" w:line="258" w:lineRule="auto"/>
        <w:tabs>
          <w:tab w:leader="none" w:pos="1573"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w:t>
      </w:r>
    </w:p>
    <w:p>
      <w:pPr>
        <w:spacing w:after="0" w:line="199" w:lineRule="exact"/>
        <w:rPr>
          <w:rFonts w:ascii="Arial" w:cs="Arial" w:eastAsia="Arial" w:hAnsi="Arial"/>
          <w:sz w:val="18"/>
          <w:szCs w:val="18"/>
          <w:color w:val="auto"/>
        </w:rPr>
      </w:pPr>
    </w:p>
    <w:p>
      <w:pPr>
        <w:ind w:left="-80" w:right="20" w:firstLine="1299"/>
        <w:spacing w:after="0" w:line="275" w:lineRule="auto"/>
        <w:tabs>
          <w:tab w:leader="none" w:pos="1576"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The parties hereto agree and declare that legal remedies may be inadequate to enforce the provisions of this Agreement and that equitable relief,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9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060"/>
          </w:cols>
          <w:pgMar w:left="400" w:top="811" w:right="43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color w:val="auto"/>
        </w:rPr>
        <w:t>including specific performance and injunctive relief, may be used to enforce the provisions of this Agreement.</w:t>
      </w:r>
    </w:p>
    <w:p>
      <w:pPr>
        <w:spacing w:after="0" w:line="223" w:lineRule="exact"/>
        <w:rPr>
          <w:sz w:val="20"/>
          <w:szCs w:val="20"/>
          <w:color w:val="auto"/>
        </w:rPr>
      </w:pPr>
    </w:p>
    <w:p>
      <w:pPr>
        <w:ind w:firstLine="1299"/>
        <w:spacing w:after="0" w:line="340" w:lineRule="auto"/>
        <w:tabs>
          <w:tab w:leader="none" w:pos="1653" w:val="left"/>
        </w:tabs>
        <w:numPr>
          <w:ilvl w:val="1"/>
          <w:numId w:val="294"/>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37" w:lineRule="exact"/>
        <w:rPr>
          <w:rFonts w:ascii="Arial" w:cs="Arial" w:eastAsia="Arial" w:hAnsi="Arial"/>
          <w:sz w:val="16"/>
          <w:szCs w:val="16"/>
          <w:color w:val="auto"/>
        </w:rPr>
      </w:pPr>
    </w:p>
    <w:p>
      <w:pPr>
        <w:jc w:val="both"/>
        <w:ind w:right="20" w:firstLine="1299"/>
        <w:spacing w:after="0" w:line="310" w:lineRule="auto"/>
        <w:tabs>
          <w:tab w:leader="none" w:pos="1643" w:val="left"/>
        </w:tabs>
        <w:numPr>
          <w:ilvl w:val="1"/>
          <w:numId w:val="29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New York, without regard to conflict of law principles that would result in the application of any law other than the law of the State of New York.</w:t>
      </w:r>
    </w:p>
    <w:p>
      <w:pPr>
        <w:spacing w:after="0" w:line="148" w:lineRule="exact"/>
        <w:rPr>
          <w:rFonts w:ascii="Arial" w:cs="Arial" w:eastAsia="Arial" w:hAnsi="Arial"/>
          <w:sz w:val="16"/>
          <w:szCs w:val="16"/>
          <w:color w:val="auto"/>
        </w:rPr>
      </w:pPr>
    </w:p>
    <w:p>
      <w:pPr>
        <w:ind w:right="20" w:firstLine="1299"/>
        <w:spacing w:after="0" w:line="275" w:lineRule="auto"/>
        <w:tabs>
          <w:tab w:leader="none" w:pos="1623"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71" w:lineRule="exact"/>
        <w:rPr>
          <w:rFonts w:ascii="Arial" w:cs="Arial" w:eastAsia="Arial" w:hAnsi="Arial"/>
          <w:sz w:val="18"/>
          <w:szCs w:val="18"/>
          <w:color w:val="auto"/>
        </w:rPr>
      </w:pPr>
    </w:p>
    <w:p>
      <w:pPr>
        <w:ind w:right="20" w:firstLine="1299"/>
        <w:spacing w:after="0" w:line="275" w:lineRule="auto"/>
        <w:tabs>
          <w:tab w:leader="none" w:pos="1653"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71" w:lineRule="exact"/>
        <w:rPr>
          <w:rFonts w:ascii="Arial" w:cs="Arial" w:eastAsia="Arial" w:hAnsi="Arial"/>
          <w:sz w:val="18"/>
          <w:szCs w:val="18"/>
          <w:color w:val="auto"/>
        </w:rPr>
      </w:pPr>
    </w:p>
    <w:p>
      <w:pPr>
        <w:jc w:val="both"/>
        <w:ind w:firstLine="1299"/>
        <w:spacing w:after="0" w:line="258" w:lineRule="auto"/>
        <w:tabs>
          <w:tab w:leader="none" w:pos="1680"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266" w:lineRule="exact"/>
        <w:rPr>
          <w:rFonts w:ascii="Arial" w:cs="Arial" w:eastAsia="Arial" w:hAnsi="Arial"/>
          <w:sz w:val="18"/>
          <w:szCs w:val="18"/>
          <w:color w:val="auto"/>
        </w:rPr>
      </w:pPr>
    </w:p>
    <w:p>
      <w:pPr>
        <w:jc w:val="both"/>
        <w:ind w:firstLine="1299"/>
        <w:spacing w:after="0" w:line="262" w:lineRule="auto"/>
        <w:tabs>
          <w:tab w:leader="none" w:pos="1640"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83" w:lineRule="exact"/>
        <w:rPr>
          <w:rFonts w:ascii="Arial" w:cs="Arial" w:eastAsia="Arial" w:hAnsi="Arial"/>
          <w:sz w:val="18"/>
          <w:szCs w:val="18"/>
          <w:color w:val="auto"/>
        </w:rPr>
      </w:pPr>
    </w:p>
    <w:p>
      <w:pPr>
        <w:ind w:right="20" w:firstLine="1299"/>
        <w:spacing w:after="0" w:line="275" w:lineRule="auto"/>
        <w:tabs>
          <w:tab w:leader="none" w:pos="1640"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71" w:lineRule="exact"/>
        <w:rPr>
          <w:rFonts w:ascii="Arial" w:cs="Arial" w:eastAsia="Arial" w:hAnsi="Arial"/>
          <w:sz w:val="18"/>
          <w:szCs w:val="18"/>
          <w:color w:val="auto"/>
        </w:rPr>
      </w:pPr>
    </w:p>
    <w:p>
      <w:pPr>
        <w:ind w:right="20" w:firstLine="1299"/>
        <w:spacing w:after="0" w:line="275" w:lineRule="auto"/>
        <w:tabs>
          <w:tab w:leader="none" w:pos="1653"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71" w:lineRule="exact"/>
        <w:rPr>
          <w:rFonts w:ascii="Arial" w:cs="Arial" w:eastAsia="Arial" w:hAnsi="Arial"/>
          <w:sz w:val="18"/>
          <w:szCs w:val="18"/>
          <w:color w:val="auto"/>
        </w:rPr>
      </w:pPr>
    </w:p>
    <w:p>
      <w:pPr>
        <w:ind w:left="1300" w:hanging="647"/>
        <w:spacing w:after="0"/>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ind w:firstLine="1299"/>
        <w:spacing w:after="0" w:line="306" w:lineRule="auto"/>
        <w:tabs>
          <w:tab w:leader="none" w:pos="1643" w:val="left"/>
        </w:tabs>
        <w:numPr>
          <w:ilvl w:val="1"/>
          <w:numId w:val="295"/>
        </w:numPr>
        <w:rPr>
          <w:rFonts w:ascii="Arial" w:cs="Arial" w:eastAsia="Arial" w:hAnsi="Arial"/>
          <w:sz w:val="17"/>
          <w:szCs w:val="17"/>
          <w:color w:val="auto"/>
        </w:rPr>
      </w:pPr>
      <w:r>
        <w:rPr>
          <w:rFonts w:ascii="Arial" w:cs="Arial" w:eastAsia="Arial" w:hAnsi="Arial"/>
          <w:sz w:val="17"/>
          <w:szCs w:val="17"/>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811" w:right="439" w:bottom="1440" w:gutter="0" w:footer="0" w:header="0"/>
        </w:sectPr>
      </w:pPr>
    </w:p>
    <w:bookmarkStart w:id="410" w:name="page411"/>
    <w:bookmarkEnd w:id="410"/>
    <w:p>
      <w:pPr>
        <w:spacing w:after="0" w:line="262" w:lineRule="auto"/>
        <w:rPr>
          <w:sz w:val="20"/>
          <w:szCs w:val="20"/>
          <w:color w:val="auto"/>
        </w:rPr>
      </w:pPr>
      <w:r>
        <w:rPr>
          <w:rFonts w:ascii="Arial" w:cs="Arial" w:eastAsia="Arial" w:hAnsi="Arial"/>
          <w:sz w:val="18"/>
          <w:szCs w:val="18"/>
          <w:color w:val="auto"/>
        </w:rPr>
        <w:t>accordance with the J.A.M.S./Endispute Comprehensive Arbitration Rules and Procedures (the “J.A.M.S. Rules”). The arbitration shall be governed by the United States Arbitration Act, 9 U.S.C. Sections 1 - 16, and judgment upon the award rendered by the arbitrators may be entered by any court having jurisdiction thereof. The place of arbitration shall be New York, New York.</w:t>
      </w:r>
    </w:p>
    <w:p>
      <w:pPr>
        <w:spacing w:after="0" w:line="183" w:lineRule="exact"/>
        <w:rPr>
          <w:sz w:val="20"/>
          <w:szCs w:val="20"/>
          <w:color w:val="auto"/>
        </w:rPr>
      </w:pPr>
    </w:p>
    <w:p>
      <w:pPr>
        <w:jc w:val="both"/>
        <w:ind w:firstLine="1299"/>
        <w:spacing w:after="0" w:line="268" w:lineRule="auto"/>
        <w:tabs>
          <w:tab w:leader="none" w:pos="1653"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265" w:lineRule="exact"/>
        <w:rPr>
          <w:rFonts w:ascii="Arial" w:cs="Arial" w:eastAsia="Arial" w:hAnsi="Arial"/>
          <w:sz w:val="17"/>
          <w:szCs w:val="17"/>
          <w:color w:val="auto"/>
        </w:rPr>
      </w:pPr>
    </w:p>
    <w:p>
      <w:pPr>
        <w:jc w:val="both"/>
        <w:ind w:right="20" w:firstLine="1299"/>
        <w:spacing w:after="0" w:line="258" w:lineRule="auto"/>
        <w:tabs>
          <w:tab w:leader="none" w:pos="164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86" w:lineRule="exact"/>
        <w:rPr>
          <w:rFonts w:ascii="Arial" w:cs="Arial" w:eastAsia="Arial" w:hAnsi="Arial"/>
          <w:sz w:val="18"/>
          <w:szCs w:val="18"/>
          <w:color w:val="auto"/>
        </w:rPr>
      </w:pPr>
    </w:p>
    <w:p>
      <w:pPr>
        <w:jc w:val="both"/>
        <w:ind w:firstLine="1299"/>
        <w:spacing w:after="0" w:line="287" w:lineRule="auto"/>
        <w:tabs>
          <w:tab w:leader="none" w:pos="1653" w:val="left"/>
        </w:tabs>
        <w:numPr>
          <w:ilvl w:val="0"/>
          <w:numId w:val="296"/>
        </w:numPr>
        <w:rPr>
          <w:rFonts w:ascii="Arial" w:cs="Arial" w:eastAsia="Arial" w:hAnsi="Arial"/>
          <w:sz w:val="16"/>
          <w:szCs w:val="16"/>
          <w:color w:val="auto"/>
        </w:rPr>
      </w:pPr>
      <w:r>
        <w:rPr>
          <w:rFonts w:ascii="Arial" w:cs="Arial" w:eastAsia="Arial" w:hAnsi="Arial"/>
          <w:sz w:val="16"/>
          <w:szCs w:val="16"/>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9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798" w:right="439" w:bottom="1440" w:gutter="0" w:footer="0" w:header="0"/>
        </w:sectPr>
      </w:pPr>
    </w:p>
    <w:bookmarkStart w:id="411" w:name="page412"/>
    <w:bookmarkEnd w:id="411"/>
    <w:p>
      <w:pPr>
        <w:jc w:val="both"/>
        <w:ind w:left="-120" w:firstLine="653"/>
        <w:spacing w:after="0" w:line="286" w:lineRule="auto"/>
        <w:tabs>
          <w:tab w:leader="none" w:pos="1135"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Waiver of Statutory Information Rights</w:t>
      </w:r>
      <w:r>
        <w:rPr>
          <w:rFonts w:ascii="Arial" w:cs="Arial" w:eastAsia="Arial" w:hAnsi="Arial"/>
          <w:sz w:val="16"/>
          <w:szCs w:val="16"/>
          <w:color w:val="auto"/>
        </w:rPr>
        <w:t>.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9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80"/>
          </w:cols>
          <w:pgMar w:left="440" w:top="852" w:right="479" w:bottom="1440" w:gutter="0" w:footer="0" w:header="0"/>
        </w:sectPr>
      </w:pPr>
    </w:p>
    <w:bookmarkStart w:id="412" w:name="page413"/>
    <w:bookmarkEnd w:id="412"/>
    <w:p>
      <w:pPr>
        <w:ind w:left="420" w:right="220" w:firstLine="646"/>
        <w:spacing w:after="0" w:line="275" w:lineRule="auto"/>
        <w:rPr>
          <w:sz w:val="20"/>
          <w:szCs w:val="20"/>
          <w:color w:val="auto"/>
        </w:rPr>
      </w:pPr>
      <w:r>
        <w:rPr>
          <w:rFonts w:ascii="Arial" w:cs="Arial" w:eastAsia="Arial" w:hAnsi="Arial"/>
          <w:sz w:val="18"/>
          <w:szCs w:val="18"/>
          <w:color w:val="auto"/>
        </w:rPr>
        <w:t>The foregoing Restricted Stock Agreement is hereby accepted and the terms and conditions thereof are hereby agreed to by the undersigned as of the date of purchase of Shares above written.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CENTURY THERAPEUTICS,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3"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AND THE WAIVER OF STATUTORY INFORMATION RIGHTS SET FORTH IN SECTION 7 OF THIS AGREEMENT, are hereby agreed to, by the undersigned as of the date first above written.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852" w:right="4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 10.11</w:t>
      </w:r>
    </w:p>
    <w:p>
      <w:pPr>
        <w:spacing w:after="0" w:line="23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NON-QUALIFIED STOCK OPTION GRANT NOTICE</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UNDER THE CENTURY THERAPEUTICS, INC.</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2018 STOCK OPTION AND GRANT PLAN</w:t>
      </w:r>
    </w:p>
    <w:p>
      <w:pPr>
        <w:spacing w:after="0" w:line="370" w:lineRule="exact"/>
        <w:rPr>
          <w:sz w:val="20"/>
          <w:szCs w:val="20"/>
          <w:color w:val="auto"/>
        </w:rPr>
      </w:pPr>
    </w:p>
    <w:p>
      <w:pPr>
        <w:jc w:val="both"/>
        <w:ind w:left="420" w:right="120" w:firstLine="646"/>
        <w:spacing w:after="0" w:line="271" w:lineRule="auto"/>
        <w:rPr>
          <w:sz w:val="20"/>
          <w:szCs w:val="20"/>
          <w:color w:val="auto"/>
        </w:rPr>
      </w:pPr>
      <w:r>
        <w:rPr>
          <w:rFonts w:ascii="Arial" w:cs="Arial" w:eastAsia="Arial" w:hAnsi="Arial"/>
          <w:sz w:val="17"/>
          <w:szCs w:val="17"/>
          <w:color w:val="auto"/>
        </w:rPr>
        <w:t>Pursuant to the Century Therapeutics, Inc. 2018 Stock Option and Grant Plan (the “Plan”), Century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ind w:left="420"/>
              <w:spacing w:after="0"/>
              <w:rPr>
                <w:sz w:val="20"/>
                <w:szCs w:val="20"/>
                <w:color w:val="auto"/>
              </w:rPr>
            </w:pPr>
            <w:r>
              <w:rPr>
                <w:rFonts w:ascii="Arial" w:cs="Arial" w:eastAsia="Arial" w:hAnsi="Arial"/>
                <w:sz w:val="18"/>
                <w:szCs w:val="18"/>
                <w:color w:val="auto"/>
              </w:rPr>
              <w:t>Name of Optionee:</w:t>
            </w:r>
          </w:p>
        </w:tc>
        <w:tc>
          <w:tcPr>
            <w:tcW w:w="7860" w:type="dxa"/>
            <w:vAlign w:val="bottom"/>
          </w:tcPr>
          <w:p>
            <w:pPr>
              <w:ind w:left="780"/>
              <w:spacing w:after="0"/>
              <w:rPr>
                <w:sz w:val="20"/>
                <w:szCs w:val="20"/>
                <w:color w:val="auto"/>
              </w:rPr>
            </w:pPr>
            <w:r>
              <w:rPr>
                <w:rFonts w:ascii="Arial" w:cs="Arial" w:eastAsia="Arial" w:hAnsi="Arial"/>
                <w:sz w:val="18"/>
                <w:szCs w:val="18"/>
                <w:color w:val="auto"/>
              </w:rPr>
              <w:t>________________ (the “Optionee”)</w:t>
            </w:r>
          </w:p>
        </w:tc>
      </w:tr>
      <w:tr>
        <w:trPr>
          <w:trHeight w:val="390"/>
        </w:trPr>
        <w:tc>
          <w:tcPr>
            <w:tcW w:w="3380" w:type="dxa"/>
            <w:vAlign w:val="bottom"/>
          </w:tcPr>
          <w:p>
            <w:pPr>
              <w:ind w:left="420"/>
              <w:spacing w:after="0"/>
              <w:rPr>
                <w:sz w:val="20"/>
                <w:szCs w:val="20"/>
                <w:color w:val="auto"/>
              </w:rPr>
            </w:pPr>
            <w:r>
              <w:rPr>
                <w:rFonts w:ascii="Arial" w:cs="Arial" w:eastAsia="Arial" w:hAnsi="Arial"/>
                <w:sz w:val="18"/>
                <w:szCs w:val="18"/>
                <w:color w:val="auto"/>
              </w:rPr>
              <w:t>No. of Shares:</w:t>
            </w:r>
          </w:p>
        </w:tc>
        <w:tc>
          <w:tcPr>
            <w:tcW w:w="7860" w:type="dxa"/>
            <w:vAlign w:val="bottom"/>
          </w:tcPr>
          <w:p>
            <w:pPr>
              <w:ind w:left="780"/>
              <w:spacing w:after="0"/>
              <w:rPr>
                <w:sz w:val="20"/>
                <w:szCs w:val="20"/>
                <w:color w:val="auto"/>
              </w:rPr>
            </w:pPr>
            <w:r>
              <w:rPr>
                <w:rFonts w:ascii="Arial" w:cs="Arial" w:eastAsia="Arial" w:hAnsi="Arial"/>
                <w:sz w:val="18"/>
                <w:szCs w:val="18"/>
                <w:color w:val="auto"/>
              </w:rPr>
              <w:t>__________Shares of Common Stock</w:t>
            </w:r>
          </w:p>
        </w:tc>
      </w:tr>
      <w:tr>
        <w:trPr>
          <w:trHeight w:val="390"/>
        </w:trPr>
        <w:tc>
          <w:tcPr>
            <w:tcW w:w="3380" w:type="dxa"/>
            <w:vAlign w:val="bottom"/>
          </w:tcPr>
          <w:p>
            <w:pPr>
              <w:ind w:left="420"/>
              <w:spacing w:after="0"/>
              <w:rPr>
                <w:sz w:val="20"/>
                <w:szCs w:val="20"/>
                <w:color w:val="auto"/>
              </w:rPr>
            </w:pPr>
            <w:r>
              <w:rPr>
                <w:rFonts w:ascii="Arial" w:cs="Arial" w:eastAsia="Arial" w:hAnsi="Arial"/>
                <w:sz w:val="18"/>
                <w:szCs w:val="18"/>
                <w:color w:val="auto"/>
              </w:rPr>
              <w:t>Grant Date:</w:t>
            </w:r>
          </w:p>
        </w:tc>
        <w:tc>
          <w:tcPr>
            <w:tcW w:w="7860" w:type="dxa"/>
            <w:vAlign w:val="bottom"/>
          </w:tcPr>
          <w:p>
            <w:pPr>
              <w:ind w:left="780"/>
              <w:spacing w:after="0"/>
              <w:rPr>
                <w:sz w:val="20"/>
                <w:szCs w:val="20"/>
                <w:color w:val="auto"/>
              </w:rPr>
            </w:pPr>
            <w:r>
              <w:rPr>
                <w:rFonts w:ascii="Arial" w:cs="Arial" w:eastAsia="Arial" w:hAnsi="Arial"/>
                <w:sz w:val="18"/>
                <w:szCs w:val="18"/>
                <w:color w:val="auto"/>
              </w:rPr>
              <w:t>________________</w:t>
            </w:r>
          </w:p>
        </w:tc>
      </w:tr>
      <w:tr>
        <w:trPr>
          <w:trHeight w:val="390"/>
        </w:trPr>
        <w:tc>
          <w:tcPr>
            <w:tcW w:w="3380" w:type="dxa"/>
            <w:vAlign w:val="bottom"/>
          </w:tcPr>
          <w:p>
            <w:pPr>
              <w:ind w:left="420"/>
              <w:spacing w:after="0"/>
              <w:rPr>
                <w:sz w:val="20"/>
                <w:szCs w:val="20"/>
                <w:color w:val="auto"/>
              </w:rPr>
            </w:pPr>
            <w:r>
              <w:rPr>
                <w:rFonts w:ascii="Arial" w:cs="Arial" w:eastAsia="Arial" w:hAnsi="Arial"/>
                <w:sz w:val="18"/>
                <w:szCs w:val="18"/>
                <w:color w:val="auto"/>
              </w:rPr>
              <w:t>Vesting Commencement Date:</w:t>
            </w:r>
          </w:p>
        </w:tc>
        <w:tc>
          <w:tcPr>
            <w:tcW w:w="7860" w:type="dxa"/>
            <w:vAlign w:val="bottom"/>
          </w:tcPr>
          <w:p>
            <w:pPr>
              <w:ind w:left="780"/>
              <w:spacing w:after="0"/>
              <w:rPr>
                <w:sz w:val="20"/>
                <w:szCs w:val="20"/>
                <w:color w:val="auto"/>
              </w:rPr>
            </w:pPr>
            <w:r>
              <w:rPr>
                <w:rFonts w:ascii="Arial" w:cs="Arial" w:eastAsia="Arial" w:hAnsi="Arial"/>
                <w:sz w:val="18"/>
                <w:szCs w:val="18"/>
                <w:color w:val="auto"/>
              </w:rPr>
              <w:t>________________ (the “Vesting Commencement Date”)</w:t>
            </w:r>
          </w:p>
        </w:tc>
      </w:tr>
      <w:tr>
        <w:trPr>
          <w:trHeight w:val="390"/>
        </w:trPr>
        <w:tc>
          <w:tcPr>
            <w:tcW w:w="3380" w:type="dxa"/>
            <w:vAlign w:val="bottom"/>
          </w:tcPr>
          <w:p>
            <w:pPr>
              <w:ind w:left="420"/>
              <w:spacing w:after="0"/>
              <w:rPr>
                <w:sz w:val="20"/>
                <w:szCs w:val="20"/>
                <w:color w:val="auto"/>
              </w:rPr>
            </w:pPr>
            <w:r>
              <w:rPr>
                <w:rFonts w:ascii="Arial" w:cs="Arial" w:eastAsia="Arial" w:hAnsi="Arial"/>
                <w:sz w:val="18"/>
                <w:szCs w:val="18"/>
                <w:color w:val="auto"/>
              </w:rPr>
              <w:t>Expiration Date:</w:t>
            </w:r>
          </w:p>
        </w:tc>
        <w:tc>
          <w:tcPr>
            <w:tcW w:w="7860" w:type="dxa"/>
            <w:vAlign w:val="bottom"/>
          </w:tcPr>
          <w:p>
            <w:pPr>
              <w:ind w:left="780"/>
              <w:spacing w:after="0"/>
              <w:rPr>
                <w:sz w:val="20"/>
                <w:szCs w:val="20"/>
                <w:color w:val="auto"/>
              </w:rPr>
            </w:pPr>
            <w:r>
              <w:rPr>
                <w:rFonts w:ascii="Arial" w:cs="Arial" w:eastAsia="Arial" w:hAnsi="Arial"/>
                <w:sz w:val="18"/>
                <w:szCs w:val="18"/>
                <w:color w:val="auto"/>
              </w:rPr>
              <w:t>________________ (the “Expiration Date”)</w:t>
            </w:r>
          </w:p>
        </w:tc>
      </w:tr>
      <w:tr>
        <w:trPr>
          <w:trHeight w:val="390"/>
        </w:trPr>
        <w:tc>
          <w:tcPr>
            <w:tcW w:w="3380" w:type="dxa"/>
            <w:vAlign w:val="bottom"/>
          </w:tcPr>
          <w:p>
            <w:pPr>
              <w:ind w:left="420"/>
              <w:spacing w:after="0"/>
              <w:rPr>
                <w:sz w:val="20"/>
                <w:szCs w:val="20"/>
                <w:color w:val="auto"/>
              </w:rPr>
            </w:pPr>
            <w:r>
              <w:rPr>
                <w:rFonts w:ascii="Arial" w:cs="Arial" w:eastAsia="Arial" w:hAnsi="Arial"/>
                <w:sz w:val="18"/>
                <w:szCs w:val="18"/>
                <w:color w:val="auto"/>
              </w:rPr>
              <w:t>Option Exercise Price/Share:</w:t>
            </w:r>
          </w:p>
        </w:tc>
        <w:tc>
          <w:tcPr>
            <w:tcW w:w="7860" w:type="dxa"/>
            <w:vAlign w:val="bottom"/>
          </w:tcPr>
          <w:p>
            <w:pPr>
              <w:ind w:left="780"/>
              <w:spacing w:after="0"/>
              <w:rPr>
                <w:sz w:val="20"/>
                <w:szCs w:val="20"/>
                <w:color w:val="auto"/>
              </w:rPr>
            </w:pPr>
            <w:r>
              <w:rPr>
                <w:rFonts w:ascii="Arial" w:cs="Arial" w:eastAsia="Arial" w:hAnsi="Arial"/>
                <w:sz w:val="18"/>
                <w:szCs w:val="18"/>
                <w:color w:val="auto"/>
              </w:rPr>
              <w:t>$_______________ (the “Option Exercise Price”)</w:t>
            </w:r>
          </w:p>
        </w:tc>
      </w:tr>
      <w:tr>
        <w:trPr>
          <w:trHeight w:val="376"/>
        </w:trPr>
        <w:tc>
          <w:tcPr>
            <w:tcW w:w="3380" w:type="dxa"/>
            <w:vAlign w:val="bottom"/>
          </w:tcPr>
          <w:p>
            <w:pPr>
              <w:ind w:left="420"/>
              <w:spacing w:after="0"/>
              <w:rPr>
                <w:sz w:val="20"/>
                <w:szCs w:val="20"/>
                <w:color w:val="auto"/>
              </w:rPr>
            </w:pPr>
            <w:r>
              <w:rPr>
                <w:rFonts w:ascii="Arial" w:cs="Arial" w:eastAsia="Arial" w:hAnsi="Arial"/>
                <w:sz w:val="18"/>
                <w:szCs w:val="18"/>
                <w:color w:val="auto"/>
              </w:rPr>
              <w:t>Vesting Schedule:</w:t>
            </w:r>
          </w:p>
        </w:tc>
        <w:tc>
          <w:tcPr>
            <w:tcW w:w="7860" w:type="dxa"/>
            <w:vAlign w:val="bottom"/>
          </w:tcPr>
          <w:p>
            <w:pPr>
              <w:ind w:left="780"/>
              <w:spacing w:after="0"/>
              <w:rPr>
                <w:sz w:val="20"/>
                <w:szCs w:val="20"/>
                <w:color w:val="auto"/>
              </w:rPr>
            </w:pPr>
            <w:r>
              <w:rPr>
                <w:rFonts w:ascii="Arial" w:cs="Arial" w:eastAsia="Arial" w:hAnsi="Arial"/>
                <w:sz w:val="18"/>
                <w:szCs w:val="18"/>
                <w:color w:val="auto"/>
                <w:w w:val="98"/>
              </w:rPr>
              <w:t>25 percent of the Shares shall vest and become exercisable on the first anniversary of the</w:t>
            </w:r>
          </w:p>
        </w:tc>
      </w:tr>
      <w:tr>
        <w:trPr>
          <w:trHeight w:val="215"/>
        </w:trPr>
        <w:tc>
          <w:tcPr>
            <w:tcW w:w="3380" w:type="dxa"/>
            <w:vAlign w:val="bottom"/>
          </w:tcPr>
          <w:p>
            <w:pPr>
              <w:spacing w:after="0"/>
              <w:rPr>
                <w:sz w:val="18"/>
                <w:szCs w:val="18"/>
                <w:color w:val="auto"/>
              </w:rPr>
            </w:pPr>
          </w:p>
        </w:tc>
        <w:tc>
          <w:tcPr>
            <w:tcW w:w="7860" w:type="dxa"/>
            <w:vAlign w:val="bottom"/>
          </w:tcPr>
          <w:p>
            <w:pPr>
              <w:ind w:left="780"/>
              <w:spacing w:after="0"/>
              <w:rPr>
                <w:sz w:val="20"/>
                <w:szCs w:val="20"/>
                <w:color w:val="auto"/>
              </w:rPr>
            </w:pPr>
            <w:r>
              <w:rPr>
                <w:rFonts w:ascii="Arial" w:cs="Arial" w:eastAsia="Arial" w:hAnsi="Arial"/>
                <w:sz w:val="18"/>
                <w:szCs w:val="18"/>
                <w:color w:val="auto"/>
              </w:rPr>
              <w:t>Vesting Commencement Date; provided that the Optionee continues to have a Service</w:t>
            </w:r>
          </w:p>
        </w:tc>
      </w:tr>
      <w:tr>
        <w:trPr>
          <w:trHeight w:val="215"/>
        </w:trPr>
        <w:tc>
          <w:tcPr>
            <w:tcW w:w="3380" w:type="dxa"/>
            <w:vAlign w:val="bottom"/>
          </w:tcPr>
          <w:p>
            <w:pPr>
              <w:spacing w:after="0"/>
              <w:rPr>
                <w:sz w:val="18"/>
                <w:szCs w:val="18"/>
                <w:color w:val="auto"/>
              </w:rPr>
            </w:pPr>
          </w:p>
        </w:tc>
        <w:tc>
          <w:tcPr>
            <w:tcW w:w="7860" w:type="dxa"/>
            <w:vAlign w:val="bottom"/>
          </w:tcPr>
          <w:p>
            <w:pPr>
              <w:ind w:left="780"/>
              <w:spacing w:after="0"/>
              <w:rPr>
                <w:sz w:val="20"/>
                <w:szCs w:val="20"/>
                <w:color w:val="auto"/>
              </w:rPr>
            </w:pPr>
            <w:r>
              <w:rPr>
                <w:rFonts w:ascii="Arial" w:cs="Arial" w:eastAsia="Arial" w:hAnsi="Arial"/>
                <w:sz w:val="18"/>
                <w:szCs w:val="18"/>
                <w:color w:val="auto"/>
                <w:w w:val="92"/>
              </w:rPr>
              <w:t>Relationship with the Company at such time. Thereafter, the remaining 75 percent of the Shares</w:t>
            </w:r>
          </w:p>
        </w:tc>
      </w:tr>
      <w:tr>
        <w:trPr>
          <w:trHeight w:val="215"/>
        </w:trPr>
        <w:tc>
          <w:tcPr>
            <w:tcW w:w="3380" w:type="dxa"/>
            <w:vAlign w:val="bottom"/>
          </w:tcPr>
          <w:p>
            <w:pPr>
              <w:spacing w:after="0"/>
              <w:rPr>
                <w:sz w:val="18"/>
                <w:szCs w:val="18"/>
                <w:color w:val="auto"/>
              </w:rPr>
            </w:pPr>
          </w:p>
        </w:tc>
        <w:tc>
          <w:tcPr>
            <w:tcW w:w="7860" w:type="dxa"/>
            <w:vAlign w:val="bottom"/>
          </w:tcPr>
          <w:p>
            <w:pPr>
              <w:ind w:left="780"/>
              <w:spacing w:after="0"/>
              <w:rPr>
                <w:sz w:val="20"/>
                <w:szCs w:val="20"/>
                <w:color w:val="auto"/>
              </w:rPr>
            </w:pPr>
            <w:r>
              <w:rPr>
                <w:rFonts w:ascii="Arial" w:cs="Arial" w:eastAsia="Arial" w:hAnsi="Arial"/>
                <w:sz w:val="18"/>
                <w:szCs w:val="18"/>
                <w:color w:val="auto"/>
              </w:rPr>
              <w:t>shall vest and become exercisable in 36 equal monthly installments following the first</w:t>
            </w:r>
          </w:p>
        </w:tc>
      </w:tr>
      <w:tr>
        <w:trPr>
          <w:trHeight w:val="215"/>
        </w:trPr>
        <w:tc>
          <w:tcPr>
            <w:tcW w:w="3380" w:type="dxa"/>
            <w:vAlign w:val="bottom"/>
          </w:tcPr>
          <w:p>
            <w:pPr>
              <w:spacing w:after="0"/>
              <w:rPr>
                <w:sz w:val="18"/>
                <w:szCs w:val="18"/>
                <w:color w:val="auto"/>
              </w:rPr>
            </w:pPr>
          </w:p>
        </w:tc>
        <w:tc>
          <w:tcPr>
            <w:tcW w:w="7860" w:type="dxa"/>
            <w:vAlign w:val="bottom"/>
          </w:tcPr>
          <w:p>
            <w:pPr>
              <w:ind w:left="780"/>
              <w:spacing w:after="0"/>
              <w:rPr>
                <w:sz w:val="20"/>
                <w:szCs w:val="20"/>
                <w:color w:val="auto"/>
              </w:rPr>
            </w:pPr>
            <w:r>
              <w:rPr>
                <w:rFonts w:ascii="Arial" w:cs="Arial" w:eastAsia="Arial" w:hAnsi="Arial"/>
                <w:sz w:val="18"/>
                <w:szCs w:val="18"/>
                <w:color w:val="auto"/>
                <w:w w:val="95"/>
              </w:rPr>
              <w:t>anniversary of the Vesting Commencement Date, provided the Optionee continues to have a</w:t>
            </w:r>
          </w:p>
        </w:tc>
      </w:tr>
      <w:tr>
        <w:trPr>
          <w:trHeight w:val="215"/>
        </w:trPr>
        <w:tc>
          <w:tcPr>
            <w:tcW w:w="3380" w:type="dxa"/>
            <w:vAlign w:val="bottom"/>
          </w:tcPr>
          <w:p>
            <w:pPr>
              <w:spacing w:after="0"/>
              <w:rPr>
                <w:sz w:val="18"/>
                <w:szCs w:val="18"/>
                <w:color w:val="auto"/>
              </w:rPr>
            </w:pPr>
          </w:p>
        </w:tc>
        <w:tc>
          <w:tcPr>
            <w:tcW w:w="7860" w:type="dxa"/>
            <w:vAlign w:val="bottom"/>
          </w:tcPr>
          <w:p>
            <w:pPr>
              <w:ind w:left="780"/>
              <w:spacing w:after="0"/>
              <w:rPr>
                <w:sz w:val="20"/>
                <w:szCs w:val="20"/>
                <w:color w:val="auto"/>
              </w:rPr>
            </w:pPr>
            <w:r>
              <w:rPr>
                <w:rFonts w:ascii="Arial" w:cs="Arial" w:eastAsia="Arial" w:hAnsi="Arial"/>
                <w:sz w:val="18"/>
                <w:szCs w:val="18"/>
                <w:color w:val="auto"/>
                <w:w w:val="94"/>
              </w:rPr>
              <w:t>Service Relationship with the Company on each vesting date. Notwithstanding anything in the</w:t>
            </w:r>
          </w:p>
        </w:tc>
      </w:tr>
      <w:tr>
        <w:trPr>
          <w:trHeight w:val="215"/>
        </w:trPr>
        <w:tc>
          <w:tcPr>
            <w:tcW w:w="3380" w:type="dxa"/>
            <w:vAlign w:val="bottom"/>
          </w:tcPr>
          <w:p>
            <w:pPr>
              <w:spacing w:after="0"/>
              <w:rPr>
                <w:sz w:val="18"/>
                <w:szCs w:val="18"/>
                <w:color w:val="auto"/>
              </w:rPr>
            </w:pPr>
          </w:p>
        </w:tc>
        <w:tc>
          <w:tcPr>
            <w:tcW w:w="7860" w:type="dxa"/>
            <w:vAlign w:val="bottom"/>
          </w:tcPr>
          <w:p>
            <w:pPr>
              <w:ind w:left="780"/>
              <w:spacing w:after="0"/>
              <w:rPr>
                <w:sz w:val="20"/>
                <w:szCs w:val="20"/>
                <w:color w:val="auto"/>
              </w:rPr>
            </w:pPr>
            <w:r>
              <w:rPr>
                <w:rFonts w:ascii="Arial" w:cs="Arial" w:eastAsia="Arial" w:hAnsi="Arial"/>
                <w:sz w:val="18"/>
                <w:szCs w:val="18"/>
                <w:color w:val="auto"/>
                <w:w w:val="91"/>
              </w:rPr>
              <w:t>Agreement to the contrary, in the case of a Sale Event, this Stock Option and the Shares shall be</w:t>
            </w:r>
          </w:p>
        </w:tc>
      </w:tr>
      <w:tr>
        <w:trPr>
          <w:trHeight w:val="230"/>
        </w:trPr>
        <w:tc>
          <w:tcPr>
            <w:tcW w:w="3380" w:type="dxa"/>
            <w:vAlign w:val="bottom"/>
          </w:tcPr>
          <w:p>
            <w:pPr>
              <w:spacing w:after="0"/>
              <w:rPr>
                <w:sz w:val="19"/>
                <w:szCs w:val="19"/>
                <w:color w:val="auto"/>
              </w:rPr>
            </w:pPr>
          </w:p>
        </w:tc>
        <w:tc>
          <w:tcPr>
            <w:tcW w:w="7860" w:type="dxa"/>
            <w:vAlign w:val="bottom"/>
          </w:tcPr>
          <w:p>
            <w:pPr>
              <w:ind w:left="780"/>
              <w:spacing w:after="0"/>
              <w:rPr>
                <w:sz w:val="20"/>
                <w:szCs w:val="20"/>
                <w:color w:val="auto"/>
              </w:rPr>
            </w:pPr>
            <w:r>
              <w:rPr>
                <w:rFonts w:ascii="Arial" w:cs="Arial" w:eastAsia="Arial" w:hAnsi="Arial"/>
                <w:sz w:val="18"/>
                <w:szCs w:val="18"/>
                <w:color w:val="auto"/>
              </w:rPr>
              <w:t>treated as provided in Section 3(c) of the Plan.</w:t>
            </w:r>
          </w:p>
        </w:tc>
      </w:tr>
      <w:tr>
        <w:trPr>
          <w:trHeight w:val="861"/>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6" w:right="339" w:bottom="1440" w:gutter="0" w:footer="0" w:header="0"/>
        </w:sectPr>
      </w:pPr>
    </w:p>
    <w:bookmarkStart w:id="414" w:name="page415"/>
    <w:bookmarkEnd w:id="414"/>
    <w:p>
      <w:pPr>
        <w:jc w:val="center"/>
        <w:ind w:right="320"/>
        <w:spacing w:after="0"/>
        <w:rPr>
          <w:sz w:val="20"/>
          <w:szCs w:val="20"/>
          <w:color w:val="auto"/>
        </w:rPr>
      </w:pPr>
      <w:r>
        <w:rPr>
          <w:rFonts w:ascii="Arial" w:cs="Arial" w:eastAsia="Arial" w:hAnsi="Arial"/>
          <w:sz w:val="18"/>
          <w:szCs w:val="18"/>
          <w:b w:val="1"/>
          <w:bCs w:val="1"/>
          <w:color w:val="auto"/>
        </w:rPr>
        <w:t>NON-QUALIFIED STOCK OPTION AGREEMENT</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UNDER THE CENTURY THERAPEUTICS, INC.</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2018 STOCK OPTION AND GRANT PLAN</w:t>
      </w:r>
    </w:p>
    <w:p>
      <w:pPr>
        <w:spacing w:after="0" w:line="3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All capitalized terms used herein and not otherwise defined shall have the respective meanings set forth in the Grant Notice and the Plan.</w:t>
      </w:r>
    </w:p>
    <w:p>
      <w:pPr>
        <w:spacing w:after="0" w:line="246" w:lineRule="exact"/>
        <w:rPr>
          <w:sz w:val="20"/>
          <w:szCs w:val="20"/>
          <w:color w:val="auto"/>
        </w:rPr>
      </w:pPr>
    </w:p>
    <w:p>
      <w:pPr>
        <w:ind w:left="1440" w:hanging="794"/>
        <w:spacing w:after="0"/>
        <w:tabs>
          <w:tab w:leader="none" w:pos="144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ind w:left="1820" w:hanging="335"/>
        <w:spacing w:after="0"/>
        <w:tabs>
          <w:tab w:leader="none" w:pos="18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223" w:lineRule="exact"/>
        <w:rPr>
          <w:rFonts w:ascii="Arial" w:cs="Arial" w:eastAsia="Arial" w:hAnsi="Arial"/>
          <w:sz w:val="18"/>
          <w:szCs w:val="18"/>
          <w:color w:val="auto"/>
        </w:rPr>
      </w:pPr>
    </w:p>
    <w:p>
      <w:pPr>
        <w:ind w:right="20" w:firstLine="1485"/>
        <w:spacing w:after="0" w:line="275" w:lineRule="auto"/>
        <w:tabs>
          <w:tab w:leader="none" w:pos="1828" w:val="left"/>
        </w:tabs>
        <w:numPr>
          <w:ilvl w:val="1"/>
          <w:numId w:val="298"/>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171" w:lineRule="exact"/>
        <w:rPr>
          <w:rFonts w:ascii="Arial" w:cs="Arial" w:eastAsia="Arial" w:hAnsi="Arial"/>
          <w:sz w:val="18"/>
          <w:szCs w:val="18"/>
          <w:color w:val="auto"/>
        </w:rPr>
      </w:pPr>
    </w:p>
    <w:p>
      <w:pPr>
        <w:ind w:left="2720" w:hanging="783"/>
        <w:spacing w:after="0"/>
        <w:tabs>
          <w:tab w:leader="none" w:pos="2720"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223" w:lineRule="exact"/>
        <w:rPr>
          <w:rFonts w:ascii="Arial" w:cs="Arial" w:eastAsia="Arial" w:hAnsi="Arial"/>
          <w:sz w:val="18"/>
          <w:szCs w:val="18"/>
          <w:color w:val="auto"/>
        </w:rPr>
      </w:pPr>
    </w:p>
    <w:p>
      <w:pPr>
        <w:ind w:left="2700" w:hanging="763"/>
        <w:spacing w:after="0"/>
        <w:tabs>
          <w:tab w:leader="none" w:pos="2700" w:val="left"/>
        </w:tabs>
        <w:numPr>
          <w:ilvl w:val="2"/>
          <w:numId w:val="298"/>
        </w:numPr>
        <w:rPr>
          <w:rFonts w:ascii="Arial" w:cs="Arial" w:eastAsia="Arial" w:hAnsi="Arial"/>
          <w:sz w:val="16"/>
          <w:szCs w:val="16"/>
          <w:color w:val="auto"/>
        </w:rPr>
      </w:pPr>
      <w:r>
        <w:rPr>
          <w:rFonts w:ascii="Arial" w:cs="Arial" w:eastAsia="Arial" w:hAnsi="Arial"/>
          <w:sz w:val="16"/>
          <w:szCs w:val="16"/>
          <w:color w:val="auto"/>
        </w:rPr>
        <w:t>This Stock Option shall vest and become exercisable in accordance with the Vesting Schedule set forth in the</w:t>
      </w:r>
    </w:p>
    <w:p>
      <w:pPr>
        <w:spacing w:after="0" w:line="4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Grant Notice.</w:t>
      </w:r>
    </w:p>
    <w:p>
      <w:pPr>
        <w:spacing w:after="0" w:line="208" w:lineRule="exact"/>
        <w:rPr>
          <w:rFonts w:ascii="Arial" w:cs="Arial" w:eastAsia="Arial" w:hAnsi="Arial"/>
          <w:sz w:val="16"/>
          <w:szCs w:val="16"/>
          <w:color w:val="auto"/>
        </w:rPr>
      </w:pPr>
    </w:p>
    <w:p>
      <w:pPr>
        <w:jc w:val="both"/>
        <w:ind w:right="20" w:firstLine="1485"/>
        <w:spacing w:after="0" w:line="262" w:lineRule="auto"/>
        <w:tabs>
          <w:tab w:leader="none" w:pos="1818"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83" w:lineRule="exact"/>
        <w:rPr>
          <w:rFonts w:ascii="Arial" w:cs="Arial" w:eastAsia="Arial" w:hAnsi="Arial"/>
          <w:sz w:val="18"/>
          <w:szCs w:val="18"/>
          <w:color w:val="auto"/>
        </w:rPr>
      </w:pPr>
    </w:p>
    <w:p>
      <w:pPr>
        <w:jc w:val="both"/>
        <w:ind w:left="640" w:firstLine="1297"/>
        <w:spacing w:after="0" w:line="258" w:lineRule="auto"/>
        <w:tabs>
          <w:tab w:leader="none" w:pos="2733" w:val="left"/>
        </w:tabs>
        <w:numPr>
          <w:ilvl w:val="2"/>
          <w:numId w:val="298"/>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99" w:lineRule="exact"/>
        <w:rPr>
          <w:rFonts w:ascii="Arial" w:cs="Arial" w:eastAsia="Arial" w:hAnsi="Arial"/>
          <w:sz w:val="18"/>
          <w:szCs w:val="18"/>
          <w:color w:val="auto"/>
        </w:rPr>
      </w:pPr>
    </w:p>
    <w:p>
      <w:pPr>
        <w:jc w:val="both"/>
        <w:ind w:left="640" w:firstLine="1297"/>
        <w:spacing w:after="0" w:line="300" w:lineRule="auto"/>
        <w:tabs>
          <w:tab w:leader="none" w:pos="2724" w:val="left"/>
        </w:tabs>
        <w:numPr>
          <w:ilvl w:val="2"/>
          <w:numId w:val="298"/>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6"/>
          <w:szCs w:val="16"/>
          <w:u w:val="single" w:color="auto"/>
          <w:color w:val="auto"/>
        </w:rPr>
        <w:t>provided however</w:t>
      </w:r>
      <w:r>
        <w:rPr>
          <w:rFonts w:ascii="Arial" w:cs="Arial" w:eastAsia="Arial" w:hAnsi="Arial"/>
          <w:sz w:val="16"/>
          <w:szCs w:val="16"/>
          <w:color w:val="auto"/>
        </w:rPr>
        <w:t>, if the Optionee’s Service Relationship is terminated for Cause, this Stock Option shall terminate immediately upon the date of such termination.</w:t>
      </w:r>
    </w:p>
    <w:p>
      <w:pPr>
        <w:spacing w:after="0" w:line="156" w:lineRule="exact"/>
        <w:rPr>
          <w:sz w:val="20"/>
          <w:szCs w:val="20"/>
          <w:color w:val="auto"/>
        </w:rPr>
      </w:pPr>
    </w:p>
    <w:p>
      <w:pPr>
        <w:ind w:right="20" w:firstLine="646"/>
        <w:spacing w:after="0" w:line="340" w:lineRule="auto"/>
        <w:rPr>
          <w:sz w:val="20"/>
          <w:szCs w:val="20"/>
          <w:color w:val="auto"/>
        </w:rPr>
      </w:pPr>
      <w:r>
        <w:rPr>
          <w:rFonts w:ascii="Arial" w:cs="Arial" w:eastAsia="Arial" w:hAnsi="Arial"/>
          <w:sz w:val="16"/>
          <w:szCs w:val="16"/>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w:t>
      </w:r>
    </w:p>
    <w:p>
      <w:pPr>
        <w:spacing w:after="0" w:line="34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1329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20"/>
          </w:cols>
          <w:pgMar w:left="740" w:top="1076" w:right="43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t>is not vested and exercisable on the date of termination of the Service Relationship shall terminate immediately and be null and void.</w:t>
      </w:r>
    </w:p>
    <w:p>
      <w:pPr>
        <w:spacing w:after="0" w:line="237" w:lineRule="exact"/>
        <w:rPr>
          <w:sz w:val="20"/>
          <w:szCs w:val="20"/>
          <w:color w:val="auto"/>
        </w:rPr>
      </w:pPr>
    </w:p>
    <w:p>
      <w:pPr>
        <w:ind w:left="1440" w:hanging="794"/>
        <w:spacing w:after="0"/>
        <w:tabs>
          <w:tab w:leader="none" w:pos="144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Exercise of Stock Option</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jc w:val="both"/>
        <w:ind w:right="20" w:firstLine="1485"/>
        <w:spacing w:after="0" w:line="295" w:lineRule="auto"/>
        <w:tabs>
          <w:tab w:leader="none" w:pos="1836" w:val="left"/>
        </w:tabs>
        <w:numPr>
          <w:ilvl w:val="1"/>
          <w:numId w:val="299"/>
        </w:numPr>
        <w:rPr>
          <w:rFonts w:ascii="Arial" w:cs="Arial" w:eastAsia="Arial" w:hAnsi="Arial"/>
          <w:sz w:val="16"/>
          <w:szCs w:val="16"/>
          <w:color w:val="auto"/>
        </w:rPr>
      </w:pPr>
      <w:r>
        <w:rPr>
          <w:rFonts w:ascii="Arial" w:cs="Arial" w:eastAsia="Arial" w:hAnsi="Arial"/>
          <w:sz w:val="16"/>
          <w:szCs w:val="16"/>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60" w:lineRule="exact"/>
        <w:rPr>
          <w:rFonts w:ascii="Arial" w:cs="Arial" w:eastAsia="Arial" w:hAnsi="Arial"/>
          <w:sz w:val="16"/>
          <w:szCs w:val="16"/>
          <w:color w:val="auto"/>
        </w:rPr>
      </w:pPr>
    </w:p>
    <w:p>
      <w:pPr>
        <w:ind w:left="1860" w:hanging="375"/>
        <w:spacing w:after="0"/>
        <w:tabs>
          <w:tab w:leader="none" w:pos="186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Expiration Date.</w:t>
      </w:r>
    </w:p>
    <w:p>
      <w:pPr>
        <w:spacing w:after="0" w:line="208" w:lineRule="exact"/>
        <w:rPr>
          <w:rFonts w:ascii="Arial" w:cs="Arial" w:eastAsia="Arial" w:hAnsi="Arial"/>
          <w:sz w:val="16"/>
          <w:szCs w:val="16"/>
          <w:color w:val="auto"/>
        </w:rPr>
      </w:pPr>
    </w:p>
    <w:p>
      <w:pPr>
        <w:ind w:right="20" w:firstLine="646"/>
        <w:spacing w:after="0" w:line="275" w:lineRule="auto"/>
        <w:tabs>
          <w:tab w:leader="none" w:pos="143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171" w:lineRule="exact"/>
        <w:rPr>
          <w:rFonts w:ascii="Arial" w:cs="Arial" w:eastAsia="Arial" w:hAnsi="Arial"/>
          <w:sz w:val="18"/>
          <w:szCs w:val="18"/>
          <w:color w:val="auto"/>
        </w:rPr>
      </w:pPr>
    </w:p>
    <w:p>
      <w:pPr>
        <w:jc w:val="both"/>
        <w:ind w:firstLine="646"/>
        <w:spacing w:after="0" w:line="290" w:lineRule="auto"/>
        <w:tabs>
          <w:tab w:leader="none" w:pos="1448"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Transferability of Stock Option</w:t>
      </w:r>
      <w:r>
        <w:rPr>
          <w:rFonts w:ascii="Arial" w:cs="Arial" w:eastAsia="Arial" w:hAnsi="Arial"/>
          <w:sz w:val="16"/>
          <w:szCs w:val="16"/>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79" w:lineRule="exact"/>
        <w:rPr>
          <w:rFonts w:ascii="Arial" w:cs="Arial" w:eastAsia="Arial" w:hAnsi="Arial"/>
          <w:sz w:val="16"/>
          <w:szCs w:val="16"/>
          <w:color w:val="auto"/>
        </w:rPr>
      </w:pPr>
    </w:p>
    <w:p>
      <w:pPr>
        <w:ind w:right="20" w:firstLine="646"/>
        <w:spacing w:after="0" w:line="275" w:lineRule="auto"/>
        <w:tabs>
          <w:tab w:leader="none" w:pos="1448"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171" w:lineRule="exact"/>
        <w:rPr>
          <w:rFonts w:ascii="Arial" w:cs="Arial" w:eastAsia="Arial" w:hAnsi="Arial"/>
          <w:sz w:val="18"/>
          <w:szCs w:val="18"/>
          <w:color w:val="auto"/>
        </w:rPr>
      </w:pPr>
    </w:p>
    <w:p>
      <w:pPr>
        <w:ind w:left="1440" w:hanging="794"/>
        <w:spacing w:after="0"/>
        <w:tabs>
          <w:tab w:leader="none" w:pos="144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right="20" w:firstLine="1485"/>
        <w:spacing w:after="0" w:line="262" w:lineRule="auto"/>
        <w:tabs>
          <w:tab w:leader="none" w:pos="1836"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83" w:lineRule="exact"/>
        <w:rPr>
          <w:rFonts w:ascii="Arial" w:cs="Arial" w:eastAsia="Arial" w:hAnsi="Arial"/>
          <w:sz w:val="18"/>
          <w:szCs w:val="18"/>
          <w:color w:val="auto"/>
        </w:rPr>
      </w:pPr>
    </w:p>
    <w:p>
      <w:pPr>
        <w:ind w:right="20" w:firstLine="1485"/>
        <w:spacing w:after="0" w:line="306" w:lineRule="auto"/>
        <w:tabs>
          <w:tab w:leader="none" w:pos="1873"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Capital Structure</w:t>
      </w:r>
      <w:r>
        <w:rPr>
          <w:rFonts w:ascii="Arial" w:cs="Arial" w:eastAsia="Arial" w:hAnsi="Arial"/>
          <w:sz w:val="17"/>
          <w:szCs w:val="17"/>
          <w:color w:val="auto"/>
        </w:rPr>
        <w:t>. If, as a result of any reorganization, recapitalization, reincorporation, reclassification, stock dividend, stock split, reverse stock split or other similar change in the Common Stock, the outstanding shares of</w:t>
      </w:r>
    </w:p>
    <w:p>
      <w:pPr>
        <w:spacing w:after="0" w:line="36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22860</wp:posOffset>
            </wp:positionV>
            <wp:extent cx="71329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20"/>
          </w:cols>
          <w:pgMar w:left="740" w:top="905" w:right="439" w:bottom="1440" w:gutter="0" w:footer="0" w:header="0"/>
        </w:sectPr>
      </w:pPr>
    </w:p>
    <w:bookmarkStart w:id="416" w:name="page417"/>
    <w:bookmarkEnd w:id="416"/>
    <w:p>
      <w:pPr>
        <w:jc w:val="both"/>
        <w:spacing w:after="0" w:line="262" w:lineRule="auto"/>
        <w:rPr>
          <w:sz w:val="20"/>
          <w:szCs w:val="20"/>
          <w:color w:val="auto"/>
        </w:rPr>
      </w:pPr>
      <w:r>
        <w:rPr>
          <w:rFonts w:ascii="Arial" w:cs="Arial" w:eastAsia="Arial" w:hAnsi="Arial"/>
          <w:sz w:val="18"/>
          <w:szCs w:val="18"/>
          <w:color w:val="auto"/>
        </w:rPr>
        <w:t>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83" w:lineRule="exact"/>
        <w:rPr>
          <w:sz w:val="20"/>
          <w:szCs w:val="20"/>
          <w:color w:val="auto"/>
        </w:rPr>
      </w:pPr>
    </w:p>
    <w:p>
      <w:pPr>
        <w:jc w:val="both"/>
        <w:ind w:firstLine="1485"/>
        <w:spacing w:after="0" w:line="262" w:lineRule="auto"/>
        <w:tabs>
          <w:tab w:leader="none" w:pos="183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Change and Modifications</w:t>
      </w:r>
      <w:r>
        <w:rPr>
          <w:rFonts w:ascii="Arial" w:cs="Arial" w:eastAsia="Arial" w:hAnsi="Arial"/>
          <w:sz w:val="18"/>
          <w:szCs w:val="18"/>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83" w:lineRule="exact"/>
        <w:rPr>
          <w:rFonts w:ascii="Arial" w:cs="Arial" w:eastAsia="Arial" w:hAnsi="Arial"/>
          <w:sz w:val="18"/>
          <w:szCs w:val="18"/>
          <w:color w:val="auto"/>
        </w:rPr>
      </w:pPr>
    </w:p>
    <w:p>
      <w:pPr>
        <w:jc w:val="both"/>
        <w:ind w:firstLine="1485"/>
        <w:spacing w:after="0" w:line="258" w:lineRule="auto"/>
        <w:tabs>
          <w:tab w:leader="none" w:pos="184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New York, without regard to conflict of law principles that would result in the application of any law other than the law of the State of New York.</w:t>
      </w:r>
    </w:p>
    <w:p>
      <w:pPr>
        <w:spacing w:after="0" w:line="186" w:lineRule="exact"/>
        <w:rPr>
          <w:rFonts w:ascii="Arial" w:cs="Arial" w:eastAsia="Arial" w:hAnsi="Arial"/>
          <w:sz w:val="18"/>
          <w:szCs w:val="18"/>
          <w:color w:val="auto"/>
        </w:rPr>
      </w:pPr>
    </w:p>
    <w:p>
      <w:pPr>
        <w:ind w:firstLine="1485"/>
        <w:spacing w:after="0" w:line="275" w:lineRule="auto"/>
        <w:tabs>
          <w:tab w:leader="none" w:pos="183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71" w:lineRule="exact"/>
        <w:rPr>
          <w:rFonts w:ascii="Arial" w:cs="Arial" w:eastAsia="Arial" w:hAnsi="Arial"/>
          <w:sz w:val="18"/>
          <w:szCs w:val="18"/>
          <w:color w:val="auto"/>
        </w:rPr>
      </w:pPr>
    </w:p>
    <w:p>
      <w:pPr>
        <w:ind w:firstLine="1485"/>
        <w:spacing w:after="0" w:line="275" w:lineRule="auto"/>
        <w:tabs>
          <w:tab w:leader="none" w:pos="1817"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71" w:lineRule="exact"/>
        <w:rPr>
          <w:rFonts w:ascii="Arial" w:cs="Arial" w:eastAsia="Arial" w:hAnsi="Arial"/>
          <w:sz w:val="18"/>
          <w:szCs w:val="18"/>
          <w:color w:val="auto"/>
        </w:rPr>
      </w:pPr>
    </w:p>
    <w:p>
      <w:pPr>
        <w:jc w:val="both"/>
        <w:ind w:firstLine="1485"/>
        <w:spacing w:after="0" w:line="258" w:lineRule="auto"/>
        <w:tabs>
          <w:tab w:leader="none" w:pos="184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99" w:lineRule="exact"/>
        <w:rPr>
          <w:rFonts w:ascii="Arial" w:cs="Arial" w:eastAsia="Arial" w:hAnsi="Arial"/>
          <w:sz w:val="18"/>
          <w:szCs w:val="18"/>
          <w:color w:val="auto"/>
        </w:rPr>
      </w:pPr>
    </w:p>
    <w:p>
      <w:pPr>
        <w:jc w:val="both"/>
        <w:ind w:firstLine="1485"/>
        <w:spacing w:after="0" w:line="262" w:lineRule="auto"/>
        <w:tabs>
          <w:tab w:leader="none" w:pos="184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83" w:lineRule="exact"/>
        <w:rPr>
          <w:rFonts w:ascii="Arial" w:cs="Arial" w:eastAsia="Arial" w:hAnsi="Arial"/>
          <w:sz w:val="18"/>
          <w:szCs w:val="18"/>
          <w:color w:val="auto"/>
        </w:rPr>
      </w:pPr>
    </w:p>
    <w:p>
      <w:pPr>
        <w:ind w:firstLine="1485"/>
        <w:spacing w:after="0" w:line="275" w:lineRule="auto"/>
        <w:tabs>
          <w:tab w:leader="none" w:pos="1807"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71" w:lineRule="exact"/>
        <w:rPr>
          <w:rFonts w:ascii="Arial" w:cs="Arial" w:eastAsia="Arial" w:hAnsi="Arial"/>
          <w:sz w:val="18"/>
          <w:szCs w:val="18"/>
          <w:color w:val="auto"/>
        </w:rPr>
      </w:pPr>
    </w:p>
    <w:p>
      <w:pPr>
        <w:ind w:firstLine="1485"/>
        <w:spacing w:after="0" w:line="275" w:lineRule="auto"/>
        <w:tabs>
          <w:tab w:leader="none" w:pos="182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38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1329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00"/>
          </w:cols>
          <w:pgMar w:left="740" w:top="906" w:right="459" w:bottom="1440" w:gutter="0" w:footer="0" w:header="0"/>
        </w:sectPr>
      </w:pPr>
    </w:p>
    <w:bookmarkStart w:id="417" w:name="page418"/>
    <w:bookmarkEnd w:id="417"/>
    <w:p>
      <w:pPr>
        <w:ind w:left="1440" w:hanging="794"/>
        <w:spacing w:after="0"/>
        <w:tabs>
          <w:tab w:leader="none" w:pos="144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jc w:val="both"/>
        <w:ind w:firstLine="1485"/>
        <w:spacing w:after="0" w:line="274" w:lineRule="auto"/>
        <w:tabs>
          <w:tab w:leader="none" w:pos="185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New York, New York.</w:t>
      </w:r>
    </w:p>
    <w:p>
      <w:pPr>
        <w:spacing w:after="0" w:line="175" w:lineRule="exact"/>
        <w:rPr>
          <w:rFonts w:ascii="Arial" w:cs="Arial" w:eastAsia="Arial" w:hAnsi="Arial"/>
          <w:sz w:val="17"/>
          <w:szCs w:val="17"/>
          <w:color w:val="auto"/>
        </w:rPr>
      </w:pPr>
    </w:p>
    <w:p>
      <w:pPr>
        <w:jc w:val="both"/>
        <w:ind w:firstLine="1485"/>
        <w:spacing w:after="0" w:line="287" w:lineRule="auto"/>
        <w:tabs>
          <w:tab w:leader="none" w:pos="1846" w:val="left"/>
        </w:tabs>
        <w:numPr>
          <w:ilvl w:val="1"/>
          <w:numId w:val="301"/>
        </w:numPr>
        <w:rPr>
          <w:rFonts w:ascii="Arial" w:cs="Arial" w:eastAsia="Arial" w:hAnsi="Arial"/>
          <w:sz w:val="16"/>
          <w:szCs w:val="16"/>
          <w:color w:val="auto"/>
        </w:rPr>
      </w:pPr>
      <w:r>
        <w:rPr>
          <w:rFonts w:ascii="Arial" w:cs="Arial" w:eastAsia="Arial" w:hAnsi="Arial"/>
          <w:sz w:val="16"/>
          <w:szCs w:val="16"/>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67" w:lineRule="exact"/>
        <w:rPr>
          <w:rFonts w:ascii="Arial" w:cs="Arial" w:eastAsia="Arial" w:hAnsi="Arial"/>
          <w:sz w:val="16"/>
          <w:szCs w:val="16"/>
          <w:color w:val="auto"/>
        </w:rPr>
      </w:pPr>
    </w:p>
    <w:p>
      <w:pPr>
        <w:jc w:val="both"/>
        <w:ind w:firstLine="1485"/>
        <w:spacing w:after="0" w:line="278" w:lineRule="auto"/>
        <w:tabs>
          <w:tab w:leader="none" w:pos="183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70" w:lineRule="exact"/>
        <w:rPr>
          <w:rFonts w:ascii="Arial" w:cs="Arial" w:eastAsia="Arial" w:hAnsi="Arial"/>
          <w:sz w:val="17"/>
          <w:szCs w:val="17"/>
          <w:color w:val="auto"/>
        </w:rPr>
      </w:pPr>
    </w:p>
    <w:p>
      <w:pPr>
        <w:jc w:val="both"/>
        <w:ind w:firstLine="1485"/>
        <w:spacing w:after="0" w:line="289" w:lineRule="auto"/>
        <w:tabs>
          <w:tab w:leader="none" w:pos="1846" w:val="left"/>
        </w:tabs>
        <w:numPr>
          <w:ilvl w:val="1"/>
          <w:numId w:val="301"/>
        </w:numPr>
        <w:rPr>
          <w:rFonts w:ascii="Arial" w:cs="Arial" w:eastAsia="Arial" w:hAnsi="Arial"/>
          <w:sz w:val="16"/>
          <w:szCs w:val="16"/>
          <w:color w:val="auto"/>
        </w:rPr>
      </w:pPr>
      <w:r>
        <w:rPr>
          <w:rFonts w:ascii="Arial" w:cs="Arial" w:eastAsia="Arial" w:hAnsi="Arial"/>
          <w:sz w:val="16"/>
          <w:szCs w:val="16"/>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w:t>
      </w:r>
    </w:p>
    <w:p>
      <w:pPr>
        <w:spacing w:after="0" w:line="38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1329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00"/>
          </w:cols>
          <w:pgMar w:left="740" w:top="959" w:right="459" w:bottom="1440" w:gutter="0" w:footer="0" w:header="0"/>
        </w:sectPr>
      </w:pPr>
    </w:p>
    <w:bookmarkStart w:id="418" w:name="page419"/>
    <w:bookmarkEnd w:id="418"/>
    <w:p>
      <w:pPr>
        <w:jc w:val="both"/>
        <w:spacing w:after="0" w:line="262" w:lineRule="auto"/>
        <w:rPr>
          <w:sz w:val="20"/>
          <w:szCs w:val="20"/>
          <w:color w:val="auto"/>
        </w:rPr>
      </w:pPr>
      <w:r>
        <w:rPr>
          <w:rFonts w:ascii="Arial" w:cs="Arial" w:eastAsia="Arial" w:hAnsi="Arial"/>
          <w:sz w:val="18"/>
          <w:szCs w:val="18"/>
          <w:color w:val="auto"/>
        </w:rPr>
        <w:t>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83" w:lineRule="exact"/>
        <w:rPr>
          <w:sz w:val="20"/>
          <w:szCs w:val="20"/>
          <w:color w:val="auto"/>
        </w:rPr>
      </w:pPr>
    </w:p>
    <w:p>
      <w:pPr>
        <w:ind w:right="40" w:firstLine="646"/>
        <w:spacing w:after="0" w:line="268" w:lineRule="auto"/>
        <w:tabs>
          <w:tab w:leader="none" w:pos="1434"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Waiver of Statutory Information Rights</w:t>
      </w:r>
      <w:r>
        <w:rPr>
          <w:rFonts w:ascii="Arial" w:cs="Arial" w:eastAsia="Arial" w:hAnsi="Arial"/>
          <w:sz w:val="17"/>
          <w:szCs w:val="17"/>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7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22860</wp:posOffset>
            </wp:positionV>
            <wp:extent cx="71329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00"/>
          </w:cols>
          <w:pgMar w:left="740" w:top="905" w:right="459" w:bottom="1440" w:gutter="0" w:footer="0" w:header="0"/>
        </w:sectPr>
      </w:pPr>
    </w:p>
    <w:bookmarkStart w:id="419" w:name="page420"/>
    <w:bookmarkEnd w:id="419"/>
    <w:p>
      <w:pPr>
        <w:ind w:left="320" w:right="380"/>
        <w:spacing w:after="0" w:line="275" w:lineRule="auto"/>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 as of the date first above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CENTURY THERAPEUTICS,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320"/>
        <w:spacing w:after="0" w:line="256" w:lineRule="auto"/>
        <w:rPr>
          <w:sz w:val="20"/>
          <w:szCs w:val="20"/>
          <w:color w:val="auto"/>
        </w:rPr>
      </w:pPr>
      <w:r>
        <w:rPr>
          <w:rFonts w:ascii="Arial" w:cs="Arial" w:eastAsia="Arial" w:hAnsi="Arial"/>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OPTIONEE:</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9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040"/>
          </w:cols>
          <w:pgMar w:left="420" w:top="959" w:right="439" w:bottom="1440" w:gutter="0" w:footer="0" w:header="0"/>
        </w:sectPr>
      </w:pPr>
    </w:p>
    <w:bookmarkStart w:id="420" w:name="page421"/>
    <w:bookmarkEnd w:id="420"/>
    <w:p>
      <w:pPr>
        <w:jc w:val="center"/>
        <w:ind w:right="80"/>
        <w:spacing w:after="0"/>
        <w:rPr>
          <w:sz w:val="20"/>
          <w:szCs w:val="20"/>
          <w:color w:val="auto"/>
        </w:rPr>
      </w:pPr>
      <w:r>
        <w:rPr>
          <w:rFonts w:ascii="Arial" w:cs="Arial" w:eastAsia="Arial" w:hAnsi="Arial"/>
          <w:sz w:val="18"/>
          <w:szCs w:val="18"/>
          <w:u w:val="single" w:color="auto"/>
          <w:color w:val="auto"/>
        </w:rPr>
        <w:t>Appendix A</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STOCK OPTION EXERCISE NOTICE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Century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3" w:lineRule="exact"/>
        <w:rPr>
          <w:sz w:val="20"/>
          <w:szCs w:val="20"/>
          <w:color w:val="auto"/>
        </w:rPr>
      </w:pPr>
    </w:p>
    <w:p>
      <w:pPr>
        <w:ind w:right="680" w:firstLine="646"/>
        <w:spacing w:after="0" w:line="290" w:lineRule="auto"/>
        <w:rPr>
          <w:sz w:val="20"/>
          <w:szCs w:val="20"/>
          <w:color w:val="auto"/>
        </w:rPr>
      </w:pPr>
      <w:r>
        <w:rPr>
          <w:rFonts w:ascii="Arial" w:cs="Arial" w:eastAsia="Arial" w:hAnsi="Arial"/>
          <w:sz w:val="16"/>
          <w:szCs w:val="16"/>
          <w:color w:val="auto"/>
        </w:rPr>
        <w:t>Pursuant to the terms of the grant notice and stock option agreement between the undersigned and Century Therapeutics, Inc. (the “Company”) dated___________(the “Agreement”) under the Century Therapeutics, Inc. 2018 Stock Option and Grant Plan, I, [Insert Name]</w:t>
      </w:r>
    </w:p>
    <w:p>
      <w:pPr>
        <w:spacing w:after="0"/>
        <w:rPr>
          <w:sz w:val="20"/>
          <w:szCs w:val="20"/>
          <w:color w:val="auto"/>
        </w:rPr>
      </w:pPr>
      <w:r>
        <w:rPr>
          <w:rFonts w:ascii="Arial" w:cs="Arial" w:eastAsia="Arial" w:hAnsi="Arial"/>
          <w:sz w:val="16"/>
          <w:szCs w:val="16"/>
          <w:color w:val="auto"/>
        </w:rPr>
        <w:t>______________, hereby [Circle One] partially/fully exercise such option by including herein payment in the amount of $ _________representing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for [Fill in number of Shares] _____________Shares. I have chosen the following form(s) of payment: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jc w:val="right"/>
              <w:ind w:right="370"/>
              <w:spacing w:after="0"/>
              <w:rPr>
                <w:sz w:val="20"/>
                <w:szCs w:val="20"/>
                <w:color w:val="auto"/>
              </w:rPr>
            </w:pPr>
            <w:r>
              <w:rPr>
                <w:rFonts w:ascii="Arial" w:cs="Arial" w:eastAsia="Arial" w:hAnsi="Arial"/>
                <w:sz w:val="18"/>
                <w:szCs w:val="18"/>
                <w:color w:val="auto"/>
                <w:w w:val="92"/>
              </w:rPr>
              <w:t>[ ]</w:t>
            </w:r>
          </w:p>
        </w:tc>
        <w:tc>
          <w:tcPr>
            <w:tcW w:w="920" w:type="dxa"/>
            <w:vAlign w:val="bottom"/>
          </w:tcPr>
          <w:p>
            <w:pPr>
              <w:ind w:left="460"/>
              <w:spacing w:after="0"/>
              <w:rPr>
                <w:sz w:val="20"/>
                <w:szCs w:val="20"/>
                <w:color w:val="auto"/>
              </w:rPr>
            </w:pPr>
            <w:r>
              <w:rPr>
                <w:rFonts w:ascii="Arial" w:cs="Arial" w:eastAsia="Arial" w:hAnsi="Arial"/>
                <w:sz w:val="18"/>
                <w:szCs w:val="18"/>
                <w:color w:val="auto"/>
              </w:rPr>
              <w:t>1.</w:t>
            </w:r>
          </w:p>
        </w:tc>
        <w:tc>
          <w:tcPr>
            <w:tcW w:w="840" w:type="dxa"/>
            <w:vAlign w:val="bottom"/>
          </w:tcPr>
          <w:p>
            <w:pPr>
              <w:ind w:left="280"/>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rPr>
              <w:t>[ ]</w:t>
            </w:r>
          </w:p>
        </w:tc>
        <w:tc>
          <w:tcPr>
            <w:tcW w:w="840" w:type="dxa"/>
            <w:vAlign w:val="bottom"/>
          </w:tcPr>
          <w:p>
            <w:pPr>
              <w:ind w:left="280"/>
              <w:spacing w:after="0"/>
              <w:rPr>
                <w:sz w:val="20"/>
                <w:szCs w:val="20"/>
                <w:color w:val="auto"/>
              </w:rPr>
            </w:pPr>
            <w:r>
              <w:rPr>
                <w:rFonts w:ascii="Arial" w:cs="Arial" w:eastAsia="Arial" w:hAnsi="Arial"/>
                <w:sz w:val="18"/>
                <w:szCs w:val="18"/>
                <w:color w:val="auto"/>
              </w:rPr>
              <w:t>2.</w:t>
            </w: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w w:val="91"/>
              </w:rPr>
              <w:t>Certified or bank check payable to Gotham Therapeutics Corporation</w:t>
            </w:r>
          </w:p>
        </w:tc>
      </w:tr>
      <w:tr>
        <w:trPr>
          <w:trHeight w:val="215"/>
        </w:trPr>
        <w:tc>
          <w:tcPr>
            <w:tcW w:w="62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rPr>
              <w:t>[ ]</w:t>
            </w:r>
          </w:p>
        </w:tc>
        <w:tc>
          <w:tcPr>
            <w:tcW w:w="840" w:type="dxa"/>
            <w:vAlign w:val="bottom"/>
          </w:tcPr>
          <w:p>
            <w:pPr>
              <w:ind w:left="280"/>
              <w:spacing w:after="0"/>
              <w:rPr>
                <w:sz w:val="20"/>
                <w:szCs w:val="20"/>
                <w:color w:val="auto"/>
              </w:rPr>
            </w:pPr>
            <w:r>
              <w:rPr>
                <w:rFonts w:ascii="Arial" w:cs="Arial" w:eastAsia="Arial" w:hAnsi="Arial"/>
                <w:sz w:val="18"/>
                <w:szCs w:val="18"/>
                <w:color w:val="auto"/>
              </w:rPr>
              <w:t>3.</w:t>
            </w: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w w:val="96"/>
              </w:rPr>
              <w:t>Other (as referenced in the Agreement and described in the Plan</w:t>
            </w:r>
          </w:p>
        </w:tc>
      </w:tr>
      <w:tr>
        <w:trPr>
          <w:trHeight w:val="215"/>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jc w:val="right"/>
              <w:ind w:right="3630"/>
              <w:spacing w:after="0"/>
              <w:rPr>
                <w:sz w:val="20"/>
                <w:szCs w:val="20"/>
                <w:color w:val="auto"/>
              </w:rPr>
            </w:pPr>
            <w:r>
              <w:rPr>
                <w:rFonts w:ascii="Arial" w:cs="Arial" w:eastAsia="Arial" w:hAnsi="Arial"/>
                <w:sz w:val="18"/>
                <w:szCs w:val="18"/>
                <w:color w:val="auto"/>
                <w:w w:val="88"/>
              </w:rPr>
              <w:t>(please describe))</w:t>
            </w:r>
          </w:p>
        </w:tc>
      </w:tr>
      <w:tr>
        <w:trPr>
          <w:trHeight w:val="230"/>
        </w:trPr>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223" w:lineRule="exact"/>
        <w:rPr>
          <w:sz w:val="20"/>
          <w:szCs w:val="20"/>
          <w:color w:val="auto"/>
        </w:rPr>
      </w:pPr>
    </w:p>
    <w:p>
      <w:pPr>
        <w:ind w:left="2400" w:hanging="463"/>
        <w:spacing w:after="0"/>
        <w:tabs>
          <w:tab w:leader="none" w:pos="240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I am purchasing the Shares for my own account for investment only, and not for resale or with a view to the</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distribution thereof.</w:t>
      </w:r>
    </w:p>
    <w:p>
      <w:pPr>
        <w:spacing w:after="0" w:line="208" w:lineRule="exact"/>
        <w:rPr>
          <w:rFonts w:ascii="Arial" w:cs="Arial" w:eastAsia="Arial" w:hAnsi="Arial"/>
          <w:sz w:val="17"/>
          <w:szCs w:val="17"/>
          <w:color w:val="auto"/>
        </w:rPr>
      </w:pPr>
    </w:p>
    <w:p>
      <w:pPr>
        <w:jc w:val="both"/>
        <w:ind w:left="640" w:right="60" w:firstLine="1297"/>
        <w:spacing w:after="0" w:line="262" w:lineRule="auto"/>
        <w:tabs>
          <w:tab w:leader="none" w:pos="241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83" w:lineRule="exact"/>
        <w:rPr>
          <w:rFonts w:ascii="Arial" w:cs="Arial" w:eastAsia="Arial" w:hAnsi="Arial"/>
          <w:sz w:val="18"/>
          <w:szCs w:val="18"/>
          <w:color w:val="auto"/>
        </w:rPr>
      </w:pPr>
    </w:p>
    <w:p>
      <w:pPr>
        <w:ind w:left="640" w:right="80" w:firstLine="1297"/>
        <w:spacing w:after="0" w:line="275" w:lineRule="auto"/>
        <w:tabs>
          <w:tab w:leader="none" w:pos="244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71" w:lineRule="exact"/>
        <w:rPr>
          <w:rFonts w:ascii="Arial" w:cs="Arial" w:eastAsia="Arial" w:hAnsi="Arial"/>
          <w:sz w:val="18"/>
          <w:szCs w:val="18"/>
          <w:color w:val="auto"/>
        </w:rPr>
      </w:pPr>
    </w:p>
    <w:p>
      <w:pPr>
        <w:ind w:left="640" w:right="60" w:firstLine="1297"/>
        <w:spacing w:after="0" w:line="275" w:lineRule="auto"/>
        <w:tabs>
          <w:tab w:leader="none" w:pos="243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can afford a complete loss of the value of the Shares and am able to bear the economic risk of holding such Shares for an indefinite period of time.</w:t>
      </w:r>
    </w:p>
    <w:p>
      <w:pPr>
        <w:spacing w:after="0" w:line="171" w:lineRule="exact"/>
        <w:rPr>
          <w:rFonts w:ascii="Arial" w:cs="Arial" w:eastAsia="Arial" w:hAnsi="Arial"/>
          <w:sz w:val="18"/>
          <w:szCs w:val="18"/>
          <w:color w:val="auto"/>
        </w:rPr>
      </w:pPr>
    </w:p>
    <w:p>
      <w:pPr>
        <w:ind w:left="640" w:right="80" w:firstLine="1298"/>
        <w:spacing w:after="0" w:line="306" w:lineRule="auto"/>
        <w:tabs>
          <w:tab w:leader="none" w:pos="2409" w:val="left"/>
        </w:tabs>
        <w:numPr>
          <w:ilvl w:val="0"/>
          <w:numId w:val="303"/>
        </w:numPr>
        <w:rPr>
          <w:rFonts w:ascii="Arial" w:cs="Arial" w:eastAsia="Arial" w:hAnsi="Arial"/>
          <w:sz w:val="17"/>
          <w:szCs w:val="17"/>
          <w:color w:val="auto"/>
        </w:rPr>
      </w:pPr>
      <w:r>
        <w:rPr>
          <w:rFonts w:ascii="Arial" w:cs="Arial" w:eastAsia="Arial" w:hAnsi="Arial"/>
          <w:sz w:val="17"/>
          <w:szCs w:val="17"/>
          <w:color w:val="auto"/>
        </w:rPr>
        <w:t>I understand that the Shares may not be registered under the Securities Act of 1933 (it being understood that the Shares are being issued and sold in reliance on the exemption provided in Rule 701 thereunder) or any applicable state</w:t>
      </w:r>
    </w:p>
    <w:p>
      <w:pPr>
        <w:spacing w:after="0" w:line="3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1329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80"/>
          </w:cols>
          <w:pgMar w:left="740" w:top="960" w:right="379" w:bottom="1440" w:gutter="0" w:footer="0" w:header="0"/>
        </w:sectPr>
      </w:pPr>
    </w:p>
    <w:bookmarkStart w:id="421" w:name="page422"/>
    <w:bookmarkEnd w:id="421"/>
    <w:p>
      <w:pPr>
        <w:jc w:val="both"/>
        <w:ind w:left="640"/>
        <w:spacing w:after="0" w:line="278" w:lineRule="auto"/>
        <w:rPr>
          <w:sz w:val="20"/>
          <w:szCs w:val="20"/>
          <w:color w:val="auto"/>
        </w:rPr>
      </w:pPr>
      <w:r>
        <w:rPr>
          <w:rFonts w:ascii="Arial" w:cs="Arial" w:eastAsia="Arial" w:hAnsi="Arial"/>
          <w:sz w:val="17"/>
          <w:szCs w:val="17"/>
          <w:color w:val="auto"/>
        </w:rPr>
        <w:t>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70" w:lineRule="exact"/>
        <w:rPr>
          <w:sz w:val="20"/>
          <w:szCs w:val="20"/>
          <w:color w:val="auto"/>
        </w:rPr>
      </w:pPr>
    </w:p>
    <w:p>
      <w:pPr>
        <w:ind w:left="640" w:right="20" w:firstLine="1297"/>
        <w:spacing w:after="0" w:line="275" w:lineRule="auto"/>
        <w:tabs>
          <w:tab w:leader="none" w:pos="243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71" w:lineRule="exact"/>
        <w:rPr>
          <w:rFonts w:ascii="Arial" w:cs="Arial" w:eastAsia="Arial" w:hAnsi="Arial"/>
          <w:sz w:val="18"/>
          <w:szCs w:val="18"/>
          <w:color w:val="auto"/>
        </w:rPr>
      </w:pPr>
    </w:p>
    <w:p>
      <w:pPr>
        <w:ind w:left="2480" w:hanging="543"/>
        <w:spacing w:after="0"/>
        <w:tabs>
          <w:tab w:leader="none" w:pos="24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w:t>
      </w:r>
    </w:p>
    <w:p>
      <w:pPr>
        <w:spacing w:after="0" w:line="4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9(b) of the Plan.</w:t>
      </w:r>
    </w:p>
    <w:p>
      <w:pPr>
        <w:spacing w:after="0" w:line="208" w:lineRule="exact"/>
        <w:rPr>
          <w:rFonts w:ascii="Arial" w:cs="Arial" w:eastAsia="Arial" w:hAnsi="Arial"/>
          <w:sz w:val="16"/>
          <w:szCs w:val="16"/>
          <w:color w:val="auto"/>
        </w:rPr>
      </w:pPr>
    </w:p>
    <w:p>
      <w:pPr>
        <w:ind w:left="2500" w:hanging="563"/>
        <w:spacing w:after="0"/>
        <w:tabs>
          <w:tab w:leader="none" w:pos="25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 understand and agree that the Company has certain repurchase rights with respect to the Shares pursuant to</w:t>
      </w:r>
    </w:p>
    <w:p>
      <w:pPr>
        <w:spacing w:after="0" w:line="4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Section 9(c) of the Plan.</w:t>
      </w:r>
    </w:p>
    <w:p>
      <w:pPr>
        <w:spacing w:after="0" w:line="208" w:lineRule="exact"/>
        <w:rPr>
          <w:rFonts w:ascii="Arial" w:cs="Arial" w:eastAsia="Arial" w:hAnsi="Arial"/>
          <w:sz w:val="16"/>
          <w:szCs w:val="16"/>
          <w:color w:val="auto"/>
        </w:rPr>
      </w:pPr>
    </w:p>
    <w:p>
      <w:pPr>
        <w:ind w:left="640" w:right="20" w:firstLine="1297"/>
        <w:spacing w:after="0" w:line="275" w:lineRule="auto"/>
        <w:tabs>
          <w:tab w:leader="none" w:pos="245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171" w:lineRule="exact"/>
        <w:rPr>
          <w:rFonts w:ascii="Arial" w:cs="Arial" w:eastAsia="Arial" w:hAnsi="Arial"/>
          <w:sz w:val="18"/>
          <w:szCs w:val="18"/>
          <w:color w:val="auto"/>
        </w:rPr>
      </w:pPr>
    </w:p>
    <w:p>
      <w:pPr>
        <w:ind w:left="2440" w:hanging="503"/>
        <w:spacing w:after="0"/>
        <w:tabs>
          <w:tab w:leader="none" w:pos="24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 understand and agree to the waiver of statutory information rights as set forth in Section 8 of the Agreement.</w:t>
      </w:r>
    </w:p>
    <w:p>
      <w:pPr>
        <w:spacing w:after="0" w:line="235" w:lineRule="exact"/>
        <w:rPr>
          <w:rFonts w:ascii="Arial" w:cs="Arial" w:eastAsia="Arial" w:hAnsi="Arial"/>
          <w:sz w:val="17"/>
          <w:szCs w:val="17"/>
          <w:color w:val="auto"/>
        </w:rPr>
      </w:pPr>
    </w:p>
    <w:p>
      <w:pPr>
        <w:ind w:right="9560"/>
        <w:spacing w:after="0" w:line="520" w:lineRule="auto"/>
        <w:rPr>
          <w:rFonts w:ascii="Arial" w:cs="Arial" w:eastAsia="Arial" w:hAnsi="Arial"/>
          <w:sz w:val="17"/>
          <w:szCs w:val="17"/>
          <w:color w:val="auto"/>
        </w:rPr>
      </w:pPr>
      <w:r>
        <w:rPr>
          <w:rFonts w:ascii="Arial" w:cs="Arial" w:eastAsia="Arial" w:hAnsi="Arial"/>
          <w:sz w:val="18"/>
          <w:szCs w:val="18"/>
          <w:color w:val="auto"/>
        </w:rPr>
        <w:t>Sincerely yours, Name: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1329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20"/>
          </w:cols>
          <w:pgMar w:left="740" w:top="905" w:right="4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color w:val="auto"/>
        </w:rPr>
        <w:t>Exhibit 10.12</w:t>
      </w:r>
    </w:p>
    <w:p>
      <w:pPr>
        <w:spacing w:after="0" w:line="23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INCENTIVE STOCK OPTION GRANT NOTICE</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UNDER THE CENTURY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OPTION AND GRANT PLAN</w:t>
      </w:r>
    </w:p>
    <w:p>
      <w:pPr>
        <w:spacing w:after="0" w:line="357" w:lineRule="exact"/>
        <w:rPr>
          <w:sz w:val="20"/>
          <w:szCs w:val="20"/>
          <w:color w:val="auto"/>
        </w:rPr>
      </w:pPr>
    </w:p>
    <w:p>
      <w:pPr>
        <w:jc w:val="both"/>
        <w:ind w:right="100" w:firstLine="646"/>
        <w:spacing w:after="0" w:line="290" w:lineRule="auto"/>
        <w:rPr>
          <w:sz w:val="20"/>
          <w:szCs w:val="20"/>
          <w:color w:val="auto"/>
        </w:rPr>
      </w:pPr>
      <w:r>
        <w:rPr>
          <w:rFonts w:ascii="Arial" w:cs="Arial" w:eastAsia="Arial" w:hAnsi="Arial"/>
          <w:sz w:val="16"/>
          <w:szCs w:val="16"/>
          <w:color w:val="auto"/>
        </w:rPr>
        <w:t>Pursuant to the Century Therapeutics, Inc. 2018 Stock Option and Grant Plan (the “Plan”), Century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ind w:left="100"/>
              <w:spacing w:after="0"/>
              <w:rPr>
                <w:sz w:val="20"/>
                <w:szCs w:val="20"/>
                <w:color w:val="auto"/>
              </w:rPr>
            </w:pPr>
            <w:r>
              <w:rPr>
                <w:rFonts w:ascii="Arial" w:cs="Arial" w:eastAsia="Arial" w:hAnsi="Arial"/>
                <w:sz w:val="18"/>
                <w:szCs w:val="18"/>
                <w:color w:val="auto"/>
              </w:rPr>
              <w:t>Name of Optionee:</w:t>
            </w:r>
          </w:p>
        </w:tc>
        <w:tc>
          <w:tcPr>
            <w:tcW w:w="8180" w:type="dxa"/>
            <w:vAlign w:val="bottom"/>
          </w:tcPr>
          <w:p>
            <w:pPr>
              <w:ind w:left="760"/>
              <w:spacing w:after="0"/>
              <w:rPr>
                <w:sz w:val="20"/>
                <w:szCs w:val="20"/>
                <w:color w:val="auto"/>
              </w:rPr>
            </w:pPr>
            <w:r>
              <w:rPr>
                <w:rFonts w:ascii="Arial" w:cs="Arial" w:eastAsia="Arial" w:hAnsi="Arial"/>
                <w:sz w:val="18"/>
                <w:szCs w:val="18"/>
                <w:color w:val="auto"/>
              </w:rPr>
              <w:t>______________________(the “Optionee”)</w:t>
            </w:r>
          </w:p>
        </w:tc>
      </w:tr>
      <w:tr>
        <w:trPr>
          <w:trHeight w:val="430"/>
        </w:trPr>
        <w:tc>
          <w:tcPr>
            <w:tcW w:w="3060" w:type="dxa"/>
            <w:vAlign w:val="bottom"/>
          </w:tcPr>
          <w:p>
            <w:pPr>
              <w:ind w:left="100"/>
              <w:spacing w:after="0"/>
              <w:rPr>
                <w:sz w:val="20"/>
                <w:szCs w:val="20"/>
                <w:color w:val="auto"/>
              </w:rPr>
            </w:pPr>
            <w:r>
              <w:rPr>
                <w:rFonts w:ascii="Arial" w:cs="Arial" w:eastAsia="Arial" w:hAnsi="Arial"/>
                <w:sz w:val="18"/>
                <w:szCs w:val="18"/>
                <w:color w:val="auto"/>
              </w:rPr>
              <w:t>No. of Shares:</w:t>
            </w:r>
          </w:p>
        </w:tc>
        <w:tc>
          <w:tcPr>
            <w:tcW w:w="8180" w:type="dxa"/>
            <w:vAlign w:val="bottom"/>
          </w:tcPr>
          <w:p>
            <w:pPr>
              <w:ind w:left="760"/>
              <w:spacing w:after="0"/>
              <w:rPr>
                <w:sz w:val="20"/>
                <w:szCs w:val="20"/>
                <w:color w:val="auto"/>
              </w:rPr>
            </w:pPr>
            <w:r>
              <w:rPr>
                <w:rFonts w:ascii="Arial" w:cs="Arial" w:eastAsia="Arial" w:hAnsi="Arial"/>
                <w:sz w:val="18"/>
                <w:szCs w:val="18"/>
                <w:color w:val="auto"/>
              </w:rPr>
              <w:t>_______________Shares of Common Stock</w:t>
            </w:r>
          </w:p>
        </w:tc>
      </w:tr>
      <w:tr>
        <w:trPr>
          <w:trHeight w:val="430"/>
        </w:trPr>
        <w:tc>
          <w:tcPr>
            <w:tcW w:w="3060" w:type="dxa"/>
            <w:vAlign w:val="bottom"/>
          </w:tcPr>
          <w:p>
            <w:pPr>
              <w:ind w:left="100"/>
              <w:spacing w:after="0"/>
              <w:rPr>
                <w:sz w:val="20"/>
                <w:szCs w:val="20"/>
                <w:color w:val="auto"/>
              </w:rPr>
            </w:pPr>
            <w:r>
              <w:rPr>
                <w:rFonts w:ascii="Arial" w:cs="Arial" w:eastAsia="Arial" w:hAnsi="Arial"/>
                <w:sz w:val="18"/>
                <w:szCs w:val="18"/>
                <w:color w:val="auto"/>
              </w:rPr>
              <w:t>Grant Date:</w:t>
            </w:r>
          </w:p>
        </w:tc>
        <w:tc>
          <w:tcPr>
            <w:tcW w:w="8180" w:type="dxa"/>
            <w:vAlign w:val="bottom"/>
          </w:tcPr>
          <w:p>
            <w:pPr>
              <w:ind w:left="760"/>
              <w:spacing w:after="0"/>
              <w:rPr>
                <w:sz w:val="20"/>
                <w:szCs w:val="20"/>
                <w:color w:val="auto"/>
              </w:rPr>
            </w:pPr>
            <w:r>
              <w:rPr>
                <w:rFonts w:ascii="Arial" w:cs="Arial" w:eastAsia="Arial" w:hAnsi="Arial"/>
                <w:sz w:val="18"/>
                <w:szCs w:val="18"/>
                <w:color w:val="auto"/>
              </w:rPr>
              <w:t>______________________</w:t>
            </w:r>
          </w:p>
        </w:tc>
      </w:tr>
      <w:tr>
        <w:trPr>
          <w:trHeight w:val="430"/>
        </w:trPr>
        <w:tc>
          <w:tcPr>
            <w:tcW w:w="3060" w:type="dxa"/>
            <w:vAlign w:val="bottom"/>
          </w:tcPr>
          <w:p>
            <w:pPr>
              <w:ind w:left="100"/>
              <w:spacing w:after="0"/>
              <w:rPr>
                <w:sz w:val="20"/>
                <w:szCs w:val="20"/>
                <w:color w:val="auto"/>
              </w:rPr>
            </w:pPr>
            <w:r>
              <w:rPr>
                <w:rFonts w:ascii="Arial" w:cs="Arial" w:eastAsia="Arial" w:hAnsi="Arial"/>
                <w:sz w:val="18"/>
                <w:szCs w:val="18"/>
                <w:color w:val="auto"/>
              </w:rPr>
              <w:t>Vesting Commencement Date:</w:t>
            </w:r>
          </w:p>
        </w:tc>
        <w:tc>
          <w:tcPr>
            <w:tcW w:w="8180" w:type="dxa"/>
            <w:vAlign w:val="bottom"/>
          </w:tcPr>
          <w:p>
            <w:pPr>
              <w:ind w:left="760"/>
              <w:spacing w:after="0"/>
              <w:rPr>
                <w:sz w:val="20"/>
                <w:szCs w:val="20"/>
                <w:color w:val="auto"/>
              </w:rPr>
            </w:pPr>
            <w:r>
              <w:rPr>
                <w:rFonts w:ascii="Arial" w:cs="Arial" w:eastAsia="Arial" w:hAnsi="Arial"/>
                <w:sz w:val="18"/>
                <w:szCs w:val="18"/>
                <w:color w:val="auto"/>
              </w:rPr>
              <w:t>______________________(the “Vesting Commencement Date”)</w:t>
            </w:r>
          </w:p>
        </w:tc>
      </w:tr>
      <w:tr>
        <w:trPr>
          <w:trHeight w:val="430"/>
        </w:trPr>
        <w:tc>
          <w:tcPr>
            <w:tcW w:w="3060" w:type="dxa"/>
            <w:vAlign w:val="bottom"/>
          </w:tcPr>
          <w:p>
            <w:pPr>
              <w:ind w:left="100"/>
              <w:spacing w:after="0"/>
              <w:rPr>
                <w:sz w:val="20"/>
                <w:szCs w:val="20"/>
                <w:color w:val="auto"/>
              </w:rPr>
            </w:pPr>
            <w:r>
              <w:rPr>
                <w:rFonts w:ascii="Arial" w:cs="Arial" w:eastAsia="Arial" w:hAnsi="Arial"/>
                <w:sz w:val="18"/>
                <w:szCs w:val="18"/>
                <w:color w:val="auto"/>
              </w:rPr>
              <w:t>Expiration Date:</w:t>
            </w:r>
          </w:p>
        </w:tc>
        <w:tc>
          <w:tcPr>
            <w:tcW w:w="8180" w:type="dxa"/>
            <w:vAlign w:val="bottom"/>
          </w:tcPr>
          <w:p>
            <w:pPr>
              <w:ind w:left="760"/>
              <w:spacing w:after="0"/>
              <w:rPr>
                <w:sz w:val="20"/>
                <w:szCs w:val="20"/>
                <w:color w:val="auto"/>
              </w:rPr>
            </w:pPr>
            <w:r>
              <w:rPr>
                <w:rFonts w:ascii="Arial" w:cs="Arial" w:eastAsia="Arial" w:hAnsi="Arial"/>
                <w:sz w:val="18"/>
                <w:szCs w:val="18"/>
                <w:color w:val="auto"/>
              </w:rPr>
              <w:t>______________________(the “Expiration Date”)</w:t>
            </w:r>
          </w:p>
        </w:tc>
      </w:tr>
      <w:tr>
        <w:trPr>
          <w:trHeight w:val="430"/>
        </w:trPr>
        <w:tc>
          <w:tcPr>
            <w:tcW w:w="3060" w:type="dxa"/>
            <w:vAlign w:val="bottom"/>
          </w:tcPr>
          <w:p>
            <w:pPr>
              <w:ind w:left="100"/>
              <w:spacing w:after="0"/>
              <w:rPr>
                <w:sz w:val="20"/>
                <w:szCs w:val="20"/>
                <w:color w:val="auto"/>
              </w:rPr>
            </w:pPr>
            <w:r>
              <w:rPr>
                <w:rFonts w:ascii="Arial" w:cs="Arial" w:eastAsia="Arial" w:hAnsi="Arial"/>
                <w:sz w:val="18"/>
                <w:szCs w:val="18"/>
                <w:color w:val="auto"/>
              </w:rPr>
              <w:t>Option Exercise Price/Share:</w:t>
            </w:r>
          </w:p>
        </w:tc>
        <w:tc>
          <w:tcPr>
            <w:tcW w:w="8180" w:type="dxa"/>
            <w:vAlign w:val="bottom"/>
          </w:tcPr>
          <w:p>
            <w:pPr>
              <w:ind w:left="760"/>
              <w:spacing w:after="0"/>
              <w:rPr>
                <w:sz w:val="20"/>
                <w:szCs w:val="20"/>
                <w:color w:val="auto"/>
              </w:rPr>
            </w:pPr>
            <w:r>
              <w:rPr>
                <w:rFonts w:ascii="Arial" w:cs="Arial" w:eastAsia="Arial" w:hAnsi="Arial"/>
                <w:sz w:val="18"/>
                <w:szCs w:val="18"/>
                <w:color w:val="auto"/>
              </w:rPr>
              <w:t>$_____________________(the “Option Exercise Price”)</w:t>
            </w:r>
          </w:p>
        </w:tc>
      </w:tr>
      <w:tr>
        <w:trPr>
          <w:trHeight w:val="416"/>
        </w:trPr>
        <w:tc>
          <w:tcPr>
            <w:tcW w:w="3060" w:type="dxa"/>
            <w:vAlign w:val="bottom"/>
          </w:tcPr>
          <w:p>
            <w:pPr>
              <w:ind w:left="100"/>
              <w:spacing w:after="0"/>
              <w:rPr>
                <w:sz w:val="20"/>
                <w:szCs w:val="20"/>
                <w:color w:val="auto"/>
              </w:rPr>
            </w:pPr>
            <w:r>
              <w:rPr>
                <w:rFonts w:ascii="Arial" w:cs="Arial" w:eastAsia="Arial" w:hAnsi="Arial"/>
                <w:sz w:val="18"/>
                <w:szCs w:val="18"/>
                <w:color w:val="auto"/>
              </w:rPr>
              <w:t>Vesting Schedule:</w:t>
            </w:r>
          </w:p>
        </w:tc>
        <w:tc>
          <w:tcPr>
            <w:tcW w:w="8180" w:type="dxa"/>
            <w:vAlign w:val="bottom"/>
          </w:tcPr>
          <w:p>
            <w:pPr>
              <w:ind w:left="760"/>
              <w:spacing w:after="0"/>
              <w:rPr>
                <w:sz w:val="20"/>
                <w:szCs w:val="20"/>
                <w:color w:val="auto"/>
              </w:rPr>
            </w:pPr>
            <w:r>
              <w:rPr>
                <w:rFonts w:ascii="Arial" w:cs="Arial" w:eastAsia="Arial" w:hAnsi="Arial"/>
                <w:sz w:val="18"/>
                <w:szCs w:val="18"/>
                <w:color w:val="auto"/>
                <w:w w:val="94"/>
              </w:rPr>
              <w:t>25 percent of the Shares shall vest and become exercisable on the first anniversary of the Vesting</w:t>
            </w:r>
          </w:p>
        </w:tc>
      </w:tr>
      <w:tr>
        <w:trPr>
          <w:trHeight w:val="215"/>
        </w:trPr>
        <w:tc>
          <w:tcPr>
            <w:tcW w:w="306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3"/>
              </w:rPr>
              <w:t>Commencement Date; provided that the Optionee continues to have a Service Relationship with the</w:t>
            </w:r>
          </w:p>
        </w:tc>
      </w:tr>
      <w:tr>
        <w:trPr>
          <w:trHeight w:val="215"/>
        </w:trPr>
        <w:tc>
          <w:tcPr>
            <w:tcW w:w="306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5"/>
              </w:rPr>
              <w:t>Company at such time. Thereafter, the remaining 75 percent of the Shares shall vest and become</w:t>
            </w:r>
          </w:p>
        </w:tc>
      </w:tr>
      <w:tr>
        <w:trPr>
          <w:trHeight w:val="215"/>
        </w:trPr>
        <w:tc>
          <w:tcPr>
            <w:tcW w:w="306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exercisable in 36 equal monthly installments following the first anniversary of the Vesting</w:t>
            </w:r>
          </w:p>
        </w:tc>
      </w:tr>
      <w:tr>
        <w:trPr>
          <w:trHeight w:val="215"/>
        </w:trPr>
        <w:tc>
          <w:tcPr>
            <w:tcW w:w="306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7"/>
              </w:rPr>
              <w:t>Commencement Date, provided the Optionee continues to have a Service Relationship with the</w:t>
            </w:r>
          </w:p>
        </w:tc>
      </w:tr>
      <w:tr>
        <w:trPr>
          <w:trHeight w:val="215"/>
        </w:trPr>
        <w:tc>
          <w:tcPr>
            <w:tcW w:w="306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5"/>
              </w:rPr>
              <w:t>Company on each vesting date. Notwithstanding anything in the Agreement to the contrary, in the</w:t>
            </w:r>
          </w:p>
        </w:tc>
      </w:tr>
      <w:tr>
        <w:trPr>
          <w:trHeight w:val="211"/>
        </w:trPr>
        <w:tc>
          <w:tcPr>
            <w:tcW w:w="306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1"/>
              </w:rPr>
              <w:t>case of a Sale Event, this Stock Option and the Shares shall be treated as provided in Section 3(c) of</w:t>
            </w:r>
          </w:p>
        </w:tc>
      </w:tr>
      <w:tr>
        <w:trPr>
          <w:trHeight w:val="234"/>
        </w:trPr>
        <w:tc>
          <w:tcPr>
            <w:tcW w:w="3060" w:type="dxa"/>
            <w:vAlign w:val="bottom"/>
          </w:tcPr>
          <w:p>
            <w:pPr>
              <w:spacing w:after="0"/>
              <w:rPr>
                <w:sz w:val="20"/>
                <w:szCs w:val="20"/>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the Plan</w:t>
            </w:r>
            <w:r>
              <w:rPr>
                <w:rFonts w:ascii="Arial" w:cs="Arial" w:eastAsia="Arial" w:hAnsi="Arial"/>
                <w:sz w:val="18"/>
                <w:szCs w:val="18"/>
                <w:b w:val="1"/>
                <w:bCs w:val="1"/>
                <w:color w:val="auto"/>
              </w:rPr>
              <w:t>.</w:t>
            </w:r>
          </w:p>
        </w:tc>
      </w:tr>
      <w:tr>
        <w:trPr>
          <w:trHeight w:val="794"/>
        </w:trPr>
        <w:tc>
          <w:tcPr>
            <w:tcW w:w="30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23" w:name="page424"/>
    <w:bookmarkEnd w:id="423"/>
    <w:p>
      <w:pPr>
        <w:jc w:val="center"/>
        <w:ind w:right="-119"/>
        <w:spacing w:after="0"/>
        <w:rPr>
          <w:sz w:val="20"/>
          <w:szCs w:val="20"/>
          <w:color w:val="auto"/>
        </w:rPr>
      </w:pPr>
      <w:r>
        <w:rPr>
          <w:rFonts w:ascii="Arial" w:cs="Arial" w:eastAsia="Arial" w:hAnsi="Arial"/>
          <w:sz w:val="18"/>
          <w:szCs w:val="18"/>
          <w:b w:val="1"/>
          <w:bCs w:val="1"/>
          <w:color w:val="auto"/>
        </w:rPr>
        <w:t>INCENTIVE STOCK OPTION AGREEMENT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CENTURY THERAPEUTICS, INC.</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2018 STOCK OPTION AND GRANT PLAN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capitalized terms used herein and not otherwise defined shall have the respective meanings set forth in the Grant Notice and the Plan.</w:t>
      </w:r>
    </w:p>
    <w:p>
      <w:pPr>
        <w:spacing w:after="0" w:line="223" w:lineRule="exact"/>
        <w:rPr>
          <w:sz w:val="20"/>
          <w:szCs w:val="20"/>
          <w:color w:val="auto"/>
        </w:rPr>
      </w:pPr>
    </w:p>
    <w:p>
      <w:pPr>
        <w:ind w:left="1300" w:hanging="647"/>
        <w:spacing w:after="0"/>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Termination</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ind w:left="1660" w:hanging="361"/>
        <w:spacing w:after="0"/>
        <w:tabs>
          <w:tab w:leader="none" w:pos="16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No portion of this Stock Option may be exercised until such portion shall have vested and become exercisable.</w:t>
      </w:r>
    </w:p>
    <w:p>
      <w:pPr>
        <w:spacing w:after="0" w:line="223" w:lineRule="exact"/>
        <w:rPr>
          <w:rFonts w:ascii="Arial" w:cs="Arial" w:eastAsia="Arial" w:hAnsi="Arial"/>
          <w:sz w:val="18"/>
          <w:szCs w:val="18"/>
          <w:color w:val="auto"/>
        </w:rPr>
      </w:pPr>
    </w:p>
    <w:p>
      <w:pPr>
        <w:ind w:firstLine="1299"/>
        <w:spacing w:after="0" w:line="275" w:lineRule="auto"/>
        <w:tabs>
          <w:tab w:leader="none" w:pos="1653" w:val="left"/>
        </w:tabs>
        <w:numPr>
          <w:ilvl w:val="1"/>
          <w:numId w:val="305"/>
        </w:numPr>
        <w:rPr>
          <w:rFonts w:ascii="Arial" w:cs="Arial" w:eastAsia="Arial" w:hAnsi="Arial"/>
          <w:sz w:val="18"/>
          <w:szCs w:val="18"/>
          <w:color w:val="auto"/>
        </w:rPr>
      </w:pPr>
      <w:r>
        <w:rPr>
          <w:rFonts w:ascii="Arial" w:cs="Arial" w:eastAsia="Arial" w:hAnsi="Arial"/>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171" w:lineRule="exact"/>
        <w:rPr>
          <w:rFonts w:ascii="Arial" w:cs="Arial" w:eastAsia="Arial" w:hAnsi="Arial"/>
          <w:sz w:val="18"/>
          <w:szCs w:val="18"/>
          <w:color w:val="auto"/>
        </w:rPr>
      </w:pPr>
    </w:p>
    <w:p>
      <w:pPr>
        <w:ind w:left="2540" w:hanging="789"/>
        <w:spacing w:after="0"/>
        <w:tabs>
          <w:tab w:leader="none" w:pos="254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This Stock Option shall initially be unvested and unexercisable.</w:t>
      </w:r>
    </w:p>
    <w:p>
      <w:pPr>
        <w:spacing w:after="0" w:line="223" w:lineRule="exact"/>
        <w:rPr>
          <w:rFonts w:ascii="Arial" w:cs="Arial" w:eastAsia="Arial" w:hAnsi="Arial"/>
          <w:sz w:val="18"/>
          <w:szCs w:val="18"/>
          <w:color w:val="auto"/>
        </w:rPr>
      </w:pPr>
    </w:p>
    <w:p>
      <w:pPr>
        <w:ind w:left="2520" w:hanging="769"/>
        <w:spacing w:after="0"/>
        <w:tabs>
          <w:tab w:leader="none" w:pos="2520" w:val="left"/>
        </w:tabs>
        <w:numPr>
          <w:ilvl w:val="2"/>
          <w:numId w:val="305"/>
        </w:numPr>
        <w:rPr>
          <w:rFonts w:ascii="Arial" w:cs="Arial" w:eastAsia="Arial" w:hAnsi="Arial"/>
          <w:sz w:val="16"/>
          <w:szCs w:val="16"/>
          <w:color w:val="auto"/>
        </w:rPr>
      </w:pPr>
      <w:r>
        <w:rPr>
          <w:rFonts w:ascii="Arial" w:cs="Arial" w:eastAsia="Arial" w:hAnsi="Arial"/>
          <w:sz w:val="16"/>
          <w:szCs w:val="16"/>
          <w:color w:val="auto"/>
        </w:rPr>
        <w:t>This Stock Option shall vest and become exercisable in accordance with the Vesting Schedule set forth in the Grant</w:t>
      </w:r>
    </w:p>
    <w:p>
      <w:pPr>
        <w:spacing w:after="0" w:line="4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Notice.</w:t>
      </w:r>
    </w:p>
    <w:p>
      <w:pPr>
        <w:spacing w:after="0" w:line="208" w:lineRule="exact"/>
        <w:rPr>
          <w:rFonts w:ascii="Arial" w:cs="Arial" w:eastAsia="Arial" w:hAnsi="Arial"/>
          <w:sz w:val="16"/>
          <w:szCs w:val="16"/>
          <w:color w:val="auto"/>
        </w:rPr>
      </w:pPr>
    </w:p>
    <w:p>
      <w:pPr>
        <w:jc w:val="both"/>
        <w:ind w:firstLine="1299"/>
        <w:spacing w:after="0" w:line="262" w:lineRule="auto"/>
        <w:tabs>
          <w:tab w:leader="none" w:pos="1656"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96" w:lineRule="exact"/>
        <w:rPr>
          <w:rFonts w:ascii="Arial" w:cs="Arial" w:eastAsia="Arial" w:hAnsi="Arial"/>
          <w:sz w:val="18"/>
          <w:szCs w:val="18"/>
          <w:color w:val="auto"/>
        </w:rPr>
      </w:pPr>
    </w:p>
    <w:p>
      <w:pPr>
        <w:ind w:left="1300" w:right="40" w:firstLine="451"/>
        <w:spacing w:after="0" w:line="258" w:lineRule="auto"/>
        <w:tabs>
          <w:tab w:leader="none" w:pos="2540" w:val="left"/>
        </w:tabs>
        <w:numPr>
          <w:ilvl w:val="2"/>
          <w:numId w:val="305"/>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86" w:lineRule="exact"/>
        <w:rPr>
          <w:rFonts w:ascii="Arial" w:cs="Arial" w:eastAsia="Arial" w:hAnsi="Arial"/>
          <w:sz w:val="18"/>
          <w:szCs w:val="18"/>
          <w:color w:val="auto"/>
        </w:rPr>
      </w:pPr>
    </w:p>
    <w:p>
      <w:pPr>
        <w:jc w:val="both"/>
        <w:ind w:left="1300" w:right="60" w:firstLine="451"/>
        <w:spacing w:after="0" w:line="300" w:lineRule="auto"/>
        <w:tabs>
          <w:tab w:leader="none" w:pos="2518" w:val="left"/>
        </w:tabs>
        <w:numPr>
          <w:ilvl w:val="2"/>
          <w:numId w:val="305"/>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6"/>
          <w:szCs w:val="16"/>
          <w:u w:val="single" w:color="auto"/>
          <w:color w:val="auto"/>
        </w:rPr>
        <w:t>provided however</w:t>
      </w:r>
      <w:r>
        <w:rPr>
          <w:rFonts w:ascii="Arial" w:cs="Arial" w:eastAsia="Arial" w:hAnsi="Arial"/>
          <w:sz w:val="16"/>
          <w:szCs w:val="16"/>
          <w:color w:val="auto"/>
        </w:rPr>
        <w:t>, if the Optionee’s Service Relationship is terminated for Cause, this Stock Option shall terminate immediately upon the date of such termination.</w:t>
      </w:r>
    </w:p>
    <w:p>
      <w:pPr>
        <w:spacing w:after="0" w:line="156" w:lineRule="exact"/>
        <w:rPr>
          <w:sz w:val="20"/>
          <w:szCs w:val="20"/>
          <w:color w:val="auto"/>
        </w:rPr>
      </w:pPr>
    </w:p>
    <w:p>
      <w:pPr>
        <w:ind w:right="20" w:firstLine="1291"/>
        <w:spacing w:after="0" w:line="340" w:lineRule="auto"/>
        <w:rPr>
          <w:sz w:val="20"/>
          <w:szCs w:val="20"/>
          <w:color w:val="auto"/>
        </w:rPr>
      </w:pPr>
      <w:r>
        <w:rPr>
          <w:rFonts w:ascii="Arial" w:cs="Arial" w:eastAsia="Arial" w:hAnsi="Arial"/>
          <w:sz w:val="16"/>
          <w:szCs w:val="16"/>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578" w:right="43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t>on the date of termination of the Service Relationship shall terminate immediately and be null and void.</w:t>
      </w:r>
    </w:p>
    <w:p>
      <w:pPr>
        <w:spacing w:after="0" w:line="89" w:lineRule="exact"/>
        <w:rPr>
          <w:sz w:val="20"/>
          <w:szCs w:val="20"/>
          <w:color w:val="auto"/>
        </w:rPr>
      </w:pPr>
    </w:p>
    <w:p>
      <w:pPr>
        <w:jc w:val="both"/>
        <w:ind w:firstLine="1299"/>
        <w:spacing w:after="0" w:line="287" w:lineRule="auto"/>
        <w:tabs>
          <w:tab w:leader="none" w:pos="1653" w:val="left"/>
        </w:tabs>
        <w:numPr>
          <w:ilvl w:val="1"/>
          <w:numId w:val="306"/>
        </w:numPr>
        <w:rPr>
          <w:rFonts w:ascii="Arial" w:cs="Arial" w:eastAsia="Arial" w:hAnsi="Arial"/>
          <w:sz w:val="16"/>
          <w:szCs w:val="16"/>
          <w:color w:val="auto"/>
        </w:rPr>
      </w:pPr>
      <w:r>
        <w:rPr>
          <w:rFonts w:ascii="Arial" w:cs="Arial" w:eastAsia="Arial" w:hAnsi="Arial"/>
          <w:sz w:val="16"/>
          <w:szCs w:val="16"/>
          <w:color w:val="auto"/>
        </w:rPr>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180" w:lineRule="exact"/>
        <w:rPr>
          <w:rFonts w:ascii="Arial" w:cs="Arial" w:eastAsia="Arial" w:hAnsi="Arial"/>
          <w:sz w:val="16"/>
          <w:szCs w:val="16"/>
          <w:color w:val="auto"/>
        </w:rPr>
      </w:pPr>
    </w:p>
    <w:p>
      <w:pPr>
        <w:ind w:left="1300" w:hanging="647"/>
        <w:spacing w:after="0"/>
        <w:tabs>
          <w:tab w:leader="none" w:pos="130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Exercise of Stock Option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right="20" w:firstLine="1299"/>
        <w:spacing w:after="0" w:line="274" w:lineRule="auto"/>
        <w:tabs>
          <w:tab w:leader="none" w:pos="1643" w:val="left"/>
        </w:tabs>
        <w:numPr>
          <w:ilvl w:val="1"/>
          <w:numId w:val="307"/>
        </w:numPr>
        <w:rPr>
          <w:rFonts w:ascii="Arial" w:cs="Arial" w:eastAsia="Arial" w:hAnsi="Arial"/>
          <w:sz w:val="17"/>
          <w:szCs w:val="17"/>
          <w:color w:val="auto"/>
        </w:rPr>
      </w:pPr>
      <w:r>
        <w:rPr>
          <w:rFonts w:ascii="Arial" w:cs="Arial" w:eastAsia="Arial" w:hAnsi="Arial"/>
          <w:sz w:val="17"/>
          <w:szCs w:val="17"/>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75" w:lineRule="exact"/>
        <w:rPr>
          <w:rFonts w:ascii="Arial" w:cs="Arial" w:eastAsia="Arial" w:hAnsi="Arial"/>
          <w:sz w:val="17"/>
          <w:szCs w:val="17"/>
          <w:color w:val="auto"/>
        </w:rPr>
      </w:pPr>
    </w:p>
    <w:p>
      <w:pPr>
        <w:ind w:left="1660" w:hanging="361"/>
        <w:spacing w:after="0"/>
        <w:tabs>
          <w:tab w:leader="none" w:pos="166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08" w:lineRule="exact"/>
        <w:rPr>
          <w:rFonts w:ascii="Arial" w:cs="Arial" w:eastAsia="Arial" w:hAnsi="Arial"/>
          <w:sz w:val="16"/>
          <w:szCs w:val="16"/>
          <w:color w:val="auto"/>
        </w:rPr>
      </w:pPr>
    </w:p>
    <w:p>
      <w:pPr>
        <w:ind w:right="20" w:firstLine="653"/>
        <w:spacing w:after="0" w:line="275" w:lineRule="auto"/>
        <w:tabs>
          <w:tab w:leader="none" w:pos="1282"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w:t>
      </w:r>
    </w:p>
    <w:p>
      <w:pPr>
        <w:spacing w:after="0" w:line="171" w:lineRule="exact"/>
        <w:rPr>
          <w:rFonts w:ascii="Arial" w:cs="Arial" w:eastAsia="Arial" w:hAnsi="Arial"/>
          <w:sz w:val="18"/>
          <w:szCs w:val="18"/>
          <w:color w:val="auto"/>
        </w:rPr>
      </w:pPr>
    </w:p>
    <w:p>
      <w:pPr>
        <w:jc w:val="both"/>
        <w:ind w:right="20" w:firstLine="653"/>
        <w:spacing w:after="0" w:line="272" w:lineRule="auto"/>
        <w:tabs>
          <w:tab w:leader="none" w:pos="1282"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Transferability of Stock Option</w:t>
      </w:r>
      <w:r>
        <w:rPr>
          <w:rFonts w:ascii="Arial" w:cs="Arial" w:eastAsia="Arial" w:hAnsi="Arial"/>
          <w:sz w:val="17"/>
          <w:szCs w:val="17"/>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9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425" w:name="page426"/>
    <w:bookmarkEnd w:id="425"/>
    <w:p>
      <w:pPr>
        <w:ind w:right="20"/>
        <w:spacing w:after="0" w:line="275" w:lineRule="auto"/>
        <w:rPr>
          <w:sz w:val="20"/>
          <w:szCs w:val="20"/>
          <w:color w:val="auto"/>
        </w:rPr>
      </w:pPr>
      <w:r>
        <w:rPr>
          <w:rFonts w:ascii="Arial" w:cs="Arial" w:eastAsia="Arial" w:hAnsi="Arial"/>
          <w:sz w:val="18"/>
          <w:szCs w:val="18"/>
          <w:color w:val="auto"/>
        </w:rPr>
        <w:t>beneficiary predeceases the Optionee, the legal representative of the Optionee may exercise this Stock Option to the extent provided herein in the event of the Optionee’s death.</w:t>
      </w:r>
    </w:p>
    <w:p>
      <w:pPr>
        <w:spacing w:after="0" w:line="225" w:lineRule="exact"/>
        <w:rPr>
          <w:sz w:val="20"/>
          <w:szCs w:val="20"/>
          <w:color w:val="auto"/>
        </w:rPr>
      </w:pPr>
    </w:p>
    <w:p>
      <w:pPr>
        <w:ind w:right="20" w:firstLine="653"/>
        <w:spacing w:after="0" w:line="275" w:lineRule="auto"/>
        <w:tabs>
          <w:tab w:leader="none" w:pos="128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171" w:lineRule="exact"/>
        <w:rPr>
          <w:rFonts w:ascii="Arial" w:cs="Arial" w:eastAsia="Arial" w:hAnsi="Arial"/>
          <w:sz w:val="18"/>
          <w:szCs w:val="18"/>
          <w:color w:val="auto"/>
        </w:rPr>
      </w:pPr>
    </w:p>
    <w:p>
      <w:pPr>
        <w:ind w:left="1280" w:hanging="627"/>
        <w:spacing w:after="0"/>
        <w:tabs>
          <w:tab w:leader="none" w:pos="128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ind w:right="20" w:firstLine="1299"/>
        <w:spacing w:after="0" w:line="306" w:lineRule="auto"/>
        <w:tabs>
          <w:tab w:leader="none" w:pos="1656"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47" w:lineRule="exact"/>
        <w:rPr>
          <w:rFonts w:ascii="Arial" w:cs="Arial" w:eastAsia="Arial" w:hAnsi="Arial"/>
          <w:sz w:val="17"/>
          <w:szCs w:val="17"/>
          <w:color w:val="auto"/>
        </w:rPr>
      </w:pPr>
    </w:p>
    <w:p>
      <w:pPr>
        <w:jc w:val="both"/>
        <w:ind w:firstLine="1299"/>
        <w:spacing w:after="0" w:line="256" w:lineRule="auto"/>
        <w:tabs>
          <w:tab w:leader="none" w:pos="1653"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 Structure</w:t>
      </w:r>
      <w:r>
        <w:rPr>
          <w:rFonts w:ascii="Arial" w:cs="Arial" w:eastAsia="Arial" w:hAnsi="Arial"/>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87" w:lineRule="exact"/>
        <w:rPr>
          <w:rFonts w:ascii="Arial" w:cs="Arial" w:eastAsia="Arial" w:hAnsi="Arial"/>
          <w:sz w:val="18"/>
          <w:szCs w:val="18"/>
          <w:color w:val="auto"/>
        </w:rPr>
      </w:pPr>
    </w:p>
    <w:p>
      <w:pPr>
        <w:jc w:val="both"/>
        <w:ind w:right="20" w:firstLine="1299"/>
        <w:spacing w:after="0" w:line="340" w:lineRule="auto"/>
        <w:tabs>
          <w:tab w:leader="none" w:pos="1643" w:val="left"/>
        </w:tabs>
        <w:numPr>
          <w:ilvl w:val="1"/>
          <w:numId w:val="308"/>
        </w:numPr>
        <w:rPr>
          <w:rFonts w:ascii="Arial" w:cs="Arial" w:eastAsia="Arial" w:hAnsi="Arial"/>
          <w:sz w:val="16"/>
          <w:szCs w:val="16"/>
          <w:color w:val="auto"/>
        </w:rPr>
      </w:pPr>
      <w:r>
        <w:rPr>
          <w:rFonts w:ascii="Arial" w:cs="Arial" w:eastAsia="Arial" w:hAnsi="Arial"/>
          <w:sz w:val="16"/>
          <w:szCs w:val="16"/>
          <w:u w:val="single" w:color="auto"/>
          <w:color w:val="auto"/>
        </w:rPr>
        <w:t>Change and Modifications</w:t>
      </w:r>
      <w:r>
        <w:rPr>
          <w:rFonts w:ascii="Arial" w:cs="Arial" w:eastAsia="Arial" w:hAnsi="Arial"/>
          <w:sz w:val="16"/>
          <w:szCs w:val="16"/>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24" w:lineRule="exact"/>
        <w:rPr>
          <w:rFonts w:ascii="Arial" w:cs="Arial" w:eastAsia="Arial" w:hAnsi="Arial"/>
          <w:sz w:val="16"/>
          <w:szCs w:val="16"/>
          <w:color w:val="auto"/>
        </w:rPr>
      </w:pPr>
    </w:p>
    <w:p>
      <w:pPr>
        <w:jc w:val="both"/>
        <w:ind w:right="20" w:firstLine="1299"/>
        <w:spacing w:after="0" w:line="310" w:lineRule="auto"/>
        <w:tabs>
          <w:tab w:leader="none" w:pos="1653" w:val="left"/>
        </w:tabs>
        <w:numPr>
          <w:ilvl w:val="1"/>
          <w:numId w:val="30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New York, without regard to conflict of law principles that would result in the application of any law other than the law of the State of New York.</w:t>
      </w:r>
    </w:p>
    <w:p>
      <w:pPr>
        <w:spacing w:after="0" w:line="148" w:lineRule="exact"/>
        <w:rPr>
          <w:rFonts w:ascii="Arial" w:cs="Arial" w:eastAsia="Arial" w:hAnsi="Arial"/>
          <w:sz w:val="16"/>
          <w:szCs w:val="16"/>
          <w:color w:val="auto"/>
        </w:rPr>
      </w:pPr>
    </w:p>
    <w:p>
      <w:pPr>
        <w:ind w:right="20" w:firstLine="1299"/>
        <w:spacing w:after="0" w:line="275" w:lineRule="auto"/>
        <w:tabs>
          <w:tab w:leader="none" w:pos="1643"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71" w:lineRule="exact"/>
        <w:rPr>
          <w:rFonts w:ascii="Arial" w:cs="Arial" w:eastAsia="Arial" w:hAnsi="Arial"/>
          <w:sz w:val="18"/>
          <w:szCs w:val="18"/>
          <w:color w:val="auto"/>
        </w:rPr>
      </w:pPr>
    </w:p>
    <w:p>
      <w:pPr>
        <w:ind w:right="20" w:firstLine="1299"/>
        <w:spacing w:after="0" w:line="275" w:lineRule="auto"/>
        <w:tabs>
          <w:tab w:leader="none" w:pos="1623"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Saving Clause</w:t>
      </w:r>
      <w:r>
        <w:rPr>
          <w:rFonts w:ascii="Arial" w:cs="Arial" w:eastAsia="Arial" w:hAnsi="Arial"/>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71" w:lineRule="exact"/>
        <w:rPr>
          <w:rFonts w:ascii="Arial" w:cs="Arial" w:eastAsia="Arial" w:hAnsi="Arial"/>
          <w:sz w:val="18"/>
          <w:szCs w:val="18"/>
          <w:color w:val="auto"/>
        </w:rPr>
      </w:pPr>
    </w:p>
    <w:p>
      <w:pPr>
        <w:jc w:val="both"/>
        <w:ind w:right="20" w:firstLine="1299"/>
        <w:spacing w:after="0" w:line="262" w:lineRule="auto"/>
        <w:tabs>
          <w:tab w:leader="none" w:pos="1680"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9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t>or to such other address or addresses as may have been furnished by such party in writing to the other.</w:t>
      </w:r>
    </w:p>
    <w:p>
      <w:pPr>
        <w:spacing w:after="0" w:line="89" w:lineRule="exact"/>
        <w:rPr>
          <w:sz w:val="20"/>
          <w:szCs w:val="20"/>
          <w:color w:val="auto"/>
        </w:rPr>
      </w:pPr>
    </w:p>
    <w:p>
      <w:pPr>
        <w:jc w:val="both"/>
        <w:ind w:firstLine="1299"/>
        <w:spacing w:after="0" w:line="262" w:lineRule="auto"/>
        <w:tabs>
          <w:tab w:leader="none" w:pos="1680"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Benefit and Binding Effect</w:t>
      </w:r>
      <w:r>
        <w:rPr>
          <w:rFonts w:ascii="Arial" w:cs="Arial" w:eastAsia="Arial" w:hAnsi="Arial"/>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83" w:lineRule="exact"/>
        <w:rPr>
          <w:rFonts w:ascii="Arial" w:cs="Arial" w:eastAsia="Arial" w:hAnsi="Arial"/>
          <w:sz w:val="18"/>
          <w:szCs w:val="18"/>
          <w:color w:val="auto"/>
        </w:rPr>
      </w:pPr>
    </w:p>
    <w:p>
      <w:pPr>
        <w:ind w:right="20" w:firstLine="1299"/>
        <w:spacing w:after="0" w:line="275" w:lineRule="auto"/>
        <w:tabs>
          <w:tab w:leader="none" w:pos="1640"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71" w:lineRule="exact"/>
        <w:rPr>
          <w:rFonts w:ascii="Arial" w:cs="Arial" w:eastAsia="Arial" w:hAnsi="Arial"/>
          <w:sz w:val="18"/>
          <w:szCs w:val="18"/>
          <w:color w:val="auto"/>
        </w:rPr>
      </w:pPr>
    </w:p>
    <w:p>
      <w:pPr>
        <w:ind w:right="20" w:firstLine="1299"/>
        <w:spacing w:after="0" w:line="275" w:lineRule="auto"/>
        <w:tabs>
          <w:tab w:leader="none" w:pos="1613"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1" w:lineRule="exact"/>
        <w:rPr>
          <w:rFonts w:ascii="Arial" w:cs="Arial" w:eastAsia="Arial" w:hAnsi="Arial"/>
          <w:sz w:val="18"/>
          <w:szCs w:val="18"/>
          <w:color w:val="auto"/>
        </w:rPr>
      </w:pPr>
    </w:p>
    <w:p>
      <w:pPr>
        <w:ind w:left="1280" w:hanging="627"/>
        <w:spacing w:after="0"/>
        <w:tabs>
          <w:tab w:leader="none" w:pos="128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36" w:lineRule="exact"/>
        <w:rPr>
          <w:rFonts w:ascii="Arial" w:cs="Arial" w:eastAsia="Arial" w:hAnsi="Arial"/>
          <w:sz w:val="18"/>
          <w:szCs w:val="18"/>
          <w:color w:val="auto"/>
        </w:rPr>
      </w:pPr>
    </w:p>
    <w:p>
      <w:pPr>
        <w:jc w:val="both"/>
        <w:ind w:firstLine="1299"/>
        <w:spacing w:after="0" w:line="253" w:lineRule="auto"/>
        <w:tabs>
          <w:tab w:leader="none" w:pos="165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w:t>
      </w:r>
    </w:p>
    <w:p>
      <w:pPr>
        <w:spacing w:after="0" w:line="2" w:lineRule="exact"/>
        <w:rPr>
          <w:rFonts w:ascii="Arial" w:cs="Arial" w:eastAsia="Arial" w:hAnsi="Arial"/>
          <w:sz w:val="18"/>
          <w:szCs w:val="18"/>
          <w:color w:val="auto"/>
        </w:rPr>
      </w:pPr>
    </w:p>
    <w:p>
      <w:pPr>
        <w:ind w:right="460"/>
        <w:spacing w:after="0" w:line="259" w:lineRule="auto"/>
        <w:rPr>
          <w:rFonts w:ascii="Arial" w:cs="Arial" w:eastAsia="Arial" w:hAnsi="Arial"/>
          <w:sz w:val="18"/>
          <w:szCs w:val="18"/>
          <w:color w:val="auto"/>
        </w:rPr>
      </w:pPr>
      <w:r>
        <w:rPr>
          <w:rFonts w:ascii="Arial" w:cs="Arial" w:eastAsia="Arial" w:hAnsi="Arial"/>
          <w:sz w:val="18"/>
          <w:szCs w:val="18"/>
          <w:color w:val="auto"/>
        </w:rPr>
        <w:t>U.S.C. Sections 1 16, and judgment upon the award rendered by the arbitrators may be entered by any court having jurisdiction thereof. The place of arbitration shall be New York, New York.</w:t>
      </w:r>
    </w:p>
    <w:p>
      <w:pPr>
        <w:spacing w:after="0" w:line="184" w:lineRule="exact"/>
        <w:rPr>
          <w:rFonts w:ascii="Arial" w:cs="Arial" w:eastAsia="Arial" w:hAnsi="Arial"/>
          <w:sz w:val="18"/>
          <w:szCs w:val="18"/>
          <w:color w:val="auto"/>
        </w:rPr>
      </w:pPr>
    </w:p>
    <w:p>
      <w:pPr>
        <w:jc w:val="both"/>
        <w:ind w:firstLine="1299"/>
        <w:spacing w:after="0" w:line="268" w:lineRule="auto"/>
        <w:tabs>
          <w:tab w:leader="none" w:pos="1653"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265" w:lineRule="exact"/>
        <w:rPr>
          <w:rFonts w:ascii="Arial" w:cs="Arial" w:eastAsia="Arial" w:hAnsi="Arial"/>
          <w:sz w:val="17"/>
          <w:szCs w:val="17"/>
          <w:color w:val="auto"/>
        </w:rPr>
      </w:pPr>
    </w:p>
    <w:p>
      <w:pPr>
        <w:ind w:right="20" w:firstLine="1299"/>
        <w:spacing w:after="0" w:line="306" w:lineRule="auto"/>
        <w:tabs>
          <w:tab w:leader="none" w:pos="1643"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The Company, the Optionee, each party to the Agreement and any other holder of Shares issued pursuant to this Agreement (each, a “Party”) covenants and agrees that such party will participate in the arbitration in good faith. This Section 7 applies equally to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427" w:name="page428"/>
    <w:bookmarkEnd w:id="427"/>
    <w:p>
      <w:pPr>
        <w:ind w:right="20"/>
        <w:spacing w:after="0" w:line="275" w:lineRule="auto"/>
        <w:rPr>
          <w:sz w:val="20"/>
          <w:szCs w:val="20"/>
          <w:color w:val="auto"/>
        </w:rPr>
      </w:pPr>
      <w:r>
        <w:rPr>
          <w:rFonts w:ascii="Arial" w:cs="Arial" w:eastAsia="Arial" w:hAnsi="Arial"/>
          <w:sz w:val="18"/>
          <w:szCs w:val="18"/>
          <w:color w:val="auto"/>
        </w:rPr>
        <w:t>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0" w:lineRule="exact"/>
        <w:rPr>
          <w:sz w:val="20"/>
          <w:szCs w:val="20"/>
          <w:color w:val="auto"/>
        </w:rPr>
      </w:pPr>
    </w:p>
    <w:p>
      <w:pPr>
        <w:jc w:val="both"/>
        <w:ind w:firstLine="1299"/>
        <w:spacing w:after="0" w:line="287" w:lineRule="auto"/>
        <w:tabs>
          <w:tab w:leader="none" w:pos="1653" w:val="left"/>
        </w:tabs>
        <w:numPr>
          <w:ilvl w:val="1"/>
          <w:numId w:val="311"/>
        </w:numPr>
        <w:rPr>
          <w:rFonts w:ascii="Arial" w:cs="Arial" w:eastAsia="Arial" w:hAnsi="Arial"/>
          <w:sz w:val="16"/>
          <w:szCs w:val="16"/>
          <w:color w:val="auto"/>
        </w:rPr>
      </w:pPr>
      <w:r>
        <w:rPr>
          <w:rFonts w:ascii="Arial" w:cs="Arial" w:eastAsia="Arial" w:hAnsi="Arial"/>
          <w:sz w:val="16"/>
          <w:szCs w:val="16"/>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80" w:lineRule="exact"/>
        <w:rPr>
          <w:rFonts w:ascii="Arial" w:cs="Arial" w:eastAsia="Arial" w:hAnsi="Arial"/>
          <w:sz w:val="16"/>
          <w:szCs w:val="16"/>
          <w:color w:val="auto"/>
        </w:rPr>
      </w:pPr>
    </w:p>
    <w:p>
      <w:pPr>
        <w:jc w:val="both"/>
        <w:ind w:right="40" w:firstLine="653"/>
        <w:spacing w:after="0" w:line="268" w:lineRule="auto"/>
        <w:tabs>
          <w:tab w:leader="none" w:pos="1448"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Waiver of Statutory Information Rights</w:t>
      </w:r>
      <w:r>
        <w:rPr>
          <w:rFonts w:ascii="Arial" w:cs="Arial" w:eastAsia="Arial" w:hAnsi="Arial"/>
          <w:sz w:val="17"/>
          <w:szCs w:val="17"/>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40"/>
          </w:cols>
          <w:pgMar w:left="320" w:top="690" w:right="439" w:bottom="1440" w:gutter="0" w:footer="0" w:header="0"/>
        </w:sectPr>
      </w:pPr>
    </w:p>
    <w:bookmarkStart w:id="428" w:name="page429"/>
    <w:bookmarkEnd w:id="428"/>
    <w:p>
      <w:pPr>
        <w:ind w:left="60"/>
        <w:spacing w:after="0"/>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as of the date first above written.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CENTURY THERAPEUTICS, INC.</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400" w:lineRule="exact"/>
        <w:rPr>
          <w:sz w:val="20"/>
          <w:szCs w:val="20"/>
          <w:color w:val="auto"/>
        </w:rPr>
      </w:pPr>
    </w:p>
    <w:p>
      <w:pPr>
        <w:jc w:val="both"/>
        <w:ind w:left="320"/>
        <w:spacing w:after="0" w:line="256" w:lineRule="auto"/>
        <w:rPr>
          <w:sz w:val="20"/>
          <w:szCs w:val="20"/>
          <w:color w:val="auto"/>
        </w:rPr>
      </w:pPr>
      <w:r>
        <w:rPr>
          <w:rFonts w:ascii="Arial" w:cs="Arial" w:eastAsia="Arial" w:hAnsi="Arial"/>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OPTIONEE:</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22860</wp:posOffset>
            </wp:positionV>
            <wp:extent cx="71329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040"/>
          </w:cols>
          <w:pgMar w:left="420" w:top="690" w:right="439" w:bottom="1440" w:gutter="0" w:footer="0" w:header="0"/>
        </w:sectPr>
      </w:pPr>
    </w:p>
    <w:bookmarkStart w:id="429" w:name="page430"/>
    <w:bookmarkEnd w:id="429"/>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EXERCISE NOTICE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Century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__________</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pacing w:after="0" w:line="305" w:lineRule="exact"/>
        <w:rPr>
          <w:sz w:val="20"/>
          <w:szCs w:val="20"/>
          <w:color w:val="auto"/>
        </w:rPr>
      </w:pPr>
    </w:p>
    <w:p>
      <w:pPr>
        <w:ind w:right="140" w:firstLine="646"/>
        <w:spacing w:after="0" w:line="290" w:lineRule="auto"/>
        <w:rPr>
          <w:sz w:val="20"/>
          <w:szCs w:val="20"/>
          <w:color w:val="auto"/>
        </w:rPr>
      </w:pPr>
      <w:r>
        <w:rPr>
          <w:rFonts w:ascii="Arial" w:cs="Arial" w:eastAsia="Arial" w:hAnsi="Arial"/>
          <w:sz w:val="16"/>
          <w:szCs w:val="16"/>
          <w:color w:val="auto"/>
        </w:rPr>
        <w:t>Pursuant to the terms of the grant notice and stock option agreement between the undersigned and Century Therapeutics, Inc. (the “Company”) dated</w:t>
      </w:r>
      <w:r>
        <w:rPr>
          <w:rFonts w:ascii="Arial" w:cs="Arial" w:eastAsia="Arial" w:hAnsi="Arial"/>
          <w:sz w:val="16"/>
          <w:szCs w:val="16"/>
          <w:u w:val="single" w:color="auto"/>
          <w:color w:val="auto"/>
        </w:rPr>
        <w:t>___________</w:t>
      </w:r>
      <w:r>
        <w:rPr>
          <w:rFonts w:ascii="Arial" w:cs="Arial" w:eastAsia="Arial" w:hAnsi="Arial"/>
          <w:sz w:val="16"/>
          <w:szCs w:val="16"/>
          <w:color w:val="auto"/>
        </w:rPr>
        <w:t>(the “Agreement”) under the Century Therapeutics, Inc. 2018 Stock Option and Grant Plan, I, [Insert Name]________</w:t>
      </w:r>
      <w:r>
        <w:rPr>
          <w:rFonts w:ascii="Arial" w:cs="Arial" w:eastAsia="Arial" w:hAnsi="Arial"/>
          <w:sz w:val="16"/>
          <w:szCs w:val="16"/>
          <w:u w:val="single" w:color="auto"/>
          <w:color w:val="auto"/>
        </w:rPr>
        <w:t>____</w:t>
      </w:r>
      <w:r>
        <w:rPr>
          <w:rFonts w:ascii="Arial" w:cs="Arial" w:eastAsia="Arial" w:hAnsi="Arial"/>
          <w:sz w:val="16"/>
          <w:szCs w:val="16"/>
          <w:color w:val="auto"/>
        </w:rPr>
        <w:t>, hereby</w:t>
      </w:r>
    </w:p>
    <w:p>
      <w:pPr>
        <w:spacing w:after="0"/>
        <w:rPr>
          <w:sz w:val="20"/>
          <w:szCs w:val="20"/>
          <w:color w:val="auto"/>
        </w:rPr>
      </w:pPr>
      <w:r>
        <w:rPr>
          <w:rFonts w:ascii="Arial" w:cs="Arial" w:eastAsia="Arial" w:hAnsi="Arial"/>
          <w:sz w:val="17"/>
          <w:szCs w:val="17"/>
          <w:color w:val="auto"/>
        </w:rPr>
        <w:t>[Circle One] partially/fully exercise such option by including herein payment in the amount of $_________ representing the purchase price for [Fill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-12700</wp:posOffset>
            </wp:positionV>
            <wp:extent cx="3683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Shares]______________Shares. I have chosen the following form(s) of payment: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jc w:val="right"/>
              <w:ind w:right="490"/>
              <w:spacing w:after="0"/>
              <w:rPr>
                <w:sz w:val="20"/>
                <w:szCs w:val="20"/>
                <w:color w:val="auto"/>
              </w:rPr>
            </w:pPr>
            <w:r>
              <w:rPr>
                <w:rFonts w:ascii="Arial" w:cs="Arial" w:eastAsia="Arial" w:hAnsi="Arial"/>
                <w:sz w:val="18"/>
                <w:szCs w:val="18"/>
                <w:color w:val="auto"/>
              </w:rPr>
              <w:t>[ ]</w:t>
            </w:r>
          </w:p>
        </w:tc>
        <w:tc>
          <w:tcPr>
            <w:tcW w:w="1140" w:type="dxa"/>
            <w:vAlign w:val="bottom"/>
          </w:tcPr>
          <w:p>
            <w:pPr>
              <w:ind w:left="600"/>
              <w:spacing w:after="0"/>
              <w:rPr>
                <w:sz w:val="20"/>
                <w:szCs w:val="20"/>
                <w:color w:val="auto"/>
              </w:rPr>
            </w:pPr>
            <w:r>
              <w:rPr>
                <w:rFonts w:ascii="Arial" w:cs="Arial" w:eastAsia="Arial" w:hAnsi="Arial"/>
                <w:sz w:val="18"/>
                <w:szCs w:val="18"/>
                <w:color w:val="auto"/>
              </w:rPr>
              <w:t>1.</w:t>
            </w:r>
          </w:p>
        </w:tc>
        <w:tc>
          <w:tcPr>
            <w:tcW w:w="1480" w:type="dxa"/>
            <w:vAlign w:val="bottom"/>
          </w:tcPr>
          <w:p>
            <w:pPr>
              <w:ind w:left="360"/>
              <w:spacing w:after="0"/>
              <w:rPr>
                <w:sz w:val="20"/>
                <w:szCs w:val="20"/>
                <w:color w:val="auto"/>
              </w:rPr>
            </w:pPr>
            <w:r>
              <w:rPr>
                <w:rFonts w:ascii="Arial" w:cs="Arial" w:eastAsia="Arial" w:hAnsi="Arial"/>
                <w:sz w:val="18"/>
                <w:szCs w:val="18"/>
                <w:color w:val="auto"/>
              </w:rPr>
              <w:t>Cash</w:t>
            </w:r>
          </w:p>
        </w:tc>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760" w:type="dxa"/>
            <w:vAlign w:val="bottom"/>
          </w:tcPr>
          <w:p>
            <w:pPr>
              <w:spacing w:after="0"/>
              <w:rPr>
                <w:sz w:val="18"/>
                <w:szCs w:val="18"/>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rPr>
              <w:t>[ ]</w:t>
            </w:r>
          </w:p>
        </w:tc>
        <w:tc>
          <w:tcPr>
            <w:tcW w:w="1480" w:type="dxa"/>
            <w:vAlign w:val="bottom"/>
          </w:tcPr>
          <w:p>
            <w:pPr>
              <w:ind w:left="360"/>
              <w:spacing w:after="0"/>
              <w:rPr>
                <w:sz w:val="20"/>
                <w:szCs w:val="20"/>
                <w:color w:val="auto"/>
              </w:rPr>
            </w:pPr>
            <w:r>
              <w:rPr>
                <w:rFonts w:ascii="Arial" w:cs="Arial" w:eastAsia="Arial" w:hAnsi="Arial"/>
                <w:sz w:val="18"/>
                <w:szCs w:val="18"/>
                <w:color w:val="auto"/>
              </w:rPr>
              <w:t>2.</w:t>
            </w:r>
          </w:p>
        </w:tc>
        <w:tc>
          <w:tcPr>
            <w:tcW w:w="5920" w:type="dxa"/>
            <w:vAlign w:val="bottom"/>
            <w:gridSpan w:val="2"/>
          </w:tcPr>
          <w:p>
            <w:pPr>
              <w:spacing w:after="0"/>
              <w:rPr>
                <w:sz w:val="20"/>
                <w:szCs w:val="20"/>
                <w:color w:val="auto"/>
              </w:rPr>
            </w:pPr>
            <w:r>
              <w:rPr>
                <w:rFonts w:ascii="Arial" w:cs="Arial" w:eastAsia="Arial" w:hAnsi="Arial"/>
                <w:sz w:val="18"/>
                <w:szCs w:val="18"/>
                <w:color w:val="auto"/>
              </w:rPr>
              <w:t>Certified or bank check payable to Century Therapeutics, Inc</w:t>
            </w:r>
          </w:p>
        </w:tc>
      </w:tr>
      <w:tr>
        <w:trPr>
          <w:trHeight w:val="215"/>
        </w:trPr>
        <w:tc>
          <w:tcPr>
            <w:tcW w:w="760" w:type="dxa"/>
            <w:vAlign w:val="bottom"/>
          </w:tcPr>
          <w:p>
            <w:pPr>
              <w:spacing w:after="0"/>
              <w:rPr>
                <w:sz w:val="18"/>
                <w:szCs w:val="18"/>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rPr>
              <w:t>[ ]</w:t>
            </w:r>
          </w:p>
        </w:tc>
        <w:tc>
          <w:tcPr>
            <w:tcW w:w="1480" w:type="dxa"/>
            <w:vAlign w:val="bottom"/>
          </w:tcPr>
          <w:p>
            <w:pPr>
              <w:ind w:left="360"/>
              <w:spacing w:after="0"/>
              <w:rPr>
                <w:sz w:val="20"/>
                <w:szCs w:val="20"/>
                <w:color w:val="auto"/>
              </w:rPr>
            </w:pPr>
            <w:r>
              <w:rPr>
                <w:rFonts w:ascii="Arial" w:cs="Arial" w:eastAsia="Arial" w:hAnsi="Arial"/>
                <w:sz w:val="18"/>
                <w:szCs w:val="18"/>
                <w:color w:val="auto"/>
              </w:rPr>
              <w:t>3.</w:t>
            </w:r>
          </w:p>
        </w:tc>
        <w:tc>
          <w:tcPr>
            <w:tcW w:w="5920" w:type="dxa"/>
            <w:vAlign w:val="bottom"/>
            <w:gridSpan w:val="2"/>
          </w:tcPr>
          <w:p>
            <w:pPr>
              <w:spacing w:after="0"/>
              <w:rPr>
                <w:sz w:val="20"/>
                <w:szCs w:val="20"/>
                <w:color w:val="auto"/>
              </w:rPr>
            </w:pPr>
            <w:r>
              <w:rPr>
                <w:rFonts w:ascii="Arial" w:cs="Arial" w:eastAsia="Arial" w:hAnsi="Arial"/>
                <w:sz w:val="18"/>
                <w:szCs w:val="18"/>
                <w:color w:val="auto"/>
                <w:w w:val="88"/>
              </w:rPr>
              <w:t>Other (as referenced in the Agreement and described in the Plan (please describe))</w:t>
            </w:r>
          </w:p>
        </w:tc>
      </w:tr>
      <w:tr>
        <w:trPr>
          <w:trHeight w:val="230"/>
        </w:trPr>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my exercise of the option as set forth above, I hereby represent and warrant to the Company as follows:</w:t>
      </w:r>
    </w:p>
    <w:p>
      <w:pPr>
        <w:spacing w:after="0" w:line="223" w:lineRule="exact"/>
        <w:rPr>
          <w:sz w:val="20"/>
          <w:szCs w:val="20"/>
          <w:color w:val="auto"/>
        </w:rPr>
      </w:pPr>
    </w:p>
    <w:p>
      <w:pPr>
        <w:ind w:left="2760" w:hanging="815"/>
        <w:spacing w:after="0"/>
        <w:tabs>
          <w:tab w:leader="none" w:pos="276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 am purchasing the Shares for my own account for investment only, and not for resale or with a view to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distribution thereof.</w:t>
      </w:r>
    </w:p>
    <w:p>
      <w:pPr>
        <w:spacing w:after="0" w:line="208" w:lineRule="exact"/>
        <w:rPr>
          <w:rFonts w:ascii="Arial" w:cs="Arial" w:eastAsia="Arial" w:hAnsi="Arial"/>
          <w:sz w:val="17"/>
          <w:szCs w:val="17"/>
          <w:color w:val="auto"/>
        </w:rPr>
      </w:pPr>
    </w:p>
    <w:p>
      <w:pPr>
        <w:jc w:val="both"/>
        <w:ind w:left="660" w:firstLine="1285"/>
        <w:spacing w:after="0" w:line="262" w:lineRule="auto"/>
        <w:tabs>
          <w:tab w:leader="none" w:pos="27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83" w:lineRule="exact"/>
        <w:rPr>
          <w:rFonts w:ascii="Arial" w:cs="Arial" w:eastAsia="Arial" w:hAnsi="Arial"/>
          <w:sz w:val="18"/>
          <w:szCs w:val="18"/>
          <w:color w:val="auto"/>
        </w:rPr>
      </w:pPr>
    </w:p>
    <w:p>
      <w:pPr>
        <w:ind w:left="660" w:firstLine="1285"/>
        <w:spacing w:after="0" w:line="275" w:lineRule="auto"/>
        <w:tabs>
          <w:tab w:leader="none" w:pos="269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71" w:lineRule="exact"/>
        <w:rPr>
          <w:rFonts w:ascii="Arial" w:cs="Arial" w:eastAsia="Arial" w:hAnsi="Arial"/>
          <w:sz w:val="18"/>
          <w:szCs w:val="18"/>
          <w:color w:val="auto"/>
        </w:rPr>
      </w:pPr>
    </w:p>
    <w:p>
      <w:pPr>
        <w:ind w:left="2680" w:hanging="735"/>
        <w:spacing w:after="0"/>
        <w:tabs>
          <w:tab w:leader="none" w:pos="26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 indefinite period of time.</w:t>
      </w:r>
    </w:p>
    <w:p>
      <w:pPr>
        <w:spacing w:after="0" w:line="208" w:lineRule="exact"/>
        <w:rPr>
          <w:rFonts w:ascii="Arial" w:cs="Arial" w:eastAsia="Arial" w:hAnsi="Arial"/>
          <w:sz w:val="16"/>
          <w:szCs w:val="16"/>
          <w:color w:val="auto"/>
        </w:rPr>
      </w:pPr>
    </w:p>
    <w:p>
      <w:pPr>
        <w:jc w:val="both"/>
        <w:ind w:left="660" w:firstLine="1285"/>
        <w:spacing w:after="0" w:line="258" w:lineRule="auto"/>
        <w:tabs>
          <w:tab w:leader="none" w:pos="27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9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30" w:name="page431"/>
    <w:bookmarkEnd w:id="430"/>
    <w:p>
      <w:pPr>
        <w:jc w:val="both"/>
        <w:ind w:left="660" w:right="20"/>
        <w:spacing w:after="0" w:line="262" w:lineRule="auto"/>
        <w:rPr>
          <w:sz w:val="20"/>
          <w:szCs w:val="20"/>
          <w:color w:val="auto"/>
        </w:rPr>
      </w:pPr>
      <w:r>
        <w:rPr>
          <w:rFonts w:ascii="Arial" w:cs="Arial" w:eastAsia="Arial" w:hAnsi="Arial"/>
          <w:sz w:val="18"/>
          <w:szCs w:val="18"/>
          <w:color w:val="auto"/>
        </w:rPr>
        <w:t>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237" w:lineRule="exact"/>
        <w:rPr>
          <w:sz w:val="20"/>
          <w:szCs w:val="20"/>
          <w:color w:val="auto"/>
        </w:rPr>
      </w:pPr>
    </w:p>
    <w:p>
      <w:pPr>
        <w:ind w:left="660" w:firstLine="1285"/>
        <w:spacing w:after="0" w:line="275" w:lineRule="auto"/>
        <w:tabs>
          <w:tab w:leader="none" w:pos="268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71" w:lineRule="exact"/>
        <w:rPr>
          <w:rFonts w:ascii="Arial" w:cs="Arial" w:eastAsia="Arial" w:hAnsi="Arial"/>
          <w:sz w:val="18"/>
          <w:szCs w:val="18"/>
          <w:color w:val="auto"/>
        </w:rPr>
      </w:pPr>
    </w:p>
    <w:p>
      <w:pPr>
        <w:ind w:left="2660" w:hanging="715"/>
        <w:spacing w:after="0"/>
        <w:tabs>
          <w:tab w:leader="none" w:pos="266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 understand and agree that the Company has a right of first refusal with respect to the Shares pursuant to Section 9(b)</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Plan.</w:t>
      </w:r>
    </w:p>
    <w:p>
      <w:pPr>
        <w:spacing w:after="0" w:line="208" w:lineRule="exact"/>
        <w:rPr>
          <w:rFonts w:ascii="Arial" w:cs="Arial" w:eastAsia="Arial" w:hAnsi="Arial"/>
          <w:sz w:val="16"/>
          <w:szCs w:val="16"/>
          <w:color w:val="auto"/>
        </w:rPr>
      </w:pPr>
    </w:p>
    <w:p>
      <w:pPr>
        <w:ind w:left="2640" w:hanging="695"/>
        <w:spacing w:after="0"/>
        <w:tabs>
          <w:tab w:leader="none" w:pos="26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 understand and agree that the Company has certain repurchase rights with respect to the Shares pursuant to Section</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9(c) of the Plan.</w:t>
      </w:r>
    </w:p>
    <w:p>
      <w:pPr>
        <w:spacing w:after="0" w:line="208" w:lineRule="exact"/>
        <w:rPr>
          <w:rFonts w:ascii="Arial" w:cs="Arial" w:eastAsia="Arial" w:hAnsi="Arial"/>
          <w:sz w:val="16"/>
          <w:szCs w:val="16"/>
          <w:color w:val="auto"/>
        </w:rPr>
      </w:pPr>
    </w:p>
    <w:p>
      <w:pPr>
        <w:ind w:left="660" w:firstLine="1285"/>
        <w:spacing w:after="0" w:line="275" w:lineRule="auto"/>
        <w:tabs>
          <w:tab w:leader="none" w:pos="268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171" w:lineRule="exact"/>
        <w:rPr>
          <w:rFonts w:ascii="Arial" w:cs="Arial" w:eastAsia="Arial" w:hAnsi="Arial"/>
          <w:sz w:val="18"/>
          <w:szCs w:val="18"/>
          <w:color w:val="auto"/>
        </w:rPr>
      </w:pPr>
    </w:p>
    <w:p>
      <w:pPr>
        <w:ind w:left="2700" w:hanging="755"/>
        <w:spacing w:after="0"/>
        <w:tabs>
          <w:tab w:leader="none" w:pos="270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 understand and agree to the waiver of statutory information rights as set forth in Section 8 of the Agreement.</w:t>
      </w:r>
    </w:p>
    <w:p>
      <w:pPr>
        <w:spacing w:after="0" w:line="24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b w:val="1"/>
          <w:bCs w:val="1"/>
          <w:color w:val="auto"/>
        </w:rPr>
        <w:t>Exhibit 10.23</w:t>
      </w: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LOAN AND SECURITY AGREEMENT</w:t>
      </w:r>
    </w:p>
    <w:p>
      <w:pPr>
        <w:spacing w:after="0" w:line="116" w:lineRule="exact"/>
        <w:rPr>
          <w:sz w:val="20"/>
          <w:szCs w:val="20"/>
          <w:color w:val="auto"/>
        </w:rPr>
      </w:pPr>
    </w:p>
    <w:p>
      <w:pPr>
        <w:ind w:right="300" w:firstLine="646"/>
        <w:spacing w:after="0" w:line="256" w:lineRule="auto"/>
        <w:rPr>
          <w:sz w:val="20"/>
          <w:szCs w:val="20"/>
          <w:color w:val="auto"/>
        </w:rPr>
      </w:pPr>
      <w:r>
        <w:rPr>
          <w:rFonts w:ascii="Arial" w:cs="Arial" w:eastAsia="Arial" w:hAnsi="Arial"/>
          <w:sz w:val="18"/>
          <w:szCs w:val="18"/>
          <w:color w:val="auto"/>
        </w:rPr>
        <w:t>THIS LOAN AND SECURITY AGREEMENT is made and dated as of September 14, 2020 and is entered into by and among CENTURY THERAPEUTICS, LLC, a Delaware limited liability company, and each of its Subsidiaries (hereinafter collectively referred to as the “Borrower”), the several banks and other financial institutions or entities from time to time parties to this Agreement (collectively, referred to as the “Lenders”) and HERCULES CAPITAL, INC., a Maryland corporation, in its capacity as administrative agent and collateral agent for itself and the Lenders (in such capacity, the “Agent”).</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RECITALS</w:t>
      </w:r>
    </w:p>
    <w:p>
      <w:pPr>
        <w:spacing w:after="0" w:line="241" w:lineRule="exact"/>
        <w:rPr>
          <w:sz w:val="20"/>
          <w:szCs w:val="20"/>
          <w:color w:val="auto"/>
        </w:rPr>
      </w:pPr>
    </w:p>
    <w:p>
      <w:pPr>
        <w:ind w:right="360" w:firstLine="640"/>
        <w:spacing w:after="0" w:line="275" w:lineRule="auto"/>
        <w:tabs>
          <w:tab w:leader="none" w:pos="158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Borrower has requested the Lenders make available to Borrower a loan in an aggregate principal amount of up to Thirty Million Dollars ($30,000,000) (the “Term Loan”); and</w:t>
      </w:r>
    </w:p>
    <w:p>
      <w:pPr>
        <w:spacing w:after="0" w:line="171" w:lineRule="exact"/>
        <w:rPr>
          <w:rFonts w:ascii="Arial" w:cs="Arial" w:eastAsia="Arial" w:hAnsi="Arial"/>
          <w:sz w:val="18"/>
          <w:szCs w:val="18"/>
          <w:color w:val="auto"/>
        </w:rPr>
      </w:pPr>
    </w:p>
    <w:p>
      <w:pPr>
        <w:ind w:left="1560" w:hanging="920"/>
        <w:spacing w:after="0"/>
        <w:tabs>
          <w:tab w:leader="none" w:pos="15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Lenders are willing to make the Term Loan on the terms and conditions set forth in this Agreement.</w:t>
      </w:r>
    </w:p>
    <w:p>
      <w:pPr>
        <w:spacing w:after="0" w:line="23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AGREEMENT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Borrower, Agent and the Lenders agree as follows:</w:t>
      </w:r>
    </w:p>
    <w:p>
      <w:pPr>
        <w:spacing w:after="0" w:line="219"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 AND RULES OF CONSTRUCTION</w:t>
      </w:r>
    </w:p>
    <w:p>
      <w:pPr>
        <w:spacing w:after="0" w:line="227" w:lineRule="exact"/>
        <w:rPr>
          <w:sz w:val="20"/>
          <w:szCs w:val="20"/>
          <w:color w:val="auto"/>
        </w:rPr>
      </w:pPr>
    </w:p>
    <w:p>
      <w:pPr>
        <w:ind w:left="1200"/>
        <w:spacing w:after="0"/>
        <w:tabs>
          <w:tab w:leader="none" w:pos="2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Unless otherwise defined herein, the following capitalized terms shall have the following meanings:</w:t>
      </w:r>
    </w:p>
    <w:p>
      <w:pPr>
        <w:spacing w:after="0" w:line="237" w:lineRule="exact"/>
        <w:rPr>
          <w:sz w:val="20"/>
          <w:szCs w:val="20"/>
          <w:color w:val="auto"/>
        </w:rPr>
      </w:pPr>
    </w:p>
    <w:p>
      <w:pPr>
        <w:ind w:right="360" w:firstLine="1291"/>
        <w:spacing w:after="0" w:line="262" w:lineRule="auto"/>
        <w:rPr>
          <w:sz w:val="20"/>
          <w:szCs w:val="20"/>
          <w:color w:val="auto"/>
        </w:rPr>
      </w:pPr>
      <w:r>
        <w:rPr>
          <w:rFonts w:ascii="Arial" w:cs="Arial" w:eastAsia="Arial" w:hAnsi="Arial"/>
          <w:sz w:val="18"/>
          <w:szCs w:val="18"/>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97" w:lineRule="exact"/>
        <w:rPr>
          <w:sz w:val="20"/>
          <w:szCs w:val="20"/>
          <w:color w:val="auto"/>
        </w:rPr>
      </w:pPr>
    </w:p>
    <w:p>
      <w:pPr>
        <w:ind w:right="340" w:firstLine="1291"/>
        <w:spacing w:after="0" w:line="275" w:lineRule="auto"/>
        <w:rPr>
          <w:sz w:val="20"/>
          <w:szCs w:val="20"/>
          <w:color w:val="auto"/>
        </w:rPr>
      </w:pPr>
      <w:r>
        <w:rPr>
          <w:rFonts w:ascii="Arial" w:cs="Arial" w:eastAsia="Arial" w:hAnsi="Arial"/>
          <w:sz w:val="18"/>
          <w:szCs w:val="18"/>
          <w:color w:val="auto"/>
        </w:rPr>
        <w:t>“ACH Authorization” means the ACH Debit Authorization Agreement in substantially the form of Exhibit H, which account numbers shall be redacted for security purposes if and when filed publicly by the Borrower.</w:t>
      </w:r>
    </w:p>
    <w:p>
      <w:pPr>
        <w:spacing w:after="0" w:line="171" w:lineRule="exact"/>
        <w:rPr>
          <w:sz w:val="20"/>
          <w:szCs w:val="20"/>
          <w:color w:val="auto"/>
        </w:rPr>
      </w:pPr>
    </w:p>
    <w:p>
      <w:pPr>
        <w:ind w:right="360" w:firstLine="1291"/>
        <w:spacing w:after="0" w:line="254" w:lineRule="auto"/>
        <w:rPr>
          <w:sz w:val="20"/>
          <w:szCs w:val="20"/>
          <w:color w:val="auto"/>
        </w:rPr>
      </w:pPr>
      <w:r>
        <w:rPr>
          <w:rFonts w:ascii="Arial" w:cs="Arial" w:eastAsia="Arial" w:hAnsi="Arial"/>
          <w:sz w:val="18"/>
          <w:szCs w:val="18"/>
          <w:color w:val="auto"/>
        </w:rPr>
        <w:t>“Acquisition” 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consolidation or similar transaction with such other Person, or otherwise causing any Person to become a Subsidiary of Borrower, or (c) the acquisition of, or the right to use, develop or sell (in each case, including through licensing (other than “off-the-shelf” licenses)), any product, product line or intellectual property of or from any other Person.</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“Advance(s)” means a Term Loan Advance.</w:t>
      </w: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“Advance Date” means the funding date of any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168275</wp:posOffset>
            </wp:positionV>
            <wp:extent cx="71329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20"/>
          </w:cols>
          <w:pgMar w:left="440" w:top="336" w:right="339" w:bottom="1440" w:gutter="0" w:footer="0" w:header="0"/>
        </w:sectPr>
      </w:pPr>
    </w:p>
    <w:bookmarkStart w:id="432" w:name="page433"/>
    <w:bookmarkEnd w:id="432"/>
    <w:p>
      <w:pPr>
        <w:ind w:left="7" w:right="320" w:firstLine="1291"/>
        <w:spacing w:after="0" w:line="275" w:lineRule="auto"/>
        <w:rPr>
          <w:sz w:val="20"/>
          <w:szCs w:val="20"/>
          <w:color w:val="auto"/>
        </w:rPr>
      </w:pPr>
      <w:r>
        <w:rPr>
          <w:rFonts w:ascii="Arial" w:cs="Arial" w:eastAsia="Arial" w:hAnsi="Arial"/>
          <w:sz w:val="18"/>
          <w:szCs w:val="18"/>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85" w:lineRule="exact"/>
        <w:rPr>
          <w:sz w:val="20"/>
          <w:szCs w:val="20"/>
          <w:color w:val="auto"/>
        </w:rPr>
      </w:pPr>
    </w:p>
    <w:p>
      <w:pPr>
        <w:ind w:left="7" w:right="60" w:firstLine="1291"/>
        <w:spacing w:after="0" w:line="251" w:lineRule="auto"/>
        <w:rPr>
          <w:sz w:val="20"/>
          <w:szCs w:val="20"/>
          <w:color w:val="auto"/>
        </w:rPr>
      </w:pPr>
      <w:r>
        <w:rPr>
          <w:rFonts w:ascii="Arial" w:cs="Arial" w:eastAsia="Arial" w:hAnsi="Arial"/>
          <w:sz w:val="18"/>
          <w:szCs w:val="18"/>
          <w:color w:val="auto"/>
        </w:rPr>
        <w:t>“Affiliate” means (a) any Person that directly or indirectly controls, is controlled by, or is under common control with the Person in question, (b) any Person directly or indirectly owning, controlling or holding with power to vote twenty percent (20%) or more of the outstanding voting securities of another Person, (c) any Person twenty percent (20%) or more of whose outstanding voting securities are directly or indirectly owned, controlled or held by another Person with power to vote such securities, or (d) any Person related by blood or marriage to any Person described in subsection (a), (b) or (c) of this paragraph. As used in the definition of “Affiliate,” (i) the term “control” means the possession, directly or indirectly, of the power to direct or cause the direction of the management and policies of a Person, whether through ownership of voting securities, by contract or otherwise; and (ii) neither Bayer, Versant Ventures Capital VI, L.P., nor Fujifilm Cellular Dynamics, Inc., nor their respective affiliates, shall be considered “Affiliates” of Borrower or its Subsidiaries.</w:t>
      </w:r>
    </w:p>
    <w:p>
      <w:pPr>
        <w:spacing w:after="0" w:line="5" w:lineRule="exact"/>
        <w:rPr>
          <w:sz w:val="20"/>
          <w:szCs w:val="20"/>
          <w:color w:val="auto"/>
        </w:rPr>
      </w:pPr>
    </w:p>
    <w:p>
      <w:pPr>
        <w:ind w:left="7" w:right="400" w:firstLine="1291"/>
        <w:spacing w:after="0" w:line="251" w:lineRule="auto"/>
        <w:rPr>
          <w:sz w:val="20"/>
          <w:szCs w:val="20"/>
          <w:color w:val="auto"/>
        </w:rPr>
      </w:pPr>
      <w:r>
        <w:rPr>
          <w:rFonts w:ascii="Arial" w:cs="Arial" w:eastAsia="Arial" w:hAnsi="Arial"/>
          <w:sz w:val="18"/>
          <w:szCs w:val="18"/>
          <w:color w:val="auto"/>
        </w:rPr>
        <w:t>“Agreement” means this Loan and Security Agreement, as amended from time to time. “All Source Proceeds” means unrestricted (including, not subject to any redemption, clawback, escrow or similar encumbrance or restriction) net cash proceeds from one or more bona fide equity financings and/or upfront proceeds from strategic partnerships and/or new business development transactions permitted under this Agreement, in each case after the Closing Date and subject to verification by Agent (including supporting documentation reasonably requested by Agent); provided that any remaining portion of the Bayer First Tranche received by Borrower after the Closing Date will count as All Source Proceeds.</w:t>
      </w:r>
    </w:p>
    <w:p>
      <w:pPr>
        <w:spacing w:after="0" w:line="193" w:lineRule="exact"/>
        <w:rPr>
          <w:sz w:val="20"/>
          <w:szCs w:val="20"/>
          <w:color w:val="auto"/>
        </w:rPr>
      </w:pPr>
    </w:p>
    <w:p>
      <w:pPr>
        <w:ind w:left="1287"/>
        <w:spacing w:after="0"/>
        <w:rPr>
          <w:sz w:val="20"/>
          <w:szCs w:val="20"/>
          <w:color w:val="auto"/>
        </w:rPr>
      </w:pPr>
      <w:r>
        <w:rPr>
          <w:rFonts w:ascii="Arial" w:cs="Arial" w:eastAsia="Arial" w:hAnsi="Arial"/>
          <w:sz w:val="16"/>
          <w:szCs w:val="16"/>
          <w:color w:val="auto"/>
        </w:rPr>
        <w:t>“Amortization Date” means November 1, 2022; provided however, if the Interest Only Extension Conditions are satisfied, then May 1,</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2023.</w:t>
      </w:r>
    </w:p>
    <w:p>
      <w:pPr>
        <w:spacing w:after="0" w:line="222" w:lineRule="exact"/>
        <w:rPr>
          <w:sz w:val="20"/>
          <w:szCs w:val="20"/>
          <w:color w:val="auto"/>
        </w:rPr>
      </w:pPr>
    </w:p>
    <w:p>
      <w:pPr>
        <w:ind w:left="7" w:right="400" w:firstLine="1291"/>
        <w:spacing w:after="0" w:line="262" w:lineRule="auto"/>
        <w:rPr>
          <w:sz w:val="20"/>
          <w:szCs w:val="20"/>
          <w:color w:val="auto"/>
        </w:rPr>
      </w:pPr>
      <w:r>
        <w:rPr>
          <w:rFonts w:ascii="Arial" w:cs="Arial" w:eastAsia="Arial" w:hAnsi="Arial"/>
          <w:sz w:val="18"/>
          <w:szCs w:val="18"/>
          <w:color w:val="auto"/>
        </w:rPr>
        <w:t>“Anti-Corruption Laws” means all laws, rules, and regulations of any jurisdiction applicable to Borrower or any of its controlled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97" w:lineRule="exact"/>
        <w:rPr>
          <w:sz w:val="20"/>
          <w:szCs w:val="20"/>
          <w:color w:val="auto"/>
        </w:rPr>
      </w:pPr>
    </w:p>
    <w:p>
      <w:pPr>
        <w:ind w:left="7" w:right="160" w:firstLine="1291"/>
        <w:spacing w:after="0" w:line="262" w:lineRule="auto"/>
        <w:rPr>
          <w:sz w:val="20"/>
          <w:szCs w:val="20"/>
          <w:color w:val="auto"/>
        </w:rPr>
      </w:pPr>
      <w:r>
        <w:rPr>
          <w:rFonts w:ascii="Arial" w:cs="Arial" w:eastAsia="Arial" w:hAnsi="Arial"/>
          <w:sz w:val="18"/>
          <w:szCs w:val="18"/>
          <w:color w:val="auto"/>
        </w:rPr>
        <w:t>“Anti-Terrorism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83" w:lineRule="exact"/>
        <w:rPr>
          <w:sz w:val="20"/>
          <w:szCs w:val="20"/>
          <w:color w:val="auto"/>
        </w:rPr>
      </w:pPr>
    </w:p>
    <w:p>
      <w:pPr>
        <w:ind w:left="1287"/>
        <w:spacing w:after="0"/>
        <w:rPr>
          <w:sz w:val="20"/>
          <w:szCs w:val="20"/>
          <w:color w:val="auto"/>
        </w:rPr>
      </w:pPr>
      <w:r>
        <w:rPr>
          <w:rFonts w:ascii="Arial" w:cs="Arial" w:eastAsia="Arial" w:hAnsi="Arial"/>
          <w:sz w:val="18"/>
          <w:szCs w:val="18"/>
          <w:color w:val="auto"/>
        </w:rPr>
        <w:t>“Bayer” means Bayer HealthCare LLC, a Delaware limited liability company.</w:t>
      </w:r>
    </w:p>
    <w:p>
      <w:pPr>
        <w:spacing w:after="0" w:line="237" w:lineRule="exact"/>
        <w:rPr>
          <w:sz w:val="20"/>
          <w:szCs w:val="20"/>
          <w:color w:val="auto"/>
        </w:rPr>
      </w:pPr>
    </w:p>
    <w:p>
      <w:pPr>
        <w:jc w:val="both"/>
        <w:ind w:left="7" w:right="460" w:firstLine="1290"/>
        <w:spacing w:after="0" w:line="262" w:lineRule="auto"/>
        <w:rPr>
          <w:sz w:val="20"/>
          <w:szCs w:val="20"/>
          <w:color w:val="auto"/>
        </w:rPr>
      </w:pPr>
      <w:r>
        <w:rPr>
          <w:rFonts w:ascii="Arial" w:cs="Arial" w:eastAsia="Arial" w:hAnsi="Arial"/>
          <w:sz w:val="18"/>
          <w:szCs w:val="18"/>
          <w:color w:val="auto"/>
        </w:rPr>
        <w:t>“Bayer First Tranche” means the “First Tranche Commitment Amount” as defined in the Commitment Agreement; and means an amount equal to One Hundred Forty-Five Million Dollars ($145,000,000) (of which $75,000,000 has funded prior to the Closing Date and, for the avoidance of doubt, does not count as All Source Proceeds).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“Blocked Person” means any Person: (a) listed in the annex to, or is otherwise subject to the provisions of, Executive Order No. 13224,</w:t>
      </w:r>
    </w:p>
    <w:p>
      <w:pPr>
        <w:spacing w:after="0" w:line="23" w:lineRule="exact"/>
        <w:rPr>
          <w:sz w:val="20"/>
          <w:szCs w:val="20"/>
          <w:color w:val="auto"/>
        </w:rPr>
      </w:pPr>
    </w:p>
    <w:p>
      <w:pPr>
        <w:ind w:left="7" w:right="280" w:hanging="7"/>
        <w:spacing w:after="0" w:line="254" w:lineRule="auto"/>
        <w:tabs>
          <w:tab w:leader="none" w:pos="2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w:t>
      </w:r>
    </w:p>
    <w:p>
      <w:pPr>
        <w:spacing w:after="0" w:line="200" w:lineRule="exact"/>
        <w:rPr>
          <w:sz w:val="20"/>
          <w:szCs w:val="20"/>
          <w:color w:val="auto"/>
        </w:rPr>
      </w:pPr>
    </w:p>
    <w:p>
      <w:pPr>
        <w:spacing w:after="0" w:line="204"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22860</wp:posOffset>
            </wp:positionV>
            <wp:extent cx="71329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007"/>
          </w:cols>
          <w:pgMar w:left="433" w:top="770" w:right="459" w:bottom="1440" w:gutter="0" w:footer="0" w:header="0"/>
        </w:sectPr>
      </w:pPr>
    </w:p>
    <w:bookmarkStart w:id="433" w:name="page434"/>
    <w:bookmarkEnd w:id="433"/>
    <w:p>
      <w:pPr>
        <w:ind w:right="120"/>
        <w:spacing w:after="0" w:line="275" w:lineRule="auto"/>
        <w:rPr>
          <w:sz w:val="20"/>
          <w:szCs w:val="20"/>
          <w:color w:val="auto"/>
        </w:rPr>
      </w:pPr>
      <w:r>
        <w:rPr>
          <w:rFonts w:ascii="Arial" w:cs="Arial" w:eastAsia="Arial" w:hAnsi="Arial"/>
          <w:sz w:val="18"/>
          <w:szCs w:val="18"/>
          <w:color w:val="auto"/>
        </w:rPr>
        <w:t>supports “terrorism” as defined in Executive Order No. 13224, or (e) a Person that is named a “specially designated national” or “blocked person” on the most current list published by OFAC or other similar list.</w:t>
      </w:r>
    </w:p>
    <w:p>
      <w:pPr>
        <w:spacing w:after="0" w:line="171" w:lineRule="exact"/>
        <w:rPr>
          <w:sz w:val="20"/>
          <w:szCs w:val="20"/>
          <w:color w:val="auto"/>
        </w:rPr>
      </w:pPr>
    </w:p>
    <w:p>
      <w:pPr>
        <w:ind w:left="120" w:firstLine="1291"/>
        <w:spacing w:after="0" w:line="258" w:lineRule="auto"/>
        <w:rPr>
          <w:sz w:val="20"/>
          <w:szCs w:val="20"/>
          <w:color w:val="auto"/>
        </w:rPr>
      </w:pPr>
      <w:r>
        <w:rPr>
          <w:rFonts w:ascii="Arial" w:cs="Arial" w:eastAsia="Arial" w:hAnsi="Arial"/>
          <w:sz w:val="18"/>
          <w:szCs w:val="18"/>
          <w:color w:val="auto"/>
        </w:rPr>
        <w:t>“Borrower Products”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formation.</w:t>
      </w:r>
    </w:p>
    <w:p>
      <w:pPr>
        <w:spacing w:after="0" w:line="200" w:lineRule="exact"/>
        <w:rPr>
          <w:sz w:val="20"/>
          <w:szCs w:val="20"/>
          <w:color w:val="auto"/>
        </w:rPr>
      </w:pPr>
    </w:p>
    <w:p>
      <w:pPr>
        <w:jc w:val="both"/>
        <w:ind w:left="120" w:right="520" w:firstLine="1291"/>
        <w:spacing w:after="0" w:line="262" w:lineRule="auto"/>
        <w:rPr>
          <w:sz w:val="20"/>
          <w:szCs w:val="20"/>
          <w:color w:val="auto"/>
        </w:rPr>
      </w:pPr>
      <w:r>
        <w:rPr>
          <w:rFonts w:ascii="Arial" w:cs="Arial" w:eastAsia="Arial" w:hAnsi="Arial"/>
          <w:sz w:val="18"/>
          <w:szCs w:val="18"/>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83" w:lineRule="exact"/>
        <w:rPr>
          <w:sz w:val="20"/>
          <w:szCs w:val="20"/>
          <w:color w:val="auto"/>
        </w:rPr>
      </w:pPr>
    </w:p>
    <w:p>
      <w:pPr>
        <w:ind w:left="120" w:right="60" w:firstLine="1291"/>
        <w:spacing w:after="0" w:line="275" w:lineRule="auto"/>
        <w:rPr>
          <w:sz w:val="20"/>
          <w:szCs w:val="20"/>
          <w:color w:val="auto"/>
        </w:rPr>
      </w:pPr>
      <w:r>
        <w:rPr>
          <w:rFonts w:ascii="Arial" w:cs="Arial" w:eastAsia="Arial" w:hAnsi="Arial"/>
          <w:sz w:val="18"/>
          <w:szCs w:val="18"/>
          <w:color w:val="auto"/>
        </w:rPr>
        <w:t>“Business Day” means any day other than Saturday, Sunday and any other day on which banking institutions in the State of California are closed for business.</w:t>
      </w:r>
    </w:p>
    <w:p>
      <w:pPr>
        <w:spacing w:after="0" w:line="18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“Cash” means all cash, cash equivalents and liquid funds.</w:t>
      </w: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“Century” means Century Therapeutics, Inc., a Delaware corporation.</w:t>
      </w:r>
    </w:p>
    <w:p>
      <w:pPr>
        <w:spacing w:after="0" w:line="223" w:lineRule="exact"/>
        <w:rPr>
          <w:sz w:val="20"/>
          <w:szCs w:val="20"/>
          <w:color w:val="auto"/>
        </w:rPr>
      </w:pPr>
    </w:p>
    <w:p>
      <w:pPr>
        <w:ind w:left="120" w:right="460" w:firstLine="1291"/>
        <w:spacing w:after="0" w:line="275" w:lineRule="auto"/>
        <w:rPr>
          <w:sz w:val="20"/>
          <w:szCs w:val="20"/>
          <w:color w:val="auto"/>
        </w:rPr>
      </w:pPr>
      <w:r>
        <w:rPr>
          <w:rFonts w:ascii="Arial" w:cs="Arial" w:eastAsia="Arial" w:hAnsi="Arial"/>
          <w:sz w:val="18"/>
          <w:szCs w:val="18"/>
          <w:color w:val="auto"/>
        </w:rPr>
        <w:t>“Century Canada” means Century Therapeutics Canada ULC, an unlimited liability company organized under the laws of British Columbia, Canada, and a wholly-owned Subsidiary of Borrower.</w:t>
      </w:r>
    </w:p>
    <w:p>
      <w:pPr>
        <w:spacing w:after="0" w:line="185" w:lineRule="exact"/>
        <w:rPr>
          <w:sz w:val="20"/>
          <w:szCs w:val="20"/>
          <w:color w:val="auto"/>
        </w:rPr>
      </w:pPr>
    </w:p>
    <w:p>
      <w:pPr>
        <w:ind w:left="120" w:right="160" w:firstLine="1291"/>
        <w:spacing w:after="0" w:line="288" w:lineRule="auto"/>
        <w:rPr>
          <w:sz w:val="20"/>
          <w:szCs w:val="20"/>
          <w:color w:val="auto"/>
        </w:rPr>
      </w:pPr>
      <w:r>
        <w:rPr>
          <w:rFonts w:ascii="Arial" w:cs="Arial" w:eastAsia="Arial" w:hAnsi="Arial"/>
          <w:sz w:val="16"/>
          <w:szCs w:val="16"/>
          <w:color w:val="auto"/>
        </w:rPr>
        <w:t>“Change in Control” means any reorganization, recapitalization, consolidation or merger (or similar transaction or series of related transactions) of Borrower, sale or exchange of outstanding Equity Interests (or similar transaction or series of related transactions; other than a sale of Borrower’s Equity Interests in a bona fide venture financing (or series of financings) in the ordinary course of business) of Borrower in which the holders of Borrower’s outstanding Equity Interests immediately before consummation of such transaction or series of related transactions do not, immediately after consummation of such transaction or series of related transactions, retain Equity Interests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 or any other transaction pursuant to which Bayer (together with its Affiliates) owns at least eighty percent (80%) of Borrower’s Equity Interests on a Fully Diluted Basis (as defined in the Operating Agreement) after giving effect to such transaction or series of related transactions.</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“Closing Date” means the date of this Agreement.</w:t>
      </w: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37" w:lineRule="exact"/>
        <w:rPr>
          <w:sz w:val="20"/>
          <w:szCs w:val="20"/>
          <w:color w:val="auto"/>
        </w:rPr>
      </w:pPr>
    </w:p>
    <w:p>
      <w:pPr>
        <w:ind w:left="120" w:right="100" w:firstLine="1291"/>
        <w:spacing w:after="0" w:line="262" w:lineRule="auto"/>
        <w:rPr>
          <w:sz w:val="20"/>
          <w:szCs w:val="20"/>
          <w:color w:val="auto"/>
        </w:rPr>
      </w:pPr>
      <w:r>
        <w:rPr>
          <w:rFonts w:ascii="Arial" w:cs="Arial" w:eastAsia="Arial" w:hAnsi="Arial"/>
          <w:sz w:val="18"/>
          <w:szCs w:val="18"/>
          <w:color w:val="auto"/>
        </w:rPr>
        <w:t>“Commitment Agreement” means that certain Commitment Agreement dated as of June 21, 2019, by and among Borrower, Century Therapeutics, Inc. and Bayer; as amended by the First Amendment, and in the form delivered to Agent prior to the Closing Date, as amended from time to time; provided that such amendments are provided to Agent in accordance with Section 7.1(g).</w:t>
      </w:r>
    </w:p>
    <w:p>
      <w:pPr>
        <w:spacing w:after="0" w:line="197" w:lineRule="exact"/>
        <w:rPr>
          <w:sz w:val="20"/>
          <w:szCs w:val="20"/>
          <w:color w:val="auto"/>
        </w:rPr>
      </w:pPr>
    </w:p>
    <w:p>
      <w:pPr>
        <w:ind w:left="120" w:right="180" w:firstLine="1291"/>
        <w:spacing w:after="0" w:line="262" w:lineRule="auto"/>
        <w:rPr>
          <w:sz w:val="20"/>
          <w:szCs w:val="20"/>
          <w:color w:val="auto"/>
        </w:rPr>
      </w:pPr>
      <w:r>
        <w:rPr>
          <w:rFonts w:ascii="Arial" w:cs="Arial" w:eastAsia="Arial" w:hAnsi="Arial"/>
          <w:sz w:val="18"/>
          <w:szCs w:val="18"/>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00"/>
          </w:cols>
          <w:pgMar w:left="320" w:top="690" w:right="479" w:bottom="1440" w:gutter="0" w:footer="0" w:header="0"/>
        </w:sectPr>
      </w:pPr>
    </w:p>
    <w:bookmarkStart w:id="434" w:name="page435"/>
    <w:bookmarkEnd w:id="434"/>
    <w:p>
      <w:pPr>
        <w:spacing w:after="0" w:line="269" w:lineRule="auto"/>
        <w:rPr>
          <w:sz w:val="20"/>
          <w:szCs w:val="20"/>
          <w:color w:val="auto"/>
        </w:rPr>
      </w:pPr>
      <w:r>
        <w:rPr>
          <w:rFonts w:ascii="Arial" w:cs="Arial" w:eastAsia="Arial" w:hAnsi="Arial"/>
          <w:sz w:val="17"/>
          <w:szCs w:val="17"/>
          <w:color w:val="auto"/>
        </w:rPr>
        <w:t>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81" w:lineRule="exact"/>
        <w:rPr>
          <w:sz w:val="20"/>
          <w:szCs w:val="20"/>
          <w:color w:val="auto"/>
        </w:rPr>
      </w:pPr>
    </w:p>
    <w:p>
      <w:pPr>
        <w:ind w:left="120" w:right="240" w:firstLine="1291"/>
        <w:spacing w:after="0" w:line="275" w:lineRule="auto"/>
        <w:rPr>
          <w:sz w:val="20"/>
          <w:szCs w:val="20"/>
          <w:color w:val="auto"/>
        </w:rPr>
      </w:pPr>
      <w:r>
        <w:rPr>
          <w:rFonts w:ascii="Arial" w:cs="Arial" w:eastAsia="Arial" w:hAnsi="Arial"/>
          <w:sz w:val="18"/>
          <w:szCs w:val="18"/>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85" w:lineRule="exact"/>
        <w:rPr>
          <w:sz w:val="20"/>
          <w:szCs w:val="20"/>
          <w:color w:val="auto"/>
        </w:rPr>
      </w:pPr>
    </w:p>
    <w:p>
      <w:pPr>
        <w:jc w:val="both"/>
        <w:ind w:left="120" w:right="120" w:firstLine="1291"/>
        <w:spacing w:after="0" w:line="275" w:lineRule="auto"/>
        <w:rPr>
          <w:sz w:val="20"/>
          <w:szCs w:val="20"/>
          <w:color w:val="auto"/>
        </w:rPr>
      </w:pPr>
      <w:r>
        <w:rPr>
          <w:rFonts w:ascii="Arial" w:cs="Arial" w:eastAsia="Arial" w:hAnsi="Arial"/>
          <w:sz w:val="18"/>
          <w:szCs w:val="18"/>
          <w:color w:val="auto"/>
        </w:rPr>
        <w:t>“Copyrights” means all copyrights, whether registered or unregistered, and any applications in connection therewith, held pursuant to the laws of the United States of America, any State thereof, or of any other country.</w:t>
      </w:r>
    </w:p>
    <w:p>
      <w:pPr>
        <w:spacing w:after="0" w:line="171" w:lineRule="exact"/>
        <w:rPr>
          <w:sz w:val="20"/>
          <w:szCs w:val="20"/>
          <w:color w:val="auto"/>
        </w:rPr>
      </w:pPr>
    </w:p>
    <w:p>
      <w:pPr>
        <w:ind w:left="120" w:right="740" w:firstLine="1291"/>
        <w:spacing w:after="0" w:line="275" w:lineRule="auto"/>
        <w:rPr>
          <w:sz w:val="20"/>
          <w:szCs w:val="20"/>
          <w:color w:val="auto"/>
        </w:rPr>
      </w:pPr>
      <w:r>
        <w:rPr>
          <w:rFonts w:ascii="Arial" w:cs="Arial" w:eastAsia="Arial" w:hAnsi="Arial"/>
          <w:sz w:val="18"/>
          <w:szCs w:val="18"/>
          <w:color w:val="auto"/>
        </w:rPr>
        <w:t>“Default” means any event, circumstance or condition that has occurred or exists, that would, with the passage of time or the requirement that notice be given or both, become an Event of Default.</w:t>
      </w:r>
    </w:p>
    <w:p>
      <w:pPr>
        <w:spacing w:after="0" w:line="171" w:lineRule="exact"/>
        <w:rPr>
          <w:sz w:val="20"/>
          <w:szCs w:val="20"/>
          <w:color w:val="auto"/>
        </w:rPr>
      </w:pPr>
    </w:p>
    <w:p>
      <w:pPr>
        <w:ind w:left="120" w:right="240" w:firstLine="1291"/>
        <w:spacing w:after="0" w:line="275" w:lineRule="auto"/>
        <w:rPr>
          <w:sz w:val="20"/>
          <w:szCs w:val="20"/>
          <w:color w:val="auto"/>
        </w:rPr>
      </w:pPr>
      <w:r>
        <w:rPr>
          <w:rFonts w:ascii="Arial" w:cs="Arial" w:eastAsia="Arial" w:hAnsi="Arial"/>
          <w:sz w:val="18"/>
          <w:szCs w:val="18"/>
          <w:color w:val="auto"/>
        </w:rPr>
        <w:t>“Deposit Accounts” means any “deposit accounts,” as such term is defined in the UCC, and includes any checking account, savings account, or certificate of deposit.</w:t>
      </w:r>
    </w:p>
    <w:p>
      <w:pPr>
        <w:spacing w:after="0" w:line="185" w:lineRule="exact"/>
        <w:rPr>
          <w:sz w:val="20"/>
          <w:szCs w:val="20"/>
          <w:color w:val="auto"/>
        </w:rPr>
      </w:pPr>
    </w:p>
    <w:p>
      <w:pPr>
        <w:ind w:left="120" w:right="60" w:firstLine="1291"/>
        <w:spacing w:after="0" w:line="275" w:lineRule="auto"/>
        <w:rPr>
          <w:sz w:val="20"/>
          <w:szCs w:val="20"/>
          <w:color w:val="auto"/>
        </w:rPr>
      </w:pPr>
      <w:r>
        <w:rPr>
          <w:rFonts w:ascii="Arial" w:cs="Arial" w:eastAsia="Arial" w:hAnsi="Arial"/>
          <w:sz w:val="18"/>
          <w:szCs w:val="18"/>
          <w:color w:val="auto"/>
        </w:rPr>
        <w:t>“Domestic Subsidiary” means any Subsidiary organized under the laws of the United States of America, any State thereof, the District of Columbia, or any other jurisdiction within the United States of America.</w:t>
      </w:r>
    </w:p>
    <w:p>
      <w:pPr>
        <w:spacing w:after="0" w:line="171" w:lineRule="exact"/>
        <w:rPr>
          <w:sz w:val="20"/>
          <w:szCs w:val="20"/>
          <w:color w:val="auto"/>
        </w:rPr>
      </w:pPr>
    </w:p>
    <w:p>
      <w:pPr>
        <w:ind w:left="120" w:right="60" w:firstLine="1291"/>
        <w:spacing w:after="0" w:line="275" w:lineRule="auto"/>
        <w:rPr>
          <w:sz w:val="20"/>
          <w:szCs w:val="20"/>
          <w:color w:val="auto"/>
        </w:rPr>
      </w:pPr>
      <w:r>
        <w:rPr>
          <w:rFonts w:ascii="Arial" w:cs="Arial" w:eastAsia="Arial" w:hAnsi="Arial"/>
          <w:sz w:val="18"/>
          <w:szCs w:val="18"/>
          <w:color w:val="auto"/>
        </w:rPr>
        <w:t>“Due Diligence Fee” means Thirty Thousand Dollars ($30,000), which fee has been paid to the Lenders prior to the Closing Date, and shall be deemed fully earned on such date regardless of the early termination of this Agreement.</w:t>
      </w:r>
    </w:p>
    <w:p>
      <w:pPr>
        <w:spacing w:after="0" w:line="171" w:lineRule="exact"/>
        <w:rPr>
          <w:sz w:val="20"/>
          <w:szCs w:val="20"/>
          <w:color w:val="auto"/>
        </w:rPr>
      </w:pPr>
    </w:p>
    <w:p>
      <w:pPr>
        <w:jc w:val="both"/>
        <w:ind w:left="120" w:right="120" w:firstLine="1290"/>
        <w:spacing w:after="0" w:line="262" w:lineRule="auto"/>
        <w:rPr>
          <w:sz w:val="20"/>
          <w:szCs w:val="20"/>
          <w:color w:val="auto"/>
        </w:rPr>
      </w:pPr>
      <w:r>
        <w:rPr>
          <w:rFonts w:ascii="Arial" w:cs="Arial" w:eastAsia="Arial" w:hAnsi="Arial"/>
          <w:sz w:val="18"/>
          <w:szCs w:val="18"/>
          <w:color w:val="auto"/>
        </w:rPr>
        <w:t>“Empirica Promissory Note” means the unsecured Promissory Note dated June 9, 2020, by and among Century Canada and Empirica Therapeutics, Inc.; in the form delivered to Agent prior to the Closing Date; and with a principal amount equal to Two Million Canadian Dollars (CAN $2,000,000).</w:t>
      </w:r>
    </w:p>
    <w:p>
      <w:pPr>
        <w:spacing w:after="0" w:line="197" w:lineRule="exact"/>
        <w:rPr>
          <w:sz w:val="20"/>
          <w:szCs w:val="20"/>
          <w:color w:val="auto"/>
        </w:rPr>
      </w:pPr>
    </w:p>
    <w:p>
      <w:pPr>
        <w:ind w:left="120" w:firstLine="1291"/>
        <w:spacing w:after="0" w:line="275" w:lineRule="auto"/>
        <w:rPr>
          <w:sz w:val="20"/>
          <w:szCs w:val="20"/>
          <w:color w:val="auto"/>
        </w:rPr>
      </w:pPr>
      <w:r>
        <w:rPr>
          <w:rFonts w:ascii="Arial" w:cs="Arial" w:eastAsia="Arial" w:hAnsi="Arial"/>
          <w:sz w:val="18"/>
          <w:szCs w:val="18"/>
          <w:color w:val="auto"/>
        </w:rPr>
        <w:t>“Equity Interests” means, with respect to any Person, the capital stock, partnership or limited liability company interest, or other equity securities or equity ownership interests of such Person.</w:t>
      </w:r>
    </w:p>
    <w:p>
      <w:pPr>
        <w:spacing w:after="0" w:line="18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“ERISA” means the Employee Retirement Income Security Act of 1974, as amended, and the regulations promulgated thereunder.</w:t>
      </w:r>
    </w:p>
    <w:p>
      <w:pPr>
        <w:spacing w:after="0" w:line="246" w:lineRule="exact"/>
        <w:rPr>
          <w:sz w:val="20"/>
          <w:szCs w:val="20"/>
          <w:color w:val="auto"/>
        </w:rPr>
      </w:pPr>
    </w:p>
    <w:p>
      <w:pPr>
        <w:ind w:left="120" w:right="140" w:firstLine="1290"/>
        <w:spacing w:after="0" w:line="262" w:lineRule="auto"/>
        <w:rPr>
          <w:sz w:val="20"/>
          <w:szCs w:val="20"/>
          <w:color w:val="auto"/>
        </w:rPr>
      </w:pPr>
      <w:r>
        <w:rPr>
          <w:rFonts w:ascii="Arial" w:cs="Arial" w:eastAsia="Arial" w:hAnsi="Arial"/>
          <w:sz w:val="18"/>
          <w:szCs w:val="18"/>
          <w:color w:val="auto"/>
        </w:rPr>
        <w:t>“Excluded Accounts” means (a) Deposit Accounts exclusively used for payroll, payroll taxes, and other employee wage and benefit payments to or for the benefit of Borrower’s employees holding an aggregate amount across all such accounts of not more than amounts needed for the then-next two (2) payroll cycles and (b) deposit, securities, commodity or similar accounts with financial</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9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00"/>
          </w:cols>
          <w:pgMar w:left="320" w:top="690" w:right="47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t>institutions within the United States, so long as no more than $50,000 in the aggregate is maintained in such accounts at any time.</w:t>
      </w:r>
    </w:p>
    <w:p>
      <w:pPr>
        <w:spacing w:after="0" w:line="223" w:lineRule="exact"/>
        <w:rPr>
          <w:sz w:val="20"/>
          <w:szCs w:val="20"/>
          <w:color w:val="auto"/>
        </w:rPr>
      </w:pPr>
    </w:p>
    <w:p>
      <w:pPr>
        <w:ind w:left="120" w:right="380" w:firstLine="1291"/>
        <w:spacing w:after="0" w:line="340" w:lineRule="auto"/>
        <w:rPr>
          <w:sz w:val="20"/>
          <w:szCs w:val="20"/>
          <w:color w:val="auto"/>
        </w:rPr>
      </w:pPr>
      <w:r>
        <w:rPr>
          <w:rFonts w:ascii="Arial" w:cs="Arial" w:eastAsia="Arial" w:hAnsi="Arial"/>
          <w:sz w:val="16"/>
          <w:szCs w:val="16"/>
          <w:color w:val="auto"/>
        </w:rPr>
        <w:t>“FDA” means the U.S. Food and Drug Administration or any successor thereto. “Foreign Subsidiary” means any Subsidiary other than a Domestic Subsidiary. “GAAP” means generally accepted accounting principles in the United States of America, as in effect from time to time.</w:t>
      </w:r>
    </w:p>
    <w:p>
      <w:pPr>
        <w:spacing w:after="0" w:line="138" w:lineRule="exact"/>
        <w:rPr>
          <w:sz w:val="20"/>
          <w:szCs w:val="20"/>
          <w:color w:val="auto"/>
        </w:rPr>
      </w:pPr>
    </w:p>
    <w:p>
      <w:pPr>
        <w:jc w:val="both"/>
        <w:ind w:left="120" w:right="680" w:firstLine="1291"/>
        <w:spacing w:after="0" w:line="285" w:lineRule="auto"/>
        <w:rPr>
          <w:sz w:val="20"/>
          <w:szCs w:val="20"/>
          <w:color w:val="auto"/>
        </w:rPr>
      </w:pPr>
      <w:r>
        <w:rPr>
          <w:rFonts w:ascii="Arial" w:cs="Arial" w:eastAsia="Arial" w:hAnsi="Arial"/>
          <w:sz w:val="17"/>
          <w:szCs w:val="17"/>
          <w:color w:val="auto"/>
        </w:rPr>
        <w:t>“Governmental Authority”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65" w:lineRule="exact"/>
        <w:rPr>
          <w:sz w:val="20"/>
          <w:szCs w:val="20"/>
          <w:color w:val="auto"/>
        </w:rPr>
      </w:pPr>
    </w:p>
    <w:p>
      <w:pPr>
        <w:ind w:left="120" w:right="120" w:firstLine="1291"/>
        <w:spacing w:after="0" w:line="275" w:lineRule="auto"/>
        <w:rPr>
          <w:sz w:val="20"/>
          <w:szCs w:val="20"/>
          <w:color w:val="auto"/>
        </w:rPr>
      </w:pPr>
      <w:r>
        <w:rPr>
          <w:rFonts w:ascii="Arial" w:cs="Arial" w:eastAsia="Arial" w:hAnsi="Arial"/>
          <w:sz w:val="18"/>
          <w:szCs w:val="18"/>
          <w:color w:val="auto"/>
        </w:rPr>
        <w:t>“IND” means an Investigational New Drug Application submitted to the FDA pursuant to 21 C.F.R. § 312 (or its successor regulation) requesting authorization to initiate clinical trials in human subjects.</w:t>
      </w:r>
    </w:p>
    <w:p>
      <w:pPr>
        <w:spacing w:after="0" w:line="185" w:lineRule="exact"/>
        <w:rPr>
          <w:sz w:val="20"/>
          <w:szCs w:val="20"/>
          <w:color w:val="auto"/>
        </w:rPr>
      </w:pPr>
    </w:p>
    <w:p>
      <w:pPr>
        <w:ind w:left="120" w:right="200" w:firstLine="1291"/>
        <w:spacing w:after="0" w:line="269" w:lineRule="auto"/>
        <w:rPr>
          <w:sz w:val="20"/>
          <w:szCs w:val="20"/>
          <w:color w:val="auto"/>
        </w:rPr>
      </w:pPr>
      <w:r>
        <w:rPr>
          <w:rFonts w:ascii="Arial" w:cs="Arial" w:eastAsia="Arial" w:hAnsi="Arial"/>
          <w:sz w:val="17"/>
          <w:szCs w:val="17"/>
          <w:color w:val="auto"/>
        </w:rPr>
        <w:t>“Indebtedness” means indebtedness of any kind, including (a) all indebtedness for borrowed money or the deferred purchase price of property or services (excluding trade credit entered into in the ordinary course of business due within ninety (90) days),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(f) obligations arising under bonus, deferred compensation, incentive compensation or similar arrangements (other than those arising in the ordinary course of business or otherwise reflected in Board-approved plans disclosed to Agent from time to time), (g) non-contingent obligations to reimburse any bank or Person in respect of amounts paid under a letter of credit, banker’s acceptance or similar instrument, and (h) all Contingent Obligations.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“Initial Facility Charge” means Two Hundred Thousand Dollars ($200,000), which is payable to the Lenders in accordance with Section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4.1(f).</w:t>
      </w:r>
    </w:p>
    <w:p>
      <w:pPr>
        <w:spacing w:after="0" w:line="209" w:lineRule="exact"/>
        <w:rPr>
          <w:sz w:val="20"/>
          <w:szCs w:val="20"/>
          <w:color w:val="auto"/>
        </w:rPr>
      </w:pPr>
    </w:p>
    <w:p>
      <w:pPr>
        <w:ind w:left="120" w:right="340" w:firstLine="1291"/>
        <w:spacing w:after="0" w:line="262" w:lineRule="auto"/>
        <w:rPr>
          <w:sz w:val="20"/>
          <w:szCs w:val="20"/>
          <w:color w:val="auto"/>
        </w:rPr>
      </w:pPr>
      <w:r>
        <w:rPr>
          <w:rFonts w:ascii="Arial" w:cs="Arial" w:eastAsia="Arial" w:hAnsi="Arial"/>
          <w:sz w:val="18"/>
          <w:szCs w:val="18"/>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97" w:lineRule="exact"/>
        <w:rPr>
          <w:sz w:val="20"/>
          <w:szCs w:val="20"/>
          <w:color w:val="auto"/>
        </w:rPr>
      </w:pPr>
    </w:p>
    <w:p>
      <w:pPr>
        <w:ind w:left="120" w:right="160" w:firstLine="1291"/>
        <w:spacing w:after="0" w:line="310" w:lineRule="auto"/>
        <w:rPr>
          <w:sz w:val="20"/>
          <w:szCs w:val="20"/>
          <w:color w:val="auto"/>
        </w:rPr>
      </w:pPr>
      <w:r>
        <w:rPr>
          <w:rFonts w:ascii="Arial" w:cs="Arial" w:eastAsia="Arial" w:hAnsi="Arial"/>
          <w:sz w:val="16"/>
          <w:szCs w:val="16"/>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61" w:lineRule="exact"/>
        <w:rPr>
          <w:sz w:val="20"/>
          <w:szCs w:val="20"/>
          <w:color w:val="auto"/>
        </w:rPr>
      </w:pPr>
    </w:p>
    <w:p>
      <w:pPr>
        <w:ind w:left="120" w:right="220" w:firstLine="1291"/>
        <w:spacing w:after="0" w:line="306" w:lineRule="auto"/>
        <w:rPr>
          <w:sz w:val="20"/>
          <w:szCs w:val="20"/>
          <w:color w:val="auto"/>
        </w:rPr>
      </w:pPr>
      <w:r>
        <w:rPr>
          <w:rFonts w:ascii="Arial" w:cs="Arial" w:eastAsia="Arial" w:hAnsi="Arial"/>
          <w:sz w:val="17"/>
          <w:szCs w:val="17"/>
          <w:color w:val="auto"/>
        </w:rPr>
        <w:t>“Interest Only Extension Conditions” shall mean satisfaction of each of the following events: (a) no Default or Event of Default shall have occurred and be continuing; and (b) Borrower’s achievement of Performance Milestone III on or prior to August 31, 2022.</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80"/>
          </w:cols>
          <w:pgMar w:left="320" w:top="690" w:right="399" w:bottom="1440" w:gutter="0" w:footer="0" w:header="0"/>
        </w:sectPr>
      </w:pPr>
    </w:p>
    <w:bookmarkStart w:id="436" w:name="page437"/>
    <w:bookmarkEnd w:id="436"/>
    <w:p>
      <w:pPr>
        <w:ind w:left="6" w:right="140" w:firstLine="1341"/>
        <w:spacing w:after="0" w:line="275" w:lineRule="auto"/>
        <w:rPr>
          <w:sz w:val="20"/>
          <w:szCs w:val="20"/>
          <w:color w:val="auto"/>
        </w:rPr>
      </w:pPr>
      <w:r>
        <w:rPr>
          <w:rFonts w:ascii="Arial" w:cs="Arial" w:eastAsia="Arial" w:hAnsi="Arial"/>
          <w:sz w:val="18"/>
          <w:szCs w:val="18"/>
          <w:color w:val="auto"/>
        </w:rPr>
        <w:t>“Investment” means (a) any beneficial ownership (including stock, partnership, limited liability company interests, or other securities) of or in any Person, (b) any loan, advance or capital contribution to any Person or (c) any Acquisition.</w:t>
      </w:r>
    </w:p>
    <w:p>
      <w:pPr>
        <w:spacing w:after="0" w:line="185" w:lineRule="exact"/>
        <w:rPr>
          <w:sz w:val="20"/>
          <w:szCs w:val="20"/>
          <w:color w:val="auto"/>
        </w:rPr>
      </w:pPr>
    </w:p>
    <w:p>
      <w:pPr>
        <w:ind w:left="1346"/>
        <w:spacing w:after="0"/>
        <w:rPr>
          <w:sz w:val="20"/>
          <w:szCs w:val="20"/>
          <w:color w:val="auto"/>
        </w:rPr>
      </w:pPr>
      <w:r>
        <w:rPr>
          <w:rFonts w:ascii="Arial" w:cs="Arial" w:eastAsia="Arial" w:hAnsi="Arial"/>
          <w:sz w:val="18"/>
          <w:szCs w:val="18"/>
          <w:color w:val="auto"/>
        </w:rPr>
        <w:t>“IRS” means the United States Internal Revenue Service.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“Joinder Agreements” means for each Subsidiary, a completed and executed Joinder Agreement in substantially the form attached hereto</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as Exhibit F.</w:t>
      </w:r>
    </w:p>
    <w:p>
      <w:pPr>
        <w:spacing w:after="0" w:line="209" w:lineRule="exact"/>
        <w:rPr>
          <w:sz w:val="20"/>
          <w:szCs w:val="20"/>
          <w:color w:val="auto"/>
        </w:rPr>
      </w:pPr>
    </w:p>
    <w:p>
      <w:pPr>
        <w:ind w:left="1286"/>
        <w:spacing w:after="0"/>
        <w:rPr>
          <w:sz w:val="20"/>
          <w:szCs w:val="20"/>
          <w:color w:val="auto"/>
        </w:rPr>
      </w:pPr>
      <w:r>
        <w:rPr>
          <w:rFonts w:ascii="Arial" w:cs="Arial" w:eastAsia="Arial" w:hAnsi="Arial"/>
          <w:sz w:val="18"/>
          <w:szCs w:val="18"/>
          <w:color w:val="auto"/>
        </w:rPr>
        <w:t>“License” means any Copyright License, Patent License, Trademark License or other license of rights or interests.</w:t>
      </w:r>
    </w:p>
    <w:p>
      <w:pPr>
        <w:spacing w:after="0" w:line="237" w:lineRule="exact"/>
        <w:rPr>
          <w:sz w:val="20"/>
          <w:szCs w:val="20"/>
          <w:color w:val="auto"/>
        </w:rPr>
      </w:pPr>
    </w:p>
    <w:p>
      <w:pPr>
        <w:ind w:left="6" w:right="180" w:firstLine="1291"/>
        <w:spacing w:after="0" w:line="262" w:lineRule="auto"/>
        <w:rPr>
          <w:sz w:val="20"/>
          <w:szCs w:val="20"/>
          <w:color w:val="auto"/>
        </w:rPr>
      </w:pPr>
      <w:r>
        <w:rPr>
          <w:rFonts w:ascii="Arial" w:cs="Arial" w:eastAsia="Arial" w:hAnsi="Arial"/>
          <w:sz w:val="18"/>
          <w:szCs w:val="18"/>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97" w:lineRule="exact"/>
        <w:rPr>
          <w:sz w:val="20"/>
          <w:szCs w:val="20"/>
          <w:color w:val="auto"/>
        </w:rPr>
      </w:pPr>
    </w:p>
    <w:p>
      <w:pPr>
        <w:ind w:left="1286"/>
        <w:spacing w:after="0"/>
        <w:rPr>
          <w:sz w:val="20"/>
          <w:szCs w:val="20"/>
          <w:color w:val="auto"/>
        </w:rPr>
      </w:pPr>
      <w:r>
        <w:rPr>
          <w:rFonts w:ascii="Arial" w:cs="Arial" w:eastAsia="Arial" w:hAnsi="Arial"/>
          <w:sz w:val="18"/>
          <w:szCs w:val="18"/>
          <w:color w:val="auto"/>
        </w:rPr>
        <w:t>“Loan” means the Advances made under this Agreement.</w:t>
      </w:r>
    </w:p>
    <w:p>
      <w:pPr>
        <w:spacing w:after="0" w:line="223" w:lineRule="exact"/>
        <w:rPr>
          <w:sz w:val="20"/>
          <w:szCs w:val="20"/>
          <w:color w:val="auto"/>
        </w:rPr>
      </w:pPr>
    </w:p>
    <w:p>
      <w:pPr>
        <w:jc w:val="both"/>
        <w:ind w:left="6" w:right="300" w:firstLine="1291"/>
        <w:spacing w:after="0" w:line="310" w:lineRule="auto"/>
        <w:rPr>
          <w:sz w:val="20"/>
          <w:szCs w:val="20"/>
          <w:color w:val="auto"/>
        </w:rPr>
      </w:pPr>
      <w:r>
        <w:rPr>
          <w:rFonts w:ascii="Arial" w:cs="Arial" w:eastAsia="Arial" w:hAnsi="Arial"/>
          <w:sz w:val="16"/>
          <w:szCs w:val="16"/>
          <w:color w:val="auto"/>
        </w:rPr>
        <w:t>“Loan Documents” means this Agreement, the promissory notes (if any), the ACH Authorization, the Account Control Agreements, the Joinder Agreements, all UCC Financing Statements, the Warrant, the Pledge Agreement, and any other documents executed in connection with the Secured Obligations or the transactions contemplated hereby, as the same may from time to time be amended, modified, supplemented or restated.</w:t>
      </w:r>
    </w:p>
    <w:p>
      <w:pPr>
        <w:spacing w:after="0" w:line="161" w:lineRule="exact"/>
        <w:rPr>
          <w:sz w:val="20"/>
          <w:szCs w:val="20"/>
          <w:color w:val="auto"/>
        </w:rPr>
      </w:pPr>
    </w:p>
    <w:p>
      <w:pPr>
        <w:ind w:left="6" w:right="100" w:firstLine="1291"/>
        <w:spacing w:after="0" w:line="257" w:lineRule="auto"/>
        <w:rPr>
          <w:sz w:val="20"/>
          <w:szCs w:val="20"/>
          <w:color w:val="auto"/>
        </w:rPr>
      </w:pPr>
      <w:r>
        <w:rPr>
          <w:rFonts w:ascii="Arial" w:cs="Arial" w:eastAsia="Arial" w:hAnsi="Arial"/>
          <w:sz w:val="18"/>
          <w:szCs w:val="18"/>
          <w:color w:val="auto"/>
        </w:rPr>
        <w:t>“Material Adverse Effect” means a material adverse effect upon: (i) the business, operations, properties, assets or financial condition of Borrower and its Subsidiaries taken as a whole; or</w:t>
      </w:r>
    </w:p>
    <w:p>
      <w:pPr>
        <w:spacing w:after="0" w:line="2" w:lineRule="exact"/>
        <w:rPr>
          <w:sz w:val="20"/>
          <w:szCs w:val="20"/>
          <w:color w:val="auto"/>
        </w:rPr>
      </w:pPr>
    </w:p>
    <w:p>
      <w:pPr>
        <w:jc w:val="both"/>
        <w:ind w:left="6" w:right="340" w:hanging="6"/>
        <w:spacing w:after="0" w:line="254" w:lineRule="auto"/>
        <w:tabs>
          <w:tab w:leader="none" w:pos="31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283" w:lineRule="exact"/>
        <w:rPr>
          <w:sz w:val="20"/>
          <w:szCs w:val="20"/>
          <w:color w:val="auto"/>
        </w:rPr>
      </w:pPr>
    </w:p>
    <w:p>
      <w:pPr>
        <w:ind w:left="1346"/>
        <w:spacing w:after="0"/>
        <w:rPr>
          <w:sz w:val="20"/>
          <w:szCs w:val="20"/>
          <w:color w:val="auto"/>
        </w:rPr>
      </w:pPr>
      <w:r>
        <w:rPr>
          <w:rFonts w:ascii="Arial" w:cs="Arial" w:eastAsia="Arial" w:hAnsi="Arial"/>
          <w:sz w:val="18"/>
          <w:szCs w:val="18"/>
          <w:color w:val="auto"/>
        </w:rPr>
        <w:t>“Maximum Term Loan Amount” means Thirty Million and No/100 Dollars</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($30,000,000).</w:t>
      </w:r>
    </w:p>
    <w:p>
      <w:pPr>
        <w:spacing w:after="0" w:line="290" w:lineRule="exact"/>
        <w:rPr>
          <w:sz w:val="20"/>
          <w:szCs w:val="20"/>
          <w:color w:val="auto"/>
        </w:rPr>
      </w:pPr>
    </w:p>
    <w:p>
      <w:pPr>
        <w:ind w:left="6" w:right="500" w:firstLine="1290"/>
        <w:spacing w:after="0" w:line="275" w:lineRule="auto"/>
        <w:rPr>
          <w:sz w:val="20"/>
          <w:szCs w:val="20"/>
          <w:color w:val="auto"/>
        </w:rPr>
      </w:pPr>
      <w:r>
        <w:rPr>
          <w:rFonts w:ascii="Arial" w:cs="Arial" w:eastAsia="Arial" w:hAnsi="Arial"/>
          <w:sz w:val="18"/>
          <w:szCs w:val="18"/>
          <w:color w:val="auto"/>
        </w:rPr>
        <w:t>“Non-Disclosure Agreement” means that certain Non-Disclosure Agreement by and between Hercules Capital, Inc. and Borrower dated as of May 3, 2020.</w:t>
      </w:r>
    </w:p>
    <w:p>
      <w:pPr>
        <w:spacing w:after="0" w:line="171" w:lineRule="exact"/>
        <w:rPr>
          <w:sz w:val="20"/>
          <w:szCs w:val="20"/>
          <w:color w:val="auto"/>
        </w:rPr>
      </w:pPr>
    </w:p>
    <w:p>
      <w:pPr>
        <w:ind w:left="1286"/>
        <w:spacing w:after="0"/>
        <w:rPr>
          <w:sz w:val="20"/>
          <w:szCs w:val="20"/>
          <w:color w:val="auto"/>
        </w:rPr>
      </w:pPr>
      <w:r>
        <w:rPr>
          <w:rFonts w:ascii="Arial" w:cs="Arial" w:eastAsia="Arial" w:hAnsi="Arial"/>
          <w:sz w:val="18"/>
          <w:szCs w:val="18"/>
          <w:color w:val="auto"/>
        </w:rPr>
        <w:t>“OFAC” is the U.S. Department of Treasury Office of Foreign Assets Control.</w:t>
      </w:r>
    </w:p>
    <w:p>
      <w:pPr>
        <w:spacing w:after="0" w:line="223" w:lineRule="exact"/>
        <w:rPr>
          <w:sz w:val="20"/>
          <w:szCs w:val="20"/>
          <w:color w:val="auto"/>
        </w:rPr>
      </w:pPr>
    </w:p>
    <w:p>
      <w:pPr>
        <w:ind w:left="6" w:right="160" w:firstLine="1290"/>
        <w:spacing w:after="0" w:line="262" w:lineRule="auto"/>
        <w:rPr>
          <w:sz w:val="20"/>
          <w:szCs w:val="20"/>
          <w:color w:val="auto"/>
        </w:rPr>
      </w:pPr>
      <w:r>
        <w:rPr>
          <w:rFonts w:ascii="Arial" w:cs="Arial" w:eastAsia="Arial" w:hAnsi="Arial"/>
          <w:sz w:val="18"/>
          <w:szCs w:val="18"/>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97" w:lineRule="exact"/>
        <w:rPr>
          <w:sz w:val="20"/>
          <w:szCs w:val="20"/>
          <w:color w:val="auto"/>
        </w:rPr>
      </w:pPr>
    </w:p>
    <w:p>
      <w:pPr>
        <w:ind w:left="6" w:firstLine="1290"/>
        <w:spacing w:after="0" w:line="285" w:lineRule="auto"/>
        <w:rPr>
          <w:sz w:val="20"/>
          <w:szCs w:val="20"/>
          <w:color w:val="auto"/>
        </w:rPr>
      </w:pPr>
      <w:r>
        <w:rPr>
          <w:rFonts w:ascii="Arial" w:cs="Arial" w:eastAsia="Arial" w:hAnsi="Arial"/>
          <w:sz w:val="17"/>
          <w:szCs w:val="17"/>
          <w:color w:val="auto"/>
        </w:rPr>
        <w:t>“Operating Agreement” means the Amended and Restated Limited Liability Company Agreement of Borrower dated as of June 21, 2019 as amended by that certain First Amendment dated as of the Effective Date in the form provided to Agent as of the Closing Date, as the same may be amended from time to time; provided that such amendments are provided to Agent in accordance with Section 7.1(g).</w:t>
      </w:r>
    </w:p>
    <w:p>
      <w:pPr>
        <w:spacing w:after="0" w:line="165" w:lineRule="exact"/>
        <w:rPr>
          <w:sz w:val="20"/>
          <w:szCs w:val="20"/>
          <w:color w:val="auto"/>
        </w:rPr>
      </w:pPr>
    </w:p>
    <w:p>
      <w:pPr>
        <w:jc w:val="center"/>
        <w:ind w:right="7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14605</wp:posOffset>
            </wp:positionV>
            <wp:extent cx="71329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06"/>
          </w:cols>
          <w:pgMar w:left="434" w:top="770" w:right="359" w:bottom="1440" w:gutter="0" w:footer="0" w:header="0"/>
        </w:sectPr>
      </w:pPr>
    </w:p>
    <w:bookmarkStart w:id="437" w:name="page438"/>
    <w:bookmarkEnd w:id="437"/>
    <w:p>
      <w:pPr>
        <w:ind w:right="60" w:firstLine="1290"/>
        <w:spacing w:after="0" w:line="262" w:lineRule="auto"/>
        <w:rPr>
          <w:sz w:val="20"/>
          <w:szCs w:val="20"/>
          <w:color w:val="auto"/>
        </w:rPr>
      </w:pPr>
      <w:r>
        <w:rPr>
          <w:rFonts w:ascii="Arial" w:cs="Arial" w:eastAsia="Arial" w:hAnsi="Arial"/>
          <w:sz w:val="18"/>
          <w:szCs w:val="18"/>
          <w:color w:val="auto"/>
        </w:rPr>
        <w:t>“Option Agreement” means that certain Option Agreement dated as of June 21, 2019, by and among Borrower, Century Therapeutics, Inc., and Bayer; in the form delivered to Agent prior to the Closing Date, as the same may be amended from time to time; provided that such amendments are provided to Agent in accordance with Section 7.1(g).</w:t>
      </w:r>
    </w:p>
    <w:p>
      <w:pPr>
        <w:spacing w:after="0" w:line="197" w:lineRule="exact"/>
        <w:rPr>
          <w:sz w:val="20"/>
          <w:szCs w:val="20"/>
          <w:color w:val="auto"/>
        </w:rPr>
      </w:pPr>
    </w:p>
    <w:p>
      <w:pPr>
        <w:ind w:right="160" w:firstLine="1291"/>
        <w:spacing w:after="0" w:line="275" w:lineRule="auto"/>
        <w:rPr>
          <w:sz w:val="20"/>
          <w:szCs w:val="20"/>
          <w:color w:val="auto"/>
        </w:rPr>
      </w:pPr>
      <w:r>
        <w:rPr>
          <w:rFonts w:ascii="Arial" w:cs="Arial" w:eastAsia="Arial" w:hAnsi="Arial"/>
          <w:sz w:val="18"/>
          <w:szCs w:val="18"/>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71" w:lineRule="exact"/>
        <w:rPr>
          <w:sz w:val="20"/>
          <w:szCs w:val="20"/>
          <w:color w:val="auto"/>
        </w:rPr>
      </w:pPr>
    </w:p>
    <w:p>
      <w:pPr>
        <w:jc w:val="both"/>
        <w:ind w:right="100" w:firstLine="1291"/>
        <w:spacing w:after="0" w:line="262" w:lineRule="auto"/>
        <w:rPr>
          <w:sz w:val="20"/>
          <w:szCs w:val="20"/>
          <w:color w:val="auto"/>
        </w:rPr>
      </w:pPr>
      <w:r>
        <w:rPr>
          <w:rFonts w:ascii="Arial" w:cs="Arial" w:eastAsia="Arial" w:hAnsi="Arial"/>
          <w:sz w:val="18"/>
          <w:szCs w:val="18"/>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97" w:lineRule="exact"/>
        <w:rPr>
          <w:sz w:val="20"/>
          <w:szCs w:val="20"/>
          <w:color w:val="auto"/>
        </w:rPr>
      </w:pPr>
    </w:p>
    <w:p>
      <w:pPr>
        <w:ind w:right="160" w:firstLine="1291"/>
        <w:spacing w:after="0" w:line="272" w:lineRule="auto"/>
        <w:rPr>
          <w:sz w:val="20"/>
          <w:szCs w:val="20"/>
          <w:color w:val="auto"/>
        </w:rPr>
      </w:pPr>
      <w:r>
        <w:rPr>
          <w:rFonts w:ascii="Arial" w:cs="Arial" w:eastAsia="Arial" w:hAnsi="Arial"/>
          <w:sz w:val="17"/>
          <w:szCs w:val="17"/>
          <w:color w:val="auto"/>
        </w:rPr>
        <w:t>“Performance Milestone I” means (a) no Default or Event of Default shall have occurred and be continuing and (b) Borrower has (i) demonstrated pre-clinical proof-of-concept for all allogeneic iNK cell therapy; (ii) received at least Sixty-Five Million Dollars ($65,000,000) in All Source Proceeds; provided that Agent may, in its sole discretion, reduce such amount of minimum All Source Proceeds consistent with adjustments to Borrower’s projections and the anticipated timing of various events/initiatives, as reviewed and approved by Agent; and (iii) demonstrated pre-clinical proof-of- concept for an allogeneic iT cell therapy product, in each case of the foregoing clauses (i) through (iii), subject to verification by Agent in its reasonable discretion (including supporting documentation reasonably requested by Agent).</w:t>
      </w:r>
    </w:p>
    <w:p>
      <w:pPr>
        <w:spacing w:after="0" w:line="191" w:lineRule="exact"/>
        <w:rPr>
          <w:sz w:val="20"/>
          <w:szCs w:val="20"/>
          <w:color w:val="auto"/>
        </w:rPr>
      </w:pPr>
    </w:p>
    <w:p>
      <w:pPr>
        <w:ind w:right="80" w:firstLine="1341"/>
        <w:spacing w:after="0" w:line="271" w:lineRule="auto"/>
        <w:rPr>
          <w:sz w:val="20"/>
          <w:szCs w:val="20"/>
          <w:color w:val="auto"/>
        </w:rPr>
      </w:pPr>
      <w:r>
        <w:rPr>
          <w:rFonts w:ascii="Arial" w:cs="Arial" w:eastAsia="Arial" w:hAnsi="Arial"/>
          <w:sz w:val="17"/>
          <w:szCs w:val="17"/>
          <w:color w:val="auto"/>
        </w:rPr>
        <w:t>“Performance Milestone II” means (a) no Default or Event of Default shall have occurred and be continuing and (b) Borrower has (i) achieved Performance Milestone I and (ii) received at least One Hundred Twenty Million Dollars ($120,000,000) in cumulative All Source Proceeds (including amounts raised or received in connection with satisfaction of Performance Milestone I), which must include the completion of a bona fide equity financing, which financing shall include an institutional investor reasonably acceptable to Agent which was not an investor in Borrower as of the Closing Date, subject to verification by Agent (including supporting documentation reasonably requested by Agent); provided that Agent may, in its sole discretion, reduce such amount of minimum All Source Proceeds consistent with adjustments to Borrower’s projections and the anticipated timing of various events/initiatives, as reviewed and approved by Agent.</w:t>
      </w:r>
    </w:p>
    <w:p>
      <w:pPr>
        <w:spacing w:after="0" w:line="177" w:lineRule="exact"/>
        <w:rPr>
          <w:sz w:val="20"/>
          <w:szCs w:val="20"/>
          <w:color w:val="auto"/>
        </w:rPr>
      </w:pPr>
    </w:p>
    <w:p>
      <w:pPr>
        <w:ind w:right="560" w:firstLine="1291"/>
        <w:spacing w:after="0" w:line="262" w:lineRule="auto"/>
        <w:rPr>
          <w:sz w:val="20"/>
          <w:szCs w:val="20"/>
          <w:color w:val="auto"/>
        </w:rPr>
      </w:pPr>
      <w:r>
        <w:rPr>
          <w:rFonts w:ascii="Arial" w:cs="Arial" w:eastAsia="Arial" w:hAnsi="Arial"/>
          <w:sz w:val="18"/>
          <w:szCs w:val="18"/>
          <w:color w:val="auto"/>
        </w:rPr>
        <w:t>“Performance Milestone III” means (a) no Default or Event of Default shall have occurred and be continuing and (b) Borrower has (i) achieved Performance Milestone II and (ii) in Agent’s reasonable discretion, demonstrated satisfactory progress towards the filing of an IND of an allogeneic cell therapy product.</w:t>
      </w:r>
    </w:p>
    <w:p>
      <w:pPr>
        <w:spacing w:after="0" w:line="197" w:lineRule="exact"/>
        <w:rPr>
          <w:sz w:val="20"/>
          <w:szCs w:val="20"/>
          <w:color w:val="auto"/>
        </w:rPr>
      </w:pPr>
    </w:p>
    <w:p>
      <w:pPr>
        <w:ind w:right="200" w:firstLine="1291"/>
        <w:spacing w:after="0" w:line="275" w:lineRule="auto"/>
        <w:rPr>
          <w:sz w:val="20"/>
          <w:szCs w:val="20"/>
          <w:color w:val="auto"/>
        </w:rPr>
      </w:pPr>
      <w:r>
        <w:rPr>
          <w:rFonts w:ascii="Arial" w:cs="Arial" w:eastAsia="Arial" w:hAnsi="Arial"/>
          <w:sz w:val="18"/>
          <w:szCs w:val="18"/>
          <w:color w:val="auto"/>
        </w:rPr>
        <w:t>“Permitted Acquisition” means any Acquisition, in each case located entirely within the United States of America, which is conducted in accordance with the following requirements:</w:t>
      </w:r>
    </w:p>
    <w:p>
      <w:pPr>
        <w:spacing w:after="0" w:line="185" w:lineRule="exact"/>
        <w:rPr>
          <w:sz w:val="20"/>
          <w:szCs w:val="20"/>
          <w:color w:val="auto"/>
        </w:rPr>
      </w:pPr>
    </w:p>
    <w:p>
      <w:pPr>
        <w:ind w:left="2200" w:hanging="914"/>
        <w:spacing w:after="0"/>
        <w:tabs>
          <w:tab w:leader="none" w:pos="22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of a business or Person or product engaged in a line of business related to that of the Borrower or its Subsidiaries;</w:t>
      </w:r>
    </w:p>
    <w:p>
      <w:pPr>
        <w:spacing w:after="0" w:line="235" w:lineRule="exact"/>
        <w:rPr>
          <w:rFonts w:ascii="Arial" w:cs="Arial" w:eastAsia="Arial" w:hAnsi="Arial"/>
          <w:sz w:val="17"/>
          <w:szCs w:val="17"/>
          <w:color w:val="auto"/>
        </w:rPr>
      </w:pPr>
    </w:p>
    <w:p>
      <w:pPr>
        <w:ind w:firstLine="1286"/>
        <w:spacing w:after="0" w:line="262" w:lineRule="auto"/>
        <w:tabs>
          <w:tab w:leader="none" w:pos="217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such Acquisition is structured as a stock acquisition, then the Person so acquired shall either (i) become a wholly-owned Subsidiary of Borrower or of a Subsidiary and the Borrower shall comply, or cause such Subsidiary to comply, with Section 7.13 hereof or (ii) such Person shall be merged with and into Borrower (with the Borrower being the surviving entity);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22860</wp:posOffset>
            </wp:positionV>
            <wp:extent cx="71329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60"/>
          </w:cols>
          <w:pgMar w:left="440" w:top="771" w:right="499" w:bottom="1440" w:gutter="0" w:footer="0" w:header="0"/>
        </w:sectPr>
      </w:pPr>
    </w:p>
    <w:bookmarkStart w:id="438" w:name="page439"/>
    <w:bookmarkEnd w:id="438"/>
    <w:p>
      <w:pPr>
        <w:ind w:right="20" w:firstLine="1286"/>
        <w:spacing w:after="0" w:line="258" w:lineRule="auto"/>
        <w:tabs>
          <w:tab w:leader="none" w:pos="220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such Acquisition is structured as the acquisition or in-licensing of assets, such assets shall be acquired by Borrower or a Subsidiary of Borrower that has executed a Joinder Agreement, shall be related to or complementary to Borrower’s core technology or required for specific product candidate constructs (i.e. cell therapy design, delivery technology, target-specific IP, etc.), and shall be free and clear of Liens other than Permitted Liens;</w:t>
      </w:r>
    </w:p>
    <w:p>
      <w:pPr>
        <w:spacing w:after="0" w:line="199" w:lineRule="exact"/>
        <w:rPr>
          <w:rFonts w:ascii="Arial" w:cs="Arial" w:eastAsia="Arial" w:hAnsi="Arial"/>
          <w:sz w:val="18"/>
          <w:szCs w:val="18"/>
          <w:color w:val="auto"/>
        </w:rPr>
      </w:pPr>
    </w:p>
    <w:p>
      <w:pPr>
        <w:ind w:right="160" w:firstLine="1286"/>
        <w:spacing w:after="0" w:line="256" w:lineRule="auto"/>
        <w:tabs>
          <w:tab w:leader="none" w:pos="217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Borrower shall have delivered to the Lenders not less than fifteen (15) nor more than forty five (45) days prior to the date of such Acquisition, notice of such Acquisition together with pro forma projected financial information, copies of all material documents relating to such acquisition, and historical financial statements for such acquired entity, division or line of business, in each case in form and substance satisfactory to the Lenders and demonstrating compliance with the covenants set forth in Section 7.20 hereof on a pro forma basis as if the Acquisition occurred on the first day of the most recent measurement period;</w:t>
      </w:r>
    </w:p>
    <w:p>
      <w:pPr>
        <w:spacing w:after="0" w:line="187" w:lineRule="exact"/>
        <w:rPr>
          <w:rFonts w:ascii="Arial" w:cs="Arial" w:eastAsia="Arial" w:hAnsi="Arial"/>
          <w:sz w:val="18"/>
          <w:szCs w:val="18"/>
          <w:color w:val="auto"/>
        </w:rPr>
      </w:pPr>
    </w:p>
    <w:p>
      <w:pPr>
        <w:ind w:left="2160" w:hanging="875"/>
        <w:spacing w:after="0"/>
        <w:tabs>
          <w:tab w:leader="none" w:pos="2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both immediately before and after such Acquisition no Default or Event of Default shall have occurred and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continuing; and</w:t>
      </w:r>
    </w:p>
    <w:p>
      <w:pPr>
        <w:spacing w:after="0" w:line="222" w:lineRule="exact"/>
        <w:rPr>
          <w:sz w:val="20"/>
          <w:szCs w:val="20"/>
          <w:color w:val="auto"/>
        </w:rPr>
      </w:pPr>
    </w:p>
    <w:p>
      <w:pPr>
        <w:ind w:firstLine="1286"/>
        <w:spacing w:after="0" w:line="274" w:lineRule="auto"/>
        <w:tabs>
          <w:tab w:leader="none" w:pos="209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sum of the purchase price of all such proposed new Acquisitions, in the aggregate, computed on the basis of total acquisition consideration paid or incurred, or to be paid or incurred, by Borrower with respect thereto, including any contingent or deferred acquisition consideration due and/or payable during the term of this Agreement, and including the amount of Permitted Indebtedness assumed or to which such assets, businesses or business or ownership interest or shares, or any Person so acquired, is subject, shall not be greater than (i) $4,000,000 for any single acquisition or group of related acquisitions or (ii) $6,000,000 for all such acquisitions during the term of this Agreement.</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“Permitted Indebtedness” means:</w:t>
      </w:r>
    </w:p>
    <w:p>
      <w:pPr>
        <w:spacing w:after="0" w:line="223" w:lineRule="exact"/>
        <w:rPr>
          <w:sz w:val="20"/>
          <w:szCs w:val="20"/>
          <w:color w:val="auto"/>
        </w:rPr>
      </w:pPr>
    </w:p>
    <w:p>
      <w:pPr>
        <w:ind w:left="2260" w:hanging="653"/>
        <w:spacing w:after="0"/>
        <w:tabs>
          <w:tab w:leader="none" w:pos="22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Indebtedness of Borrower in favor of the Lenders or Agent arising under this Agreement or any other Loan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Document;</w:t>
      </w:r>
    </w:p>
    <w:p>
      <w:pPr>
        <w:spacing w:after="0" w:line="222" w:lineRule="exact"/>
        <w:rPr>
          <w:sz w:val="20"/>
          <w:szCs w:val="20"/>
          <w:color w:val="auto"/>
        </w:rPr>
      </w:pPr>
    </w:p>
    <w:p>
      <w:pPr>
        <w:ind w:left="2080" w:hanging="484"/>
        <w:spacing w:after="0"/>
        <w:tabs>
          <w:tab w:leader="none" w:pos="2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Indebtedness existing on the Closing Date which is disclosed in Schedule 1A;</w:t>
      </w:r>
    </w:p>
    <w:p>
      <w:pPr>
        <w:spacing w:after="0" w:line="236" w:lineRule="exact"/>
        <w:rPr>
          <w:rFonts w:ascii="Arial" w:cs="Arial" w:eastAsia="Arial" w:hAnsi="Arial"/>
          <w:sz w:val="18"/>
          <w:szCs w:val="18"/>
          <w:color w:val="auto"/>
        </w:rPr>
      </w:pPr>
    </w:p>
    <w:p>
      <w:pPr>
        <w:ind w:left="640" w:right="160" w:firstLine="968"/>
        <w:spacing w:after="0" w:line="340" w:lineRule="auto"/>
        <w:tabs>
          <w:tab w:leader="none" w:pos="2191" w:val="left"/>
        </w:tabs>
        <w:numPr>
          <w:ilvl w:val="1"/>
          <w:numId w:val="322"/>
        </w:numPr>
        <w:rPr>
          <w:rFonts w:ascii="Arial" w:cs="Arial" w:eastAsia="Arial" w:hAnsi="Arial"/>
          <w:sz w:val="16"/>
          <w:szCs w:val="16"/>
          <w:color w:val="auto"/>
        </w:rPr>
      </w:pPr>
      <w:r>
        <w:rPr>
          <w:rFonts w:ascii="Arial" w:cs="Arial" w:eastAsia="Arial" w:hAnsi="Arial"/>
          <w:sz w:val="16"/>
          <w:szCs w:val="16"/>
          <w:color w:val="auto"/>
        </w:rPr>
        <w:t>Indebtedness of up to $1,500,000 outstanding at any time secured by a Lien described in clause (vii) of the defined term “Permitted Liens,” provided such Indebtedness does not exceed the cost of the Equipment financed with such Indebtedness;</w:t>
      </w:r>
    </w:p>
    <w:p>
      <w:pPr>
        <w:spacing w:after="0" w:line="124" w:lineRule="exact"/>
        <w:rPr>
          <w:rFonts w:ascii="Arial" w:cs="Arial" w:eastAsia="Arial" w:hAnsi="Arial"/>
          <w:sz w:val="16"/>
          <w:szCs w:val="16"/>
          <w:color w:val="auto"/>
        </w:rPr>
      </w:pPr>
    </w:p>
    <w:p>
      <w:pPr>
        <w:ind w:left="640" w:right="280" w:firstLine="967"/>
        <w:spacing w:after="0" w:line="306" w:lineRule="auto"/>
        <w:tabs>
          <w:tab w:leader="none" w:pos="218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Indebtedness to trade creditors incurred in the ordinary course of business, including such Indebtedness incurred in the ordinary course of business with corporate credit cards in an amount not to exceed $500,000 at any time outstanding;</w:t>
      </w:r>
    </w:p>
    <w:p>
      <w:pPr>
        <w:spacing w:after="0" w:line="147" w:lineRule="exact"/>
        <w:rPr>
          <w:sz w:val="20"/>
          <w:szCs w:val="20"/>
          <w:color w:val="auto"/>
        </w:rPr>
      </w:pPr>
    </w:p>
    <w:p>
      <w:pPr>
        <w:ind w:left="2080" w:hanging="484"/>
        <w:spacing w:after="0"/>
        <w:tabs>
          <w:tab w:leader="none" w:pos="2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Indebtedness that also constitutes a Permitted Investment;</w:t>
      </w:r>
    </w:p>
    <w:p>
      <w:pPr>
        <w:spacing w:after="0" w:line="236" w:lineRule="exact"/>
        <w:rPr>
          <w:rFonts w:ascii="Arial" w:cs="Arial" w:eastAsia="Arial" w:hAnsi="Arial"/>
          <w:sz w:val="18"/>
          <w:szCs w:val="18"/>
          <w:color w:val="auto"/>
        </w:rPr>
      </w:pPr>
    </w:p>
    <w:p>
      <w:pPr>
        <w:ind w:left="2080" w:hanging="484"/>
        <w:spacing w:after="0"/>
        <w:tabs>
          <w:tab w:leader="none" w:pos="2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Subordinated Indebtedness;</w:t>
      </w:r>
    </w:p>
    <w:p>
      <w:pPr>
        <w:spacing w:after="0" w:line="223" w:lineRule="exact"/>
        <w:rPr>
          <w:rFonts w:ascii="Arial" w:cs="Arial" w:eastAsia="Arial" w:hAnsi="Arial"/>
          <w:sz w:val="18"/>
          <w:szCs w:val="18"/>
          <w:color w:val="auto"/>
        </w:rPr>
      </w:pPr>
    </w:p>
    <w:p>
      <w:pPr>
        <w:ind w:left="640" w:right="620" w:firstLine="967"/>
        <w:spacing w:after="0" w:line="257" w:lineRule="auto"/>
        <w:tabs>
          <w:tab w:leader="none" w:pos="214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reimbursement obligations in connection with letters of credit that are secured by Cash and issued on behalf of the Borrower or a Subsidiary thereof in an amount not to exceed</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$250,000 at any time outstanding,</w:t>
      </w:r>
    </w:p>
    <w:p>
      <w:pPr>
        <w:spacing w:after="0" w:line="208" w:lineRule="exact"/>
        <w:rPr>
          <w:rFonts w:ascii="Arial" w:cs="Arial" w:eastAsia="Arial" w:hAnsi="Arial"/>
          <w:sz w:val="18"/>
          <w:szCs w:val="18"/>
          <w:color w:val="auto"/>
        </w:rPr>
      </w:pPr>
    </w:p>
    <w:p>
      <w:pPr>
        <w:ind w:left="640" w:right="260" w:firstLine="967"/>
        <w:spacing w:after="0" w:line="275" w:lineRule="auto"/>
        <w:tabs>
          <w:tab w:leader="none" w:pos="21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Indebtedness arising from honoring by a bank or other financial institution of a check, draft or similar instrument drawn against insufficient funds in the ordinary course 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22860</wp:posOffset>
            </wp:positionV>
            <wp:extent cx="71329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60"/>
          </w:cols>
          <w:pgMar w:left="440" w:top="771" w:right="499" w:bottom="1440" w:gutter="0" w:footer="0" w:header="0"/>
        </w:sectPr>
      </w:pPr>
    </w:p>
    <w:bookmarkStart w:id="439" w:name="page440"/>
    <w:bookmarkEnd w:id="439"/>
    <w:p>
      <w:pPr>
        <w:ind w:right="1120"/>
        <w:spacing w:after="0" w:line="275" w:lineRule="auto"/>
        <w:rPr>
          <w:sz w:val="20"/>
          <w:szCs w:val="20"/>
          <w:color w:val="auto"/>
        </w:rPr>
      </w:pPr>
      <w:r>
        <w:rPr>
          <w:rFonts w:ascii="Arial" w:cs="Arial" w:eastAsia="Arial" w:hAnsi="Arial"/>
          <w:sz w:val="18"/>
          <w:szCs w:val="18"/>
          <w:color w:val="auto"/>
        </w:rPr>
        <w:t>business, provided that such Indebtedness is extinguished within ten (10) days of Borrower or its Subsidiaries obtaining notice or knowledge of its incurrence;</w:t>
      </w:r>
    </w:p>
    <w:p>
      <w:pPr>
        <w:spacing w:after="0" w:line="171" w:lineRule="exact"/>
        <w:rPr>
          <w:sz w:val="20"/>
          <w:szCs w:val="20"/>
          <w:color w:val="auto"/>
        </w:rPr>
      </w:pPr>
    </w:p>
    <w:p>
      <w:pPr>
        <w:ind w:right="660" w:firstLine="968"/>
        <w:spacing w:after="0" w:line="275" w:lineRule="auto"/>
        <w:tabs>
          <w:tab w:leader="none" w:pos="1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Indebtedness of Borrower and its Subsidiaries incurred in connection with financing of insurance premiums in the ordinary course of business;</w:t>
      </w:r>
    </w:p>
    <w:p>
      <w:pPr>
        <w:spacing w:after="0" w:line="184" w:lineRule="exact"/>
        <w:rPr>
          <w:rFonts w:ascii="Arial" w:cs="Arial" w:eastAsia="Arial" w:hAnsi="Arial"/>
          <w:sz w:val="18"/>
          <w:szCs w:val="18"/>
          <w:color w:val="auto"/>
        </w:rPr>
      </w:pPr>
    </w:p>
    <w:p>
      <w:pPr>
        <w:ind w:left="1580" w:hanging="612"/>
        <w:spacing w:after="0"/>
        <w:tabs>
          <w:tab w:leader="none" w:pos="15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Indebtedness incurred in connection with netting services incurred in the ordinary course of business;</w:t>
      </w:r>
    </w:p>
    <w:p>
      <w:pPr>
        <w:spacing w:after="0" w:line="223" w:lineRule="exact"/>
        <w:rPr>
          <w:rFonts w:ascii="Arial" w:cs="Arial" w:eastAsia="Arial" w:hAnsi="Arial"/>
          <w:sz w:val="18"/>
          <w:szCs w:val="18"/>
          <w:color w:val="auto"/>
        </w:rPr>
      </w:pPr>
    </w:p>
    <w:p>
      <w:pPr>
        <w:ind w:right="440" w:firstLine="968"/>
        <w:spacing w:after="0" w:line="306" w:lineRule="auto"/>
        <w:tabs>
          <w:tab w:leader="none" w:pos="15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Indebtedness arising out of currency or commodity swap agreements, interest rate cap agreements, interest rate collar agreements or other similar agreements entered into in the ordinary course of business and not for speculation</w:t>
      </w:r>
    </w:p>
    <w:p>
      <w:pPr>
        <w:spacing w:after="0" w:line="147" w:lineRule="exact"/>
        <w:rPr>
          <w:rFonts w:ascii="Arial" w:cs="Arial" w:eastAsia="Arial" w:hAnsi="Arial"/>
          <w:sz w:val="17"/>
          <w:szCs w:val="17"/>
          <w:color w:val="auto"/>
        </w:rPr>
      </w:pPr>
    </w:p>
    <w:p>
      <w:pPr>
        <w:ind w:left="1500" w:hanging="530"/>
        <w:spacing w:after="0"/>
        <w:tabs>
          <w:tab w:leader="none" w:pos="15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other unsecured Indebtedness in an amount not to exceed $250,000 at any time outstanding,</w:t>
      </w:r>
    </w:p>
    <w:p>
      <w:pPr>
        <w:spacing w:after="0" w:line="236" w:lineRule="exact"/>
        <w:rPr>
          <w:rFonts w:ascii="Arial" w:cs="Arial" w:eastAsia="Arial" w:hAnsi="Arial"/>
          <w:sz w:val="18"/>
          <w:szCs w:val="18"/>
          <w:color w:val="auto"/>
        </w:rPr>
      </w:pPr>
    </w:p>
    <w:p>
      <w:pPr>
        <w:ind w:right="460" w:firstLine="968"/>
        <w:spacing w:after="0" w:line="275" w:lineRule="auto"/>
        <w:tabs>
          <w:tab w:leader="none" w:pos="1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intercompany Indebtedness as long as either (A) each of the Subsidiary obligor and the Subsidiary obligee under such Indebtedness is a Subsidiary that has executed a Joinder Agreement; and</w:t>
      </w:r>
    </w:p>
    <w:p>
      <w:pPr>
        <w:spacing w:after="0" w:line="171" w:lineRule="exact"/>
        <w:rPr>
          <w:rFonts w:ascii="Arial" w:cs="Arial" w:eastAsia="Arial" w:hAnsi="Arial"/>
          <w:sz w:val="18"/>
          <w:szCs w:val="18"/>
          <w:color w:val="auto"/>
        </w:rPr>
      </w:pPr>
    </w:p>
    <w:p>
      <w:pPr>
        <w:ind w:right="360" w:firstLine="968"/>
        <w:spacing w:after="0" w:line="340" w:lineRule="auto"/>
        <w:tabs>
          <w:tab w:leader="none" w:pos="145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extensions, refinancings and renewals of any items of Permitted Indebtedness, provided that the principal amount is not increased or the terms modified to impose materially more burdensome terms upon Borrower or its Subsidiary, as the case may be.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“Permitted Investment” means:</w:t>
      </w:r>
    </w:p>
    <w:p>
      <w:pPr>
        <w:spacing w:after="0" w:line="237" w:lineRule="exact"/>
        <w:rPr>
          <w:sz w:val="20"/>
          <w:szCs w:val="20"/>
          <w:color w:val="auto"/>
        </w:rPr>
      </w:pPr>
    </w:p>
    <w:p>
      <w:pPr>
        <w:ind w:left="1440" w:hanging="484"/>
        <w:spacing w:after="0"/>
        <w:tabs>
          <w:tab w:leader="none" w:pos="14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Investments existing on the Closing Date which are disclosed in Schedule 1B;</w:t>
      </w:r>
    </w:p>
    <w:p>
      <w:pPr>
        <w:spacing w:after="0" w:line="223" w:lineRule="exact"/>
        <w:rPr>
          <w:rFonts w:ascii="Arial" w:cs="Arial" w:eastAsia="Arial" w:hAnsi="Arial"/>
          <w:sz w:val="18"/>
          <w:szCs w:val="18"/>
          <w:color w:val="auto"/>
        </w:rPr>
      </w:pPr>
    </w:p>
    <w:p>
      <w:pPr>
        <w:ind w:right="100" w:firstLine="968"/>
        <w:spacing w:after="0" w:line="290" w:lineRule="auto"/>
        <w:tabs>
          <w:tab w:leader="none" w:pos="159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$500,000,000 maturing no more than one year from the date of investment therein, (d) money market accounts and (e) any other investments permitted under the Investment Policy Statement of the Borrower dated as of November 12, 2018, as updated from time to time to the extent a copy of such updates have been provided to, and reviewed by, Agent;</w:t>
      </w:r>
    </w:p>
    <w:p>
      <w:pPr>
        <w:spacing w:after="0" w:line="165" w:lineRule="exact"/>
        <w:rPr>
          <w:rFonts w:ascii="Arial" w:cs="Arial" w:eastAsia="Arial" w:hAnsi="Arial"/>
          <w:sz w:val="16"/>
          <w:szCs w:val="16"/>
          <w:color w:val="auto"/>
        </w:rPr>
      </w:pPr>
    </w:p>
    <w:p>
      <w:pPr>
        <w:ind w:firstLine="970"/>
        <w:spacing w:after="0" w:line="310" w:lineRule="auto"/>
        <w:tabs>
          <w:tab w:leader="none" w:pos="1551" w:val="left"/>
        </w:tabs>
        <w:numPr>
          <w:ilvl w:val="1"/>
          <w:numId w:val="325"/>
        </w:numPr>
        <w:rPr>
          <w:rFonts w:ascii="Arial" w:cs="Arial" w:eastAsia="Arial" w:hAnsi="Arial"/>
          <w:sz w:val="16"/>
          <w:szCs w:val="16"/>
          <w:color w:val="auto"/>
        </w:rPr>
      </w:pPr>
      <w:r>
        <w:rPr>
          <w:rFonts w:ascii="Arial" w:cs="Arial" w:eastAsia="Arial" w:hAnsi="Arial"/>
          <w:sz w:val="16"/>
          <w:szCs w:val="16"/>
          <w:color w:val="auto"/>
        </w:rPr>
        <w:t>repurchases of stock from former employees, directors, or consultants of Century, Borrower or its Subsidiaries under the terms of applicable repurchase agreements at the original issuance price of such securities in an aggregate amount not to exceed $250,000 in any fiscal year, provided that no Event of Default has occurred, is continuing or could exist after giving effect to the repurchases;</w:t>
      </w:r>
    </w:p>
    <w:p>
      <w:pPr>
        <w:spacing w:after="0" w:line="161" w:lineRule="exact"/>
        <w:rPr>
          <w:sz w:val="20"/>
          <w:szCs w:val="20"/>
          <w:color w:val="auto"/>
        </w:rPr>
      </w:pPr>
    </w:p>
    <w:p>
      <w:pPr>
        <w:ind w:left="1440" w:hanging="484"/>
        <w:spacing w:after="0"/>
        <w:tabs>
          <w:tab w:leader="none" w:pos="14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Investments accepted in connection with Permitted Transfers;</w:t>
      </w:r>
    </w:p>
    <w:p>
      <w:pPr>
        <w:spacing w:after="0" w:line="223" w:lineRule="exact"/>
        <w:rPr>
          <w:sz w:val="20"/>
          <w:szCs w:val="20"/>
          <w:color w:val="auto"/>
        </w:rPr>
      </w:pPr>
    </w:p>
    <w:p>
      <w:pPr>
        <w:ind w:right="320" w:firstLine="970"/>
        <w:spacing w:after="0" w:line="275" w:lineRule="auto"/>
        <w:tabs>
          <w:tab w:leader="none" w:pos="158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71329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380"/>
          </w:cols>
          <w:pgMar w:left="1080" w:top="690" w:right="43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color w:val="auto"/>
        </w:rPr>
        <w:t>of, and other disputes with, customers or suppliers arising in the ordinary course of Borrower’s business;</w:t>
      </w:r>
    </w:p>
    <w:p>
      <w:pPr>
        <w:spacing w:after="0" w:line="223" w:lineRule="exact"/>
        <w:rPr>
          <w:sz w:val="20"/>
          <w:szCs w:val="20"/>
          <w:color w:val="auto"/>
        </w:rPr>
      </w:pPr>
    </w:p>
    <w:p>
      <w:pPr>
        <w:ind w:right="500" w:firstLine="968"/>
        <w:spacing w:after="0" w:line="262" w:lineRule="auto"/>
        <w:tabs>
          <w:tab w:leader="none" w:pos="154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 provided that this subparagraph (vi) shall not apply to Investments of Borrower in any Subsidiary;</w:t>
      </w:r>
    </w:p>
    <w:p>
      <w:pPr>
        <w:spacing w:after="0" w:line="196" w:lineRule="exact"/>
        <w:rPr>
          <w:rFonts w:ascii="Arial" w:cs="Arial" w:eastAsia="Arial" w:hAnsi="Arial"/>
          <w:sz w:val="18"/>
          <w:szCs w:val="18"/>
          <w:color w:val="auto"/>
        </w:rPr>
      </w:pPr>
    </w:p>
    <w:p>
      <w:pPr>
        <w:ind w:firstLine="968"/>
        <w:spacing w:after="0" w:line="258" w:lineRule="auto"/>
        <w:tabs>
          <w:tab w:leader="none" w:pos="1501"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Investments consisting of loans not involving the net transfer on a substantially contemporaneous basis of cash proceeds to employees, officers, managers or directors relating to the purchase of capital stock of Century, Borrower or its Subsidiaries pursuant to employee stock purchase plans or other similar agreements approved by Century’s, Borrower’s or a Subsidiary’s Board of Directors or similar governing body;</w:t>
      </w:r>
    </w:p>
    <w:p>
      <w:pPr>
        <w:spacing w:after="0" w:line="186" w:lineRule="exact"/>
        <w:rPr>
          <w:rFonts w:ascii="Arial" w:cs="Arial" w:eastAsia="Arial" w:hAnsi="Arial"/>
          <w:sz w:val="18"/>
          <w:szCs w:val="18"/>
          <w:color w:val="auto"/>
        </w:rPr>
      </w:pPr>
    </w:p>
    <w:p>
      <w:pPr>
        <w:ind w:right="140" w:firstLine="968"/>
        <w:spacing w:after="0" w:line="278" w:lineRule="auto"/>
        <w:tabs>
          <w:tab w:leader="none" w:pos="1461" w:val="left"/>
        </w:tabs>
        <w:numPr>
          <w:ilvl w:val="1"/>
          <w:numId w:val="328"/>
        </w:numPr>
        <w:rPr>
          <w:rFonts w:ascii="Arial" w:cs="Arial" w:eastAsia="Arial" w:hAnsi="Arial"/>
          <w:sz w:val="17"/>
          <w:szCs w:val="17"/>
          <w:color w:val="auto"/>
        </w:rPr>
      </w:pPr>
      <w:r>
        <w:rPr>
          <w:rFonts w:ascii="Arial" w:cs="Arial" w:eastAsia="Arial" w:hAnsi="Arial"/>
          <w:sz w:val="17"/>
          <w:szCs w:val="17"/>
          <w:color w:val="auto"/>
        </w:rPr>
        <w:t>Investments consisting of (i) travel advances and employee relocation loans in the ordinary course of business, and (ii) loans to employees, officers, managers or directors relating to the purchase of equity securities of Century, Borrower or its Subsidiaries pursuant to employee stock purchase plans or agreements approved by Century’s, Borrower’s or its Subsidiary’s Board of Directors or similar governing body; not to exceed $250,000 in the aggregate for (i) and (ii) during the term of this Agreement;</w:t>
      </w:r>
    </w:p>
    <w:p>
      <w:pPr>
        <w:spacing w:after="0" w:line="183" w:lineRule="exact"/>
        <w:rPr>
          <w:rFonts w:ascii="Arial" w:cs="Arial" w:eastAsia="Arial" w:hAnsi="Arial"/>
          <w:sz w:val="17"/>
          <w:szCs w:val="17"/>
          <w:color w:val="auto"/>
        </w:rPr>
      </w:pPr>
    </w:p>
    <w:p>
      <w:pPr>
        <w:ind w:right="20" w:firstLine="970"/>
        <w:spacing w:after="0" w:line="306" w:lineRule="auto"/>
        <w:tabs>
          <w:tab w:leader="none" w:pos="1568" w:val="left"/>
        </w:tabs>
        <w:numPr>
          <w:ilvl w:val="1"/>
          <w:numId w:val="328"/>
        </w:numPr>
        <w:rPr>
          <w:rFonts w:ascii="Arial" w:cs="Arial" w:eastAsia="Arial" w:hAnsi="Arial"/>
          <w:sz w:val="17"/>
          <w:szCs w:val="17"/>
          <w:color w:val="auto"/>
        </w:rPr>
      </w:pPr>
      <w:r>
        <w:rPr>
          <w:rFonts w:ascii="Arial" w:cs="Arial" w:eastAsia="Arial" w:hAnsi="Arial"/>
          <w:sz w:val="17"/>
          <w:szCs w:val="17"/>
          <w:color w:val="auto"/>
        </w:rPr>
        <w:t>Investments in newly-formed Subsidiaries, provided that each such Subsidiary enters into a Joinder Agreement promptly after its formation by Borrower and execute such other documents as shall be reasonably requested by Agent;</w:t>
      </w:r>
    </w:p>
    <w:p>
      <w:pPr>
        <w:spacing w:after="0" w:line="160" w:lineRule="exact"/>
        <w:rPr>
          <w:rFonts w:ascii="Arial" w:cs="Arial" w:eastAsia="Arial" w:hAnsi="Arial"/>
          <w:sz w:val="17"/>
          <w:szCs w:val="17"/>
          <w:color w:val="auto"/>
        </w:rPr>
      </w:pPr>
    </w:p>
    <w:p>
      <w:pPr>
        <w:ind w:right="100" w:firstLine="968"/>
        <w:spacing w:after="0" w:line="258" w:lineRule="auto"/>
        <w:tabs>
          <w:tab w:leader="none" w:pos="1581"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Investments in (i) Foreign Subsidiaries approved in advance in writing by Agent; and (ii) Century Canada, not to exceed $200,000 in the aggregate in any fiscal year, provided however up to CAN $2,000,000 may be invested in Century Canada solely for the purposes of paying the amounts due under the Empirica Promissory Note as such amounts come due in accordance with the terms of the Empirica Promissory Note in effect as of the Closing Date;</w:t>
      </w:r>
    </w:p>
    <w:p>
      <w:pPr>
        <w:spacing w:after="0" w:line="186" w:lineRule="exact"/>
        <w:rPr>
          <w:rFonts w:ascii="Arial" w:cs="Arial" w:eastAsia="Arial" w:hAnsi="Arial"/>
          <w:sz w:val="18"/>
          <w:szCs w:val="18"/>
          <w:color w:val="auto"/>
        </w:rPr>
      </w:pPr>
    </w:p>
    <w:p>
      <w:pPr>
        <w:ind w:right="40" w:firstLine="967"/>
        <w:spacing w:after="0" w:line="255" w:lineRule="auto"/>
        <w:tabs>
          <w:tab w:leader="none" w:pos="154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w:t>
      </w:r>
    </w:p>
    <w:p>
      <w:pPr>
        <w:spacing w:after="0"/>
        <w:rPr>
          <w:rFonts w:ascii="Arial" w:cs="Arial" w:eastAsia="Arial" w:hAnsi="Arial"/>
          <w:sz w:val="18"/>
          <w:szCs w:val="18"/>
          <w:color w:val="auto"/>
        </w:rPr>
      </w:pPr>
      <w:r>
        <w:rPr>
          <w:rFonts w:ascii="Arial" w:cs="Arial" w:eastAsia="Arial" w:hAnsi="Arial"/>
          <w:sz w:val="18"/>
          <w:szCs w:val="18"/>
          <w:color w:val="auto"/>
        </w:rPr>
        <w:t>$250,000 in the aggregate in any fiscal year;</w:t>
      </w:r>
    </w:p>
    <w:p>
      <w:pPr>
        <w:spacing w:after="0" w:line="208" w:lineRule="exact"/>
        <w:rPr>
          <w:rFonts w:ascii="Arial" w:cs="Arial" w:eastAsia="Arial" w:hAnsi="Arial"/>
          <w:sz w:val="18"/>
          <w:szCs w:val="18"/>
          <w:color w:val="auto"/>
        </w:rPr>
      </w:pPr>
    </w:p>
    <w:p>
      <w:pPr>
        <w:ind w:left="1440" w:hanging="484"/>
        <w:spacing w:after="0"/>
        <w:tabs>
          <w:tab w:leader="none" w:pos="14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Investments consisting of Permitted Acquisitions; and</w:t>
      </w:r>
    </w:p>
    <w:p>
      <w:pPr>
        <w:spacing w:after="0" w:line="236" w:lineRule="exact"/>
        <w:rPr>
          <w:rFonts w:ascii="Arial" w:cs="Arial" w:eastAsia="Arial" w:hAnsi="Arial"/>
          <w:sz w:val="18"/>
          <w:szCs w:val="18"/>
          <w:color w:val="auto"/>
        </w:rPr>
      </w:pPr>
    </w:p>
    <w:p>
      <w:pPr>
        <w:ind w:left="1460" w:hanging="492"/>
        <w:spacing w:after="0"/>
        <w:tabs>
          <w:tab w:leader="none" w:pos="146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additional Investments that do not exceed $250,000 in the aggregate.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“Permitted Liens” means:</w:t>
      </w:r>
    </w:p>
    <w:p>
      <w:pPr>
        <w:spacing w:after="0" w:line="223" w:lineRule="exact"/>
        <w:rPr>
          <w:sz w:val="20"/>
          <w:szCs w:val="20"/>
          <w:color w:val="auto"/>
        </w:rPr>
      </w:pPr>
    </w:p>
    <w:p>
      <w:pPr>
        <w:ind w:left="1440" w:hanging="484"/>
        <w:spacing w:after="0"/>
        <w:tabs>
          <w:tab w:leader="none" w:pos="14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Liens in favor of Agent or the Lenders;</w:t>
      </w:r>
    </w:p>
    <w:p>
      <w:pPr>
        <w:spacing w:after="0" w:line="223" w:lineRule="exact"/>
        <w:rPr>
          <w:rFonts w:ascii="Arial" w:cs="Arial" w:eastAsia="Arial" w:hAnsi="Arial"/>
          <w:sz w:val="18"/>
          <w:szCs w:val="18"/>
          <w:color w:val="auto"/>
        </w:rPr>
      </w:pPr>
    </w:p>
    <w:p>
      <w:pPr>
        <w:ind w:left="1440" w:hanging="484"/>
        <w:spacing w:after="0"/>
        <w:tabs>
          <w:tab w:leader="none" w:pos="14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Liens existing on the Closing Date which are disclosed in Schedule 1C;</w:t>
      </w:r>
    </w:p>
    <w:p>
      <w:pPr>
        <w:spacing w:after="0" w:line="223" w:lineRule="exact"/>
        <w:rPr>
          <w:rFonts w:ascii="Arial" w:cs="Arial" w:eastAsia="Arial" w:hAnsi="Arial"/>
          <w:sz w:val="18"/>
          <w:szCs w:val="18"/>
          <w:color w:val="auto"/>
        </w:rPr>
      </w:pPr>
    </w:p>
    <w:p>
      <w:pPr>
        <w:jc w:val="both"/>
        <w:ind w:right="200" w:firstLine="970"/>
        <w:spacing w:after="0" w:line="262" w:lineRule="auto"/>
        <w:tabs>
          <w:tab w:leader="none" w:pos="1551" w:val="left"/>
        </w:tabs>
        <w:numPr>
          <w:ilvl w:val="1"/>
          <w:numId w:val="330"/>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governmental charges or levies, either not yet due or being contested in good faith by appropriate proceedings diligently conducted; provided, that Borrower maintains adequate reserves therefor on Borrower’s Books in accordance with GAAP;</w:t>
      </w:r>
    </w:p>
    <w:p>
      <w:pPr>
        <w:spacing w:after="0" w:line="18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22860</wp:posOffset>
            </wp:positionV>
            <wp:extent cx="71329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320"/>
          </w:cols>
          <w:pgMar w:left="1080" w:top="690" w:right="499" w:bottom="1440" w:gutter="0" w:footer="0" w:header="0"/>
        </w:sectPr>
      </w:pPr>
    </w:p>
    <w:bookmarkStart w:id="441" w:name="page442"/>
    <w:bookmarkEnd w:id="441"/>
    <w:p>
      <w:pPr>
        <w:ind w:right="60" w:firstLine="968"/>
        <w:spacing w:after="0" w:line="262" w:lineRule="auto"/>
        <w:tabs>
          <w:tab w:leader="none" w:pos="15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Liens securing claims or demands of materialmen, artisans, mechanics, carriers, warehousemen, landlords and other like Persons arising in the ordinary course of Borrower’s business and imposed without action of such parties; provided, that the payment thereof is not yet required;</w:t>
      </w:r>
    </w:p>
    <w:p>
      <w:pPr>
        <w:spacing w:after="0" w:line="196" w:lineRule="exact"/>
        <w:rPr>
          <w:rFonts w:ascii="Arial" w:cs="Arial" w:eastAsia="Arial" w:hAnsi="Arial"/>
          <w:sz w:val="18"/>
          <w:szCs w:val="18"/>
          <w:color w:val="auto"/>
        </w:rPr>
      </w:pPr>
    </w:p>
    <w:p>
      <w:pPr>
        <w:ind w:left="1580" w:hanging="612"/>
        <w:spacing w:after="0"/>
        <w:tabs>
          <w:tab w:leader="none" w:pos="158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Liens arising from judgments, decrees or attachments in circumstances which do not constitute an Event of Default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08" w:lineRule="exact"/>
        <w:rPr>
          <w:rFonts w:ascii="Arial" w:cs="Arial" w:eastAsia="Arial" w:hAnsi="Arial"/>
          <w:sz w:val="17"/>
          <w:szCs w:val="17"/>
          <w:color w:val="auto"/>
        </w:rPr>
      </w:pPr>
    </w:p>
    <w:p>
      <w:pPr>
        <w:ind w:right="220" w:firstLine="967"/>
        <w:spacing w:after="0" w:line="295" w:lineRule="auto"/>
        <w:tabs>
          <w:tab w:leader="none" w:pos="154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74" w:lineRule="exact"/>
        <w:rPr>
          <w:rFonts w:ascii="Arial" w:cs="Arial" w:eastAsia="Arial" w:hAnsi="Arial"/>
          <w:sz w:val="16"/>
          <w:szCs w:val="16"/>
          <w:color w:val="auto"/>
        </w:rPr>
      </w:pPr>
    </w:p>
    <w:p>
      <w:pPr>
        <w:ind w:right="520" w:firstLine="967"/>
        <w:spacing w:after="0" w:line="275" w:lineRule="auto"/>
        <w:tabs>
          <w:tab w:leader="none" w:pos="15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Liens on Equipment or software or other intellectual property constituting purchase money Liens and other Liens in connection with capital leases securing Indebtedness permitted in clause (iii) of “Permitted Indebtedness”;</w:t>
      </w:r>
    </w:p>
    <w:p>
      <w:pPr>
        <w:spacing w:after="0" w:line="171" w:lineRule="exact"/>
        <w:rPr>
          <w:rFonts w:ascii="Arial" w:cs="Arial" w:eastAsia="Arial" w:hAnsi="Arial"/>
          <w:sz w:val="18"/>
          <w:szCs w:val="18"/>
          <w:color w:val="auto"/>
        </w:rPr>
      </w:pPr>
    </w:p>
    <w:p>
      <w:pPr>
        <w:ind w:left="1440" w:hanging="484"/>
        <w:spacing w:after="0"/>
        <w:tabs>
          <w:tab w:leader="none" w:pos="14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Liens incurred in connection with Subordinated Indebtedness;</w:t>
      </w:r>
    </w:p>
    <w:p>
      <w:pPr>
        <w:spacing w:after="0" w:line="236" w:lineRule="exact"/>
        <w:rPr>
          <w:rFonts w:ascii="Arial" w:cs="Arial" w:eastAsia="Arial" w:hAnsi="Arial"/>
          <w:sz w:val="18"/>
          <w:szCs w:val="18"/>
          <w:color w:val="auto"/>
        </w:rPr>
      </w:pPr>
    </w:p>
    <w:p>
      <w:pPr>
        <w:ind w:right="360" w:firstLine="967"/>
        <w:spacing w:after="0" w:line="275" w:lineRule="auto"/>
        <w:tabs>
          <w:tab w:leader="none" w:pos="154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leasehold interests in leases or subleases and licenses granted in the ordinary course of business and not interfering in any material respect with the business of the licensor;</w:t>
      </w:r>
    </w:p>
    <w:p>
      <w:pPr>
        <w:spacing w:after="0" w:line="171" w:lineRule="exact"/>
        <w:rPr>
          <w:rFonts w:ascii="Arial" w:cs="Arial" w:eastAsia="Arial" w:hAnsi="Arial"/>
          <w:sz w:val="18"/>
          <w:szCs w:val="18"/>
          <w:color w:val="auto"/>
        </w:rPr>
      </w:pPr>
    </w:p>
    <w:p>
      <w:pPr>
        <w:ind w:right="180" w:firstLine="968"/>
        <w:spacing w:after="0" w:line="275" w:lineRule="auto"/>
        <w:tabs>
          <w:tab w:leader="none" w:pos="1581" w:val="left"/>
        </w:tabs>
        <w:numPr>
          <w:ilvl w:val="1"/>
          <w:numId w:val="33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 duties that are promptly paid on or before the date they become due;</w:t>
      </w:r>
    </w:p>
    <w:p>
      <w:pPr>
        <w:spacing w:after="0" w:line="184" w:lineRule="exact"/>
        <w:rPr>
          <w:rFonts w:ascii="Arial" w:cs="Arial" w:eastAsia="Arial" w:hAnsi="Arial"/>
          <w:sz w:val="18"/>
          <w:szCs w:val="18"/>
          <w:color w:val="auto"/>
        </w:rPr>
      </w:pPr>
    </w:p>
    <w:p>
      <w:pPr>
        <w:ind w:firstLine="967"/>
        <w:spacing w:after="0" w:line="340" w:lineRule="auto"/>
        <w:tabs>
          <w:tab w:leader="none" w:pos="154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37" w:lineRule="exact"/>
        <w:rPr>
          <w:rFonts w:ascii="Arial" w:cs="Arial" w:eastAsia="Arial" w:hAnsi="Arial"/>
          <w:sz w:val="16"/>
          <w:szCs w:val="16"/>
          <w:color w:val="auto"/>
        </w:rPr>
      </w:pPr>
    </w:p>
    <w:p>
      <w:pPr>
        <w:ind w:left="1500" w:hanging="533"/>
        <w:spacing w:after="0"/>
        <w:tabs>
          <w:tab w:leader="none" w:pos="150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statutory and common law rights of set-off and other similar rights as to deposits of cash and securities in favor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banks, other depository institutions and brokerage firms;</w:t>
      </w:r>
    </w:p>
    <w:p>
      <w:pPr>
        <w:spacing w:after="0" w:line="209" w:lineRule="exact"/>
        <w:rPr>
          <w:sz w:val="20"/>
          <w:szCs w:val="20"/>
          <w:color w:val="auto"/>
        </w:rPr>
      </w:pPr>
    </w:p>
    <w:p>
      <w:pPr>
        <w:ind w:right="180" w:firstLine="968"/>
        <w:spacing w:after="0" w:line="306" w:lineRule="auto"/>
        <w:tabs>
          <w:tab w:leader="none" w:pos="146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easements, zoning restrictions, rights-of-way and similar encumbrances on real property imposed by law or arising in the ordinary course of business so long as they do not materially impair the value or marketability of the related property;</w:t>
      </w:r>
    </w:p>
    <w:p>
      <w:pPr>
        <w:spacing w:after="0" w:line="160" w:lineRule="exact"/>
        <w:rPr>
          <w:rFonts w:ascii="Arial" w:cs="Arial" w:eastAsia="Arial" w:hAnsi="Arial"/>
          <w:sz w:val="17"/>
          <w:szCs w:val="17"/>
          <w:color w:val="auto"/>
        </w:rPr>
      </w:pPr>
    </w:p>
    <w:p>
      <w:pPr>
        <w:jc w:val="both"/>
        <w:ind w:right="320" w:firstLine="967"/>
        <w:spacing w:after="0" w:line="262" w:lineRule="auto"/>
        <w:tabs>
          <w:tab w:leader="none" w:pos="145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 Liens on Cash securing obligations permitted under clause (vii) of the definition of Permitted Indebtedness and (B) security deposits in connection with real property leases, the combination of (A) and (B) in an aggregate amount not to exceed $250,000 at any time;</w:t>
      </w:r>
    </w:p>
    <w:p>
      <w:pPr>
        <w:spacing w:after="0" w:line="196" w:lineRule="exact"/>
        <w:rPr>
          <w:rFonts w:ascii="Arial" w:cs="Arial" w:eastAsia="Arial" w:hAnsi="Arial"/>
          <w:sz w:val="18"/>
          <w:szCs w:val="18"/>
          <w:color w:val="auto"/>
        </w:rPr>
      </w:pPr>
    </w:p>
    <w:p>
      <w:pPr>
        <w:ind w:right="200" w:firstLine="968"/>
        <w:spacing w:after="0" w:line="258" w:lineRule="auto"/>
        <w:tabs>
          <w:tab w:leader="none" w:pos="149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Liens incurred in connection with the extension, renewal or refinancing of the Indebtedness secured by Liens of the type described in clauses (i) through (xi) above; provided, that any extension, renewal or replacement Lien shall be limited to the property encumbered by the existing Lien and the principal amount of the Indebtedness being extended, renewed or refinanced (as may have been reduced by any payment thereon) does not increase; and</w:t>
      </w:r>
    </w:p>
    <w:p>
      <w:pPr>
        <w:spacing w:after="0" w:line="18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71329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320"/>
          </w:cols>
          <w:pgMar w:left="1080" w:top="771" w:right="499" w:bottom="1440" w:gutter="0" w:footer="0" w:header="0"/>
        </w:sectPr>
      </w:pPr>
    </w:p>
    <w:bookmarkStart w:id="442" w:name="page443"/>
    <w:bookmarkEnd w:id="442"/>
    <w:p>
      <w:pPr>
        <w:ind w:left="1606"/>
        <w:spacing w:after="0"/>
        <w:rPr>
          <w:sz w:val="20"/>
          <w:szCs w:val="20"/>
          <w:color w:val="auto"/>
        </w:rPr>
      </w:pPr>
      <w:r>
        <w:rPr>
          <w:rFonts w:ascii="Arial" w:cs="Arial" w:eastAsia="Arial" w:hAnsi="Arial"/>
          <w:sz w:val="16"/>
          <w:szCs w:val="16"/>
          <w:color w:val="auto"/>
        </w:rPr>
        <w:t>(xvi)  Other Liens, provided that the aggregate outstanding amount of Indebtedness secured thereby shall not exceed $150,000</w:t>
      </w:r>
    </w:p>
    <w:p>
      <w:pPr>
        <w:spacing w:after="0" w:line="46" w:lineRule="exact"/>
        <w:rPr>
          <w:sz w:val="20"/>
          <w:szCs w:val="20"/>
          <w:color w:val="auto"/>
        </w:rPr>
      </w:pPr>
    </w:p>
    <w:p>
      <w:pPr>
        <w:ind w:left="646"/>
        <w:spacing w:after="0"/>
        <w:rPr>
          <w:sz w:val="20"/>
          <w:szCs w:val="20"/>
          <w:color w:val="auto"/>
        </w:rPr>
      </w:pPr>
      <w:r>
        <w:rPr>
          <w:rFonts w:ascii="Arial" w:cs="Arial" w:eastAsia="Arial" w:hAnsi="Arial"/>
          <w:sz w:val="18"/>
          <w:szCs w:val="18"/>
          <w:color w:val="auto"/>
        </w:rPr>
        <w:t>at any time.</w:t>
      </w:r>
    </w:p>
    <w:p>
      <w:pPr>
        <w:spacing w:after="0" w:line="222" w:lineRule="exact"/>
        <w:rPr>
          <w:sz w:val="20"/>
          <w:szCs w:val="20"/>
          <w:color w:val="auto"/>
        </w:rPr>
      </w:pPr>
    </w:p>
    <w:p>
      <w:pPr>
        <w:ind w:left="1286"/>
        <w:spacing w:after="0"/>
        <w:rPr>
          <w:sz w:val="20"/>
          <w:szCs w:val="20"/>
          <w:color w:val="auto"/>
        </w:rPr>
      </w:pPr>
      <w:r>
        <w:rPr>
          <w:rFonts w:ascii="Arial" w:cs="Arial" w:eastAsia="Arial" w:hAnsi="Arial"/>
          <w:sz w:val="18"/>
          <w:szCs w:val="18"/>
          <w:color w:val="auto"/>
        </w:rPr>
        <w:t>“Permitted Transfers” means:</w:t>
      </w:r>
    </w:p>
    <w:p>
      <w:pPr>
        <w:spacing w:after="0" w:line="223" w:lineRule="exact"/>
        <w:rPr>
          <w:sz w:val="20"/>
          <w:szCs w:val="20"/>
          <w:color w:val="auto"/>
        </w:rPr>
      </w:pPr>
    </w:p>
    <w:p>
      <w:pPr>
        <w:ind w:left="2086" w:hanging="484"/>
        <w:spacing w:after="0"/>
        <w:tabs>
          <w:tab w:leader="none" w:pos="208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sales of Inventory in the ordinary course of business,</w:t>
      </w:r>
    </w:p>
    <w:p>
      <w:pPr>
        <w:spacing w:after="0" w:line="223" w:lineRule="exact"/>
        <w:rPr>
          <w:rFonts w:ascii="Arial" w:cs="Arial" w:eastAsia="Arial" w:hAnsi="Arial"/>
          <w:sz w:val="18"/>
          <w:szCs w:val="18"/>
          <w:color w:val="auto"/>
        </w:rPr>
      </w:pPr>
    </w:p>
    <w:p>
      <w:pPr>
        <w:ind w:left="2246" w:hanging="632"/>
        <w:spacing w:after="0"/>
        <w:tabs>
          <w:tab w:leader="none" w:pos="2246" w:val="left"/>
        </w:tabs>
        <w:numPr>
          <w:ilvl w:val="1"/>
          <w:numId w:val="334"/>
        </w:numPr>
        <w:rPr>
          <w:rFonts w:ascii="Arial" w:cs="Arial" w:eastAsia="Arial" w:hAnsi="Arial"/>
          <w:sz w:val="18"/>
          <w:szCs w:val="18"/>
          <w:color w:val="auto"/>
        </w:rPr>
      </w:pPr>
      <w:r>
        <w:rPr>
          <w:rFonts w:ascii="Arial" w:cs="Arial" w:eastAsia="Arial" w:hAnsi="Arial"/>
          <w:sz w:val="18"/>
          <w:szCs w:val="18"/>
          <w:color w:val="auto"/>
        </w:rPr>
        <w:t>licenses of, and similar arrangements for, Intellectual Property pursuant to the Option Agreement;</w:t>
      </w:r>
    </w:p>
    <w:p>
      <w:pPr>
        <w:spacing w:after="0" w:line="236" w:lineRule="exact"/>
        <w:rPr>
          <w:rFonts w:ascii="Arial" w:cs="Arial" w:eastAsia="Arial" w:hAnsi="Arial"/>
          <w:sz w:val="18"/>
          <w:szCs w:val="18"/>
          <w:color w:val="auto"/>
        </w:rPr>
      </w:pPr>
    </w:p>
    <w:p>
      <w:pPr>
        <w:ind w:left="646" w:firstLine="967"/>
        <w:spacing w:after="0" w:line="285" w:lineRule="auto"/>
        <w:tabs>
          <w:tab w:leader="none" w:pos="2196" w:val="left"/>
        </w:tabs>
        <w:numPr>
          <w:ilvl w:val="1"/>
          <w:numId w:val="334"/>
        </w:numPr>
        <w:rPr>
          <w:rFonts w:ascii="Arial" w:cs="Arial" w:eastAsia="Arial" w:hAnsi="Arial"/>
          <w:sz w:val="17"/>
          <w:szCs w:val="17"/>
          <w:color w:val="auto"/>
        </w:rPr>
      </w:pPr>
      <w:r>
        <w:rPr>
          <w:rFonts w:ascii="Arial" w:cs="Arial" w:eastAsia="Arial" w:hAnsi="Arial"/>
          <w:sz w:val="17"/>
          <w:szCs w:val="17"/>
          <w:color w:val="auto"/>
        </w:rPr>
        <w:t>licenses and similar arrangements for the use of Intellectual Property in the ordinary course of business that could not result in a legal transfer of title of the licensed property that may be exclusive in respects other than territory or may be exclusive as to territory but only as to discreet geographical areas outside of the United States of America in the ordinary course of business,</w:t>
      </w:r>
    </w:p>
    <w:p>
      <w:pPr>
        <w:spacing w:after="0" w:line="178" w:lineRule="exact"/>
        <w:rPr>
          <w:rFonts w:ascii="Arial" w:cs="Arial" w:eastAsia="Arial" w:hAnsi="Arial"/>
          <w:sz w:val="17"/>
          <w:szCs w:val="17"/>
          <w:color w:val="auto"/>
        </w:rPr>
      </w:pPr>
    </w:p>
    <w:p>
      <w:pPr>
        <w:ind w:left="2186" w:hanging="573"/>
        <w:spacing w:after="0"/>
        <w:tabs>
          <w:tab w:leader="none" w:pos="2186" w:val="left"/>
        </w:tabs>
        <w:numPr>
          <w:ilvl w:val="1"/>
          <w:numId w:val="334"/>
        </w:numPr>
        <w:rPr>
          <w:rFonts w:ascii="Arial" w:cs="Arial" w:eastAsia="Arial" w:hAnsi="Arial"/>
          <w:sz w:val="17"/>
          <w:szCs w:val="17"/>
          <w:color w:val="auto"/>
        </w:rPr>
      </w:pPr>
      <w:r>
        <w:rPr>
          <w:rFonts w:ascii="Arial" w:cs="Arial" w:eastAsia="Arial" w:hAnsi="Arial"/>
          <w:sz w:val="17"/>
          <w:szCs w:val="17"/>
          <w:color w:val="auto"/>
        </w:rPr>
        <w:t>dispositions of worn-out, obsolete or surplus Equipment at fair market value in the ordinary course of business,</w:t>
      </w:r>
    </w:p>
    <w:p>
      <w:pPr>
        <w:spacing w:after="0" w:line="235" w:lineRule="exact"/>
        <w:rPr>
          <w:rFonts w:ascii="Arial" w:cs="Arial" w:eastAsia="Arial" w:hAnsi="Arial"/>
          <w:sz w:val="17"/>
          <w:szCs w:val="17"/>
          <w:color w:val="auto"/>
        </w:rPr>
      </w:pPr>
    </w:p>
    <w:p>
      <w:pPr>
        <w:ind w:left="2226" w:hanging="613"/>
        <w:spacing w:after="0"/>
        <w:tabs>
          <w:tab w:leader="none" w:pos="2226" w:val="left"/>
        </w:tabs>
        <w:numPr>
          <w:ilvl w:val="1"/>
          <w:numId w:val="334"/>
        </w:numPr>
        <w:rPr>
          <w:rFonts w:ascii="Arial" w:cs="Arial" w:eastAsia="Arial" w:hAnsi="Arial"/>
          <w:sz w:val="17"/>
          <w:szCs w:val="17"/>
          <w:color w:val="auto"/>
        </w:rPr>
      </w:pPr>
      <w:r>
        <w:rPr>
          <w:rFonts w:ascii="Arial" w:cs="Arial" w:eastAsia="Arial" w:hAnsi="Arial"/>
          <w:sz w:val="17"/>
          <w:szCs w:val="17"/>
          <w:color w:val="auto"/>
        </w:rPr>
        <w:t>transfers of assets made by Borrower or any of its Subsidiaries to another Borrower or any Subsidiary that is a</w:t>
      </w:r>
    </w:p>
    <w:p>
      <w:pPr>
        <w:spacing w:after="0" w:line="34" w:lineRule="exact"/>
        <w:rPr>
          <w:sz w:val="20"/>
          <w:szCs w:val="20"/>
          <w:color w:val="auto"/>
        </w:rPr>
      </w:pPr>
    </w:p>
    <w:p>
      <w:pPr>
        <w:ind w:left="646"/>
        <w:spacing w:after="0"/>
        <w:rPr>
          <w:sz w:val="20"/>
          <w:szCs w:val="20"/>
          <w:color w:val="auto"/>
        </w:rPr>
      </w:pPr>
      <w:r>
        <w:rPr>
          <w:rFonts w:ascii="Arial" w:cs="Arial" w:eastAsia="Arial" w:hAnsi="Arial"/>
          <w:sz w:val="18"/>
          <w:szCs w:val="18"/>
          <w:color w:val="auto"/>
        </w:rPr>
        <w:t>Borrower or guarantor hereunder;</w:t>
      </w:r>
    </w:p>
    <w:p>
      <w:pPr>
        <w:spacing w:after="0" w:line="222" w:lineRule="exact"/>
        <w:rPr>
          <w:sz w:val="20"/>
          <w:szCs w:val="20"/>
          <w:color w:val="auto"/>
        </w:rPr>
      </w:pPr>
    </w:p>
    <w:p>
      <w:pPr>
        <w:ind w:left="2186" w:hanging="573"/>
        <w:spacing w:after="0"/>
        <w:tabs>
          <w:tab w:leader="none" w:pos="218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other transfers of assets having a fair market value of not more than $500,000 in the aggregate in any fiscal year, and</w:t>
      </w:r>
    </w:p>
    <w:p>
      <w:pPr>
        <w:spacing w:after="0" w:line="259" w:lineRule="exact"/>
        <w:rPr>
          <w:rFonts w:ascii="Arial" w:cs="Arial" w:eastAsia="Arial" w:hAnsi="Arial"/>
          <w:sz w:val="16"/>
          <w:szCs w:val="16"/>
          <w:color w:val="auto"/>
        </w:rPr>
      </w:pPr>
    </w:p>
    <w:p>
      <w:pPr>
        <w:ind w:left="2146" w:hanging="532"/>
        <w:spacing w:after="0"/>
        <w:tabs>
          <w:tab w:leader="none" w:pos="2146"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Transfers which are Permitted Liens, Permitted Investments or distributions permitted under Section 7.7 of this</w:t>
      </w:r>
    </w:p>
    <w:p>
      <w:pPr>
        <w:spacing w:after="0" w:line="34" w:lineRule="exact"/>
        <w:rPr>
          <w:sz w:val="20"/>
          <w:szCs w:val="20"/>
          <w:color w:val="auto"/>
        </w:rPr>
      </w:pPr>
    </w:p>
    <w:p>
      <w:pPr>
        <w:ind w:left="646"/>
        <w:spacing w:after="0"/>
        <w:rPr>
          <w:sz w:val="20"/>
          <w:szCs w:val="20"/>
          <w:color w:val="auto"/>
        </w:rPr>
      </w:pPr>
      <w:r>
        <w:rPr>
          <w:rFonts w:ascii="Arial" w:cs="Arial" w:eastAsia="Arial" w:hAnsi="Arial"/>
          <w:sz w:val="18"/>
          <w:szCs w:val="18"/>
          <w:color w:val="auto"/>
        </w:rPr>
        <w:t>Agreement.</w:t>
      </w:r>
    </w:p>
    <w:p>
      <w:pPr>
        <w:spacing w:after="0" w:line="209" w:lineRule="exact"/>
        <w:rPr>
          <w:sz w:val="20"/>
          <w:szCs w:val="20"/>
          <w:color w:val="auto"/>
        </w:rPr>
      </w:pPr>
    </w:p>
    <w:p>
      <w:pPr>
        <w:ind w:left="6" w:right="560" w:firstLine="1341"/>
        <w:spacing w:after="0" w:line="275" w:lineRule="auto"/>
        <w:rPr>
          <w:sz w:val="20"/>
          <w:szCs w:val="20"/>
          <w:color w:val="auto"/>
        </w:rPr>
      </w:pPr>
      <w:r>
        <w:rPr>
          <w:rFonts w:ascii="Arial" w:cs="Arial" w:eastAsia="Arial" w:hAnsi="Arial"/>
          <w:sz w:val="18"/>
          <w:szCs w:val="18"/>
          <w:color w:val="auto"/>
        </w:rPr>
        <w:t>“Person” means any individual, sole proprietorship, partnership, joint venture, trust, unincorporated organization, association, corporation, limited liability company, institution, other entity or government.</w:t>
      </w:r>
    </w:p>
    <w:p>
      <w:pPr>
        <w:spacing w:after="0" w:line="185" w:lineRule="exact"/>
        <w:rPr>
          <w:sz w:val="20"/>
          <w:szCs w:val="20"/>
          <w:color w:val="auto"/>
        </w:rPr>
      </w:pPr>
    </w:p>
    <w:p>
      <w:pPr>
        <w:ind w:left="6" w:right="80" w:firstLine="1291"/>
        <w:spacing w:after="0" w:line="275" w:lineRule="auto"/>
        <w:rPr>
          <w:sz w:val="20"/>
          <w:szCs w:val="20"/>
          <w:color w:val="auto"/>
        </w:rPr>
      </w:pPr>
      <w:r>
        <w:rPr>
          <w:rFonts w:ascii="Arial" w:cs="Arial" w:eastAsia="Arial" w:hAnsi="Arial"/>
          <w:sz w:val="18"/>
          <w:szCs w:val="18"/>
          <w:color w:val="auto"/>
        </w:rPr>
        <w:t>“Pledge Agreement” means the Pledge Agreement dated as of the Closing Date between Borrower and Agent, as the same may from time to time be amended, restated, modified or otherwise supplemented.</w:t>
      </w:r>
    </w:p>
    <w:p>
      <w:pPr>
        <w:spacing w:after="0" w:line="185" w:lineRule="exact"/>
        <w:rPr>
          <w:sz w:val="20"/>
          <w:szCs w:val="20"/>
          <w:color w:val="auto"/>
        </w:rPr>
      </w:pPr>
    </w:p>
    <w:p>
      <w:pPr>
        <w:ind w:left="6" w:right="440" w:firstLine="1341"/>
        <w:spacing w:after="0" w:line="340" w:lineRule="auto"/>
        <w:rPr>
          <w:sz w:val="20"/>
          <w:szCs w:val="20"/>
          <w:color w:val="auto"/>
        </w:rPr>
      </w:pPr>
      <w:r>
        <w:rPr>
          <w:rFonts w:ascii="Arial" w:cs="Arial" w:eastAsia="Arial" w:hAnsi="Arial"/>
          <w:sz w:val="16"/>
          <w:szCs w:val="16"/>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24" w:lineRule="exact"/>
        <w:rPr>
          <w:sz w:val="20"/>
          <w:szCs w:val="20"/>
          <w:color w:val="auto"/>
        </w:rPr>
      </w:pPr>
    </w:p>
    <w:p>
      <w:pPr>
        <w:ind w:left="1286"/>
        <w:spacing w:after="0"/>
        <w:rPr>
          <w:sz w:val="20"/>
          <w:szCs w:val="20"/>
          <w:color w:val="auto"/>
        </w:rPr>
      </w:pPr>
      <w:r>
        <w:rPr>
          <w:rFonts w:ascii="Arial" w:cs="Arial" w:eastAsia="Arial" w:hAnsi="Arial"/>
          <w:sz w:val="18"/>
          <w:szCs w:val="18"/>
          <w:color w:val="auto"/>
        </w:rPr>
        <w:t>“Register” has the meaning specified in Section 11.7.</w:t>
      </w:r>
    </w:p>
    <w:p>
      <w:pPr>
        <w:spacing w:after="0" w:line="223" w:lineRule="exact"/>
        <w:rPr>
          <w:sz w:val="20"/>
          <w:szCs w:val="20"/>
          <w:color w:val="auto"/>
        </w:rPr>
      </w:pPr>
    </w:p>
    <w:p>
      <w:pPr>
        <w:ind w:left="1286"/>
        <w:spacing w:after="0"/>
        <w:rPr>
          <w:sz w:val="20"/>
          <w:szCs w:val="20"/>
          <w:color w:val="auto"/>
        </w:rPr>
      </w:pPr>
      <w:r>
        <w:rPr>
          <w:rFonts w:ascii="Arial" w:cs="Arial" w:eastAsia="Arial" w:hAnsi="Arial"/>
          <w:sz w:val="16"/>
          <w:szCs w:val="16"/>
          <w:color w:val="auto"/>
        </w:rPr>
        <w:t>“Required Lenders” means at any time, the holders of more than 50% of the aggregate unpaid principal amount of the Term Loans</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then outstanding.</w:t>
      </w:r>
    </w:p>
    <w:p>
      <w:pPr>
        <w:spacing w:after="0" w:line="222" w:lineRule="exact"/>
        <w:rPr>
          <w:sz w:val="20"/>
          <w:szCs w:val="20"/>
          <w:color w:val="auto"/>
        </w:rPr>
      </w:pPr>
    </w:p>
    <w:p>
      <w:pPr>
        <w:ind w:left="6" w:right="100" w:firstLine="1291"/>
        <w:spacing w:after="0" w:line="290" w:lineRule="auto"/>
        <w:rPr>
          <w:sz w:val="20"/>
          <w:szCs w:val="20"/>
          <w:color w:val="auto"/>
        </w:rPr>
      </w:pPr>
      <w:r>
        <w:rPr>
          <w:rFonts w:ascii="Arial" w:cs="Arial" w:eastAsia="Arial" w:hAnsi="Arial"/>
          <w:sz w:val="16"/>
          <w:szCs w:val="16"/>
          <w:color w:val="auto"/>
        </w:rPr>
        <w:t>“Restricted License” means any material License or other material agreement with respect to which Borrower is the licensee (a) that prohibits or otherwise restricts Borrower from granting a security interest in Borrower’s interest in such License or agreement or any other property, or</w:t>
      </w:r>
    </w:p>
    <w:p>
      <w:pPr>
        <w:ind w:left="5426" w:right="3300" w:hanging="5426"/>
        <w:spacing w:after="0" w:line="508" w:lineRule="auto"/>
        <w:tabs>
          <w:tab w:leader="none" w:pos="2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for which a default under or termination of could interfere with the Agent’s right to sell any Collateral.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-146050</wp:posOffset>
            </wp:positionV>
            <wp:extent cx="71329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06"/>
          </w:cols>
          <w:pgMar w:left="434" w:top="771" w:right="559" w:bottom="1440" w:gutter="0" w:footer="0" w:header="0"/>
        </w:sectPr>
      </w:pPr>
    </w:p>
    <w:bookmarkStart w:id="443" w:name="page444"/>
    <w:bookmarkEnd w:id="443"/>
    <w:p>
      <w:pPr>
        <w:ind w:left="1340"/>
        <w:spacing w:after="0"/>
        <w:rPr>
          <w:sz w:val="20"/>
          <w:szCs w:val="20"/>
          <w:color w:val="auto"/>
        </w:rPr>
      </w:pPr>
      <w:r>
        <w:rPr>
          <w:rFonts w:ascii="Arial" w:cs="Arial" w:eastAsia="Arial" w:hAnsi="Arial"/>
          <w:sz w:val="18"/>
          <w:szCs w:val="18"/>
          <w:color w:val="auto"/>
        </w:rPr>
        <w:t>“Sanctioned Country” means, at any time, a country or territory which is the subject or target of any Sanctions.</w:t>
      </w:r>
    </w:p>
    <w:p>
      <w:pPr>
        <w:spacing w:after="0" w:line="237" w:lineRule="exact"/>
        <w:rPr>
          <w:sz w:val="20"/>
          <w:szCs w:val="20"/>
          <w:color w:val="auto"/>
        </w:rPr>
      </w:pPr>
    </w:p>
    <w:p>
      <w:pPr>
        <w:ind w:right="200" w:firstLine="1291"/>
        <w:spacing w:after="0" w:line="258" w:lineRule="auto"/>
        <w:rPr>
          <w:sz w:val="20"/>
          <w:szCs w:val="20"/>
          <w:color w:val="auto"/>
        </w:rPr>
      </w:pPr>
      <w:r>
        <w:rPr>
          <w:rFonts w:ascii="Arial" w:cs="Arial" w:eastAsia="Arial" w:hAnsi="Arial"/>
          <w:sz w:val="18"/>
          <w:szCs w:val="18"/>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86" w:lineRule="exact"/>
        <w:rPr>
          <w:sz w:val="20"/>
          <w:szCs w:val="20"/>
          <w:color w:val="auto"/>
        </w:rPr>
      </w:pPr>
    </w:p>
    <w:p>
      <w:pPr>
        <w:ind w:right="160" w:firstLine="1291"/>
        <w:spacing w:after="0" w:line="285" w:lineRule="auto"/>
        <w:rPr>
          <w:sz w:val="20"/>
          <w:szCs w:val="20"/>
          <w:color w:val="auto"/>
        </w:rPr>
      </w:pPr>
      <w:r>
        <w:rPr>
          <w:rFonts w:ascii="Arial" w:cs="Arial" w:eastAsia="Arial" w:hAnsi="Arial"/>
          <w:sz w:val="17"/>
          <w:szCs w:val="17"/>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78" w:lineRule="exact"/>
        <w:rPr>
          <w:sz w:val="20"/>
          <w:szCs w:val="20"/>
          <w:color w:val="auto"/>
        </w:rPr>
      </w:pPr>
    </w:p>
    <w:p>
      <w:pPr>
        <w:ind w:right="800" w:firstLine="1291"/>
        <w:spacing w:after="0" w:line="275" w:lineRule="auto"/>
        <w:rPr>
          <w:sz w:val="20"/>
          <w:szCs w:val="20"/>
          <w:color w:val="auto"/>
        </w:rPr>
      </w:pPr>
      <w:r>
        <w:rPr>
          <w:rFonts w:ascii="Arial" w:cs="Arial" w:eastAsia="Arial" w:hAnsi="Arial"/>
          <w:sz w:val="18"/>
          <w:szCs w:val="18"/>
          <w:color w:val="auto"/>
        </w:rPr>
        <w:t>“Secured Obligations” means Borrower’s obligations under this Agreement and any Loan Document (other than the Warrant), including any obligation to pay any amount now owing or later arising.</w:t>
      </w:r>
    </w:p>
    <w:p>
      <w:pPr>
        <w:spacing w:after="0" w:line="185" w:lineRule="exact"/>
        <w:rPr>
          <w:sz w:val="20"/>
          <w:szCs w:val="20"/>
          <w:color w:val="auto"/>
        </w:rPr>
      </w:pPr>
    </w:p>
    <w:p>
      <w:pPr>
        <w:jc w:val="both"/>
        <w:ind w:right="320" w:firstLine="1341"/>
        <w:spacing w:after="0" w:line="262" w:lineRule="auto"/>
        <w:rPr>
          <w:sz w:val="20"/>
          <w:szCs w:val="20"/>
          <w:color w:val="auto"/>
        </w:rPr>
      </w:pPr>
      <w:r>
        <w:rPr>
          <w:rFonts w:ascii="Arial" w:cs="Arial" w:eastAsia="Arial" w:hAnsi="Arial"/>
          <w:sz w:val="18"/>
          <w:szCs w:val="18"/>
          <w:color w:val="auto"/>
        </w:rPr>
        <w:t>“Subordinated Indebtedness” means Indebtedness subordinated to the Secured Obligations in amounts and on terms and conditions satisfactory to Agent in its reasonable discretion and subject to a subordination agreement in form and substance satisfactory to Agent in its reasonable discretion.</w:t>
      </w:r>
    </w:p>
    <w:p>
      <w:pPr>
        <w:spacing w:after="0" w:line="183" w:lineRule="exact"/>
        <w:rPr>
          <w:sz w:val="20"/>
          <w:szCs w:val="20"/>
          <w:color w:val="auto"/>
        </w:rPr>
      </w:pPr>
    </w:p>
    <w:p>
      <w:pPr>
        <w:ind w:firstLine="1341"/>
        <w:spacing w:after="0" w:line="275" w:lineRule="auto"/>
        <w:rPr>
          <w:sz w:val="20"/>
          <w:szCs w:val="20"/>
          <w:color w:val="auto"/>
        </w:rPr>
      </w:pPr>
      <w:r>
        <w:rPr>
          <w:rFonts w:ascii="Arial" w:cs="Arial" w:eastAsia="Arial" w:hAnsi="Arial"/>
          <w:sz w:val="18"/>
          <w:szCs w:val="18"/>
          <w:color w:val="auto"/>
        </w:rPr>
        <w:t>“Subsequent Financing” means the closing of any Borrower financing which becomes effective after the Closing Date broadly marketed to multiple investors.</w:t>
      </w:r>
    </w:p>
    <w:p>
      <w:pPr>
        <w:spacing w:after="0" w:line="185" w:lineRule="exact"/>
        <w:rPr>
          <w:sz w:val="20"/>
          <w:szCs w:val="20"/>
          <w:color w:val="auto"/>
        </w:rPr>
      </w:pPr>
    </w:p>
    <w:p>
      <w:pPr>
        <w:ind w:right="660" w:firstLine="1291"/>
        <w:spacing w:after="0" w:line="306" w:lineRule="auto"/>
        <w:rPr>
          <w:sz w:val="20"/>
          <w:szCs w:val="20"/>
          <w:color w:val="auto"/>
        </w:rPr>
      </w:pPr>
      <w:r>
        <w:rPr>
          <w:rFonts w:ascii="Arial" w:cs="Arial" w:eastAsia="Arial" w:hAnsi="Arial"/>
          <w:sz w:val="17"/>
          <w:szCs w:val="17"/>
          <w:color w:val="auto"/>
        </w:rPr>
        <w:t>“Subsidiary” means an entity, whether a corporation, partnership, limited liability company, joint venture or otherwise, in which Borrower owns or controls 50% or more of the outstanding voting securities, including each entity listed on Schedule 1 hereto.</w:t>
      </w:r>
    </w:p>
    <w:p>
      <w:pPr>
        <w:spacing w:after="0" w:line="161" w:lineRule="exact"/>
        <w:rPr>
          <w:sz w:val="20"/>
          <w:szCs w:val="20"/>
          <w:color w:val="auto"/>
        </w:rPr>
      </w:pPr>
    </w:p>
    <w:p>
      <w:pPr>
        <w:ind w:firstLine="1290"/>
        <w:spacing w:after="0" w:line="306" w:lineRule="auto"/>
        <w:rPr>
          <w:sz w:val="20"/>
          <w:szCs w:val="20"/>
          <w:color w:val="auto"/>
        </w:rPr>
      </w:pPr>
      <w:r>
        <w:rPr>
          <w:rFonts w:ascii="Arial" w:cs="Arial" w:eastAsia="Arial" w:hAnsi="Arial"/>
          <w:sz w:val="17"/>
          <w:szCs w:val="17"/>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right="220" w:firstLine="1291"/>
        <w:spacing w:after="0" w:line="340" w:lineRule="auto"/>
        <w:rPr>
          <w:sz w:val="20"/>
          <w:szCs w:val="20"/>
          <w:color w:val="auto"/>
        </w:rPr>
      </w:pPr>
      <w:r>
        <w:rPr>
          <w:rFonts w:ascii="Arial" w:cs="Arial" w:eastAsia="Arial" w:hAnsi="Arial"/>
          <w:sz w:val="16"/>
          <w:szCs w:val="16"/>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38" w:lineRule="exact"/>
        <w:rPr>
          <w:sz w:val="20"/>
          <w:szCs w:val="20"/>
          <w:color w:val="auto"/>
        </w:rPr>
      </w:pPr>
    </w:p>
    <w:p>
      <w:pPr>
        <w:ind w:right="620" w:firstLine="1290"/>
        <w:spacing w:after="0" w:line="275" w:lineRule="auto"/>
        <w:rPr>
          <w:sz w:val="20"/>
          <w:szCs w:val="20"/>
          <w:color w:val="auto"/>
        </w:rPr>
      </w:pPr>
      <w:r>
        <w:rPr>
          <w:rFonts w:ascii="Arial" w:cs="Arial" w:eastAsia="Arial" w:hAnsi="Arial"/>
          <w:sz w:val="18"/>
          <w:szCs w:val="18"/>
          <w:color w:val="auto"/>
        </w:rPr>
        <w:t>“Term Loan Advance” means each Tranche 1 Advance, Tranche 2 Advance, Tranche 3 Advance and any other Term Loan funds advanced under this Agreement.</w:t>
      </w:r>
    </w:p>
    <w:p>
      <w:pPr>
        <w:spacing w:after="0" w:line="185" w:lineRule="exact"/>
        <w:rPr>
          <w:sz w:val="20"/>
          <w:szCs w:val="20"/>
          <w:color w:val="auto"/>
        </w:rPr>
      </w:pPr>
    </w:p>
    <w:p>
      <w:pPr>
        <w:jc w:val="both"/>
        <w:ind w:right="440" w:firstLine="1290"/>
        <w:spacing w:after="0" w:line="262" w:lineRule="auto"/>
        <w:rPr>
          <w:sz w:val="20"/>
          <w:szCs w:val="20"/>
          <w:color w:val="auto"/>
        </w:rPr>
      </w:pPr>
      <w:r>
        <w:rPr>
          <w:rFonts w:ascii="Arial" w:cs="Arial" w:eastAsia="Arial" w:hAnsi="Arial"/>
          <w:sz w:val="18"/>
          <w:szCs w:val="18"/>
          <w:color w:val="auto"/>
        </w:rPr>
        <w:t>“Term Loan Interest Rate” means for any day a per annum rate of interest equal to the greater of either (i) the sum of (x) the prime rate as reported in The Wall Street Journal, and (y) Six and Thirty One Hundredths Percent (6.30%); or (ii) Nine and Fifty-Five One Hundredths Percent (9.55%).</w:t>
      </w:r>
    </w:p>
    <w:p>
      <w:pPr>
        <w:spacing w:after="0" w:line="183" w:lineRule="exact"/>
        <w:rPr>
          <w:sz w:val="20"/>
          <w:szCs w:val="20"/>
          <w:color w:val="auto"/>
        </w:rPr>
      </w:pPr>
    </w:p>
    <w:p>
      <w:pPr>
        <w:ind w:right="280" w:firstLine="1291"/>
        <w:spacing w:after="0" w:line="275" w:lineRule="auto"/>
        <w:rPr>
          <w:sz w:val="20"/>
          <w:szCs w:val="20"/>
          <w:color w:val="auto"/>
        </w:rPr>
      </w:pPr>
      <w:r>
        <w:rPr>
          <w:rFonts w:ascii="Arial" w:cs="Arial" w:eastAsia="Arial" w:hAnsi="Arial"/>
          <w:sz w:val="18"/>
          <w:szCs w:val="18"/>
          <w:color w:val="auto"/>
        </w:rPr>
        <w:t>“Term Loan Maturity Date” means April 1, 2024; provided that if such day is not a Business Day, the Term Loan Maturity Date shall be the immediately preceding Business Day.</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9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20"/>
          </w:cols>
          <w:pgMar w:left="440" w:top="771" w:right="339" w:bottom="1440" w:gutter="0" w:footer="0" w:header="0"/>
        </w:sectPr>
      </w:pPr>
    </w:p>
    <w:bookmarkStart w:id="444" w:name="page445"/>
    <w:bookmarkEnd w:id="444"/>
    <w:p>
      <w:pPr>
        <w:ind w:left="120" w:right="180" w:firstLine="1341"/>
        <w:spacing w:after="0" w:line="275" w:lineRule="auto"/>
        <w:rPr>
          <w:sz w:val="20"/>
          <w:szCs w:val="20"/>
          <w:color w:val="auto"/>
        </w:rPr>
      </w:pPr>
      <w:r>
        <w:rPr>
          <w:rFonts w:ascii="Arial" w:cs="Arial" w:eastAsia="Arial" w:hAnsi="Arial"/>
          <w:sz w:val="18"/>
          <w:szCs w:val="18"/>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85" w:lineRule="exact"/>
        <w:rPr>
          <w:sz w:val="20"/>
          <w:szCs w:val="20"/>
          <w:color w:val="auto"/>
        </w:rPr>
      </w:pPr>
    </w:p>
    <w:p>
      <w:pPr>
        <w:ind w:left="120" w:right="400" w:firstLine="1291"/>
        <w:spacing w:after="0" w:line="262" w:lineRule="auto"/>
        <w:rPr>
          <w:sz w:val="20"/>
          <w:szCs w:val="20"/>
          <w:color w:val="auto"/>
        </w:rPr>
      </w:pPr>
      <w:r>
        <w:rPr>
          <w:rFonts w:ascii="Arial" w:cs="Arial" w:eastAsia="Arial" w:hAnsi="Arial"/>
          <w:sz w:val="18"/>
          <w:szCs w:val="18"/>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83" w:lineRule="exact"/>
        <w:rPr>
          <w:sz w:val="20"/>
          <w:szCs w:val="20"/>
          <w:color w:val="auto"/>
        </w:rPr>
      </w:pPr>
    </w:p>
    <w:p>
      <w:pPr>
        <w:ind w:left="120" w:right="1360" w:firstLine="1291"/>
        <w:spacing w:after="0" w:line="275" w:lineRule="auto"/>
        <w:rPr>
          <w:sz w:val="20"/>
          <w:szCs w:val="20"/>
          <w:color w:val="auto"/>
        </w:rPr>
      </w:pPr>
      <w:r>
        <w:rPr>
          <w:rFonts w:ascii="Arial" w:cs="Arial" w:eastAsia="Arial" w:hAnsi="Arial"/>
          <w:sz w:val="18"/>
          <w:szCs w:val="18"/>
          <w:color w:val="auto"/>
        </w:rPr>
        <w:t>“Tranche 3 Facility Charge” means one percent (1.00%) of the Tranche 3 Advance, which is payable to the Lenders in accordance with Section 4.2(d).</w:t>
      </w:r>
    </w:p>
    <w:p>
      <w:pPr>
        <w:spacing w:after="0" w:line="185" w:lineRule="exact"/>
        <w:rPr>
          <w:sz w:val="20"/>
          <w:szCs w:val="20"/>
          <w:color w:val="auto"/>
        </w:rPr>
      </w:pPr>
    </w:p>
    <w:p>
      <w:pPr>
        <w:ind w:left="120" w:right="200" w:firstLine="1341"/>
        <w:spacing w:after="0" w:line="295" w:lineRule="auto"/>
        <w:rPr>
          <w:sz w:val="20"/>
          <w:szCs w:val="20"/>
          <w:color w:val="auto"/>
        </w:rPr>
      </w:pPr>
      <w:r>
        <w:rPr>
          <w:rFonts w:ascii="Arial" w:cs="Arial" w:eastAsia="Arial" w:hAnsi="Arial"/>
          <w:sz w:val="16"/>
          <w:szCs w:val="16"/>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7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“U.S. Person” means any Person that is a “United States person” as defined in Section 7701(a)(30) of the Code.</w:t>
      </w: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“Warrant” means any warrant entered into in connection with the Loan, as may be amended, restated or modified from time to time.</w:t>
      </w:r>
    </w:p>
    <w:p>
      <w:pPr>
        <w:spacing w:after="0" w:line="341" w:lineRule="exact"/>
        <w:rPr>
          <w:sz w:val="20"/>
          <w:szCs w:val="20"/>
          <w:color w:val="auto"/>
        </w:rPr>
      </w:pPr>
    </w:p>
    <w:p>
      <w:pPr>
        <w:ind w:left="740"/>
        <w:spacing w:after="0"/>
        <w:tabs>
          <w:tab w:leader="none" w:pos="1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following terms are defined in the Sections or subsections referenced opposite such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Defined Term</w:t>
            </w:r>
          </w:p>
        </w:tc>
        <w:tc>
          <w:tcPr>
            <w:tcW w:w="4080" w:type="dxa"/>
            <w:vAlign w:val="bottom"/>
          </w:tcPr>
          <w:p>
            <w:pPr>
              <w:ind w:left="1000"/>
              <w:spacing w:after="0"/>
              <w:rPr>
                <w:sz w:val="20"/>
                <w:szCs w:val="20"/>
                <w:color w:val="auto"/>
              </w:rPr>
            </w:pPr>
            <w:r>
              <w:rPr>
                <w:rFonts w:ascii="Arial" w:cs="Arial" w:eastAsia="Arial" w:hAnsi="Arial"/>
                <w:sz w:val="18"/>
                <w:szCs w:val="18"/>
                <w:b w:val="1"/>
                <w:bCs w:val="1"/>
                <w:color w:val="auto"/>
              </w:rPr>
              <w:t>Section</w:t>
            </w:r>
          </w:p>
        </w:tc>
        <w:tc>
          <w:tcPr>
            <w:tcW w:w="2240" w:type="dxa"/>
            <w:vAlign w:val="bottom"/>
          </w:tcPr>
          <w:p>
            <w:pPr>
              <w:spacing w:after="0"/>
              <w:rPr>
                <w:sz w:val="20"/>
                <w:szCs w:val="20"/>
                <w:color w:val="auto"/>
              </w:rPr>
            </w:pPr>
          </w:p>
        </w:tc>
      </w:tr>
      <w:tr>
        <w:trPr>
          <w:trHeight w:val="215"/>
        </w:trPr>
        <w:tc>
          <w:tcPr>
            <w:tcW w:w="226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Agent</w:t>
            </w:r>
          </w:p>
        </w:tc>
        <w:tc>
          <w:tcPr>
            <w:tcW w:w="4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Preamble</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Assignee</w:t>
            </w:r>
          </w:p>
        </w:tc>
        <w:tc>
          <w:tcPr>
            <w:tcW w:w="4080" w:type="dxa"/>
            <w:vAlign w:val="bottom"/>
          </w:tcPr>
          <w:p>
            <w:pPr>
              <w:ind w:left="1000"/>
              <w:spacing w:after="0"/>
              <w:rPr>
                <w:sz w:val="20"/>
                <w:szCs w:val="20"/>
                <w:color w:val="auto"/>
              </w:rPr>
            </w:pPr>
            <w:r>
              <w:rPr>
                <w:rFonts w:ascii="Arial" w:cs="Arial" w:eastAsia="Arial" w:hAnsi="Arial"/>
                <w:sz w:val="18"/>
                <w:szCs w:val="18"/>
                <w:color w:val="auto"/>
              </w:rPr>
              <w:t>11.14</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Borrower</w:t>
            </w:r>
          </w:p>
        </w:tc>
        <w:tc>
          <w:tcPr>
            <w:tcW w:w="4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Preamble</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Claims</w:t>
            </w:r>
          </w:p>
        </w:tc>
        <w:tc>
          <w:tcPr>
            <w:tcW w:w="4080" w:type="dxa"/>
            <w:vAlign w:val="bottom"/>
          </w:tcPr>
          <w:p>
            <w:pPr>
              <w:ind w:left="1000"/>
              <w:spacing w:after="0"/>
              <w:rPr>
                <w:sz w:val="20"/>
                <w:szCs w:val="20"/>
                <w:color w:val="auto"/>
              </w:rPr>
            </w:pPr>
            <w:r>
              <w:rPr>
                <w:rFonts w:ascii="Arial" w:cs="Arial" w:eastAsia="Arial" w:hAnsi="Arial"/>
                <w:sz w:val="18"/>
                <w:szCs w:val="18"/>
                <w:color w:val="auto"/>
              </w:rPr>
              <w:t>11.11</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Collateral</w:t>
            </w:r>
          </w:p>
        </w:tc>
        <w:tc>
          <w:tcPr>
            <w:tcW w:w="4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3.1</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Confidential Information</w:t>
            </w:r>
          </w:p>
        </w:tc>
        <w:tc>
          <w:tcPr>
            <w:tcW w:w="4080" w:type="dxa"/>
            <w:vAlign w:val="bottom"/>
          </w:tcPr>
          <w:p>
            <w:pPr>
              <w:ind w:left="1000"/>
              <w:spacing w:after="0"/>
              <w:rPr>
                <w:sz w:val="20"/>
                <w:szCs w:val="20"/>
                <w:color w:val="auto"/>
              </w:rPr>
            </w:pPr>
            <w:r>
              <w:rPr>
                <w:rFonts w:ascii="Arial" w:cs="Arial" w:eastAsia="Arial" w:hAnsi="Arial"/>
                <w:sz w:val="18"/>
                <w:szCs w:val="18"/>
                <w:color w:val="auto"/>
              </w:rPr>
              <w:t>11.13</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End of Term Charge</w:t>
            </w:r>
          </w:p>
        </w:tc>
        <w:tc>
          <w:tcPr>
            <w:tcW w:w="4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2.6</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Event of Default</w:t>
            </w:r>
          </w:p>
        </w:tc>
        <w:tc>
          <w:tcPr>
            <w:tcW w:w="4080" w:type="dxa"/>
            <w:vAlign w:val="bottom"/>
          </w:tcPr>
          <w:p>
            <w:pPr>
              <w:ind w:left="1000"/>
              <w:spacing w:after="0"/>
              <w:rPr>
                <w:sz w:val="20"/>
                <w:szCs w:val="20"/>
                <w:color w:val="auto"/>
              </w:rPr>
            </w:pPr>
            <w:r>
              <w:rPr>
                <w:rFonts w:ascii="Arial" w:cs="Arial" w:eastAsia="Arial" w:hAnsi="Arial"/>
                <w:sz w:val="18"/>
                <w:szCs w:val="18"/>
                <w:color w:val="auto"/>
              </w:rPr>
              <w:t>9</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w:t>
            </w:r>
          </w:p>
        </w:tc>
        <w:tc>
          <w:tcPr>
            <w:tcW w:w="4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7.1</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Indemnified Person</w:t>
            </w:r>
          </w:p>
        </w:tc>
        <w:tc>
          <w:tcPr>
            <w:tcW w:w="4080" w:type="dxa"/>
            <w:vAlign w:val="bottom"/>
          </w:tcPr>
          <w:p>
            <w:pPr>
              <w:ind w:left="1000"/>
              <w:spacing w:after="0"/>
              <w:rPr>
                <w:sz w:val="20"/>
                <w:szCs w:val="20"/>
                <w:color w:val="auto"/>
              </w:rPr>
            </w:pPr>
            <w:r>
              <w:rPr>
                <w:rFonts w:ascii="Arial" w:cs="Arial" w:eastAsia="Arial" w:hAnsi="Arial"/>
                <w:sz w:val="18"/>
                <w:szCs w:val="18"/>
                <w:color w:val="auto"/>
              </w:rPr>
              <w:t>6.3</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Lenders</w:t>
            </w:r>
          </w:p>
        </w:tc>
        <w:tc>
          <w:tcPr>
            <w:tcW w:w="4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Preamble</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Liabilities</w:t>
            </w:r>
          </w:p>
        </w:tc>
        <w:tc>
          <w:tcPr>
            <w:tcW w:w="4080" w:type="dxa"/>
            <w:vAlign w:val="bottom"/>
          </w:tcPr>
          <w:p>
            <w:pPr>
              <w:ind w:left="1000"/>
              <w:spacing w:after="0"/>
              <w:rPr>
                <w:sz w:val="20"/>
                <w:szCs w:val="20"/>
                <w:color w:val="auto"/>
              </w:rPr>
            </w:pPr>
            <w:r>
              <w:rPr>
                <w:rFonts w:ascii="Arial" w:cs="Arial" w:eastAsia="Arial" w:hAnsi="Arial"/>
                <w:sz w:val="18"/>
                <w:szCs w:val="18"/>
                <w:color w:val="auto"/>
              </w:rPr>
              <w:t>6.3</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Maximum Rate</w:t>
            </w:r>
          </w:p>
        </w:tc>
        <w:tc>
          <w:tcPr>
            <w:tcW w:w="4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2.3</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Open Source License</w:t>
            </w:r>
          </w:p>
        </w:tc>
        <w:tc>
          <w:tcPr>
            <w:tcW w:w="4080" w:type="dxa"/>
            <w:vAlign w:val="bottom"/>
          </w:tcPr>
          <w:p>
            <w:pPr>
              <w:ind w:left="1000"/>
              <w:spacing w:after="0"/>
              <w:rPr>
                <w:sz w:val="20"/>
                <w:szCs w:val="20"/>
                <w:color w:val="auto"/>
              </w:rPr>
            </w:pPr>
            <w:r>
              <w:rPr>
                <w:rFonts w:ascii="Arial" w:cs="Arial" w:eastAsia="Arial" w:hAnsi="Arial"/>
                <w:sz w:val="18"/>
                <w:szCs w:val="18"/>
                <w:color w:val="auto"/>
              </w:rPr>
              <w:t>5.10</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Participant Register</w:t>
            </w:r>
          </w:p>
        </w:tc>
        <w:tc>
          <w:tcPr>
            <w:tcW w:w="4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11.8</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Prepayment Charge</w:t>
            </w:r>
          </w:p>
        </w:tc>
        <w:tc>
          <w:tcPr>
            <w:tcW w:w="4080" w:type="dxa"/>
            <w:vAlign w:val="bottom"/>
          </w:tcPr>
          <w:p>
            <w:pPr>
              <w:ind w:left="1000"/>
              <w:spacing w:after="0"/>
              <w:rPr>
                <w:sz w:val="20"/>
                <w:szCs w:val="20"/>
                <w:color w:val="auto"/>
              </w:rPr>
            </w:pPr>
            <w:r>
              <w:rPr>
                <w:rFonts w:ascii="Arial" w:cs="Arial" w:eastAsia="Arial" w:hAnsi="Arial"/>
                <w:sz w:val="18"/>
                <w:szCs w:val="18"/>
                <w:color w:val="auto"/>
              </w:rPr>
              <w:t>2.5</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Publicity Materials</w:t>
            </w:r>
          </w:p>
        </w:tc>
        <w:tc>
          <w:tcPr>
            <w:tcW w:w="4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11.19</w:t>
            </w:r>
          </w:p>
        </w:tc>
        <w:tc>
          <w:tcPr>
            <w:tcW w:w="2240" w:type="dxa"/>
            <w:vAlign w:val="bottom"/>
          </w:tcPr>
          <w:p>
            <w:pPr>
              <w:spacing w:after="0"/>
              <w:rPr>
                <w:sz w:val="18"/>
                <w:szCs w:val="18"/>
                <w:color w:val="auto"/>
              </w:rPr>
            </w:pPr>
          </w:p>
        </w:tc>
      </w:tr>
      <w:tr>
        <w:trPr>
          <w:trHeight w:val="437"/>
        </w:trPr>
        <w:tc>
          <w:tcPr>
            <w:tcW w:w="2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14</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1" w:right="339" w:bottom="1440" w:gutter="0" w:footer="0" w:header="0"/>
        </w:sectPr>
      </w:pPr>
    </w:p>
    <w:bookmarkStart w:id="445" w:name="page446"/>
    <w:bookmarkEnd w:id="445"/>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215"/>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Register</w:t>
            </w:r>
          </w:p>
        </w:tc>
        <w:tc>
          <w:tcPr>
            <w:tcW w:w="41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11.7</w:t>
            </w:r>
          </w:p>
        </w:tc>
      </w:tr>
      <w:tr>
        <w:trPr>
          <w:trHeight w:val="215"/>
        </w:trPr>
        <w:tc>
          <w:tcPr>
            <w:tcW w:w="2620" w:type="dxa"/>
            <w:vAlign w:val="bottom"/>
          </w:tcPr>
          <w:p>
            <w:pPr>
              <w:ind w:left="100"/>
              <w:spacing w:after="0"/>
              <w:rPr>
                <w:sz w:val="20"/>
                <w:szCs w:val="20"/>
                <w:color w:val="auto"/>
              </w:rPr>
            </w:pPr>
            <w:r>
              <w:rPr>
                <w:rFonts w:ascii="Arial" w:cs="Arial" w:eastAsia="Arial" w:hAnsi="Arial"/>
                <w:sz w:val="18"/>
                <w:szCs w:val="18"/>
                <w:b w:val="1"/>
                <w:bCs w:val="1"/>
                <w:color w:val="auto"/>
              </w:rPr>
              <w:t>Rights to Payment</w:t>
            </w:r>
          </w:p>
        </w:tc>
        <w:tc>
          <w:tcPr>
            <w:tcW w:w="4120" w:type="dxa"/>
            <w:vAlign w:val="bottom"/>
          </w:tcPr>
          <w:p>
            <w:pPr>
              <w:ind w:left="1040"/>
              <w:spacing w:after="0"/>
              <w:rPr>
                <w:sz w:val="20"/>
                <w:szCs w:val="20"/>
                <w:color w:val="auto"/>
              </w:rPr>
            </w:pPr>
            <w:r>
              <w:rPr>
                <w:rFonts w:ascii="Arial" w:cs="Arial" w:eastAsia="Arial" w:hAnsi="Arial"/>
                <w:sz w:val="18"/>
                <w:szCs w:val="18"/>
                <w:color w:val="auto"/>
              </w:rPr>
              <w:t>3.1</w:t>
            </w:r>
          </w:p>
        </w:tc>
      </w:tr>
      <w:tr>
        <w:trPr>
          <w:trHeight w:val="215"/>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Tranche 1 Advance</w:t>
            </w:r>
          </w:p>
        </w:tc>
        <w:tc>
          <w:tcPr>
            <w:tcW w:w="41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2.2(a)</w:t>
            </w:r>
          </w:p>
        </w:tc>
      </w:tr>
      <w:tr>
        <w:trPr>
          <w:trHeight w:val="215"/>
        </w:trPr>
        <w:tc>
          <w:tcPr>
            <w:tcW w:w="2620" w:type="dxa"/>
            <w:vAlign w:val="bottom"/>
          </w:tcPr>
          <w:p>
            <w:pPr>
              <w:ind w:left="100"/>
              <w:spacing w:after="0"/>
              <w:rPr>
                <w:sz w:val="20"/>
                <w:szCs w:val="20"/>
                <w:color w:val="auto"/>
              </w:rPr>
            </w:pPr>
            <w:r>
              <w:rPr>
                <w:rFonts w:ascii="Arial" w:cs="Arial" w:eastAsia="Arial" w:hAnsi="Arial"/>
                <w:sz w:val="18"/>
                <w:szCs w:val="18"/>
                <w:color w:val="auto"/>
              </w:rPr>
              <w:t>Tranche 2 Advance</w:t>
            </w:r>
          </w:p>
        </w:tc>
        <w:tc>
          <w:tcPr>
            <w:tcW w:w="4120" w:type="dxa"/>
            <w:vAlign w:val="bottom"/>
          </w:tcPr>
          <w:p>
            <w:pPr>
              <w:ind w:left="1040"/>
              <w:spacing w:after="0"/>
              <w:rPr>
                <w:sz w:val="20"/>
                <w:szCs w:val="20"/>
                <w:color w:val="auto"/>
              </w:rPr>
            </w:pPr>
            <w:r>
              <w:rPr>
                <w:rFonts w:ascii="Arial" w:cs="Arial" w:eastAsia="Arial" w:hAnsi="Arial"/>
                <w:sz w:val="18"/>
                <w:szCs w:val="18"/>
                <w:color w:val="auto"/>
              </w:rPr>
              <w:t>2.2(a)</w:t>
            </w:r>
          </w:p>
        </w:tc>
      </w:tr>
      <w:tr>
        <w:trPr>
          <w:trHeight w:val="215"/>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Tranche 3 Advance</w:t>
            </w:r>
          </w:p>
        </w:tc>
        <w:tc>
          <w:tcPr>
            <w:tcW w:w="41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2.2(a)</w:t>
            </w:r>
          </w:p>
        </w:tc>
      </w:tr>
    </w:tbl>
    <w:p>
      <w:pPr>
        <w:spacing w:after="0" w:line="201"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color w:val="auto"/>
        </w:rPr>
        <w:t>1.3 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as in effect on the date hereof, and all financial computations hereunder shall be computed in accordance with GAAP as in effect on the date hereof,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2"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1.4 If at any time any change in GAAP would affect the computation of any financial requirement set forth in any Loan Document, and either the Borrower or the Required Lenders shall so request, Agent, Lenders and the Borrower shall negotiate in good faith to amend such requirement to preserve the original intent thereof in light of such change in GAAP; provided that, until so amended, such requirement shall continue to be computed in accordance with GAAP prior to such change.</w:t>
      </w:r>
    </w:p>
    <w:p>
      <w:pPr>
        <w:spacing w:after="0" w:line="182"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THE LOAN</w:t>
      </w:r>
    </w:p>
    <w:p>
      <w:pPr>
        <w:spacing w:after="0" w:line="24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[Reserved]</w:t>
      </w:r>
    </w:p>
    <w:p>
      <w:pPr>
        <w:spacing w:after="0" w:line="2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Term Loan.</w:t>
      </w:r>
    </w:p>
    <w:p>
      <w:pPr>
        <w:spacing w:after="0" w:line="237" w:lineRule="exact"/>
        <w:rPr>
          <w:sz w:val="20"/>
          <w:szCs w:val="20"/>
          <w:color w:val="auto"/>
        </w:rPr>
      </w:pPr>
    </w:p>
    <w:p>
      <w:pPr>
        <w:ind w:left="80" w:right="100" w:firstLine="647"/>
        <w:spacing w:after="0" w:line="287" w:lineRule="auto"/>
        <w:tabs>
          <w:tab w:leader="none" w:pos="1642"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Advances. Subject to the terms and conditions of this Agreement, the Lenders will severally (and not jointly) make in an amount not to exceed its respective Term Commitment, and Borrower agrees to draw, a Term Loan Advance of Ten Million Dollars ($10,000,000) on the Closing Date (the “Tranche 1 Advance”). Subject to the terms and conditions of this Agreement, beginning on the later of</w:t>
      </w:r>
    </w:p>
    <w:p>
      <w:pPr>
        <w:jc w:val="both"/>
        <w:ind w:left="80" w:right="360" w:firstLine="1"/>
        <w:spacing w:after="0" w:line="290" w:lineRule="auto"/>
        <w:tabs>
          <w:tab w:leader="none" w:pos="294" w:val="left"/>
        </w:tabs>
        <w:numPr>
          <w:ilvl w:val="0"/>
          <w:numId w:val="338"/>
        </w:numPr>
        <w:rPr>
          <w:rFonts w:ascii="Arial" w:cs="Arial" w:eastAsia="Arial" w:hAnsi="Arial"/>
          <w:sz w:val="16"/>
          <w:szCs w:val="16"/>
          <w:color w:val="auto"/>
        </w:rPr>
      </w:pPr>
      <w:r>
        <w:rPr>
          <w:rFonts w:ascii="Arial" w:cs="Arial" w:eastAsia="Arial" w:hAnsi="Arial"/>
          <w:sz w:val="16"/>
          <w:szCs w:val="16"/>
          <w:color w:val="auto"/>
        </w:rPr>
        <w:t>January 1, 2021 and (ii) the achievement of Performance Milestone I, and continuing through September 30, 2021 (as such date may be extended in Agent’s sole discretion), Borrower may request and the Lenders shall severally (and not jointly) make an additional Term Loan Advance in a principal amount of Ten Million Dollars ($10,000,000) (the “Tranche 2 Advance”). Subject to the terms and conditions of this Agreement, and conditioned on approval by the Lenders’ investment committee in its sole and unfettered discretion, Borrower may request additional Term Loan Advances in an aggregate principal amount up to Ten Million Dollars ($10,000,000), in minimum increments of Two</w:t>
      </w:r>
    </w:p>
    <w:p>
      <w:pPr>
        <w:spacing w:after="0" w:line="1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60"/>
          </w:cols>
          <w:pgMar w:left="1000" w:top="704" w:right="439" w:bottom="1440" w:gutter="0" w:footer="0" w:header="0"/>
        </w:sectPr>
      </w:pPr>
    </w:p>
    <w:bookmarkStart w:id="446" w:name="page447"/>
    <w:bookmarkEnd w:id="446"/>
    <w:p>
      <w:pPr>
        <w:ind w:left="80" w:right="20"/>
        <w:spacing w:after="0" w:line="275" w:lineRule="auto"/>
        <w:rPr>
          <w:sz w:val="20"/>
          <w:szCs w:val="20"/>
          <w:color w:val="auto"/>
        </w:rPr>
      </w:pPr>
      <w:r>
        <w:rPr>
          <w:rFonts w:ascii="Arial" w:cs="Arial" w:eastAsia="Arial" w:hAnsi="Arial"/>
          <w:sz w:val="18"/>
          <w:szCs w:val="18"/>
          <w:color w:val="auto"/>
        </w:rPr>
        <w:t>Million Five Hundred Thousand Dollars ($2,500,000) (each, a “Tranche 3 Advance”). The aggregate outstanding Term Loan Advances may be up to the Maximum Term Loan Amount.</w:t>
      </w:r>
    </w:p>
    <w:p>
      <w:pPr>
        <w:spacing w:after="0" w:line="171" w:lineRule="exact"/>
        <w:rPr>
          <w:sz w:val="20"/>
          <w:szCs w:val="20"/>
          <w:color w:val="auto"/>
        </w:rPr>
      </w:pPr>
    </w:p>
    <w:p>
      <w:pPr>
        <w:ind w:left="80" w:right="80" w:firstLine="647"/>
        <w:spacing w:after="0" w:line="258" w:lineRule="auto"/>
        <w:tabs>
          <w:tab w:leader="none" w:pos="1697"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Advance Request. To obtain a Term Loan Advance, Borrower shall complete, sign and deliver an Advance Request (at least five (5) Business Days before the Advance Date other than the Closing Date, which shall be at least one (1) Business Day) to Agent. The Lenders shall fund the Term Loan Advance in the manner requested by the Advance Request provided that each of the conditions precedent to such Term Loan Advance is satisfied as of the requested Advance Date.</w:t>
      </w:r>
    </w:p>
    <w:p>
      <w:pPr>
        <w:spacing w:after="0" w:line="199" w:lineRule="exact"/>
        <w:rPr>
          <w:rFonts w:ascii="Arial" w:cs="Arial" w:eastAsia="Arial" w:hAnsi="Arial"/>
          <w:sz w:val="18"/>
          <w:szCs w:val="18"/>
          <w:color w:val="auto"/>
        </w:rPr>
      </w:pPr>
    </w:p>
    <w:p>
      <w:pPr>
        <w:jc w:val="both"/>
        <w:ind w:left="80" w:right="220" w:firstLine="647"/>
        <w:spacing w:after="0" w:line="310" w:lineRule="auto"/>
        <w:tabs>
          <w:tab w:leader="none" w:pos="1642" w:val="left"/>
        </w:tabs>
        <w:numPr>
          <w:ilvl w:val="1"/>
          <w:numId w:val="339"/>
        </w:numPr>
        <w:rPr>
          <w:rFonts w:ascii="Arial" w:cs="Arial" w:eastAsia="Arial" w:hAnsi="Arial"/>
          <w:sz w:val="16"/>
          <w:szCs w:val="16"/>
          <w:color w:val="auto"/>
        </w:rPr>
      </w:pPr>
      <w:r>
        <w:rPr>
          <w:rFonts w:ascii="Arial" w:cs="Arial" w:eastAsia="Arial" w:hAnsi="Arial"/>
          <w:sz w:val="16"/>
          <w:szCs w:val="16"/>
          <w:color w:val="auto"/>
        </w:rPr>
        <w:t>Interest. Term Loan Interest Rate. The unpaid principal balance of each Term Loan Advance shall bear interest thereon from such Advance Date until paid in full at the Term Loan Interest Rate based on a year consisting of 360 days, based on the actual number of days elapsed. The Term Loan Interest Rate will float and change on the day the prime rate changes from time to time.</w:t>
      </w:r>
    </w:p>
    <w:p>
      <w:pPr>
        <w:spacing w:after="0" w:line="148" w:lineRule="exact"/>
        <w:rPr>
          <w:rFonts w:ascii="Arial" w:cs="Arial" w:eastAsia="Arial" w:hAnsi="Arial"/>
          <w:sz w:val="16"/>
          <w:szCs w:val="16"/>
          <w:color w:val="auto"/>
        </w:rPr>
      </w:pPr>
    </w:p>
    <w:p>
      <w:pPr>
        <w:ind w:left="80" w:right="20" w:firstLine="647"/>
        <w:spacing w:after="0" w:line="265" w:lineRule="auto"/>
        <w:tabs>
          <w:tab w:leader="none" w:pos="1607" w:val="left"/>
        </w:tabs>
        <w:numPr>
          <w:ilvl w:val="1"/>
          <w:numId w:val="339"/>
        </w:numPr>
        <w:rPr>
          <w:rFonts w:ascii="Arial" w:cs="Arial" w:eastAsia="Arial" w:hAnsi="Arial"/>
          <w:sz w:val="17"/>
          <w:szCs w:val="17"/>
          <w:color w:val="auto"/>
        </w:rPr>
      </w:pPr>
      <w:r>
        <w:rPr>
          <w:rFonts w:ascii="Arial" w:cs="Arial" w:eastAsia="Arial" w:hAnsi="Arial"/>
          <w:sz w:val="17"/>
          <w:szCs w:val="17"/>
          <w:color w:val="auto"/>
        </w:rPr>
        <w:t>Payment. Borrower will pay interest on each Term Loan Advance on the first Business Day of each month, beginning the month after the Advance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The entire Term Loan principal balance and all accrued but unpaid interest hereunder, shall be due and payable on the Term Loan Maturity Date. Subject to Addendum 1,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 payment date of all periodic obligations payable to the Lenders under each Term Loan Advance and (ii) out-of-pocket legal fees and costs incurred by Agent or the Lenders in connection with Section 11.12 of this Agreement; provided that, with respect to clause</w:t>
      </w:r>
    </w:p>
    <w:p>
      <w:pPr>
        <w:spacing w:after="0" w:line="7" w:lineRule="exact"/>
        <w:rPr>
          <w:rFonts w:ascii="Arial" w:cs="Arial" w:eastAsia="Arial" w:hAnsi="Arial"/>
          <w:sz w:val="17"/>
          <w:szCs w:val="17"/>
          <w:color w:val="auto"/>
        </w:rPr>
      </w:pPr>
    </w:p>
    <w:p>
      <w:pPr>
        <w:ind w:left="80"/>
        <w:spacing w:after="0" w:line="284" w:lineRule="auto"/>
        <w:tabs>
          <w:tab w:leader="none" w:pos="339" w:val="left"/>
        </w:tabs>
        <w:numPr>
          <w:ilvl w:val="0"/>
          <w:numId w:val="340"/>
        </w:numPr>
        <w:rPr>
          <w:rFonts w:ascii="Arial" w:cs="Arial" w:eastAsia="Arial" w:hAnsi="Arial"/>
          <w:sz w:val="16"/>
          <w:szCs w:val="16"/>
          <w:color w:val="auto"/>
        </w:rPr>
      </w:pPr>
      <w:r>
        <w:rPr>
          <w:rFonts w:ascii="Arial" w:cs="Arial" w:eastAsia="Arial" w:hAnsi="Arial"/>
          <w:sz w:val="16"/>
          <w:szCs w:val="16"/>
          <w:color w:val="auto"/>
        </w:rPr>
        <w:t>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(x) in the event that the Lenders or Agent informs Borrower that the Lenders will not initiate a debit entry to Borrower’s account for certain amount of such out-of-pocket legal fees and costs incurred by Agent or the Lenders, Borrower shall pay to the Lenders such amount in full in immediately available funds within three (3) Business Days; and (y) except with respect to Agent’s and the Lenders’ fees and expenses necessary to finalize the loan documentation, and due and payable on the Closing Date, Agent shall provide Borrower prior written notice before initiating a debit entry for payment of Agent’s and the Lenders’ fees and expenses due after the Closing Date.</w:t>
      </w:r>
    </w:p>
    <w:p>
      <w:pPr>
        <w:spacing w:after="0" w:line="187" w:lineRule="exact"/>
        <w:rPr>
          <w:sz w:val="20"/>
          <w:szCs w:val="20"/>
          <w:color w:val="auto"/>
        </w:rPr>
      </w:pPr>
    </w:p>
    <w:p>
      <w:pPr>
        <w:ind w:right="140" w:firstLine="646"/>
        <w:spacing w:after="0" w:line="275" w:lineRule="auto"/>
        <w:rPr>
          <w:sz w:val="20"/>
          <w:szCs w:val="20"/>
          <w:color w:val="auto"/>
        </w:rPr>
      </w:pPr>
      <w:r>
        <w:rPr>
          <w:rFonts w:ascii="Arial" w:cs="Arial" w:eastAsia="Arial" w:hAnsi="Arial"/>
          <w:sz w:val="18"/>
          <w:szCs w:val="18"/>
          <w:color w:val="auto"/>
        </w:rPr>
        <w:t>2.3 Maximum Interest. Notwithstanding any provision in this Agreement or any other Loan Document, it is the parties’ intent not to contract for, charge or receive interest at a rate that</w:t>
      </w:r>
    </w:p>
    <w:p>
      <w:pPr>
        <w:spacing w:after="0" w:line="17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380"/>
          </w:cols>
          <w:pgMar w:left="1000" w:top="690" w:right="519" w:bottom="1440" w:gutter="0" w:footer="0" w:header="0"/>
        </w:sectPr>
      </w:pPr>
    </w:p>
    <w:bookmarkStart w:id="447" w:name="page448"/>
    <w:bookmarkEnd w:id="447"/>
    <w:p>
      <w:pPr>
        <w:ind w:right="180"/>
        <w:spacing w:after="0" w:line="290" w:lineRule="auto"/>
        <w:rPr>
          <w:sz w:val="20"/>
          <w:szCs w:val="20"/>
          <w:color w:val="auto"/>
        </w:rPr>
      </w:pPr>
      <w:r>
        <w:rPr>
          <w:rFonts w:ascii="Arial" w:cs="Arial" w:eastAsia="Arial" w:hAnsi="Arial"/>
          <w:sz w:val="16"/>
          <w:szCs w:val="16"/>
          <w:color w:val="auto"/>
        </w:rPr>
        <w:t>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66" w:lineRule="exact"/>
        <w:rPr>
          <w:sz w:val="20"/>
          <w:szCs w:val="20"/>
          <w:color w:val="auto"/>
        </w:rPr>
      </w:pPr>
    </w:p>
    <w:p>
      <w:pPr>
        <w:ind w:right="380" w:firstLine="646"/>
        <w:spacing w:after="0" w:line="272" w:lineRule="auto"/>
        <w:rPr>
          <w:sz w:val="20"/>
          <w:szCs w:val="20"/>
          <w:color w:val="auto"/>
        </w:rPr>
      </w:pPr>
      <w:r>
        <w:rPr>
          <w:rFonts w:ascii="Arial" w:cs="Arial" w:eastAsia="Arial" w:hAnsi="Arial"/>
          <w:sz w:val="17"/>
          <w:szCs w:val="17"/>
          <w:color w:val="auto"/>
        </w:rPr>
        <w:t>2.4 Default Interest. In the event any payment is not paid on the scheduled payment date, an amount equal to four percent (4%) of the past due amount shall be payable on demand made by Agent in writing. In addition, upon the occurrence and during the continuation of an Event of Default hereunder, all Secured Obligations, including principal, interest, compounded interest, and professional fees, shall bear interest at a rate per annum equal to the rate set forth in Section 2.2(c), plus four percent (4%) per annum. In the event any interest is not paid when due hereunder, delinquent interest shall be added to principal and shall bear interest on interest, compounded at the rate set forth in Section 2.2(c) or this Section 2.4, as applicable.</w:t>
      </w:r>
    </w:p>
    <w:p>
      <w:pPr>
        <w:spacing w:after="0" w:line="177" w:lineRule="exact"/>
        <w:rPr>
          <w:sz w:val="20"/>
          <w:szCs w:val="20"/>
          <w:color w:val="auto"/>
        </w:rPr>
      </w:pPr>
    </w:p>
    <w:p>
      <w:pPr>
        <w:ind w:firstLine="645"/>
        <w:spacing w:after="0" w:line="267" w:lineRule="auto"/>
        <w:rPr>
          <w:sz w:val="20"/>
          <w:szCs w:val="20"/>
          <w:color w:val="auto"/>
        </w:rPr>
      </w:pPr>
      <w:r>
        <w:rPr>
          <w:rFonts w:ascii="Arial" w:cs="Arial" w:eastAsia="Arial" w:hAnsi="Arial"/>
          <w:sz w:val="17"/>
          <w:szCs w:val="17"/>
          <w:color w:val="auto"/>
        </w:rPr>
        <w:t>2.5 Prepayment. At its option, upon at least seven (7) Business Days prior written notice to Agent, Borrower may at any time prepay all or a portion of the outstanding Advances by paying the entire principal balance (or such portion thereof), all accrued and unpaid interest thereon, together with a prepayment charge equal to the following percentage of the principal amount of the Advance being prepaid: with respect to each Advance, if such Advance amounts are prepaid prior to the Amortization Date, two percent (2.00%); and thereafter, one percent (1.00%) (each, a “Prepayment Charge”); provided that any partial prepayment shall be in minimum increments of principal in the amount $5,000,000 (or such lesser amount as is then outstanding).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the Lenders agree to waive the Prepayment Charge if Agent and the Lenders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For the avoidance of doubt, if a payment hereunder becomes due and payable on a day that is not a Business Day, the due date thereof shall be the immediately preceding Business Day.</w:t>
      </w:r>
    </w:p>
    <w:p>
      <w:pPr>
        <w:spacing w:after="0" w:line="19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End of Term Charge.</w:t>
      </w:r>
    </w:p>
    <w:p>
      <w:pPr>
        <w:spacing w:after="0" w:line="223" w:lineRule="exact"/>
        <w:rPr>
          <w:sz w:val="20"/>
          <w:szCs w:val="20"/>
          <w:color w:val="auto"/>
        </w:rPr>
      </w:pPr>
    </w:p>
    <w:p>
      <w:pPr>
        <w:ind w:left="80" w:right="240" w:firstLine="647"/>
        <w:spacing w:after="0" w:line="306" w:lineRule="auto"/>
        <w:tabs>
          <w:tab w:leader="none" w:pos="1507" w:val="left"/>
        </w:tabs>
        <w:numPr>
          <w:ilvl w:val="0"/>
          <w:numId w:val="341"/>
        </w:numPr>
        <w:rPr>
          <w:rFonts w:ascii="Arial" w:cs="Arial" w:eastAsia="Arial" w:hAnsi="Arial"/>
          <w:sz w:val="17"/>
          <w:szCs w:val="17"/>
          <w:color w:val="auto"/>
        </w:rPr>
      </w:pPr>
      <w:r>
        <w:rPr>
          <w:rFonts w:ascii="Arial" w:cs="Arial" w:eastAsia="Arial" w:hAnsi="Arial"/>
          <w:sz w:val="17"/>
          <w:szCs w:val="17"/>
          <w:color w:val="auto"/>
        </w:rPr>
        <w:t>On any date that Borrower partially prepays the outstanding Secured Obligations pursuant to Section 2.5, Borrower shall pay the Lenders a charge of Three and Ninety-Five Hundredths Percent (3.95%) of such Term Loan Advances being repaid.</w:t>
      </w:r>
    </w:p>
    <w:p>
      <w:pPr>
        <w:spacing w:after="0" w:line="147" w:lineRule="exact"/>
        <w:rPr>
          <w:rFonts w:ascii="Arial" w:cs="Arial" w:eastAsia="Arial" w:hAnsi="Arial"/>
          <w:sz w:val="17"/>
          <w:szCs w:val="17"/>
          <w:color w:val="auto"/>
        </w:rPr>
      </w:pPr>
    </w:p>
    <w:p>
      <w:pPr>
        <w:ind w:left="1480" w:hanging="754"/>
        <w:spacing w:after="0"/>
        <w:tabs>
          <w:tab w:leader="none" w:pos="1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On the earliest to occur of (i) the Term Loan Maturity Date, (ii) the date that Borrower prepays the outstanding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Secured Obligations (other than any inchoate indemnity</w:t>
      </w:r>
    </w:p>
    <w:p>
      <w:pPr>
        <w:spacing w:after="0" w:line="20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22860</wp:posOffset>
            </wp:positionV>
            <wp:extent cx="71329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20"/>
          </w:cols>
          <w:pgMar w:left="1000" w:top="690" w:right="479" w:bottom="1440" w:gutter="0" w:footer="0" w:header="0"/>
        </w:sectPr>
      </w:pPr>
    </w:p>
    <w:bookmarkStart w:id="448" w:name="page449"/>
    <w:bookmarkEnd w:id="448"/>
    <w:p>
      <w:pPr>
        <w:ind w:left="80" w:right="40"/>
        <w:spacing w:after="0" w:line="258" w:lineRule="auto"/>
        <w:rPr>
          <w:sz w:val="20"/>
          <w:szCs w:val="20"/>
          <w:color w:val="auto"/>
        </w:rPr>
      </w:pPr>
      <w:r>
        <w:rPr>
          <w:rFonts w:ascii="Arial" w:cs="Arial" w:eastAsia="Arial" w:hAnsi="Arial"/>
          <w:sz w:val="18"/>
          <w:szCs w:val="18"/>
          <w:color w:val="auto"/>
        </w:rPr>
        <w:t>obligations and any other obligations which, by their terms, are to survive the termination of this Agreement) in full, or (iii) the date that the Secured Obligations become due and payable, Borrower shall pay the Lenders a charge equal to (x) Three and Ninety-Five Hundredths Percent (3.95%) of the aggregate Term Loan Advances minus (y) the aggregate amount of payments made pursuant to Section 2.6(a) (collectively with any charge made pursuant to Section 2.6(a), the “End of Term Charge”).</w:t>
      </w:r>
    </w:p>
    <w:p>
      <w:pPr>
        <w:spacing w:after="0" w:line="186" w:lineRule="exact"/>
        <w:rPr>
          <w:sz w:val="20"/>
          <w:szCs w:val="20"/>
          <w:color w:val="auto"/>
        </w:rPr>
      </w:pPr>
    </w:p>
    <w:p>
      <w:pPr>
        <w:ind w:left="80" w:right="60" w:firstLine="646"/>
        <w:spacing w:after="0" w:line="339" w:lineRule="auto"/>
        <w:tabs>
          <w:tab w:leader="none" w:pos="1507" w:val="left"/>
        </w:tabs>
        <w:numPr>
          <w:ilvl w:val="0"/>
          <w:numId w:val="342"/>
        </w:numPr>
        <w:rPr>
          <w:rFonts w:ascii="Arial" w:cs="Arial" w:eastAsia="Arial" w:hAnsi="Arial"/>
          <w:sz w:val="15"/>
          <w:szCs w:val="15"/>
          <w:color w:val="auto"/>
        </w:rPr>
      </w:pPr>
      <w:r>
        <w:rPr>
          <w:rFonts w:ascii="Arial" w:cs="Arial" w:eastAsia="Arial" w:hAnsi="Arial"/>
          <w:sz w:val="15"/>
          <w:szCs w:val="15"/>
          <w:color w:val="auto"/>
        </w:rPr>
        <w:t>Notwithstanding the required payment date of such End of Term Charge, the applicable pro rata portion of the End of Term Charge shall be deemed earned by the Lenders as of each date a Term Loan Advance is made. For the avoidance of doubt, if a payment hereunder becomes due and payable on a day that is not a Business Day, the due date thereof shall be the immediately preceding Business Day.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9140" w:type="dxa"/>
            <w:vAlign w:val="bottom"/>
          </w:tcPr>
          <w:p>
            <w:pPr>
              <w:ind w:left="320"/>
              <w:spacing w:after="0"/>
              <w:rPr>
                <w:sz w:val="20"/>
                <w:szCs w:val="20"/>
                <w:color w:val="auto"/>
              </w:rPr>
            </w:pPr>
            <w:r>
              <w:rPr>
                <w:rFonts w:ascii="Arial" w:cs="Arial" w:eastAsia="Arial" w:hAnsi="Arial"/>
                <w:sz w:val="18"/>
                <w:szCs w:val="18"/>
                <w:color w:val="auto"/>
                <w:w w:val="89"/>
              </w:rPr>
              <w:t>Pro Rata Treatment. Each payment (including any prepayment) on account of any fee and any reduction of the Term Loans</w:t>
            </w:r>
          </w:p>
        </w:tc>
      </w:tr>
      <w:tr>
        <w:trPr>
          <w:trHeight w:val="230"/>
        </w:trPr>
        <w:tc>
          <w:tcPr>
            <w:tcW w:w="10320" w:type="dxa"/>
            <w:vAlign w:val="bottom"/>
            <w:gridSpan w:val="2"/>
          </w:tcPr>
          <w:p>
            <w:pPr>
              <w:spacing w:after="0"/>
              <w:rPr>
                <w:sz w:val="20"/>
                <w:szCs w:val="20"/>
                <w:color w:val="auto"/>
              </w:rPr>
            </w:pPr>
            <w:r>
              <w:rPr>
                <w:rFonts w:ascii="Arial" w:cs="Arial" w:eastAsia="Arial" w:hAnsi="Arial"/>
                <w:sz w:val="18"/>
                <w:szCs w:val="18"/>
                <w:color w:val="auto"/>
              </w:rPr>
              <w:t>shall be made pro rata according to the Term Commitments of the relevant Lender.</w:t>
            </w:r>
          </w:p>
        </w:tc>
      </w:tr>
      <w:tr>
        <w:trPr>
          <w:trHeight w:val="416"/>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9140" w:type="dxa"/>
            <w:vAlign w:val="bottom"/>
          </w:tcPr>
          <w:p>
            <w:pPr>
              <w:ind w:left="320"/>
              <w:spacing w:after="0"/>
              <w:rPr>
                <w:sz w:val="20"/>
                <w:szCs w:val="20"/>
                <w:color w:val="auto"/>
              </w:rPr>
            </w:pPr>
            <w:r>
              <w:rPr>
                <w:rFonts w:ascii="Arial" w:cs="Arial" w:eastAsia="Arial" w:hAnsi="Arial"/>
                <w:sz w:val="18"/>
                <w:szCs w:val="18"/>
                <w:color w:val="auto"/>
                <w:w w:val="94"/>
              </w:rPr>
              <w:t>Taxes; Increased Costs. The Borrower, the Agent and the Lenders each hereby agree to the terms and conditions set</w:t>
            </w:r>
          </w:p>
        </w:tc>
      </w:tr>
      <w:tr>
        <w:trPr>
          <w:trHeight w:val="230"/>
        </w:trPr>
        <w:tc>
          <w:tcPr>
            <w:tcW w:w="10320" w:type="dxa"/>
            <w:vAlign w:val="bottom"/>
            <w:gridSpan w:val="2"/>
          </w:tcPr>
          <w:p>
            <w:pPr>
              <w:spacing w:after="0"/>
              <w:rPr>
                <w:sz w:val="20"/>
                <w:szCs w:val="20"/>
                <w:color w:val="auto"/>
              </w:rPr>
            </w:pPr>
            <w:r>
              <w:rPr>
                <w:rFonts w:ascii="Arial" w:cs="Arial" w:eastAsia="Arial" w:hAnsi="Arial"/>
                <w:sz w:val="18"/>
                <w:szCs w:val="18"/>
                <w:color w:val="auto"/>
              </w:rPr>
              <w:t>forth on Addendum 1 attached hereto.</w:t>
            </w:r>
          </w:p>
        </w:tc>
      </w:tr>
      <w:tr>
        <w:trPr>
          <w:trHeight w:val="430"/>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2.9</w:t>
            </w:r>
          </w:p>
        </w:tc>
        <w:tc>
          <w:tcPr>
            <w:tcW w:w="9140" w:type="dxa"/>
            <w:vAlign w:val="bottom"/>
          </w:tcPr>
          <w:p>
            <w:pPr>
              <w:ind w:left="320"/>
              <w:spacing w:after="0"/>
              <w:rPr>
                <w:sz w:val="20"/>
                <w:szCs w:val="20"/>
                <w:color w:val="auto"/>
              </w:rPr>
            </w:pPr>
            <w:r>
              <w:rPr>
                <w:rFonts w:ascii="Arial" w:cs="Arial" w:eastAsia="Arial" w:hAnsi="Arial"/>
                <w:sz w:val="18"/>
                <w:szCs w:val="18"/>
                <w:color w:val="auto"/>
                <w:w w:val="90"/>
              </w:rPr>
              <w:t>Treatment of Prepayment Charge and End of Term Charge. Borrower agrees that any Prepayment Charge and any End of</w:t>
            </w:r>
          </w:p>
        </w:tc>
      </w:tr>
    </w:tbl>
    <w:p>
      <w:pPr>
        <w:spacing w:after="0" w:line="266" w:lineRule="auto"/>
        <w:rPr>
          <w:sz w:val="20"/>
          <w:szCs w:val="20"/>
          <w:color w:val="auto"/>
        </w:rPr>
      </w:pPr>
      <w:r>
        <w:rPr>
          <w:rFonts w:ascii="Arial" w:cs="Arial" w:eastAsia="Arial" w:hAnsi="Arial"/>
          <w:sz w:val="17"/>
          <w:szCs w:val="17"/>
          <w:color w:val="auto"/>
        </w:rPr>
        <w:t>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 to the Lenders as herein described was on the Closing Date and continues to be a material inducement to the Lenders to provide the Term Loans.</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9160" w:type="dxa"/>
            <w:vAlign w:val="bottom"/>
          </w:tcPr>
          <w:p>
            <w:pPr>
              <w:ind w:left="232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SECURITY INTEREST</w:t>
            </w:r>
          </w:p>
        </w:tc>
      </w:tr>
      <w:tr>
        <w:trPr>
          <w:trHeight w:val="43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3.1</w:t>
            </w:r>
          </w:p>
        </w:tc>
        <w:tc>
          <w:tcPr>
            <w:tcW w:w="9160" w:type="dxa"/>
            <w:vAlign w:val="bottom"/>
          </w:tcPr>
          <w:p>
            <w:pPr>
              <w:ind w:left="320"/>
              <w:spacing w:after="0"/>
              <w:rPr>
                <w:sz w:val="20"/>
                <w:szCs w:val="20"/>
                <w:color w:val="auto"/>
              </w:rPr>
            </w:pPr>
            <w:r>
              <w:rPr>
                <w:rFonts w:ascii="Arial" w:cs="Arial" w:eastAsia="Arial" w:hAnsi="Arial"/>
                <w:sz w:val="18"/>
                <w:szCs w:val="18"/>
                <w:color w:val="auto"/>
                <w:w w:val="89"/>
              </w:rPr>
              <w:t>As security for the prompt and complete payment when due (whether on the payment dates or otherwise) of all the Secured</w:t>
            </w:r>
          </w:p>
        </w:tc>
      </w:tr>
    </w:tbl>
    <w:p>
      <w:pPr>
        <w:ind w:right="100"/>
        <w:spacing w:after="0" w:line="252" w:lineRule="auto"/>
        <w:rPr>
          <w:sz w:val="20"/>
          <w:szCs w:val="20"/>
          <w:color w:val="auto"/>
        </w:rPr>
      </w:pPr>
      <w:r>
        <w:rPr>
          <w:rFonts w:ascii="Arial" w:cs="Arial" w:eastAsia="Arial" w:hAnsi="Arial"/>
          <w:sz w:val="18"/>
          <w:szCs w:val="18"/>
          <w:color w:val="auto"/>
        </w:rPr>
        <w:t>Obligations, Borrower grants to Agent a security interest in all of Borrower’s right, title, and interest in, to and under all of Borrower’s personal property and other assets including without limitation the following (except as set forth herein) whether now owned or hereafter acquired (collectively, the “Collateral”): (a) Receivables; (b) Equipment; (c) Fixtures; (d) General Intangibles (other than Intellectual Property); (e) Inventory; (f)</w:t>
      </w:r>
    </w:p>
    <w:p>
      <w:pPr>
        <w:spacing w:after="0" w:line="19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00"/>
          </w:cols>
          <w:pgMar w:left="1000" w:top="690" w:right="499" w:bottom="1440" w:gutter="0" w:footer="0" w:header="0"/>
        </w:sectPr>
      </w:pPr>
    </w:p>
    <w:bookmarkStart w:id="449" w:name="page450"/>
    <w:bookmarkEnd w:id="449"/>
    <w:p>
      <w:pPr>
        <w:spacing w:after="0" w:line="288" w:lineRule="auto"/>
        <w:rPr>
          <w:sz w:val="20"/>
          <w:szCs w:val="20"/>
          <w:color w:val="auto"/>
        </w:rPr>
      </w:pPr>
      <w:r>
        <w:rPr>
          <w:rFonts w:ascii="Arial" w:cs="Arial" w:eastAsia="Arial" w:hAnsi="Arial"/>
          <w:sz w:val="16"/>
          <w:szCs w:val="16"/>
          <w:color w:val="auto"/>
        </w:rPr>
        <w:t xml:space="preserve">Investment Property; (g) Deposit Accounts; (h) Cash; (i) Goods;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Collateral shall include all Accounts and General Intangibles that consist of rights to payment and proceeds from the sale, licensing or disposition of all or any part, or rights in, the Intellectual Property (the “Rights to 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p>
    <w:p>
      <w:pPr>
        <w:spacing w:after="0" w:line="165" w:lineRule="exact"/>
        <w:rPr>
          <w:sz w:val="20"/>
          <w:szCs w:val="20"/>
          <w:color w:val="auto"/>
        </w:rPr>
      </w:pPr>
    </w:p>
    <w:p>
      <w:pPr>
        <w:ind w:right="80" w:firstLine="646"/>
        <w:spacing w:after="0" w:line="287" w:lineRule="auto"/>
        <w:rPr>
          <w:sz w:val="20"/>
          <w:szCs w:val="20"/>
          <w:color w:val="auto"/>
        </w:rPr>
      </w:pPr>
      <w:r>
        <w:rPr>
          <w:rFonts w:ascii="Arial" w:cs="Arial" w:eastAsia="Arial" w:hAnsi="Arial"/>
          <w:sz w:val="16"/>
          <w:szCs w:val="16"/>
          <w:color w:val="auto"/>
        </w:rPr>
        <w:t>3.2 Notwithstanding the broad grant of the security interest set forth in Section 3.1, above, the Collateral shall not include (a) nonassignable licenses or contracts, which by their terms require the consent of the licensor thereof or another party (but only to the extent such prohibition on transfer is enforceable under applicable law, including, without limitation, Sections 9406, 9407 and 9408 of the UCC), provided further, that upon the termination of such prohibition or such consent being provided with respect to any license or contract, such license or contract shall automatically be included in the Collateral; (b) property for which the granting of a security interest therein is contrary to applicable law, provided that upon the cessation of any such restriction or prohibition, such property shall automatically be included in the Collateral; (c) any property subject to a Permitted Lien hereunder, if the grant of a security interest with respect to such property pursuant to this Agreement would be prohibited by the agreement creating such Permitted Lien or would otherwise constitute a default thereunder or create a right of termination by a party thereto (other than Borrower), provided that upon the termination and release of such Lien or prohibition, such property shall automatically be included in the Collateral; and (d) any Excluded Account.</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CONDITIONS PRECEDENT TO LOAN</w:t>
      </w:r>
    </w:p>
    <w:p>
      <w:pPr>
        <w:spacing w:after="0" w:line="322"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The obligations of the Lenders to make the Loan hereunder are subject to the satisfaction by Borrower of the following conditions:</w:t>
      </w:r>
    </w:p>
    <w:p>
      <w:pPr>
        <w:spacing w:after="0" w:line="246" w:lineRule="exact"/>
        <w:rPr>
          <w:sz w:val="20"/>
          <w:szCs w:val="20"/>
          <w:color w:val="auto"/>
        </w:rPr>
      </w:pPr>
    </w:p>
    <w:p>
      <w:pPr>
        <w:ind w:left="6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Initial Advance. On or prior to the Closing Date, Borrower shall have delivered to Agent the following:</w:t>
      </w:r>
    </w:p>
    <w:p>
      <w:pPr>
        <w:spacing w:after="0" w:line="237" w:lineRule="exact"/>
        <w:rPr>
          <w:sz w:val="20"/>
          <w:szCs w:val="20"/>
          <w:color w:val="auto"/>
        </w:rPr>
      </w:pPr>
    </w:p>
    <w:p>
      <w:pPr>
        <w:ind w:left="80" w:right="300" w:firstLine="646"/>
        <w:spacing w:after="0" w:line="310" w:lineRule="auto"/>
        <w:tabs>
          <w:tab w:leader="none" w:pos="164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executed copies of the Loan Documents (other than the Warrant, which shall be an original),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61" w:lineRule="exact"/>
        <w:rPr>
          <w:rFonts w:ascii="Arial" w:cs="Arial" w:eastAsia="Arial" w:hAnsi="Arial"/>
          <w:sz w:val="16"/>
          <w:szCs w:val="16"/>
          <w:color w:val="auto"/>
        </w:rPr>
      </w:pPr>
    </w:p>
    <w:p>
      <w:pPr>
        <w:ind w:left="1600" w:hanging="874"/>
        <w:spacing w:after="0"/>
        <w:tabs>
          <w:tab w:leader="none" w:pos="16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 legal opinion of Borrower’s counsel in form and substance reasonably acceptable to Agent,</w:t>
      </w:r>
    </w:p>
    <w:p>
      <w:pPr>
        <w:spacing w:after="0" w:line="223" w:lineRule="exact"/>
        <w:rPr>
          <w:rFonts w:ascii="Arial" w:cs="Arial" w:eastAsia="Arial" w:hAnsi="Arial"/>
          <w:sz w:val="18"/>
          <w:szCs w:val="18"/>
          <w:color w:val="auto"/>
        </w:rPr>
      </w:pPr>
    </w:p>
    <w:p>
      <w:pPr>
        <w:ind w:left="80" w:right="980" w:firstLine="646"/>
        <w:spacing w:after="0" w:line="275" w:lineRule="auto"/>
        <w:tabs>
          <w:tab w:leader="none" w:pos="164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certified copy of resolutions of Borrower’s Board of Managers evidencing approval of (i) the Loan and other transactions evidenced by the Loan Documents; and (ii) the Warrant and transactions evidenced thereby;</w:t>
      </w: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22860</wp:posOffset>
            </wp:positionV>
            <wp:extent cx="71329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20"/>
          </w:cols>
          <w:pgMar w:left="1000" w:top="690" w:right="479" w:bottom="1440" w:gutter="0" w:footer="0" w:header="0"/>
        </w:sectPr>
      </w:pPr>
    </w:p>
    <w:bookmarkStart w:id="450" w:name="page451"/>
    <w:bookmarkEnd w:id="450"/>
    <w:p>
      <w:pPr>
        <w:ind w:left="1600" w:hanging="874"/>
        <w:spacing w:after="0"/>
        <w:tabs>
          <w:tab w:leader="none" w:pos="160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certified copies of the Certificate of Formation Operating Agreement, as amended through the Closing Date, of</w:t>
      </w:r>
    </w:p>
    <w:p>
      <w:pPr>
        <w:spacing w:after="0" w:line="34"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222" w:lineRule="exact"/>
        <w:rPr>
          <w:rFonts w:ascii="Arial" w:cs="Arial" w:eastAsia="Arial" w:hAnsi="Arial"/>
          <w:sz w:val="17"/>
          <w:szCs w:val="17"/>
          <w:color w:val="auto"/>
        </w:rPr>
      </w:pPr>
    </w:p>
    <w:p>
      <w:pPr>
        <w:ind w:left="80" w:right="80" w:firstLine="646"/>
        <w:spacing w:after="0" w:line="275" w:lineRule="auto"/>
        <w:tabs>
          <w:tab w:leader="none" w:pos="164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certificate of good standing for Borrower from its state of formation and similar certificates from all other jurisdictions in which it does business and where the failure to be qualified could have a Material Adverse Effect;</w:t>
      </w:r>
    </w:p>
    <w:p>
      <w:pPr>
        <w:spacing w:after="0" w:line="171" w:lineRule="exact"/>
        <w:rPr>
          <w:rFonts w:ascii="Arial" w:cs="Arial" w:eastAsia="Arial" w:hAnsi="Arial"/>
          <w:sz w:val="18"/>
          <w:szCs w:val="18"/>
          <w:color w:val="auto"/>
        </w:rPr>
      </w:pPr>
    </w:p>
    <w:p>
      <w:pPr>
        <w:ind w:left="80" w:right="580" w:firstLine="646"/>
        <w:spacing w:after="0" w:line="306" w:lineRule="auto"/>
        <w:tabs>
          <w:tab w:leader="none" w:pos="1622" w:val="left"/>
        </w:tabs>
        <w:numPr>
          <w:ilvl w:val="0"/>
          <w:numId w:val="344"/>
        </w:numPr>
        <w:rPr>
          <w:rFonts w:ascii="Arial" w:cs="Arial" w:eastAsia="Arial" w:hAnsi="Arial"/>
          <w:sz w:val="17"/>
          <w:szCs w:val="17"/>
          <w:color w:val="auto"/>
        </w:rPr>
      </w:pPr>
      <w:r>
        <w:rPr>
          <w:rFonts w:ascii="Arial" w:cs="Arial" w:eastAsia="Arial" w:hAnsi="Arial"/>
          <w:sz w:val="17"/>
          <w:szCs w:val="17"/>
          <w:color w:val="auto"/>
        </w:rPr>
        <w:t>payment of the Due Diligence Fee, Initial Facility Charge and reimbursement of Agent’s and the Lenders’ current expenses reimbursable pursuant to this Agreement, which amounts may be deducted from the initial Advance;</w:t>
      </w:r>
    </w:p>
    <w:p>
      <w:pPr>
        <w:spacing w:after="0" w:line="160" w:lineRule="exact"/>
        <w:rPr>
          <w:rFonts w:ascii="Arial" w:cs="Arial" w:eastAsia="Arial" w:hAnsi="Arial"/>
          <w:sz w:val="17"/>
          <w:szCs w:val="17"/>
          <w:color w:val="auto"/>
        </w:rPr>
      </w:pPr>
    </w:p>
    <w:p>
      <w:pPr>
        <w:ind w:left="1660" w:hanging="934"/>
        <w:spacing w:after="0"/>
        <w:tabs>
          <w:tab w:leader="none" w:pos="1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all certificates of insurance and copies of each insurance policy required hereunder; and</w:t>
      </w:r>
    </w:p>
    <w:p>
      <w:pPr>
        <w:spacing w:after="0" w:line="223" w:lineRule="exact"/>
        <w:rPr>
          <w:rFonts w:ascii="Arial" w:cs="Arial" w:eastAsia="Arial" w:hAnsi="Arial"/>
          <w:sz w:val="18"/>
          <w:szCs w:val="18"/>
          <w:color w:val="auto"/>
        </w:rPr>
      </w:pPr>
    </w:p>
    <w:p>
      <w:pPr>
        <w:ind w:left="1660" w:hanging="934"/>
        <w:spacing w:after="0"/>
        <w:tabs>
          <w:tab w:leader="none" w:pos="1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such other documents as Agent may reasonably request.</w:t>
      </w:r>
    </w:p>
    <w:p>
      <w:pPr>
        <w:spacing w:after="0" w:line="2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All Advances. On each Advance Date:</w:t>
      </w:r>
    </w:p>
    <w:p>
      <w:pPr>
        <w:spacing w:after="0" w:line="223" w:lineRule="exact"/>
        <w:rPr>
          <w:sz w:val="20"/>
          <w:szCs w:val="20"/>
          <w:color w:val="auto"/>
        </w:rPr>
      </w:pPr>
    </w:p>
    <w:p>
      <w:pPr>
        <w:ind w:left="80" w:right="400" w:firstLine="647"/>
        <w:spacing w:after="0" w:line="340" w:lineRule="auto"/>
        <w:tabs>
          <w:tab w:leader="none" w:pos="164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Agent shall have received (i) an Advance Request for the relevant Advance as required by Section 2.2(b), each duly executed by Borrower’s Chief Executive Officer or Chief Financial Officer, and (ii) any other documents Agent may reasonably request.</w:t>
      </w:r>
    </w:p>
    <w:p>
      <w:pPr>
        <w:spacing w:after="0" w:line="137" w:lineRule="exact"/>
        <w:rPr>
          <w:rFonts w:ascii="Arial" w:cs="Arial" w:eastAsia="Arial" w:hAnsi="Arial"/>
          <w:sz w:val="16"/>
          <w:szCs w:val="16"/>
          <w:color w:val="auto"/>
        </w:rPr>
      </w:pPr>
    </w:p>
    <w:p>
      <w:pPr>
        <w:ind w:left="80" w:right="100" w:firstLine="646"/>
        <w:spacing w:after="0" w:line="274" w:lineRule="auto"/>
        <w:tabs>
          <w:tab w:leader="none" w:pos="1607"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representations and warranties set forth in this Agreement shall be true and correct in all material respects (or, in the case of any representation and warranty qualified by materiality, in all respects) on and as of the Advance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or, in the case of any representation and warranty qualified by materiality, in all respects as of such earlier date).</w:t>
      </w:r>
    </w:p>
    <w:p>
      <w:pPr>
        <w:spacing w:after="0" w:line="189" w:lineRule="exact"/>
        <w:rPr>
          <w:rFonts w:ascii="Arial" w:cs="Arial" w:eastAsia="Arial" w:hAnsi="Arial"/>
          <w:sz w:val="17"/>
          <w:szCs w:val="17"/>
          <w:color w:val="auto"/>
        </w:rPr>
      </w:pPr>
    </w:p>
    <w:p>
      <w:pPr>
        <w:ind w:left="80" w:firstLine="646"/>
        <w:spacing w:after="0" w:line="262" w:lineRule="auto"/>
        <w:tabs>
          <w:tab w:leader="none" w:pos="164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Borrower shall be in compliance in all material respects with all the terms and provisions set forth herein and in each other Loan Document on its part to be observed or performed, and at the time of and immediately after such Advance no Event of Default shall have occurred and be continuing.</w:t>
      </w:r>
    </w:p>
    <w:p>
      <w:pPr>
        <w:spacing w:after="0" w:line="183" w:lineRule="exact"/>
        <w:rPr>
          <w:rFonts w:ascii="Arial" w:cs="Arial" w:eastAsia="Arial" w:hAnsi="Arial"/>
          <w:sz w:val="18"/>
          <w:szCs w:val="18"/>
          <w:color w:val="auto"/>
        </w:rPr>
      </w:pPr>
    </w:p>
    <w:p>
      <w:pPr>
        <w:ind w:left="1600" w:hanging="874"/>
        <w:spacing w:after="0"/>
        <w:tabs>
          <w:tab w:leader="none" w:pos="16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With respect to any Tranche 3 Advance, the Loan Parties shall have paid the Tranche 3 Facility Charge.</w:t>
      </w:r>
    </w:p>
    <w:p>
      <w:pPr>
        <w:spacing w:after="0" w:line="236" w:lineRule="exact"/>
        <w:rPr>
          <w:rFonts w:ascii="Arial" w:cs="Arial" w:eastAsia="Arial" w:hAnsi="Arial"/>
          <w:sz w:val="18"/>
          <w:szCs w:val="18"/>
          <w:color w:val="auto"/>
        </w:rPr>
      </w:pPr>
    </w:p>
    <w:p>
      <w:pPr>
        <w:ind w:left="80" w:firstLine="647"/>
        <w:spacing w:after="0" w:line="340" w:lineRule="auto"/>
        <w:tabs>
          <w:tab w:leader="none" w:pos="164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24" w:lineRule="exact"/>
        <w:rPr>
          <w:sz w:val="20"/>
          <w:szCs w:val="20"/>
          <w:color w:val="auto"/>
        </w:rPr>
      </w:pPr>
    </w:p>
    <w:p>
      <w:pPr>
        <w:ind w:right="460" w:firstLine="646"/>
        <w:spacing w:after="0" w:line="262" w:lineRule="auto"/>
        <w:rPr>
          <w:sz w:val="20"/>
          <w:szCs w:val="20"/>
          <w:color w:val="auto"/>
        </w:rPr>
      </w:pPr>
      <w:r>
        <w:rPr>
          <w:rFonts w:ascii="Arial" w:cs="Arial" w:eastAsia="Arial" w:hAnsi="Arial"/>
          <w:sz w:val="18"/>
          <w:szCs w:val="18"/>
          <w:color w:val="auto"/>
        </w:rPr>
        <w:t>4.3 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179"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REPRESENTATIONS AND WARRANTIES OF BORROWER</w:t>
      </w:r>
    </w:p>
    <w:p>
      <w:pPr>
        <w:spacing w:after="0" w:line="2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Borrower represents and warrants that:</w:t>
      </w:r>
    </w:p>
    <w:p>
      <w:pPr>
        <w:spacing w:after="0" w:line="200" w:lineRule="exact"/>
        <w:rPr>
          <w:sz w:val="20"/>
          <w:szCs w:val="20"/>
          <w:color w:val="auto"/>
        </w:rPr>
      </w:pPr>
    </w:p>
    <w:p>
      <w:pPr>
        <w:spacing w:after="0" w:line="25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360"/>
          </w:cols>
          <w:pgMar w:left="1000" w:top="771" w:right="539" w:bottom="1440" w:gutter="0" w:footer="0" w:header="0"/>
        </w:sectPr>
      </w:pPr>
    </w:p>
    <w:bookmarkStart w:id="451" w:name="page452"/>
    <w:bookmarkEnd w:id="451"/>
    <w:p>
      <w:pPr>
        <w:ind w:right="20" w:firstLine="646"/>
        <w:spacing w:after="0" w:line="254" w:lineRule="auto"/>
        <w:rPr>
          <w:sz w:val="20"/>
          <w:szCs w:val="20"/>
          <w:color w:val="auto"/>
        </w:rPr>
      </w:pPr>
      <w:r>
        <w:rPr>
          <w:rFonts w:ascii="Arial" w:cs="Arial" w:eastAsia="Arial" w:hAnsi="Arial"/>
          <w:sz w:val="18"/>
          <w:szCs w:val="18"/>
          <w:color w:val="auto"/>
        </w:rPr>
        <w:t>5.1 Status. Borrower is a limited liability company duly organized, legally existing and in good standing under the laws its state of formation, and is duly qualified as a foreign 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Exhibit B, as may be updated by Borrower in a written notice (including any Compliance Certificate) provided to Agent after the Closing Date.</w:t>
      </w:r>
    </w:p>
    <w:p>
      <w:pPr>
        <w:spacing w:after="0" w:line="206" w:lineRule="exact"/>
        <w:rPr>
          <w:sz w:val="20"/>
          <w:szCs w:val="20"/>
          <w:color w:val="auto"/>
        </w:rPr>
      </w:pPr>
    </w:p>
    <w:p>
      <w:pPr>
        <w:jc w:val="both"/>
        <w:ind w:right="520" w:firstLine="646"/>
        <w:spacing w:after="0" w:line="262" w:lineRule="auto"/>
        <w:rPr>
          <w:sz w:val="20"/>
          <w:szCs w:val="20"/>
          <w:color w:val="auto"/>
        </w:rPr>
      </w:pPr>
      <w:r>
        <w:rPr>
          <w:rFonts w:ascii="Arial" w:cs="Arial" w:eastAsia="Arial" w:hAnsi="Arial"/>
          <w:sz w:val="18"/>
          <w:szCs w:val="18"/>
          <w:color w:val="auto"/>
        </w:rPr>
        <w:t>5.2 Collateral. Borrower owns or otherwise has the rights to use the Collateral and owns, or has rights to, the Intellectual Property, free of all Liens, except for Permitted Liens. Borrower has the power and authority to grant to Agent a Lien in the Collateral as security for the Secured Obligations.</w:t>
      </w:r>
    </w:p>
    <w:p>
      <w:pPr>
        <w:spacing w:after="0" w:line="183" w:lineRule="exact"/>
        <w:rPr>
          <w:sz w:val="20"/>
          <w:szCs w:val="20"/>
          <w:color w:val="auto"/>
        </w:rPr>
      </w:pPr>
    </w:p>
    <w:p>
      <w:pPr>
        <w:ind w:firstLine="646"/>
        <w:spacing w:after="0" w:line="253" w:lineRule="auto"/>
        <w:rPr>
          <w:sz w:val="20"/>
          <w:szCs w:val="20"/>
          <w:color w:val="auto"/>
        </w:rPr>
      </w:pPr>
      <w:r>
        <w:rPr>
          <w:rFonts w:ascii="Arial" w:cs="Arial" w:eastAsia="Arial" w:hAnsi="Arial"/>
          <w:sz w:val="18"/>
          <w:szCs w:val="18"/>
          <w:color w:val="auto"/>
        </w:rPr>
        <w:t>5.3 Consents. Borrower’s execution, delivery and performance of this Agreement and all other Loan Documents, and Borrower’s execution of the Warrant, (i) have 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of Formation, Operating Agreement, or any, law, regulation, order, injunction, judgment, decree or writ to which Borrower is subject, which could not reasonably be expected to result in a Material Adverse Effect and (iv) except as described on Schedule 5.3, do not violate any material contract or agreement or require the consent or approval of any other Person which has not already been obtained. The individual or individuals executing the Loan Documents and the Warrant are duly authorized to do so.</w:t>
      </w:r>
    </w:p>
    <w:p>
      <w:pPr>
        <w:spacing w:after="0" w:line="205" w:lineRule="exact"/>
        <w:rPr>
          <w:sz w:val="20"/>
          <w:szCs w:val="20"/>
          <w:color w:val="auto"/>
        </w:rPr>
      </w:pPr>
    </w:p>
    <w:p>
      <w:pPr>
        <w:ind w:right="420" w:firstLine="646"/>
        <w:spacing w:after="0" w:line="262" w:lineRule="auto"/>
        <w:rPr>
          <w:sz w:val="20"/>
          <w:szCs w:val="20"/>
          <w:color w:val="auto"/>
        </w:rPr>
      </w:pPr>
      <w:r>
        <w:rPr>
          <w:rFonts w:ascii="Arial" w:cs="Arial" w:eastAsia="Arial" w:hAnsi="Arial"/>
          <w:sz w:val="18"/>
          <w:szCs w:val="18"/>
          <w:color w:val="auto"/>
        </w:rPr>
        <w:t>5.4 Material Adverse Effect. No event that has had or could reasonably be expected to have a Material Adverse Effect has occurred and is continuing. Borrower is not aware of any event likely to occur that is reasonably expected to result in a Material Adverse Effect.</w:t>
      </w:r>
    </w:p>
    <w:p>
      <w:pPr>
        <w:spacing w:after="0" w:line="183" w:lineRule="exact"/>
        <w:rPr>
          <w:sz w:val="20"/>
          <w:szCs w:val="20"/>
          <w:color w:val="auto"/>
        </w:rPr>
      </w:pPr>
    </w:p>
    <w:p>
      <w:pPr>
        <w:ind w:left="640"/>
        <w:spacing w:after="0"/>
        <w:tabs>
          <w:tab w:leader="none" w:pos="14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Actions Before Governmental Authorities. There are no actions, suits or proceedings at law or in equity or by or before any</w:t>
      </w:r>
    </w:p>
    <w:p>
      <w:pPr>
        <w:spacing w:after="0" w:line="23"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Governmental Authority now pending or, to the knowledge of Borrower, threatened against or affecting Borrower or its property, that is reasonably expected to result in a Material Adverse Effect.</w:t>
      </w:r>
    </w:p>
    <w:p>
      <w:pPr>
        <w:spacing w:after="0" w:line="19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Laws.</w:t>
      </w:r>
    </w:p>
    <w:p>
      <w:pPr>
        <w:spacing w:after="0" w:line="223" w:lineRule="exact"/>
        <w:rPr>
          <w:sz w:val="20"/>
          <w:szCs w:val="20"/>
          <w:color w:val="auto"/>
        </w:rPr>
      </w:pPr>
    </w:p>
    <w:p>
      <w:pPr>
        <w:jc w:val="both"/>
        <w:ind w:left="80" w:right="140" w:firstLine="647"/>
        <w:spacing w:after="0" w:line="278" w:lineRule="auto"/>
        <w:tabs>
          <w:tab w:leader="none" w:pos="1507" w:val="left"/>
        </w:tabs>
        <w:numPr>
          <w:ilvl w:val="0"/>
          <w:numId w:val="346"/>
        </w:numPr>
        <w:rPr>
          <w:rFonts w:ascii="Arial" w:cs="Arial" w:eastAsia="Arial" w:hAnsi="Arial"/>
          <w:sz w:val="17"/>
          <w:szCs w:val="17"/>
          <w:color w:val="auto"/>
        </w:rPr>
      </w:pPr>
      <w:r>
        <w:rPr>
          <w:rFonts w:ascii="Arial" w:cs="Arial" w:eastAsia="Arial" w:hAnsi="Arial"/>
          <w:sz w:val="17"/>
          <w:szCs w:val="17"/>
          <w:color w:val="auto"/>
        </w:rPr>
        <w:t>Neither Borrower nor any of its Subsidiaries is in violation of any law, rule or regulation, or in default with respect to any judgment, writ, injunction or decree of any Governmental Authority, where such violation or default could reasonably be expected to result in a Material Adverse Effect. Borrower is not in default in any manner under any provision of any agreement or instrument evidencing material Indebtedness, or any other material agreement to which it is a party or by which it is bound.</w:t>
      </w:r>
    </w:p>
    <w:p>
      <w:pPr>
        <w:spacing w:after="0" w:line="170" w:lineRule="exact"/>
        <w:rPr>
          <w:rFonts w:ascii="Arial" w:cs="Arial" w:eastAsia="Arial" w:hAnsi="Arial"/>
          <w:sz w:val="17"/>
          <w:szCs w:val="17"/>
          <w:color w:val="auto"/>
        </w:rPr>
      </w:pPr>
    </w:p>
    <w:p>
      <w:pPr>
        <w:ind w:left="80" w:right="80" w:firstLine="647"/>
        <w:spacing w:after="0" w:line="256" w:lineRule="auto"/>
        <w:tabs>
          <w:tab w:leader="none" w:pos="147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w:t>
      </w:r>
    </w:p>
    <w:p>
      <w:pPr>
        <w:spacing w:after="0" w:line="18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00"/>
          </w:cols>
          <w:pgMar w:left="1000" w:top="986" w:right="499" w:bottom="1440" w:gutter="0" w:footer="0" w:header="0"/>
        </w:sectPr>
      </w:pPr>
    </w:p>
    <w:bookmarkStart w:id="452" w:name="page453"/>
    <w:bookmarkEnd w:id="452"/>
    <w:p>
      <w:pPr>
        <w:ind w:left="80" w:right="60"/>
        <w:spacing w:after="0" w:line="272" w:lineRule="auto"/>
        <w:rPr>
          <w:sz w:val="20"/>
          <w:szCs w:val="20"/>
          <w:color w:val="auto"/>
        </w:rPr>
      </w:pPr>
      <w:r>
        <w:rPr>
          <w:rFonts w:ascii="Arial" w:cs="Arial" w:eastAsia="Arial" w:hAnsi="Arial"/>
          <w:sz w:val="17"/>
          <w:szCs w:val="17"/>
          <w:color w:val="auto"/>
        </w:rPr>
        <w:t>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77" w:lineRule="exact"/>
        <w:rPr>
          <w:sz w:val="20"/>
          <w:szCs w:val="20"/>
          <w:color w:val="auto"/>
        </w:rPr>
      </w:pPr>
    </w:p>
    <w:p>
      <w:pPr>
        <w:ind w:left="80" w:firstLine="646"/>
        <w:spacing w:after="0" w:line="267" w:lineRule="auto"/>
        <w:tabs>
          <w:tab w:leader="none" w:pos="1507" w:val="left"/>
        </w:tabs>
        <w:numPr>
          <w:ilvl w:val="0"/>
          <w:numId w:val="347"/>
        </w:numPr>
        <w:rPr>
          <w:rFonts w:ascii="Arial" w:cs="Arial" w:eastAsia="Arial" w:hAnsi="Arial"/>
          <w:sz w:val="17"/>
          <w:szCs w:val="17"/>
          <w:color w:val="auto"/>
        </w:rPr>
      </w:pPr>
      <w:r>
        <w:rPr>
          <w:rFonts w:ascii="Arial" w:cs="Arial" w:eastAsia="Arial" w:hAnsi="Arial"/>
          <w:sz w:val="17"/>
          <w:szCs w:val="17"/>
          <w:color w:val="auto"/>
        </w:rPr>
        <w:t>None of Borrower, any of its Subsidiaries, or to their knowledge, any of Borrower’s or its Subsidiaries’ respective controlled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controlled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6" w:lineRule="exact"/>
        <w:rPr>
          <w:sz w:val="20"/>
          <w:szCs w:val="20"/>
          <w:color w:val="auto"/>
        </w:rPr>
      </w:pPr>
    </w:p>
    <w:p>
      <w:pPr>
        <w:ind w:right="80" w:firstLine="646"/>
        <w:spacing w:after="0" w:line="253" w:lineRule="auto"/>
        <w:rPr>
          <w:sz w:val="20"/>
          <w:szCs w:val="20"/>
          <w:color w:val="auto"/>
        </w:rPr>
      </w:pPr>
      <w:r>
        <w:rPr>
          <w:rFonts w:ascii="Arial" w:cs="Arial" w:eastAsia="Arial" w:hAnsi="Arial"/>
          <w:sz w:val="18"/>
          <w:szCs w:val="18"/>
          <w:color w:val="auto"/>
        </w:rPr>
        <w:t>5.7 Information Correct and Current. No information, report, Advance Request, financial statement, exhibit or schedule furnished, by or on behalf of Borrower to Agent in connection with any Loan Document or included therein or delivered pursuant thereto contained, or, when taken as a whole,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(ii) the most current of such projections provided to Borrower’s Board of Managers.</w:t>
      </w:r>
    </w:p>
    <w:p>
      <w:pPr>
        <w:spacing w:after="0" w:line="205" w:lineRule="exact"/>
        <w:rPr>
          <w:sz w:val="20"/>
          <w:szCs w:val="20"/>
          <w:color w:val="auto"/>
        </w:rPr>
      </w:pPr>
    </w:p>
    <w:p>
      <w:pPr>
        <w:ind w:firstLine="646"/>
        <w:spacing w:after="0" w:line="254" w:lineRule="auto"/>
        <w:rPr>
          <w:sz w:val="20"/>
          <w:szCs w:val="20"/>
          <w:color w:val="auto"/>
        </w:rPr>
      </w:pPr>
      <w:r>
        <w:rPr>
          <w:rFonts w:ascii="Arial" w:cs="Arial" w:eastAsia="Arial" w:hAnsi="Arial"/>
          <w:sz w:val="18"/>
          <w:szCs w:val="18"/>
          <w:color w:val="auto"/>
        </w:rPr>
        <w:t>5.8 Tax Matters. Except as described on Schedule 5.8, (a) Borrower and its Subsidiaries have filed all federal and state income Tax returns and other material Tax returns that they are required to file (taking into account any timely filed extensions),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w:t>
      </w:r>
    </w:p>
    <w:p>
      <w:pPr>
        <w:spacing w:after="0" w:line="19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22860</wp:posOffset>
            </wp:positionV>
            <wp:extent cx="71329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40"/>
          </w:cols>
          <w:pgMar w:left="1000" w:top="690" w:right="45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color w:val="auto"/>
        </w:rPr>
        <w:t>have had, or could reasonably be expected to have, individually or in the aggregate, a Material Adverse Effect.</w:t>
      </w:r>
    </w:p>
    <w:p>
      <w:pPr>
        <w:spacing w:after="0" w:line="223" w:lineRule="exact"/>
        <w:rPr>
          <w:sz w:val="20"/>
          <w:szCs w:val="20"/>
          <w:color w:val="auto"/>
        </w:rPr>
      </w:pPr>
    </w:p>
    <w:p>
      <w:pPr>
        <w:ind w:right="60" w:firstLine="646"/>
        <w:spacing w:after="0" w:line="268" w:lineRule="auto"/>
        <w:rPr>
          <w:sz w:val="20"/>
          <w:szCs w:val="20"/>
          <w:color w:val="auto"/>
        </w:rPr>
      </w:pPr>
      <w:r>
        <w:rPr>
          <w:rFonts w:ascii="Arial" w:cs="Arial" w:eastAsia="Arial" w:hAnsi="Arial"/>
          <w:sz w:val="17"/>
          <w:szCs w:val="17"/>
          <w:color w:val="auto"/>
        </w:rPr>
        <w:t>5.9 Intellectual Property Claims. Borrower owns, or otherwise has the right to use, the Intellectual Property material to Borrower’s business. Except as described on Schedule 5.9, (i) to the knowledge of Borrower, each of the material Copyrights, Trademarks and Patents is valid and enforceable, (ii) no material part of the Intellectual Property has been judged invalid or unenforceable, in whole or in part, and (iii) no claim has been made to Borrower that any material part of the Intellectual Property violates the rights of any third party. Exhibit C is a true, correct and complete list of each of Borrower’s Patents, registered Trademarks, registered Copyrights, and material agreements under which Borrower licenses Intellectual Property from third parties (other than shrink-wrap software licenses),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98" w:lineRule="exact"/>
        <w:rPr>
          <w:sz w:val="20"/>
          <w:szCs w:val="20"/>
          <w:color w:val="auto"/>
        </w:rPr>
      </w:pPr>
    </w:p>
    <w:p>
      <w:pPr>
        <w:ind w:firstLine="646"/>
        <w:spacing w:after="0" w:line="268" w:lineRule="auto"/>
        <w:rPr>
          <w:sz w:val="20"/>
          <w:szCs w:val="20"/>
          <w:color w:val="auto"/>
        </w:rPr>
      </w:pPr>
      <w:r>
        <w:rPr>
          <w:rFonts w:ascii="Arial" w:cs="Arial" w:eastAsia="Arial" w:hAnsi="Arial"/>
          <w:sz w:val="17"/>
          <w:szCs w:val="17"/>
          <w:color w:val="auto"/>
        </w:rPr>
        <w:t>5.10 Intellectual Property. Except as described on Schedule 5.10,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necessary or material in the operation or conduct of Borrower’s business and used in the design, development, promotion, sale, license, manufacture, import, export, use or distribution of Borrower Products except customary covenants in inbound license agreements and equipment leases where Borrower is the licensee or lessee. Except as set forth on Schedule 5.10, Borrower is not a party to, nor is it bound by, any Restricted License.</w:t>
      </w: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could require disclosure or distribution in source code form.</w:t>
      </w:r>
    </w:p>
    <w:p>
      <w:pPr>
        <w:spacing w:after="0" w:line="206" w:lineRule="exact"/>
        <w:rPr>
          <w:sz w:val="20"/>
          <w:szCs w:val="20"/>
          <w:color w:val="auto"/>
        </w:rPr>
      </w:pPr>
    </w:p>
    <w:p>
      <w:pPr>
        <w:ind w:right="40" w:firstLine="646"/>
        <w:spacing w:after="0" w:line="300" w:lineRule="auto"/>
        <w:rPr>
          <w:sz w:val="20"/>
          <w:szCs w:val="20"/>
          <w:color w:val="auto"/>
        </w:rPr>
      </w:pPr>
      <w:r>
        <w:rPr>
          <w:rFonts w:ascii="Arial" w:cs="Arial" w:eastAsia="Arial" w:hAnsi="Arial"/>
          <w:sz w:val="16"/>
          <w:szCs w:val="16"/>
          <w:color w:val="auto"/>
        </w:rPr>
        <w:t>5.11 Borrower Products. Except as described on Schedule 5.11, no Intellectual Property owned by Borrower or Borrower Product has been or is subject to any actual or, to the knowledge of Borrower, threatened litigation, proceeding (including any proceeding in the United States Patent and Trademark Office or any corresponding foreign office or agency, except for routine prosecution of such Intellectual Property in the United States Patent and Trademark Office or any corresponding foreign office or agency) or outstanding decree, order, judgment, settlement</w:t>
      </w:r>
    </w:p>
    <w:p>
      <w:pPr>
        <w:spacing w:after="0" w:line="1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20"/>
          </w:cols>
          <w:pgMar w:left="1000" w:top="690" w:right="479" w:bottom="1440" w:gutter="0" w:footer="0" w:header="0"/>
        </w:sectPr>
      </w:pPr>
    </w:p>
    <w:bookmarkStart w:id="454" w:name="page455"/>
    <w:bookmarkEnd w:id="454"/>
    <w:p>
      <w:pPr>
        <w:ind w:right="80"/>
        <w:spacing w:after="0" w:line="288" w:lineRule="auto"/>
        <w:rPr>
          <w:sz w:val="20"/>
          <w:szCs w:val="20"/>
          <w:color w:val="auto"/>
        </w:rPr>
      </w:pPr>
      <w:r>
        <w:rPr>
          <w:rFonts w:ascii="Arial" w:cs="Arial" w:eastAsia="Arial" w:hAnsi="Arial"/>
          <w:sz w:val="16"/>
          <w:szCs w:val="16"/>
          <w:color w:val="auto"/>
        </w:rPr>
        <w:t>agreement or stipulation that restricts in any material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Borrower has not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 To the best knowledge of Borrower, neither Borrower’s use of its Intellectual Property nor the production and sale of Borrower Products infringes the intellectual property or other rights of others.</w:t>
      </w:r>
    </w:p>
    <w:p>
      <w:pPr>
        <w:spacing w:after="0" w:line="165" w:lineRule="exact"/>
        <w:rPr>
          <w:sz w:val="20"/>
          <w:szCs w:val="20"/>
          <w:color w:val="auto"/>
        </w:rPr>
      </w:pPr>
    </w:p>
    <w:p>
      <w:pPr>
        <w:ind w:right="140" w:firstLine="645"/>
        <w:spacing w:after="0" w:line="274" w:lineRule="auto"/>
        <w:rPr>
          <w:sz w:val="20"/>
          <w:szCs w:val="20"/>
          <w:color w:val="auto"/>
        </w:rPr>
      </w:pPr>
      <w:r>
        <w:rPr>
          <w:rFonts w:ascii="Arial" w:cs="Arial" w:eastAsia="Arial" w:hAnsi="Arial"/>
          <w:sz w:val="17"/>
          <w:szCs w:val="17"/>
          <w:color w:val="auto"/>
        </w:rPr>
        <w:t>5.12 Financial Accounts. Exhibit D,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89" w:lineRule="exact"/>
        <w:rPr>
          <w:sz w:val="20"/>
          <w:szCs w:val="20"/>
          <w:color w:val="auto"/>
        </w:rPr>
      </w:pPr>
    </w:p>
    <w:p>
      <w:pPr>
        <w:ind w:right="280" w:firstLine="646"/>
        <w:spacing w:after="0" w:line="262" w:lineRule="auto"/>
        <w:rPr>
          <w:sz w:val="20"/>
          <w:szCs w:val="20"/>
          <w:color w:val="auto"/>
        </w:rPr>
      </w:pPr>
      <w:r>
        <w:rPr>
          <w:rFonts w:ascii="Arial" w:cs="Arial" w:eastAsia="Arial" w:hAnsi="Arial"/>
          <w:sz w:val="18"/>
          <w:szCs w:val="18"/>
          <w:color w:val="auto"/>
        </w:rPr>
        <w:t>5.13 Employee Loans. Except as described on Schedule 5.13, Borrower has no outstanding loans to any employee, officer or director of the Borrower nor has Borrower guaranteed the payment of any loan made to an employee, officer or director of the Borrower by a third party.</w:t>
      </w:r>
    </w:p>
    <w:p>
      <w:pPr>
        <w:spacing w:after="0" w:line="183" w:lineRule="exact"/>
        <w:rPr>
          <w:sz w:val="20"/>
          <w:szCs w:val="20"/>
          <w:color w:val="auto"/>
        </w:rPr>
      </w:pPr>
    </w:p>
    <w:p>
      <w:pPr>
        <w:ind w:right="240" w:firstLine="646"/>
        <w:spacing w:after="0" w:line="258" w:lineRule="auto"/>
        <w:rPr>
          <w:sz w:val="20"/>
          <w:szCs w:val="20"/>
          <w:color w:val="auto"/>
        </w:rPr>
      </w:pPr>
      <w:r>
        <w:rPr>
          <w:rFonts w:ascii="Arial" w:cs="Arial" w:eastAsia="Arial" w:hAnsi="Arial"/>
          <w:sz w:val="18"/>
          <w:szCs w:val="18"/>
          <w:color w:val="auto"/>
        </w:rPr>
        <w:t>5.14 Capitalization and Subsidiaries. Borrower’s capitalization as of the Closing Date is set forth on Schedule 5.14 annexed hereto. Borrower does not own any stock, partnership interest or other securities of any Person, except for Permitted Investments. Attached as Schedule 5.14, as may be updated by Borrower in a written notice provided after the Closing Date, is a true, correct and complete list of each Subsidiary.</w:t>
      </w:r>
    </w:p>
    <w:p>
      <w:pPr>
        <w:spacing w:after="0" w:line="196"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INSURANCE; INDEMNIFICATION</w:t>
      </w:r>
    </w:p>
    <w:p>
      <w:pPr>
        <w:spacing w:after="0" w:line="227" w:lineRule="exact"/>
        <w:rPr>
          <w:sz w:val="20"/>
          <w:szCs w:val="20"/>
          <w:color w:val="auto"/>
        </w:rPr>
      </w:pPr>
    </w:p>
    <w:p>
      <w:pPr>
        <w:ind w:firstLine="646"/>
        <w:spacing w:after="0" w:line="268" w:lineRule="auto"/>
        <w:rPr>
          <w:sz w:val="20"/>
          <w:szCs w:val="20"/>
          <w:color w:val="auto"/>
        </w:rPr>
      </w:pPr>
      <w:r>
        <w:rPr>
          <w:rFonts w:ascii="Arial" w:cs="Arial" w:eastAsia="Arial" w:hAnsi="Arial"/>
          <w:sz w:val="17"/>
          <w:szCs w:val="17"/>
          <w:color w:val="auto"/>
        </w:rPr>
        <w:t>6.1 Coverage. Borrower shall cause to be carried and maintained commercial general liability insurance, on an occurrence form, against risks and in such amounts customarily insured against in Borrower’s line of business; provided that such policies of insurance shall be provided to and reviewed and approved by Agent in its reasonable discretion. Such risks shall include the risks of bodily injury, including death, property damage, personal injury, advertising injury, and contractual liability per the terms of the indemnification agreement found in Section 6.3. So long as there are any Secured Obligations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Section 6.1, suffers or causes any reduction in coverage amounts from that in existence as of the Closing Date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w:t>
      </w:r>
    </w:p>
    <w:p>
      <w:pPr>
        <w:spacing w:after="0" w:line="18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00"/>
          </w:cols>
          <w:pgMar w:left="1000" w:top="690" w:right="499" w:bottom="1440" w:gutter="0" w:footer="0" w:header="0"/>
        </w:sectPr>
      </w:pPr>
    </w:p>
    <w:bookmarkStart w:id="455" w:name="page456"/>
    <w:bookmarkEnd w:id="455"/>
    <w:p>
      <w:pPr>
        <w:ind w:right="200"/>
        <w:spacing w:after="0" w:line="310" w:lineRule="auto"/>
        <w:rPr>
          <w:sz w:val="20"/>
          <w:szCs w:val="20"/>
          <w:color w:val="auto"/>
        </w:rPr>
      </w:pPr>
      <w:r>
        <w:rPr>
          <w:rFonts w:ascii="Arial" w:cs="Arial" w:eastAsia="Arial" w:hAnsi="Arial"/>
          <w:sz w:val="16"/>
          <w:szCs w:val="16"/>
          <w:color w:val="auto"/>
        </w:rPr>
        <w:t>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48" w:lineRule="exact"/>
        <w:rPr>
          <w:sz w:val="20"/>
          <w:szCs w:val="20"/>
          <w:color w:val="auto"/>
        </w:rPr>
      </w:pPr>
    </w:p>
    <w:p>
      <w:pPr>
        <w:ind w:firstLine="646"/>
        <w:spacing w:after="0" w:line="268" w:lineRule="auto"/>
        <w:rPr>
          <w:sz w:val="20"/>
          <w:szCs w:val="20"/>
          <w:color w:val="auto"/>
        </w:rPr>
      </w:pPr>
      <w:r>
        <w:rPr>
          <w:rFonts w:ascii="Arial" w:cs="Arial" w:eastAsia="Arial" w:hAnsi="Arial"/>
          <w:sz w:val="17"/>
          <w:szCs w:val="17"/>
          <w:color w:val="auto"/>
        </w:rPr>
        <w:t>6.2 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Upon written request of Agent, Borrower shall provide Agent with copies of each insurance policy. Upon entering or amending any insurance policy required hereunder, Borrower shall provide Agent with copies of such policies and shall promptly deliver to Agent updated insurance certificates with respect to such policies.</w:t>
      </w:r>
    </w:p>
    <w:p>
      <w:pPr>
        <w:spacing w:after="0" w:line="192" w:lineRule="exact"/>
        <w:rPr>
          <w:sz w:val="20"/>
          <w:szCs w:val="20"/>
          <w:color w:val="auto"/>
        </w:rPr>
      </w:pPr>
    </w:p>
    <w:p>
      <w:pPr>
        <w:ind w:right="60" w:firstLine="646"/>
        <w:spacing w:after="0" w:line="285" w:lineRule="auto"/>
        <w:rPr>
          <w:sz w:val="20"/>
          <w:szCs w:val="20"/>
          <w:color w:val="auto"/>
        </w:rPr>
      </w:pPr>
      <w:r>
        <w:rPr>
          <w:rFonts w:ascii="Arial" w:cs="Arial" w:eastAsia="Arial" w:hAnsi="Arial"/>
          <w:sz w:val="16"/>
          <w:szCs w:val="16"/>
          <w:color w:val="auto"/>
        </w:rPr>
        <w:t>6.3 Indemnity. Borrower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and documented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Notwithstanding anything contained herein to the contrary, in no event shall Borrower be required to indemnify any Indemnified Person for any Liabilities to the extent such Liabilities arise solely out of gross negligence or willful misconduct of any Indemnified Person.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w:t>
      </w:r>
    </w:p>
    <w:p>
      <w:pPr>
        <w:spacing w:after="0" w:line="16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COVENANTS OF BORROWER</w:t>
      </w:r>
    </w:p>
    <w:p>
      <w:pPr>
        <w:spacing w:after="0" w:line="308" w:lineRule="exact"/>
        <w:rPr>
          <w:sz w:val="20"/>
          <w:szCs w:val="20"/>
          <w:color w:val="auto"/>
        </w:rPr>
      </w:pPr>
    </w:p>
    <w:p>
      <w:pPr>
        <w:ind w:left="80"/>
        <w:spacing w:after="0"/>
        <w:rPr>
          <w:sz w:val="20"/>
          <w:szCs w:val="20"/>
          <w:color w:val="auto"/>
        </w:rPr>
      </w:pPr>
      <w:r>
        <w:rPr>
          <w:rFonts w:ascii="Arial" w:cs="Arial" w:eastAsia="Arial" w:hAnsi="Arial"/>
          <w:sz w:val="18"/>
          <w:szCs w:val="18"/>
          <w:color w:val="auto"/>
        </w:rPr>
        <w:t>Borrower agrees as follows:</w:t>
      </w:r>
    </w:p>
    <w:p>
      <w:pPr>
        <w:spacing w:after="0" w:line="200" w:lineRule="exact"/>
        <w:rPr>
          <w:sz w:val="20"/>
          <w:szCs w:val="20"/>
          <w:color w:val="auto"/>
        </w:rPr>
      </w:pP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22860</wp:posOffset>
            </wp:positionV>
            <wp:extent cx="71329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20"/>
          </w:cols>
          <w:pgMar w:left="1000" w:top="690" w:right="479" w:bottom="1440" w:gutter="0" w:footer="0" w:header="0"/>
        </w:sectPr>
      </w:pPr>
    </w:p>
    <w:bookmarkStart w:id="456" w:name="page457"/>
    <w:bookmarkEnd w:id="456"/>
    <w:p>
      <w:pPr>
        <w:ind w:left="640"/>
        <w:spacing w:after="0"/>
        <w:rPr>
          <w:sz w:val="20"/>
          <w:szCs w:val="20"/>
          <w:color w:val="auto"/>
        </w:rPr>
      </w:pPr>
      <w:r>
        <w:rPr>
          <w:rFonts w:ascii="Arial" w:cs="Arial" w:eastAsia="Arial" w:hAnsi="Arial"/>
          <w:sz w:val="18"/>
          <w:szCs w:val="18"/>
          <w:color w:val="auto"/>
        </w:rPr>
        <w:t>7.1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Financial Reports. Borrower shall furnish to Agent the financial statements and reports listed hereinafter (the “Financial</w:t>
      </w:r>
    </w:p>
    <w:p>
      <w:pPr>
        <w:spacing w:after="0" w:line="429" w:lineRule="exact"/>
        <w:rPr>
          <w:sz w:val="20"/>
          <w:szCs w:val="20"/>
          <w:color w:val="auto"/>
        </w:rPr>
      </w:pPr>
    </w:p>
    <w:p>
      <w:pPr>
        <w:sectPr>
          <w:pgSz w:w="11900" w:h="16838" w:orient="portrait"/>
          <w:cols w:equalWidth="0" w:num="2">
            <w:col w:w="980" w:space="520"/>
            <w:col w:w="8940"/>
          </w:cols>
          <w:pgMar w:left="1000" w:top="986" w:right="459" w:bottom="1440" w:gutter="0" w:footer="0" w:header="0"/>
        </w:sectPr>
      </w:pPr>
    </w:p>
    <w:p>
      <w:pPr>
        <w:spacing w:after="0" w:line="45" w:lineRule="exact"/>
        <w:rPr>
          <w:sz w:val="20"/>
          <w:szCs w:val="20"/>
          <w:color w:val="auto"/>
        </w:rPr>
      </w:pPr>
    </w:p>
    <w:p>
      <w:pPr>
        <w:ind w:left="80" w:firstLine="646"/>
        <w:spacing w:after="0" w:line="271" w:lineRule="auto"/>
        <w:tabs>
          <w:tab w:leader="none" w:pos="1642"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as soon as practicable (and in any event within thirty (30) days) after the end of each month, unaudited interim and year-to-date financial statements as of the end of such month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76" w:lineRule="exact"/>
        <w:rPr>
          <w:rFonts w:ascii="Arial" w:cs="Arial" w:eastAsia="Arial" w:hAnsi="Arial"/>
          <w:sz w:val="17"/>
          <w:szCs w:val="17"/>
          <w:color w:val="auto"/>
        </w:rPr>
      </w:pPr>
    </w:p>
    <w:p>
      <w:pPr>
        <w:ind w:left="80" w:right="40" w:firstLine="646"/>
        <w:spacing w:after="0" w:line="253" w:lineRule="auto"/>
        <w:tabs>
          <w:tab w:leader="none" w:pos="160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as soon as practicable (and in any event within forty-five (45) days) after the end of each calendar quarter, unaudited interim and year-to-date financial statements as of the end of such calendar quarter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 as well as the most recent capitalization table for Borrower;</w:t>
      </w:r>
    </w:p>
    <w:p>
      <w:pPr>
        <w:spacing w:after="0" w:line="207" w:lineRule="exact"/>
        <w:rPr>
          <w:rFonts w:ascii="Arial" w:cs="Arial" w:eastAsia="Arial" w:hAnsi="Arial"/>
          <w:sz w:val="18"/>
          <w:szCs w:val="18"/>
          <w:color w:val="auto"/>
        </w:rPr>
      </w:pPr>
    </w:p>
    <w:p>
      <w:pPr>
        <w:ind w:left="80" w:right="280" w:firstLine="646"/>
        <w:spacing w:after="0" w:line="254" w:lineRule="auto"/>
        <w:tabs>
          <w:tab w:leader="none" w:pos="164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as soon as practicable (and in any event within one hundred eighty (180) days (or, if Borrower becomes subject to reporting rules of the United States Securities and Exchange Commission, ninety (90) days) after the end of each fiscal year, unqualified audited financial statements as of the end of such year (prepared on a consolidated basis),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w:t>
      </w:r>
    </w:p>
    <w:p>
      <w:pPr>
        <w:spacing w:after="0" w:line="205" w:lineRule="exact"/>
        <w:rPr>
          <w:rFonts w:ascii="Arial" w:cs="Arial" w:eastAsia="Arial" w:hAnsi="Arial"/>
          <w:sz w:val="18"/>
          <w:szCs w:val="18"/>
          <w:color w:val="auto"/>
        </w:rPr>
      </w:pPr>
    </w:p>
    <w:p>
      <w:pPr>
        <w:ind w:left="1700" w:hanging="975"/>
        <w:spacing w:after="0"/>
        <w:tabs>
          <w:tab w:leader="none" w:pos="170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together with the financial statements delivered as required by Sections 7.1(a) through (c), a Compliance Certificate in</w:t>
      </w:r>
    </w:p>
    <w:p>
      <w:pPr>
        <w:spacing w:after="0" w:line="45"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the form of Exhibit E;</w:t>
      </w:r>
    </w:p>
    <w:p>
      <w:pPr>
        <w:spacing w:after="0" w:line="208" w:lineRule="exact"/>
        <w:rPr>
          <w:rFonts w:ascii="Arial" w:cs="Arial" w:eastAsia="Arial" w:hAnsi="Arial"/>
          <w:sz w:val="16"/>
          <w:szCs w:val="16"/>
          <w:color w:val="auto"/>
        </w:rPr>
      </w:pPr>
    </w:p>
    <w:p>
      <w:pPr>
        <w:ind w:left="1640" w:hanging="914"/>
        <w:spacing w:after="0"/>
        <w:tabs>
          <w:tab w:leader="none" w:pos="164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as soon as practicable (and in any event within 7 days) after the end of each month, a report showing agings of</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accounts receivable and accounts payable;</w:t>
      </w:r>
    </w:p>
    <w:p>
      <w:pPr>
        <w:spacing w:after="0" w:line="222" w:lineRule="exact"/>
        <w:rPr>
          <w:sz w:val="20"/>
          <w:szCs w:val="20"/>
          <w:color w:val="auto"/>
        </w:rPr>
      </w:pPr>
    </w:p>
    <w:p>
      <w:pPr>
        <w:ind w:left="80" w:right="80" w:firstLine="646"/>
        <w:spacing w:after="0" w:line="258" w:lineRule="auto"/>
        <w:tabs>
          <w:tab w:leader="none" w:pos="162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promptly after the sending or filing thereof, as the case may be, copies of any proxy statements, financial statements or reports that Borrower has made available to holders of its units and copies of any regular, periodic and special reports or registration statements that Borrower files with the United States Securities and Exchange Commission or any Governmental Authority that may be substituted therefor, or any national securities exchange;</w:t>
      </w:r>
    </w:p>
    <w:p>
      <w:pPr>
        <w:spacing w:after="0" w:line="199" w:lineRule="exact"/>
        <w:rPr>
          <w:rFonts w:ascii="Arial" w:cs="Arial" w:eastAsia="Arial" w:hAnsi="Arial"/>
          <w:sz w:val="18"/>
          <w:szCs w:val="18"/>
          <w:color w:val="auto"/>
        </w:rPr>
      </w:pPr>
    </w:p>
    <w:p>
      <w:pPr>
        <w:ind w:left="80" w:right="420" w:firstLine="646"/>
        <w:spacing w:after="0" w:line="275" w:lineRule="auto"/>
        <w:tabs>
          <w:tab w:leader="none" w:pos="174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promptly following execution thereof, copies of any material amendments or modifications to (i) the Commitment Agreement, (ii) the Operating Agreement and/or (iii) the Option Agreement;</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40"/>
          </w:cols>
          <w:pgMar w:left="1000" w:top="986" w:right="459" w:bottom="1440" w:gutter="0" w:footer="0" w:header="0"/>
          <w:type w:val="continuous"/>
        </w:sectPr>
      </w:pPr>
    </w:p>
    <w:bookmarkStart w:id="457" w:name="page458"/>
    <w:bookmarkEnd w:id="457"/>
    <w:p>
      <w:pPr>
        <w:ind w:left="160" w:right="660" w:firstLine="646"/>
        <w:spacing w:after="0" w:line="262" w:lineRule="auto"/>
        <w:tabs>
          <w:tab w:leader="none" w:pos="168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financial and business projections promptly following their approval by Borrower’s Board of Managers, and in any event, within thirty (30) days after to the end of Borrower’s fiscal year, as well as budgets, operating plans and other financial information reasonably requested by Agent;</w:t>
      </w:r>
    </w:p>
    <w:p>
      <w:pPr>
        <w:spacing w:after="0" w:line="196" w:lineRule="exact"/>
        <w:rPr>
          <w:rFonts w:ascii="Arial" w:cs="Arial" w:eastAsia="Arial" w:hAnsi="Arial"/>
          <w:sz w:val="18"/>
          <w:szCs w:val="18"/>
          <w:color w:val="auto"/>
        </w:rPr>
      </w:pPr>
    </w:p>
    <w:p>
      <w:pPr>
        <w:ind w:left="160" w:right="600" w:firstLine="646"/>
        <w:spacing w:after="0" w:line="275" w:lineRule="auto"/>
        <w:tabs>
          <w:tab w:leader="none" w:pos="173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 copy of Century’s, Borrower’s and their Subsidiaries’ annual 409A valuation report as soon as practicable (and in any event, within ten (10) days after such report becomes available); and</w:t>
      </w:r>
    </w:p>
    <w:p>
      <w:pPr>
        <w:spacing w:after="0" w:line="171" w:lineRule="exact"/>
        <w:rPr>
          <w:rFonts w:ascii="Arial" w:cs="Arial" w:eastAsia="Arial" w:hAnsi="Arial"/>
          <w:sz w:val="18"/>
          <w:szCs w:val="18"/>
          <w:color w:val="auto"/>
        </w:rPr>
      </w:pPr>
    </w:p>
    <w:p>
      <w:pPr>
        <w:ind w:left="160" w:right="100" w:firstLine="646"/>
        <w:spacing w:after="0" w:line="257" w:lineRule="auto"/>
        <w:tabs>
          <w:tab w:leader="none" w:pos="173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Immediate notice if Borrower or any Subsidiary has knowledge that Borrower, or any Subsidiary or Affiliate of Borrower, is listed on the OFAC Lists or (a) is convicted on,</w:t>
      </w:r>
    </w:p>
    <w:p>
      <w:pPr>
        <w:spacing w:after="0" w:line="2" w:lineRule="exact"/>
        <w:rPr>
          <w:sz w:val="20"/>
          <w:szCs w:val="20"/>
          <w:color w:val="auto"/>
        </w:rPr>
      </w:pPr>
    </w:p>
    <w:p>
      <w:pPr>
        <w:ind w:left="160" w:right="860" w:firstLine="1"/>
        <w:spacing w:after="0" w:line="259" w:lineRule="auto"/>
        <w:tabs>
          <w:tab w:leader="none" w:pos="41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 involving money laundering or predicate crimes to money laundering.</w:t>
      </w:r>
    </w:p>
    <w:p>
      <w:pPr>
        <w:spacing w:after="0" w:line="19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Borrower shall not make any change in its (a) accounting policies or reporting practices, except as required by GAAP or (b) fiscal years or fiscal quarters. The fiscal year of Borrower shall end on December 31.</w:t>
      </w:r>
    </w:p>
    <w:p>
      <w:pPr>
        <w:spacing w:after="0" w:line="17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The executed Compliance Certificate, and all Financial Statements required to be delivered pursuant to clauses (a), (b), (c) and (d) shall be sent via e-mail to </w:t>
      </w:r>
      <w:r>
        <w:rPr>
          <w:rFonts w:ascii="Arial" w:cs="Arial" w:eastAsia="Arial" w:hAnsi="Arial"/>
          <w:sz w:val="18"/>
          <w:szCs w:val="18"/>
          <w:u w:val="single" w:color="auto"/>
          <w:color w:val="auto"/>
        </w:rPr>
        <w:t>financialstatements@htgc.com</w:t>
      </w:r>
      <w:r>
        <w:rPr>
          <w:rFonts w:ascii="Arial" w:cs="Arial" w:eastAsia="Arial" w:hAnsi="Arial"/>
          <w:sz w:val="18"/>
          <w:szCs w:val="18"/>
          <w:color w:val="auto"/>
        </w:rPr>
        <w:t xml:space="preserve"> with a copy to </w:t>
      </w:r>
      <w:r>
        <w:rPr>
          <w:rFonts w:ascii="Arial" w:cs="Arial" w:eastAsia="Arial" w:hAnsi="Arial"/>
          <w:sz w:val="18"/>
          <w:szCs w:val="18"/>
          <w:u w:val="single" w:color="auto"/>
          <w:color w:val="auto"/>
        </w:rPr>
        <w:t>legal@htgc.com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bjadot@htgc.com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mdutra@htgc.com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ksegien@htgc.com</w:t>
      </w:r>
      <w:r>
        <w:rPr>
          <w:rFonts w:ascii="Arial" w:cs="Arial" w:eastAsia="Arial" w:hAnsi="Arial"/>
          <w:sz w:val="18"/>
          <w:szCs w:val="18"/>
          <w:color w:val="auto"/>
        </w:rPr>
        <w:t xml:space="preserve"> provided, that if e- mail is not available or sending such Financial Statements via e-mail is not possible, they shall be faxed to Agent at: (650) 473-9194, attention Account Manager: Century Therapeutics, LLC.</w:t>
      </w:r>
    </w:p>
    <w:p>
      <w:pPr>
        <w:spacing w:after="0" w:line="7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emails a link thereto to Agent; provided that Borrower shall directly provide Agent all Financial Statements required to be delivered pursuant to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hereunder.</w:t>
      </w:r>
    </w:p>
    <w:p>
      <w:pPr>
        <w:spacing w:after="0" w:line="79" w:lineRule="exact"/>
        <w:rPr>
          <w:sz w:val="20"/>
          <w:szCs w:val="20"/>
          <w:color w:val="auto"/>
        </w:rPr>
      </w:pPr>
    </w:p>
    <w:p>
      <w:pPr>
        <w:ind w:left="80" w:right="160" w:firstLine="646"/>
        <w:spacing w:after="0" w:line="283" w:lineRule="auto"/>
        <w:rPr>
          <w:sz w:val="20"/>
          <w:szCs w:val="20"/>
          <w:color w:val="auto"/>
        </w:rPr>
      </w:pPr>
      <w:r>
        <w:rPr>
          <w:rFonts w:ascii="Arial" w:cs="Arial" w:eastAsia="Arial" w:hAnsi="Arial"/>
          <w:sz w:val="16"/>
          <w:szCs w:val="16"/>
          <w:color w:val="auto"/>
        </w:rPr>
        <w:t xml:space="preserve">7.2 Management Rights. Borrower shall permit any representative that Agent or the Lenders authorizes, including their attorneys and accountants, to inspect the Collateral and examine and make copies and abstracts of the books of account and records of Borrower at reasonable times and upon reasonable notice during normal business hours;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w:t>
      </w:r>
    </w:p>
    <w:p>
      <w:pPr>
        <w:spacing w:after="0" w:line="1" w:lineRule="exact"/>
        <w:rPr>
          <w:sz w:val="20"/>
          <w:szCs w:val="20"/>
          <w:color w:val="auto"/>
        </w:rPr>
      </w:pPr>
    </w:p>
    <w:p>
      <w:pPr>
        <w:jc w:val="both"/>
        <w:ind w:left="80" w:right="400"/>
        <w:spacing w:after="0" w:line="254" w:lineRule="auto"/>
        <w:rPr>
          <w:sz w:val="20"/>
          <w:szCs w:val="20"/>
          <w:color w:val="auto"/>
        </w:rPr>
      </w:pPr>
      <w:r>
        <w:rPr>
          <w:rFonts w:ascii="Arial" w:cs="Arial" w:eastAsia="Arial" w:hAnsi="Arial"/>
          <w:sz w:val="18"/>
          <w:szCs w:val="18"/>
          <w:color w:val="auto"/>
        </w:rPr>
        <w:t>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203" w:lineRule="exact"/>
        <w:rPr>
          <w:sz w:val="20"/>
          <w:szCs w:val="20"/>
          <w:color w:val="auto"/>
        </w:rPr>
      </w:pPr>
    </w:p>
    <w:p>
      <w:pPr>
        <w:ind w:left="80" w:right="380" w:firstLine="646"/>
        <w:spacing w:after="0" w:line="258" w:lineRule="auto"/>
        <w:rPr>
          <w:sz w:val="20"/>
          <w:szCs w:val="20"/>
          <w:color w:val="auto"/>
        </w:rPr>
      </w:pPr>
      <w:r>
        <w:rPr>
          <w:rFonts w:ascii="Arial" w:cs="Arial" w:eastAsia="Arial" w:hAnsi="Arial"/>
          <w:sz w:val="18"/>
          <w:szCs w:val="18"/>
          <w:color w:val="auto"/>
        </w:rPr>
        <w:t>7.3 Further Assurances. Borrower shall from time to time execute, deliver and file, alone or with Agent, any financing statements, security agreements, collateral assignments, notices, control agreements, promissory notes or other documents to perfect, give the highest priority to Agent’s Lien on the Collateral or otherwise evidence Agent’s rights herein. Borrower shall from time to time procure any instruments or documents as may be reasonably requested by</w:t>
      </w:r>
    </w:p>
    <w:p>
      <w:pPr>
        <w:spacing w:after="0" w:line="18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14605</wp:posOffset>
            </wp:positionV>
            <wp:extent cx="71329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600"/>
          </w:cols>
          <w:pgMar w:left="920" w:top="771" w:right="379" w:bottom="1440" w:gutter="0" w:footer="0" w:header="0"/>
        </w:sectPr>
      </w:pPr>
    </w:p>
    <w:bookmarkStart w:id="458" w:name="page459"/>
    <w:bookmarkEnd w:id="458"/>
    <w:p>
      <w:pPr>
        <w:ind w:right="80"/>
        <w:spacing w:after="0" w:line="253" w:lineRule="auto"/>
        <w:rPr>
          <w:sz w:val="20"/>
          <w:szCs w:val="20"/>
          <w:color w:val="auto"/>
        </w:rPr>
      </w:pPr>
      <w:r>
        <w:rPr>
          <w:rFonts w:ascii="Arial" w:cs="Arial" w:eastAsia="Arial" w:hAnsi="Arial"/>
          <w:sz w:val="18"/>
          <w:szCs w:val="18"/>
          <w:color w:val="auto"/>
        </w:rPr>
        <w:t>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spacing w:after="0" w:line="195" w:lineRule="exact"/>
        <w:rPr>
          <w:sz w:val="20"/>
          <w:szCs w:val="20"/>
          <w:color w:val="auto"/>
        </w:rPr>
      </w:pPr>
    </w:p>
    <w:p>
      <w:pPr>
        <w:ind w:firstLine="646"/>
        <w:spacing w:after="0" w:line="289" w:lineRule="auto"/>
        <w:rPr>
          <w:sz w:val="20"/>
          <w:szCs w:val="20"/>
          <w:color w:val="auto"/>
        </w:rPr>
      </w:pPr>
      <w:r>
        <w:rPr>
          <w:rFonts w:ascii="Arial" w:cs="Arial" w:eastAsia="Arial" w:hAnsi="Arial"/>
          <w:sz w:val="16"/>
          <w:szCs w:val="16"/>
          <w:color w:val="auto"/>
        </w:rPr>
        <w:t>7.4 Indebtedness.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units in connection with such conversion, (b) purchase money Indebtedness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(d) payments made on Subordinated Indebtedness made in accordance with the terms of the relevant Subordination Agreement, (e) scheduled payments on Permitted Indebtedness in accordance with the terms thereof or (f) as otherwise permitted hereunder or approved in writing by Agent.</w:t>
      </w:r>
    </w:p>
    <w:p>
      <w:pPr>
        <w:spacing w:after="0" w:line="178" w:lineRule="exact"/>
        <w:rPr>
          <w:sz w:val="20"/>
          <w:szCs w:val="20"/>
          <w:color w:val="auto"/>
        </w:rPr>
      </w:pPr>
    </w:p>
    <w:p>
      <w:pPr>
        <w:ind w:right="20" w:firstLine="646"/>
        <w:spacing w:after="0" w:line="285" w:lineRule="auto"/>
        <w:rPr>
          <w:sz w:val="20"/>
          <w:szCs w:val="20"/>
          <w:color w:val="auto"/>
        </w:rPr>
      </w:pPr>
      <w:r>
        <w:rPr>
          <w:rFonts w:ascii="Arial" w:cs="Arial" w:eastAsia="Arial" w:hAnsi="Arial"/>
          <w:sz w:val="16"/>
          <w:szCs w:val="16"/>
          <w:color w:val="auto"/>
        </w:rPr>
        <w:t>7.5 Collateral. Borrower shall at all times keep the Collateral, the Intellectual Property and all other property and assets used in Borrower’s business or in which Borrower now or hereafter holds any interest free and clear from any legal process or Liens whatsoever (except for Permitted Liens), and shall give Agent prompt written notice of any legal process that is reasonably likely to result in damages, expenses or liabilities in excess of $250,000, affecting the Collateral, the Intellectual Property, such other property and assets, or any Liens thereon, provided however, that the Collateral and such other property and assets may be subject to Permitted Liens except that there shall be no Liens whatsoever on Intellectual Property. Borrower shall not agree with any Person other than Agent or the Lenders not to encumber its property.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provided however, that there shall be no Liens whatsoever on Intellectual Property), and shall give Agent prompt written notice of any legal process affecting such Subsidiary’s assets.</w:t>
      </w:r>
    </w:p>
    <w:p>
      <w:pPr>
        <w:spacing w:after="0" w:line="167" w:lineRule="exact"/>
        <w:rPr>
          <w:sz w:val="20"/>
          <w:szCs w:val="20"/>
          <w:color w:val="auto"/>
        </w:rPr>
      </w:pPr>
    </w:p>
    <w:p>
      <w:pPr>
        <w:ind w:right="500" w:firstLine="646"/>
        <w:spacing w:after="0" w:line="275" w:lineRule="auto"/>
        <w:rPr>
          <w:sz w:val="20"/>
          <w:szCs w:val="20"/>
          <w:color w:val="auto"/>
        </w:rPr>
      </w:pPr>
      <w:r>
        <w:rPr>
          <w:rFonts w:ascii="Arial" w:cs="Arial" w:eastAsia="Arial" w:hAnsi="Arial"/>
          <w:sz w:val="18"/>
          <w:szCs w:val="18"/>
          <w:color w:val="auto"/>
        </w:rPr>
        <w:t>7.6 Investments. Borrower shall not directly or indirectly acquire or own, or make any Investment in or to any Person, or permit any of its Subsidiaries to do so, other than Permitted Investments.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22860</wp:posOffset>
            </wp:positionV>
            <wp:extent cx="71329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00"/>
          </w:cols>
          <w:pgMar w:left="1000" w:top="690" w:right="499" w:bottom="1440" w:gutter="0" w:footer="0" w:header="0"/>
        </w:sectPr>
      </w:pPr>
    </w:p>
    <w:bookmarkStart w:id="459" w:name="page460"/>
    <w:bookmarkEnd w:id="459"/>
    <w:p>
      <w:pPr>
        <w:ind w:firstLine="646"/>
        <w:spacing w:after="0" w:line="268" w:lineRule="auto"/>
        <w:rPr>
          <w:sz w:val="20"/>
          <w:szCs w:val="20"/>
          <w:color w:val="auto"/>
        </w:rPr>
      </w:pPr>
      <w:r>
        <w:rPr>
          <w:rFonts w:ascii="Arial" w:cs="Arial" w:eastAsia="Arial" w:hAnsi="Arial"/>
          <w:sz w:val="17"/>
          <w:szCs w:val="17"/>
          <w:color w:val="auto"/>
        </w:rPr>
        <w:t>7.7 Distributions. Borrower shall not, and shall not allow any Subsidiary to, (a) repurchase or redeem any class of stock or other Equity Interest other than pursuant to employee, director, manager or consultant repurchase plans or other similar agreements, provided, however, in each case the repurchase or redemption price does not exceed the original consideration paid for such stock or Equity Interest, or (b) declare or pay any cash dividend or make any other cash distribution on any class of stock or other Equity Interest, except that (x) a Subsidiary may pay dividends or make other distributions to Borrower or any Subsidiary of Borrower and (y) Borrower may make distributions to its members in accordance with Section 7.03 of the Operating Agreement on account of such members’ tax liability (including any required estimated tax payments) resulting from such members’ membership interests in Borrower, in accordance with the terms of the Operating Agreement, or (c) lend money to any employees, officers, managers or directors or guarantee the payment of any such loans granted by a third party in excess of $100,000 in the aggregate or (d) waive, release or forgive any Indebtedness owed by any employees, officers, managers or directors in excess of $100,000 in the aggregate.</w:t>
      </w:r>
    </w:p>
    <w:p>
      <w:pPr>
        <w:spacing w:after="0" w:line="198" w:lineRule="exact"/>
        <w:rPr>
          <w:sz w:val="20"/>
          <w:szCs w:val="20"/>
          <w:color w:val="auto"/>
        </w:rPr>
      </w:pPr>
    </w:p>
    <w:p>
      <w:pPr>
        <w:ind w:left="640"/>
        <w:spacing w:after="0"/>
        <w:tabs>
          <w:tab w:leader="none" w:pos="14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Transfers. Except for Permitted Transfers, Borrower shall not, and shall not allow any Subsidiary to, voluntarily or</w:t>
      </w:r>
    </w:p>
    <w:p>
      <w:pPr>
        <w:spacing w:after="0" w:line="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involuntarily transfer, sell, lease, license, lend or in any other manner convey any equitable, beneficial or legal interest in any material portion of its assets.</w:t>
      </w:r>
    </w:p>
    <w:p>
      <w:pPr>
        <w:spacing w:after="0" w:line="184" w:lineRule="exact"/>
        <w:rPr>
          <w:sz w:val="20"/>
          <w:szCs w:val="20"/>
          <w:color w:val="auto"/>
        </w:rPr>
      </w:pPr>
    </w:p>
    <w:p>
      <w:pPr>
        <w:ind w:right="180" w:firstLine="646"/>
        <w:spacing w:after="0" w:line="262" w:lineRule="auto"/>
        <w:rPr>
          <w:sz w:val="20"/>
          <w:szCs w:val="20"/>
          <w:color w:val="auto"/>
        </w:rPr>
      </w:pPr>
      <w:r>
        <w:rPr>
          <w:rFonts w:ascii="Arial" w:cs="Arial" w:eastAsia="Arial" w:hAnsi="Arial"/>
          <w:sz w:val="18"/>
          <w:szCs w:val="18"/>
          <w:color w:val="auto"/>
        </w:rPr>
        <w:t>7.9 Mergers and Consolidations.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w:t>
      </w:r>
    </w:p>
    <w:p>
      <w:pPr>
        <w:spacing w:after="0" w:line="197" w:lineRule="exact"/>
        <w:rPr>
          <w:sz w:val="20"/>
          <w:szCs w:val="20"/>
          <w:color w:val="auto"/>
        </w:rPr>
      </w:pPr>
    </w:p>
    <w:p>
      <w:pPr>
        <w:ind w:right="20" w:firstLine="646"/>
        <w:spacing w:after="0" w:line="253" w:lineRule="auto"/>
        <w:rPr>
          <w:sz w:val="20"/>
          <w:szCs w:val="20"/>
          <w:color w:val="auto"/>
        </w:rPr>
      </w:pPr>
      <w:r>
        <w:rPr>
          <w:rFonts w:ascii="Arial" w:cs="Arial" w:eastAsia="Arial" w:hAnsi="Arial"/>
          <w:sz w:val="18"/>
          <w:szCs w:val="18"/>
          <w:color w:val="auto"/>
        </w:rPr>
        <w:t>7.10 Taxes. Borrower shall, and shall cause each of its Subsidiaries to, pay when due (subject to any properly obtained extensions)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208" w:lineRule="exact"/>
        <w:rPr>
          <w:sz w:val="20"/>
          <w:szCs w:val="20"/>
          <w:color w:val="auto"/>
        </w:rPr>
      </w:pPr>
    </w:p>
    <w:p>
      <w:pPr>
        <w:ind w:right="120" w:firstLine="646"/>
        <w:spacing w:after="0" w:line="284" w:lineRule="auto"/>
        <w:rPr>
          <w:sz w:val="20"/>
          <w:szCs w:val="20"/>
          <w:color w:val="auto"/>
        </w:rPr>
      </w:pPr>
      <w:r>
        <w:rPr>
          <w:rFonts w:ascii="Arial" w:cs="Arial" w:eastAsia="Arial" w:hAnsi="Arial"/>
          <w:sz w:val="16"/>
          <w:szCs w:val="16"/>
          <w:color w:val="auto"/>
        </w:rPr>
        <w:t>7.11 Organizational Changes. Neither Borrower nor any Subsidiary shall change its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except with respect to Century Canada, shall be within the continental United States of America. Neither Borrower nor any Subsidiary shall relocate any item of Collateral (other than (x) sales of Inventory in the ordinary course of business,</w:t>
      </w:r>
    </w:p>
    <w:p>
      <w:pPr>
        <w:spacing w:after="0" w:line="2" w:lineRule="exact"/>
        <w:rPr>
          <w:sz w:val="20"/>
          <w:szCs w:val="20"/>
          <w:color w:val="auto"/>
        </w:rPr>
      </w:pPr>
    </w:p>
    <w:p>
      <w:pPr>
        <w:ind w:right="100"/>
        <w:spacing w:after="0" w:line="272" w:lineRule="auto"/>
        <w:tabs>
          <w:tab w:leader="none" w:pos="254" w:val="left"/>
        </w:tabs>
        <w:numPr>
          <w:ilvl w:val="0"/>
          <w:numId w:val="352"/>
        </w:numPr>
        <w:rPr>
          <w:rFonts w:ascii="Arial" w:cs="Arial" w:eastAsia="Arial" w:hAnsi="Arial"/>
          <w:sz w:val="17"/>
          <w:szCs w:val="17"/>
          <w:color w:val="auto"/>
        </w:rPr>
      </w:pPr>
      <w:r>
        <w:rPr>
          <w:rFonts w:ascii="Arial" w:cs="Arial" w:eastAsia="Arial" w:hAnsi="Arial"/>
          <w:sz w:val="17"/>
          <w:szCs w:val="17"/>
          <w:color w:val="auto"/>
        </w:rPr>
        <w:t>relocations of Equipment having an aggregate value of up to $150,000 in any fiscal year, and (z) relocations of Collateral from a location described on Exhibit B to another location described on Exhibit B) unless (i) it has provided prompt written notice to Agent, (ii) such relocation is within the continental United States of America (except with respect to Century Canada) and, (iii) if such relocation is to a third party bailee, it has delivered a bailee agreement in form and substance reasonably acceptable to Agent.</w:t>
      </w:r>
    </w:p>
    <w:p>
      <w:pPr>
        <w:spacing w:after="0" w:line="17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20"/>
          </w:cols>
          <w:pgMar w:left="1000" w:top="771" w:right="479" w:bottom="1440" w:gutter="0" w:footer="0" w:header="0"/>
        </w:sectPr>
      </w:pPr>
    </w:p>
    <w:bookmarkStart w:id="460" w:name="page461"/>
    <w:bookmarkEnd w:id="460"/>
    <w:p>
      <w:pPr>
        <w:ind w:left="80" w:right="400" w:firstLine="646"/>
        <w:spacing w:after="0" w:line="262" w:lineRule="auto"/>
        <w:rPr>
          <w:sz w:val="20"/>
          <w:szCs w:val="20"/>
          <w:color w:val="auto"/>
        </w:rPr>
      </w:pPr>
      <w:r>
        <w:rPr>
          <w:rFonts w:ascii="Arial" w:cs="Arial" w:eastAsia="Arial" w:hAnsi="Arial"/>
          <w:sz w:val="18"/>
          <w:szCs w:val="18"/>
          <w:color w:val="auto"/>
        </w:rPr>
        <w:t>7.12 Deposit Accounts. Neither Borrower nor any Subsidiary shall maintain any Deposit Accounts, or accounts holding Investment Property, except with respect to which Agent has an Account Control Agreement; provided that no Account Control Agreement shall be required for any Excluded Account.</w:t>
      </w:r>
    </w:p>
    <w:p>
      <w:pPr>
        <w:spacing w:after="0" w:line="197" w:lineRule="exact"/>
        <w:rPr>
          <w:sz w:val="20"/>
          <w:szCs w:val="20"/>
          <w:color w:val="auto"/>
        </w:rPr>
      </w:pPr>
    </w:p>
    <w:p>
      <w:pPr>
        <w:jc w:val="both"/>
        <w:ind w:left="80" w:right="120" w:firstLine="646"/>
        <w:spacing w:after="0" w:line="340" w:lineRule="auto"/>
        <w:rPr>
          <w:sz w:val="20"/>
          <w:szCs w:val="20"/>
          <w:color w:val="auto"/>
        </w:rPr>
      </w:pPr>
      <w:r>
        <w:rPr>
          <w:rFonts w:ascii="Arial" w:cs="Arial" w:eastAsia="Arial" w:hAnsi="Arial"/>
          <w:sz w:val="16"/>
          <w:szCs w:val="16"/>
          <w:color w:val="auto"/>
        </w:rPr>
        <w:t>7.13 Borrower shall notify Agent of each Subsidiary formed subsequent to the Closing Date and, within 15 days of formation (or such later date as Agent may agree in its sole discretion), shall cause any such Subsidiary to execute and deliver to Agent a Joinder Agreement.</w:t>
      </w:r>
    </w:p>
    <w:p>
      <w:pPr>
        <w:spacing w:after="0" w:line="124" w:lineRule="exact"/>
        <w:rPr>
          <w:sz w:val="20"/>
          <w:szCs w:val="20"/>
          <w:color w:val="auto"/>
        </w:rPr>
      </w:pPr>
    </w:p>
    <w:p>
      <w:pPr>
        <w:jc w:val="both"/>
        <w:ind w:left="80" w:right="120" w:firstLine="646"/>
        <w:spacing w:after="0" w:line="340" w:lineRule="auto"/>
        <w:rPr>
          <w:sz w:val="20"/>
          <w:szCs w:val="20"/>
          <w:color w:val="auto"/>
        </w:rPr>
      </w:pPr>
      <w:r>
        <w:rPr>
          <w:rFonts w:ascii="Arial" w:cs="Arial" w:eastAsia="Arial" w:hAnsi="Arial"/>
          <w:sz w:val="16"/>
          <w:szCs w:val="16"/>
          <w:color w:val="auto"/>
        </w:rPr>
        <w:t>7.14 Century Canada. Borrower shall not cause or permit Cash or other assets held by Century Canada to exceed $500,000 in the aggregate at any time. Borrower shall not cause or permit Century Canada to incur any Indebtedness other than the Empirica Promissory Note.</w:t>
      </w:r>
    </w:p>
    <w:p>
      <w:pPr>
        <w:spacing w:after="0" w:line="138" w:lineRule="exact"/>
        <w:rPr>
          <w:sz w:val="20"/>
          <w:szCs w:val="20"/>
          <w:color w:val="auto"/>
        </w:rPr>
      </w:pPr>
    </w:p>
    <w:p>
      <w:pPr>
        <w:ind w:left="80" w:right="340" w:firstLine="646"/>
        <w:spacing w:after="0" w:line="275" w:lineRule="auto"/>
        <w:rPr>
          <w:sz w:val="20"/>
          <w:szCs w:val="20"/>
          <w:color w:val="auto"/>
        </w:rPr>
      </w:pPr>
      <w:r>
        <w:rPr>
          <w:rFonts w:ascii="Arial" w:cs="Arial" w:eastAsia="Arial" w:hAnsi="Arial"/>
          <w:sz w:val="18"/>
          <w:szCs w:val="18"/>
          <w:color w:val="auto"/>
        </w:rPr>
        <w:t>7.15 Notification of Event of Default. Borrower shall notify Agent promptly, any in any event within three (3) Business Days, of the occurrence of any Event of Default.</w:t>
      </w:r>
    </w:p>
    <w:p>
      <w:pPr>
        <w:spacing w:after="0" w:line="185"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color w:val="auto"/>
        </w:rPr>
        <w:t>[RESERVED]</w:t>
      </w:r>
    </w:p>
    <w:p>
      <w:pPr>
        <w:spacing w:after="0" w:line="223" w:lineRule="exact"/>
        <w:rPr>
          <w:sz w:val="20"/>
          <w:szCs w:val="20"/>
          <w:color w:val="auto"/>
        </w:rPr>
      </w:pPr>
    </w:p>
    <w:p>
      <w:pPr>
        <w:jc w:val="both"/>
        <w:ind w:left="80" w:right="400" w:firstLine="645"/>
        <w:spacing w:after="0" w:line="285" w:lineRule="auto"/>
        <w:rPr>
          <w:sz w:val="20"/>
          <w:szCs w:val="20"/>
          <w:color w:val="auto"/>
        </w:rPr>
      </w:pPr>
      <w:r>
        <w:rPr>
          <w:rFonts w:ascii="Arial" w:cs="Arial" w:eastAsia="Arial" w:hAnsi="Arial"/>
          <w:sz w:val="17"/>
          <w:szCs w:val="17"/>
          <w:color w:val="auto"/>
        </w:rPr>
        <w:t>7.17 Use of Proceeds. Borrower agrees that the proceeds of the Loans shall be used solely to pay related fees and expenses in connection with this Agreement and for working capital and general corporate purposes, including to fund any Permitted Investments. The proceeds of the Loans Credit will not be used in violation of Anti-Corruption Laws or applicable Sanctions.</w:t>
      </w:r>
    </w:p>
    <w:p>
      <w:pPr>
        <w:spacing w:after="0" w:line="178" w:lineRule="exact"/>
        <w:rPr>
          <w:sz w:val="20"/>
          <w:szCs w:val="20"/>
          <w:color w:val="auto"/>
        </w:rPr>
      </w:pPr>
    </w:p>
    <w:p>
      <w:pPr>
        <w:ind w:left="720"/>
        <w:spacing w:after="0"/>
        <w:tabs>
          <w:tab w:leader="none" w:pos="136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6"/>
          <w:szCs w:val="16"/>
          <w:color w:val="auto"/>
        </w:rPr>
        <w:t>[RESERVED].</w:t>
      </w:r>
    </w:p>
    <w:p>
      <w:pPr>
        <w:spacing w:after="0" w:line="237" w:lineRule="exact"/>
        <w:rPr>
          <w:sz w:val="20"/>
          <w:szCs w:val="20"/>
          <w:color w:val="auto"/>
        </w:rPr>
      </w:pPr>
    </w:p>
    <w:p>
      <w:pPr>
        <w:ind w:left="720"/>
        <w:spacing w:after="0"/>
        <w:tabs>
          <w:tab w:leader="none" w:pos="1360" w:val="left"/>
        </w:tabs>
        <w:rPr>
          <w:sz w:val="20"/>
          <w:szCs w:val="20"/>
          <w:color w:val="auto"/>
        </w:rPr>
      </w:pPr>
      <w:r>
        <w:rPr>
          <w:rFonts w:ascii="Arial" w:cs="Arial" w:eastAsia="Arial" w:hAnsi="Arial"/>
          <w:sz w:val="18"/>
          <w:szCs w:val="18"/>
          <w:color w:val="auto"/>
        </w:rPr>
        <w:t>7.19</w:t>
      </w:r>
      <w:r>
        <w:rPr>
          <w:sz w:val="20"/>
          <w:szCs w:val="20"/>
          <w:color w:val="auto"/>
        </w:rPr>
        <w:tab/>
      </w:r>
      <w:r>
        <w:rPr>
          <w:rFonts w:ascii="Arial" w:cs="Arial" w:eastAsia="Arial" w:hAnsi="Arial"/>
          <w:sz w:val="16"/>
          <w:szCs w:val="16"/>
          <w:color w:val="auto"/>
        </w:rPr>
        <w:t>Compliance with Laws.</w:t>
      </w:r>
    </w:p>
    <w:p>
      <w:pPr>
        <w:spacing w:after="0" w:line="223" w:lineRule="exact"/>
        <w:rPr>
          <w:sz w:val="20"/>
          <w:szCs w:val="20"/>
          <w:color w:val="auto"/>
        </w:rPr>
      </w:pPr>
    </w:p>
    <w:p>
      <w:pPr>
        <w:ind w:left="80" w:right="180" w:firstLine="1291"/>
        <w:spacing w:after="0" w:line="278" w:lineRule="auto"/>
        <w:rPr>
          <w:sz w:val="20"/>
          <w:szCs w:val="20"/>
          <w:color w:val="auto"/>
        </w:rPr>
      </w:pPr>
      <w:r>
        <w:rPr>
          <w:rFonts w:ascii="Arial" w:cs="Arial" w:eastAsia="Arial" w:hAnsi="Arial"/>
          <w:sz w:val="17"/>
          <w:szCs w:val="17"/>
          <w:color w:val="auto"/>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w:t>
      </w:r>
    </w:p>
    <w:p>
      <w:pPr>
        <w:spacing w:after="0" w:line="170" w:lineRule="exact"/>
        <w:rPr>
          <w:sz w:val="20"/>
          <w:szCs w:val="20"/>
          <w:color w:val="auto"/>
        </w:rPr>
      </w:pPr>
    </w:p>
    <w:p>
      <w:pPr>
        <w:ind w:left="80" w:firstLine="1291"/>
        <w:spacing w:after="0" w:line="289" w:lineRule="auto"/>
        <w:rPr>
          <w:sz w:val="20"/>
          <w:szCs w:val="20"/>
          <w:color w:val="auto"/>
        </w:rPr>
      </w:pPr>
      <w:r>
        <w:rPr>
          <w:rFonts w:ascii="Arial" w:cs="Arial" w:eastAsia="Arial" w:hAnsi="Arial"/>
          <w:sz w:val="16"/>
          <w:szCs w:val="16"/>
          <w:color w:val="auto"/>
        </w:rPr>
        <w:t>Neither Borrower nor any of its Subsidiaries shall, nor shall Borrower or any of its Subsidiaries permit any controlled Affiliate to, directly or indirectly, knowingly enter into any documents, instruments, agreements or contracts with any Person listed on the OFAC Lists.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78" w:lineRule="exact"/>
        <w:rPr>
          <w:sz w:val="20"/>
          <w:szCs w:val="20"/>
          <w:color w:val="auto"/>
        </w:rPr>
      </w:pPr>
    </w:p>
    <w:p>
      <w:pPr>
        <w:ind w:right="300" w:firstLine="1292"/>
        <w:spacing w:after="0" w:line="262" w:lineRule="auto"/>
        <w:rPr>
          <w:sz w:val="20"/>
          <w:szCs w:val="20"/>
          <w:color w:val="auto"/>
        </w:rPr>
      </w:pPr>
      <w:r>
        <w:rPr>
          <w:rFonts w:ascii="Arial" w:cs="Arial" w:eastAsia="Arial" w:hAnsi="Arial"/>
          <w:sz w:val="18"/>
          <w:szCs w:val="18"/>
          <w:color w:val="auto"/>
        </w:rPr>
        <w:t>Borrower will, within 90 days of the Closing Date, implement and at all times thereafter maintain in effect policies and procedures designed to ensure compliance by the Borrower, its Subsidiaries and their respective directors, officers, employees and agents with Anti- Corruption Laws and applicable Sanctions, and Borrower, its Subsidiaries and their respective</w:t>
      </w:r>
    </w:p>
    <w:p>
      <w:pPr>
        <w:spacing w:after="0" w:line="18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14605</wp:posOffset>
            </wp:positionV>
            <wp:extent cx="71329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00"/>
          </w:cols>
          <w:pgMar w:left="920" w:top="771" w:right="479" w:bottom="1440" w:gutter="0" w:footer="0" w:header="0"/>
        </w:sectPr>
      </w:pPr>
    </w:p>
    <w:bookmarkStart w:id="461" w:name="page462"/>
    <w:bookmarkEnd w:id="461"/>
    <w:p>
      <w:pPr>
        <w:ind w:right="200"/>
        <w:spacing w:after="0" w:line="275" w:lineRule="auto"/>
        <w:rPr>
          <w:sz w:val="20"/>
          <w:szCs w:val="20"/>
          <w:color w:val="auto"/>
        </w:rPr>
      </w:pPr>
      <w:r>
        <w:rPr>
          <w:rFonts w:ascii="Arial" w:cs="Arial" w:eastAsia="Arial" w:hAnsi="Arial"/>
          <w:sz w:val="18"/>
          <w:szCs w:val="18"/>
          <w:color w:val="auto"/>
        </w:rPr>
        <w:t>officers and employees and to the knowledge of Borrower its directors and agents, are in compliance with Anti-Corruption Laws and applicable Sanctions in all material respects.</w:t>
      </w:r>
    </w:p>
    <w:p>
      <w:pPr>
        <w:spacing w:after="0" w:line="171" w:lineRule="exact"/>
        <w:rPr>
          <w:sz w:val="20"/>
          <w:szCs w:val="20"/>
          <w:color w:val="auto"/>
        </w:rPr>
      </w:pPr>
    </w:p>
    <w:p>
      <w:pPr>
        <w:ind w:right="100" w:firstLine="1291"/>
        <w:spacing w:after="0" w:line="258" w:lineRule="auto"/>
        <w:rPr>
          <w:sz w:val="20"/>
          <w:szCs w:val="20"/>
          <w:color w:val="auto"/>
        </w:rPr>
      </w:pPr>
      <w:r>
        <w:rPr>
          <w:rFonts w:ascii="Arial" w:cs="Arial" w:eastAsia="Arial" w:hAnsi="Arial"/>
          <w:sz w:val="18"/>
          <w:szCs w:val="18"/>
          <w:color w:val="auto"/>
        </w:rPr>
        <w:t>None of Borrower, any of its Subsidiaries or any of their respective managers,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200" w:lineRule="exact"/>
        <w:rPr>
          <w:sz w:val="20"/>
          <w:szCs w:val="20"/>
          <w:color w:val="auto"/>
        </w:rPr>
      </w:pPr>
    </w:p>
    <w:p>
      <w:pPr>
        <w:ind w:left="80" w:right="160" w:firstLine="646"/>
        <w:spacing w:after="0" w:line="272" w:lineRule="auto"/>
        <w:rPr>
          <w:sz w:val="20"/>
          <w:szCs w:val="20"/>
          <w:color w:val="auto"/>
        </w:rPr>
      </w:pPr>
      <w:r>
        <w:rPr>
          <w:rFonts w:ascii="Arial" w:cs="Arial" w:eastAsia="Arial" w:hAnsi="Arial"/>
          <w:sz w:val="17"/>
          <w:szCs w:val="17"/>
          <w:color w:val="auto"/>
        </w:rPr>
        <w:t xml:space="preserve">7.20 Minimum Cash. If and only if Borrower has </w:t>
      </w:r>
      <w:r>
        <w:rPr>
          <w:rFonts w:ascii="Arial" w:cs="Arial" w:eastAsia="Arial" w:hAnsi="Arial"/>
          <w:sz w:val="17"/>
          <w:szCs w:val="17"/>
          <w:u w:val="single" w:color="auto"/>
          <w:color w:val="auto"/>
        </w:rPr>
        <w:t>both</w:t>
      </w:r>
      <w:r>
        <w:rPr>
          <w:rFonts w:ascii="Arial" w:cs="Arial" w:eastAsia="Arial" w:hAnsi="Arial"/>
          <w:sz w:val="17"/>
          <w:szCs w:val="17"/>
          <w:color w:val="auto"/>
        </w:rPr>
        <w:t xml:space="preserve">: (a) drawn the Tranche 2 Advance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not achieved Performance Milestone II by September 30, 2021, then at all times after September 30, 2021, Borrower shall maintain minimum unrestricted Cash of at least Eight Million Five Hundred Thousand Dollars ($8,500,000) plus the amount of Borrower’s accounts payable not paid after the 90th day following the invoice date for such accounts payable, in an account subject to an Account Control Agreement in favor of Agent, until Performance Milestone II has been achieved. For the avoidance of doubt, if the Tranche 2 Advance is not drawn or Borrower has achieved Performance Milestone II by September 30, 2021, then there shall be no minimum cash requirement.</w:t>
      </w:r>
    </w:p>
    <w:p>
      <w:pPr>
        <w:spacing w:after="0" w:line="177" w:lineRule="exact"/>
        <w:rPr>
          <w:sz w:val="20"/>
          <w:szCs w:val="20"/>
          <w:color w:val="auto"/>
        </w:rPr>
      </w:pPr>
    </w:p>
    <w:p>
      <w:pPr>
        <w:ind w:left="80" w:right="640" w:firstLine="646"/>
        <w:spacing w:after="0" w:line="285" w:lineRule="auto"/>
        <w:rPr>
          <w:sz w:val="20"/>
          <w:szCs w:val="20"/>
          <w:color w:val="auto"/>
        </w:rPr>
      </w:pPr>
      <w:r>
        <w:rPr>
          <w:rFonts w:ascii="Arial" w:cs="Arial" w:eastAsia="Arial" w:hAnsi="Arial"/>
          <w:sz w:val="17"/>
          <w:szCs w:val="17"/>
          <w:color w:val="auto"/>
        </w:rPr>
        <w:t>7.21 Intellectual Property. Borrower shall (i) protect, defend and maintain the validity and enforceability of its Intellectual Property; (ii) promptly advise Agent in writing of material infringements of its Intellectual Property; and (iii) not allow any Intellectual Property material to Borrowers’ business to be abandoned, forfeited or dedicated to the public without Agent’s written consent.</w:t>
      </w:r>
    </w:p>
    <w:p>
      <w:pPr>
        <w:spacing w:after="0" w:line="178" w:lineRule="exact"/>
        <w:rPr>
          <w:sz w:val="20"/>
          <w:szCs w:val="20"/>
          <w:color w:val="auto"/>
        </w:rPr>
      </w:pPr>
    </w:p>
    <w:p>
      <w:pPr>
        <w:ind w:left="80" w:right="120" w:firstLine="646"/>
        <w:spacing w:after="0" w:line="258" w:lineRule="auto"/>
        <w:rPr>
          <w:sz w:val="20"/>
          <w:szCs w:val="20"/>
          <w:color w:val="auto"/>
        </w:rPr>
      </w:pPr>
      <w:r>
        <w:rPr>
          <w:rFonts w:ascii="Arial" w:cs="Arial" w:eastAsia="Arial" w:hAnsi="Arial"/>
          <w:sz w:val="18"/>
          <w:szCs w:val="18"/>
          <w:color w:val="auto"/>
        </w:rPr>
        <w:t>7.22 Transactions with Affiliates. Except as described on Schedule 7.22,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w:t>
      </w:r>
    </w:p>
    <w:p>
      <w:pPr>
        <w:spacing w:after="0" w:line="18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RIGHT TO INVEST</w:t>
      </w:r>
    </w:p>
    <w:p>
      <w:pPr>
        <w:spacing w:after="0" w:line="227" w:lineRule="exact"/>
        <w:rPr>
          <w:sz w:val="20"/>
          <w:szCs w:val="20"/>
          <w:color w:val="auto"/>
        </w:rPr>
      </w:pPr>
    </w:p>
    <w:p>
      <w:pPr>
        <w:ind w:left="80" w:right="380" w:firstLine="646"/>
        <w:spacing w:after="0" w:line="300" w:lineRule="auto"/>
        <w:rPr>
          <w:sz w:val="20"/>
          <w:szCs w:val="20"/>
          <w:color w:val="auto"/>
        </w:rPr>
      </w:pPr>
      <w:r>
        <w:rPr>
          <w:rFonts w:ascii="Arial" w:cs="Arial" w:eastAsia="Arial" w:hAnsi="Arial"/>
          <w:sz w:val="16"/>
          <w:szCs w:val="16"/>
          <w:color w:val="auto"/>
        </w:rPr>
        <w:t>8.1 Borrower shall use commercially reasonable efforts to notify the Lenders of each Subsequent Financing, and the Lenders or their assignee or nominee shall have the right, in their discretion, to indicate their interest to participate in any Subsequent Financing on the same terms, conditions and pricing afforded to investors participating in any such Subsequent Financing (excluding Bayer and Century Therapeutics, Inc.). This Section 8.1, and all rights and obligations hereunder, shall expire upon termination of this Agreement.</w:t>
      </w:r>
    </w:p>
    <w:p>
      <w:pPr>
        <w:spacing w:after="0" w:line="16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EVENTS OF DEFAULT</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occurrence of any one or more of the following events shall be an Event of Default:</w:t>
      </w:r>
    </w:p>
    <w:p>
      <w:pPr>
        <w:spacing w:after="0" w:line="223"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Payments. Borrower fails to pay any amount due under this Agreement or any of the other Loan Documents on the due date;</w:t>
      </w:r>
    </w:p>
    <w:p>
      <w:pPr>
        <w:spacing w:after="0" w:line="23" w:lineRule="exact"/>
        <w:rPr>
          <w:sz w:val="20"/>
          <w:szCs w:val="20"/>
          <w:color w:val="auto"/>
        </w:rPr>
      </w:pPr>
    </w:p>
    <w:p>
      <w:pPr>
        <w:ind w:left="80" w:right="160"/>
        <w:spacing w:after="0" w:line="254" w:lineRule="auto"/>
        <w:rPr>
          <w:sz w:val="20"/>
          <w:szCs w:val="20"/>
          <w:color w:val="auto"/>
        </w:rPr>
      </w:pPr>
      <w:r>
        <w:rPr>
          <w:rFonts w:ascii="Arial" w:cs="Arial" w:eastAsia="Arial" w:hAnsi="Arial"/>
          <w:sz w:val="18"/>
          <w:szCs w:val="18"/>
          <w:color w:val="auto"/>
        </w:rPr>
        <w:t>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p>
    <w:p>
      <w:pPr>
        <w:spacing w:after="0" w:line="18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14605</wp:posOffset>
            </wp:positionV>
            <wp:extent cx="71329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520"/>
          </w:cols>
          <w:pgMar w:left="920" w:top="690" w:right="459" w:bottom="1440" w:gutter="0" w:footer="0" w:header="0"/>
        </w:sectPr>
      </w:pPr>
    </w:p>
    <w:bookmarkStart w:id="462" w:name="page463"/>
    <w:bookmarkEnd w:id="462"/>
    <w:p>
      <w:pPr>
        <w:ind w:right="80" w:firstLine="645"/>
        <w:spacing w:after="0" w:line="253" w:lineRule="auto"/>
        <w:rPr>
          <w:sz w:val="20"/>
          <w:szCs w:val="20"/>
          <w:color w:val="auto"/>
        </w:rPr>
      </w:pPr>
      <w:r>
        <w:rPr>
          <w:rFonts w:ascii="Arial" w:cs="Arial" w:eastAsia="Arial" w:hAnsi="Arial"/>
          <w:sz w:val="18"/>
          <w:szCs w:val="18"/>
          <w:color w:val="auto"/>
        </w:rPr>
        <w:t>9.2 Covenants. Borrower breaches or defaults in the performance of any covenant or Secured Obligation under this Agreement, or any of the other Loan Documents or any other agreement among Borrower, Agent and the Lenders, and (a) with respect to a default under any covenant under this Agreement (other than under Sections 6, 7.4, 7.5, 7.6, 7.7, 7.8, 7.9, 7.15, 7.17, 7.19, 7.20, 7.21, and 7.22), any other Loan Document, or any other agreement among Borrower, Agent and the Lenders, such default continues for more than ten (10) Business Days after the earlier of the date on which (i) Agent or the Lenders has given notice of such default to Borrower and (ii) Borrower has actual knowledge of such default or (b) with respect to a default under any of Sections 6, 7.4, 7.5, 7.6, 7.7, 7.8, 7.9, 7.15, 7.17, 7.19, 7.20, 7.21, and 7.22, the occurrence of such default; or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9140" w:type="dxa"/>
            <w:vAlign w:val="bottom"/>
          </w:tcPr>
          <w:p>
            <w:pPr>
              <w:ind w:left="320"/>
              <w:spacing w:after="0"/>
              <w:rPr>
                <w:sz w:val="20"/>
                <w:szCs w:val="20"/>
                <w:color w:val="auto"/>
              </w:rPr>
            </w:pPr>
            <w:r>
              <w:rPr>
                <w:rFonts w:ascii="Arial" w:cs="Arial" w:eastAsia="Arial" w:hAnsi="Arial"/>
                <w:sz w:val="18"/>
                <w:szCs w:val="18"/>
                <w:color w:val="auto"/>
                <w:w w:val="94"/>
              </w:rPr>
              <w:t>Material Adverse Effect. A circumstance has occurred that could reasonably be expected to have a Material Adverse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Effect; or</w:t>
            </w:r>
          </w:p>
        </w:tc>
        <w:tc>
          <w:tcPr>
            <w:tcW w:w="9140" w:type="dxa"/>
            <w:vAlign w:val="bottom"/>
          </w:tcPr>
          <w:p>
            <w:pPr>
              <w:spacing w:after="0"/>
              <w:rPr>
                <w:sz w:val="19"/>
                <w:szCs w:val="19"/>
                <w:color w:val="auto"/>
              </w:rPr>
            </w:pPr>
          </w:p>
        </w:tc>
      </w:tr>
      <w:tr>
        <w:trPr>
          <w:trHeight w:val="416"/>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9.4</w:t>
            </w:r>
          </w:p>
        </w:tc>
        <w:tc>
          <w:tcPr>
            <w:tcW w:w="9140" w:type="dxa"/>
            <w:vAlign w:val="bottom"/>
          </w:tcPr>
          <w:p>
            <w:pPr>
              <w:ind w:left="320"/>
              <w:spacing w:after="0"/>
              <w:rPr>
                <w:sz w:val="20"/>
                <w:szCs w:val="20"/>
                <w:color w:val="auto"/>
              </w:rPr>
            </w:pPr>
            <w:r>
              <w:rPr>
                <w:rFonts w:ascii="Arial" w:cs="Arial" w:eastAsia="Arial" w:hAnsi="Arial"/>
                <w:sz w:val="18"/>
                <w:szCs w:val="18"/>
                <w:color w:val="auto"/>
                <w:w w:val="92"/>
              </w:rPr>
              <w:t>Representations. Any representation or warranty made by Borrower in any Loan Document or in the Warrant shall have</w:t>
            </w:r>
          </w:p>
        </w:tc>
      </w:tr>
      <w:tr>
        <w:trPr>
          <w:trHeight w:val="230"/>
        </w:trPr>
        <w:tc>
          <w:tcPr>
            <w:tcW w:w="10320" w:type="dxa"/>
            <w:vAlign w:val="bottom"/>
            <w:gridSpan w:val="2"/>
          </w:tcPr>
          <w:p>
            <w:pPr>
              <w:spacing w:after="0"/>
              <w:rPr>
                <w:sz w:val="20"/>
                <w:szCs w:val="20"/>
                <w:color w:val="auto"/>
              </w:rPr>
            </w:pPr>
            <w:r>
              <w:rPr>
                <w:rFonts w:ascii="Arial" w:cs="Arial" w:eastAsia="Arial" w:hAnsi="Arial"/>
                <w:sz w:val="18"/>
                <w:szCs w:val="18"/>
                <w:color w:val="auto"/>
              </w:rPr>
              <w:t>been false or misleading in any material respect when made or when deemed made; or</w:t>
            </w:r>
          </w:p>
        </w:tc>
      </w:tr>
      <w:tr>
        <w:trPr>
          <w:trHeight w:val="444"/>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9.5</w:t>
            </w:r>
          </w:p>
        </w:tc>
        <w:tc>
          <w:tcPr>
            <w:tcW w:w="9140" w:type="dxa"/>
            <w:vAlign w:val="bottom"/>
          </w:tcPr>
          <w:p>
            <w:pPr>
              <w:ind w:left="320"/>
              <w:spacing w:after="0"/>
              <w:rPr>
                <w:sz w:val="20"/>
                <w:szCs w:val="20"/>
                <w:color w:val="auto"/>
              </w:rPr>
            </w:pPr>
            <w:r>
              <w:rPr>
                <w:rFonts w:ascii="Arial" w:cs="Arial" w:eastAsia="Arial" w:hAnsi="Arial"/>
                <w:sz w:val="18"/>
                <w:szCs w:val="18"/>
                <w:color w:val="auto"/>
                <w:w w:val="90"/>
              </w:rPr>
              <w:t>Insolvency. Borrower (A) (i) shall make an assignment for the benefit of creditors; or (ii) shall be unable to pay its debts as</w:t>
            </w:r>
          </w:p>
        </w:tc>
      </w:tr>
    </w:tbl>
    <w:p>
      <w:pPr>
        <w:ind w:right="160"/>
        <w:spacing w:after="0" w:line="264" w:lineRule="auto"/>
        <w:rPr>
          <w:sz w:val="20"/>
          <w:szCs w:val="20"/>
          <w:color w:val="auto"/>
        </w:rPr>
      </w:pPr>
      <w:r>
        <w:rPr>
          <w:rFonts w:ascii="Arial" w:cs="Arial" w:eastAsia="Arial" w:hAnsi="Arial"/>
          <w:sz w:val="17"/>
          <w:szCs w:val="17"/>
          <w:color w:val="auto"/>
        </w:rPr>
        <w:t>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of the assets or property of Borrower; or (vi) shall cease operations of its business as its business has normally been conducted, or terminate substantially all of its employees; or (vii) Borrower or its directors or majority shareholders shall take any action initiating any of the foregoing actions described in clauses (i) through (vi); or (B) either</w:t>
      </w:r>
    </w:p>
    <w:p>
      <w:pPr>
        <w:spacing w:after="0" w:line="2" w:lineRule="exact"/>
        <w:rPr>
          <w:sz w:val="20"/>
          <w:szCs w:val="20"/>
          <w:color w:val="auto"/>
        </w:rPr>
      </w:pPr>
    </w:p>
    <w:p>
      <w:pPr>
        <w:ind w:firstLine="1"/>
        <w:spacing w:after="0" w:line="286" w:lineRule="auto"/>
        <w:tabs>
          <w:tab w:leader="none" w:pos="214" w:val="left"/>
        </w:tabs>
        <w:numPr>
          <w:ilvl w:val="0"/>
          <w:numId w:val="353"/>
        </w:numPr>
        <w:rPr>
          <w:rFonts w:ascii="Arial" w:cs="Arial" w:eastAsia="Arial" w:hAnsi="Arial"/>
          <w:sz w:val="16"/>
          <w:szCs w:val="16"/>
          <w:color w:val="auto"/>
        </w:rPr>
      </w:pPr>
      <w:r>
        <w:rPr>
          <w:rFonts w:ascii="Arial" w:cs="Arial" w:eastAsia="Arial" w:hAnsi="Arial"/>
          <w:sz w:val="16"/>
          <w:szCs w:val="16"/>
          <w:color w:val="auto"/>
        </w:rPr>
        <w:t>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69" w:lineRule="exact"/>
        <w:rPr>
          <w:sz w:val="20"/>
          <w:szCs w:val="20"/>
          <w:color w:val="auto"/>
        </w:rPr>
      </w:pPr>
    </w:p>
    <w:p>
      <w:pPr>
        <w:ind w:right="180" w:firstLine="646"/>
        <w:spacing w:after="0" w:line="253" w:lineRule="auto"/>
        <w:rPr>
          <w:sz w:val="20"/>
          <w:szCs w:val="20"/>
          <w:color w:val="auto"/>
        </w:rPr>
      </w:pPr>
      <w:r>
        <w:rPr>
          <w:rFonts w:ascii="Arial" w:cs="Arial" w:eastAsia="Arial" w:hAnsi="Arial"/>
          <w:sz w:val="18"/>
          <w:szCs w:val="18"/>
          <w:color w:val="auto"/>
        </w:rPr>
        <w:t>9.6 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$100,000, or Borrower is enjoined or in any way prevented by court order from conducting any part of its business; or</w:t>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13970</wp:posOffset>
            </wp:positionV>
            <wp:extent cx="71329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40"/>
          </w:cols>
          <w:pgMar w:left="1000" w:top="771" w:right="459" w:bottom="1440" w:gutter="0" w:footer="0" w:header="0"/>
        </w:sectPr>
      </w:pPr>
    </w:p>
    <w:bookmarkStart w:id="463" w:name="page464"/>
    <w:bookmarkEnd w:id="463"/>
    <w:p>
      <w:pPr>
        <w:ind w:right="60" w:firstLine="646"/>
        <w:spacing w:after="0" w:line="262" w:lineRule="auto"/>
        <w:rPr>
          <w:sz w:val="20"/>
          <w:szCs w:val="20"/>
          <w:color w:val="auto"/>
        </w:rPr>
      </w:pPr>
      <w:r>
        <w:rPr>
          <w:rFonts w:ascii="Arial" w:cs="Arial" w:eastAsia="Arial" w:hAnsi="Arial"/>
          <w:sz w:val="18"/>
          <w:szCs w:val="18"/>
          <w:color w:val="auto"/>
        </w:rPr>
        <w:t>9.7 Other Obligations. The occurrence of any default under any agreement or obligation of Borrower involving any Indebtedness in excess of $100,000, or any other material agreement or obligation, in each case if a Material Adverse Effect could reasonably be expected to result from such default.</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REMEDIES</w:t>
      </w:r>
    </w:p>
    <w:p>
      <w:pPr>
        <w:spacing w:after="0" w:line="227" w:lineRule="exact"/>
        <w:rPr>
          <w:sz w:val="20"/>
          <w:szCs w:val="20"/>
          <w:color w:val="auto"/>
        </w:rPr>
      </w:pPr>
    </w:p>
    <w:p>
      <w:pPr>
        <w:ind w:right="20" w:firstLine="646"/>
        <w:spacing w:after="0" w:line="282" w:lineRule="auto"/>
        <w:rPr>
          <w:sz w:val="20"/>
          <w:szCs w:val="20"/>
          <w:color w:val="auto"/>
        </w:rPr>
      </w:pPr>
      <w:r>
        <w:rPr>
          <w:rFonts w:ascii="Arial" w:cs="Arial" w:eastAsia="Arial" w:hAnsi="Arial"/>
          <w:sz w:val="16"/>
          <w:szCs w:val="16"/>
          <w:color w:val="auto"/>
        </w:rPr>
        <w:t>10.1 General. Upon the occurrence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w:t>
      </w:r>
    </w:p>
    <w:p>
      <w:pPr>
        <w:spacing w:after="0" w:line="3" w:lineRule="exact"/>
        <w:rPr>
          <w:sz w:val="20"/>
          <w:szCs w:val="20"/>
          <w:color w:val="auto"/>
        </w:rPr>
      </w:pPr>
    </w:p>
    <w:p>
      <w:pPr>
        <w:spacing w:after="0" w:line="266" w:lineRule="auto"/>
        <w:tabs>
          <w:tab w:leader="none" w:pos="254" w:val="left"/>
        </w:tabs>
        <w:numPr>
          <w:ilvl w:val="0"/>
          <w:numId w:val="354"/>
        </w:numPr>
        <w:rPr>
          <w:rFonts w:ascii="Arial" w:cs="Arial" w:eastAsia="Arial" w:hAnsi="Arial"/>
          <w:sz w:val="17"/>
          <w:szCs w:val="17"/>
          <w:color w:val="auto"/>
        </w:rPr>
      </w:pPr>
      <w:r>
        <w:rPr>
          <w:rFonts w:ascii="Arial" w:cs="Arial" w:eastAsia="Arial" w:hAnsi="Arial"/>
          <w:sz w:val="17"/>
          <w:szCs w:val="17"/>
          <w:color w:val="auto"/>
        </w:rPr>
        <w:t>regardless of whether an Event of Default has occurred, (i) endorse Borrower’s name on any checks, payment instruments, or other forms of payment or security; and (ii)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200" w:lineRule="exact"/>
        <w:rPr>
          <w:sz w:val="20"/>
          <w:szCs w:val="20"/>
          <w:color w:val="auto"/>
        </w:rPr>
      </w:pPr>
    </w:p>
    <w:p>
      <w:pPr>
        <w:ind w:right="40" w:firstLine="646"/>
        <w:spacing w:after="0" w:line="253" w:lineRule="auto"/>
        <w:rPr>
          <w:sz w:val="20"/>
          <w:szCs w:val="20"/>
          <w:color w:val="auto"/>
        </w:rPr>
      </w:pPr>
      <w:r>
        <w:rPr>
          <w:rFonts w:ascii="Arial" w:cs="Arial" w:eastAsia="Arial" w:hAnsi="Arial"/>
          <w:sz w:val="18"/>
          <w:szCs w:val="18"/>
          <w:color w:val="auto"/>
        </w:rPr>
        <w:t>10.2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w:t>
      </w:r>
    </w:p>
    <w:p>
      <w:pPr>
        <w:spacing w:after="0" w:line="19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40"/>
          </w:cols>
          <w:pgMar w:left="1000" w:top="1000" w:right="459" w:bottom="1440" w:gutter="0" w:footer="0" w:header="0"/>
        </w:sectPr>
      </w:pPr>
    </w:p>
    <w:bookmarkStart w:id="464" w:name="page465"/>
    <w:bookmarkEnd w:id="464"/>
    <w:p>
      <w:pPr>
        <w:ind w:left="560"/>
        <w:spacing w:after="0"/>
        <w:rPr>
          <w:sz w:val="20"/>
          <w:szCs w:val="20"/>
          <w:color w:val="auto"/>
        </w:rPr>
      </w:pPr>
      <w:r>
        <w:rPr>
          <w:rFonts w:ascii="Arial" w:cs="Arial" w:eastAsia="Arial" w:hAnsi="Arial"/>
          <w:sz w:val="17"/>
          <w:szCs w:val="17"/>
          <w:color w:val="auto"/>
        </w:rPr>
        <w:t>sale, disposition or other realization upon all or any part of the Collateral shall be applied by Agent in the following order of priorities:</w:t>
      </w:r>
    </w:p>
    <w:p>
      <w:pPr>
        <w:spacing w:after="0" w:line="235" w:lineRule="exact"/>
        <w:rPr>
          <w:sz w:val="20"/>
          <w:szCs w:val="20"/>
          <w:color w:val="auto"/>
        </w:rPr>
      </w:pPr>
    </w:p>
    <w:p>
      <w:pPr>
        <w:ind w:left="1280" w:right="40"/>
        <w:spacing w:after="0" w:line="275" w:lineRule="auto"/>
        <w:rPr>
          <w:sz w:val="20"/>
          <w:szCs w:val="20"/>
          <w:color w:val="auto"/>
        </w:rPr>
      </w:pPr>
      <w:r>
        <w:rPr>
          <w:rFonts w:ascii="Arial" w:cs="Arial" w:eastAsia="Arial" w:hAnsi="Arial"/>
          <w:sz w:val="18"/>
          <w:szCs w:val="18"/>
          <w:color w:val="auto"/>
        </w:rPr>
        <w:t>First, to Agent and the Lenders in an amount sufficient to pay in full Agent’s and the Lenders’ reasonable costs and professionals’ and advisors’ fees and expenses as described in Section 11.12;</w:t>
      </w:r>
    </w:p>
    <w:p>
      <w:pPr>
        <w:spacing w:after="0" w:line="64" w:lineRule="exact"/>
        <w:rPr>
          <w:sz w:val="20"/>
          <w:szCs w:val="20"/>
          <w:color w:val="auto"/>
        </w:rPr>
      </w:pPr>
    </w:p>
    <w:p>
      <w:pPr>
        <w:ind w:left="1280" w:right="20"/>
        <w:spacing w:after="0" w:line="275" w:lineRule="auto"/>
        <w:rPr>
          <w:sz w:val="20"/>
          <w:szCs w:val="20"/>
          <w:color w:val="auto"/>
        </w:rPr>
      </w:pPr>
      <w:r>
        <w:rPr>
          <w:rFonts w:ascii="Arial" w:cs="Arial" w:eastAsia="Arial" w:hAnsi="Arial"/>
          <w:sz w:val="18"/>
          <w:szCs w:val="18"/>
          <w:color w:val="auto"/>
        </w:rPr>
        <w:t>Second, to the Lenders in an amount equal to the then unpaid amount of the Secured Obligations (including principal, interest, and the Default Rate interest), in such order and priority as Agent may choose in its sole discretion; and</w:t>
      </w:r>
    </w:p>
    <w:p>
      <w:pPr>
        <w:spacing w:after="0" w:line="64" w:lineRule="exact"/>
        <w:rPr>
          <w:sz w:val="20"/>
          <w:szCs w:val="20"/>
          <w:color w:val="auto"/>
        </w:rPr>
      </w:pPr>
    </w:p>
    <w:p>
      <w:pPr>
        <w:ind w:left="1280" w:right="220"/>
        <w:spacing w:after="0" w:line="340" w:lineRule="auto"/>
        <w:rPr>
          <w:sz w:val="20"/>
          <w:szCs w:val="20"/>
          <w:color w:val="auto"/>
        </w:rPr>
      </w:pPr>
      <w:r>
        <w:rPr>
          <w:rFonts w:ascii="Arial" w:cs="Arial" w:eastAsia="Arial" w:hAnsi="Arial"/>
          <w:sz w:val="16"/>
          <w:szCs w:val="16"/>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1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Agent shall be deemed to have acted reasonably in the custody, preservation and disposition of any of the Collateral if it complies with the obligations of a secured party under the UCC.</w:t>
      </w:r>
    </w:p>
    <w:p>
      <w:pPr>
        <w:spacing w:after="0" w:line="185" w:lineRule="exact"/>
        <w:rPr>
          <w:sz w:val="20"/>
          <w:szCs w:val="20"/>
          <w:color w:val="auto"/>
        </w:rPr>
      </w:pPr>
    </w:p>
    <w:p>
      <w:pPr>
        <w:ind w:left="560" w:right="420" w:firstLine="646"/>
        <w:spacing w:after="0" w:line="275" w:lineRule="auto"/>
        <w:rPr>
          <w:sz w:val="20"/>
          <w:szCs w:val="20"/>
          <w:color w:val="auto"/>
        </w:rPr>
      </w:pPr>
      <w:r>
        <w:rPr>
          <w:rFonts w:ascii="Arial" w:cs="Arial" w:eastAsia="Arial" w:hAnsi="Arial"/>
          <w:sz w:val="18"/>
          <w:szCs w:val="18"/>
          <w:color w:val="auto"/>
        </w:rPr>
        <w:t>10.3 No Waiver. Agent shall be under no obligation to marshal any of the Collateral for the benefit of Borrower or any other Person, and Borrower expressly waives all rights, if any, to require Agent to marshal any Collateral.</w:t>
      </w:r>
    </w:p>
    <w:p>
      <w:pPr>
        <w:spacing w:after="0" w:line="171" w:lineRule="exact"/>
        <w:rPr>
          <w:sz w:val="20"/>
          <w:szCs w:val="20"/>
          <w:color w:val="auto"/>
        </w:rPr>
      </w:pPr>
    </w:p>
    <w:p>
      <w:pPr>
        <w:ind w:left="560" w:right="20" w:firstLine="646"/>
        <w:spacing w:after="0" w:line="285" w:lineRule="auto"/>
        <w:rPr>
          <w:sz w:val="20"/>
          <w:szCs w:val="20"/>
          <w:color w:val="auto"/>
        </w:rPr>
      </w:pPr>
      <w:r>
        <w:rPr>
          <w:rFonts w:ascii="Arial" w:cs="Arial" w:eastAsia="Arial" w:hAnsi="Arial"/>
          <w:sz w:val="17"/>
          <w:szCs w:val="17"/>
          <w:color w:val="auto"/>
        </w:rPr>
        <w:t>10.4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6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MISCELLANEOUS</w:t>
      </w:r>
    </w:p>
    <w:p>
      <w:pPr>
        <w:spacing w:after="0" w:line="227" w:lineRule="exact"/>
        <w:rPr>
          <w:sz w:val="20"/>
          <w:szCs w:val="20"/>
          <w:color w:val="auto"/>
        </w:rPr>
      </w:pPr>
    </w:p>
    <w:p>
      <w:pPr>
        <w:ind w:left="560" w:right="160" w:firstLine="646"/>
        <w:spacing w:after="0" w:line="258" w:lineRule="auto"/>
        <w:rPr>
          <w:sz w:val="20"/>
          <w:szCs w:val="20"/>
          <w:color w:val="auto"/>
        </w:rPr>
      </w:pPr>
      <w:r>
        <w:rPr>
          <w:rFonts w:ascii="Arial" w:cs="Arial" w:eastAsia="Arial" w:hAnsi="Arial"/>
          <w:sz w:val="18"/>
          <w:szCs w:val="18"/>
          <w:color w:val="auto"/>
        </w:rPr>
        <w:t>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200" w:lineRule="exact"/>
        <w:rPr>
          <w:sz w:val="20"/>
          <w:szCs w:val="20"/>
          <w:color w:val="auto"/>
        </w:rPr>
      </w:pPr>
    </w:p>
    <w:p>
      <w:pPr>
        <w:ind w:left="560" w:right="20" w:firstLine="646"/>
        <w:spacing w:after="0" w:line="254" w:lineRule="auto"/>
        <w:rPr>
          <w:sz w:val="20"/>
          <w:szCs w:val="20"/>
          <w:color w:val="auto"/>
        </w:rPr>
      </w:pPr>
      <w:r>
        <w:rPr>
          <w:rFonts w:ascii="Arial" w:cs="Arial" w:eastAsia="Arial" w:hAnsi="Arial"/>
          <w:sz w:val="18"/>
          <w:szCs w:val="18"/>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92" w:lineRule="exact"/>
        <w:rPr>
          <w:sz w:val="20"/>
          <w:szCs w:val="20"/>
          <w:color w:val="auto"/>
        </w:rPr>
      </w:pPr>
    </w:p>
    <w:p>
      <w:pPr>
        <w:ind w:left="1920" w:hanging="647"/>
        <w:spacing w:after="0"/>
        <w:tabs>
          <w:tab w:leader="none" w:pos="19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If to Agent:</w:t>
      </w:r>
    </w:p>
    <w:p>
      <w:pPr>
        <w:spacing w:after="0" w:line="236" w:lineRule="exact"/>
        <w:rPr>
          <w:rFonts w:ascii="Arial" w:cs="Arial" w:eastAsia="Arial" w:hAnsi="Arial"/>
          <w:sz w:val="18"/>
          <w:szCs w:val="18"/>
          <w:color w:val="auto"/>
        </w:rPr>
      </w:pPr>
    </w:p>
    <w:p>
      <w:pPr>
        <w:ind w:left="1940" w:right="6860"/>
        <w:spacing w:after="0" w:line="257" w:lineRule="auto"/>
        <w:rPr>
          <w:rFonts w:ascii="Arial" w:cs="Arial" w:eastAsia="Arial" w:hAnsi="Arial"/>
          <w:sz w:val="18"/>
          <w:szCs w:val="18"/>
          <w:color w:val="auto"/>
        </w:rPr>
      </w:pPr>
      <w:r>
        <w:rPr>
          <w:rFonts w:ascii="Arial" w:cs="Arial" w:eastAsia="Arial" w:hAnsi="Arial"/>
          <w:sz w:val="18"/>
          <w:szCs w:val="18"/>
          <w:color w:val="auto"/>
        </w:rPr>
        <w:t>HERCULES CAPITAL, INC. Legal Department</w:t>
      </w:r>
    </w:p>
    <w:p>
      <w:pPr>
        <w:spacing w:after="0" w:line="1" w:lineRule="exact"/>
        <w:rPr>
          <w:rFonts w:ascii="Arial" w:cs="Arial" w:eastAsia="Arial" w:hAnsi="Arial"/>
          <w:sz w:val="18"/>
          <w:szCs w:val="18"/>
          <w:color w:val="auto"/>
        </w:rPr>
      </w:pPr>
    </w:p>
    <w:p>
      <w:pPr>
        <w:ind w:left="1940" w:right="5400"/>
        <w:spacing w:after="0" w:line="259" w:lineRule="auto"/>
        <w:rPr>
          <w:rFonts w:ascii="Arial" w:cs="Arial" w:eastAsia="Arial" w:hAnsi="Arial"/>
          <w:sz w:val="18"/>
          <w:szCs w:val="18"/>
          <w:color w:val="auto"/>
        </w:rPr>
      </w:pPr>
      <w:r>
        <w:rPr>
          <w:rFonts w:ascii="Arial" w:cs="Arial" w:eastAsia="Arial" w:hAnsi="Arial"/>
          <w:sz w:val="18"/>
          <w:szCs w:val="18"/>
          <w:color w:val="auto"/>
        </w:rPr>
        <w:t>Attention: Chief Legal Officer and R. Bryan Jadot 400 Hamilton Avenue, Suite 310</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9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40"/>
          </w:cols>
          <w:pgMar w:left="440" w:top="690" w:right="519" w:bottom="1440" w:gutter="0" w:footer="0" w:header="0"/>
        </w:sectPr>
      </w:pPr>
    </w:p>
    <w:bookmarkStart w:id="465" w:name="page466"/>
    <w:bookmarkEnd w:id="465"/>
    <w:p>
      <w:pPr>
        <w:ind w:left="1300"/>
        <w:spacing w:after="0"/>
        <w:rPr>
          <w:sz w:val="20"/>
          <w:szCs w:val="20"/>
          <w:color w:val="auto"/>
        </w:rPr>
      </w:pPr>
      <w:r>
        <w:rPr>
          <w:rFonts w:ascii="Arial" w:cs="Arial" w:eastAsia="Arial" w:hAnsi="Arial"/>
          <w:sz w:val="18"/>
          <w:szCs w:val="18"/>
          <w:color w:val="auto"/>
        </w:rPr>
        <w:t>Palo Alto, CA 94301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legal@htgc.com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bjadot@htgc.com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mdutra@htgc.com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ksegien@htgc.com</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650-289-3060</w:t>
      </w:r>
    </w:p>
    <w:p>
      <w:pPr>
        <w:spacing w:after="0" w:line="222" w:lineRule="exact"/>
        <w:rPr>
          <w:sz w:val="20"/>
          <w:szCs w:val="20"/>
          <w:color w:val="auto"/>
        </w:rPr>
      </w:pPr>
    </w:p>
    <w:p>
      <w:pPr>
        <w:ind w:left="1340" w:hanging="694"/>
        <w:spacing w:after="0"/>
        <w:tabs>
          <w:tab w:leader="none" w:pos="13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If to the Lenders: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HERCULES CAPITAL,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Legal Department</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Legal Officer and R. Bryan Jadot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400 Hamilton Avenue, Suite 310</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94301</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legal@htgc.com; bjadot@htgc.com; mdutra@htgc.com and ksegien@htgc.com</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650-289-3060</w:t>
      </w:r>
    </w:p>
    <w:p>
      <w:pPr>
        <w:spacing w:after="0" w:line="209" w:lineRule="exact"/>
        <w:rPr>
          <w:sz w:val="20"/>
          <w:szCs w:val="20"/>
          <w:color w:val="auto"/>
        </w:rPr>
      </w:pPr>
    </w:p>
    <w:p>
      <w:pPr>
        <w:ind w:left="1280" w:hanging="647"/>
        <w:spacing w:after="0"/>
        <w:tabs>
          <w:tab w:leader="none" w:pos="12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 to Borrower:</w:t>
      </w:r>
    </w:p>
    <w:p>
      <w:pPr>
        <w:spacing w:after="0" w:line="223" w:lineRule="exact"/>
        <w:rPr>
          <w:rFonts w:ascii="Arial" w:cs="Arial" w:eastAsia="Arial" w:hAnsi="Arial"/>
          <w:sz w:val="18"/>
          <w:szCs w:val="18"/>
          <w:color w:val="auto"/>
        </w:rPr>
      </w:pPr>
    </w:p>
    <w:p>
      <w:pPr>
        <w:ind w:left="1300" w:right="6300" w:firstLine="1"/>
        <w:spacing w:after="0" w:line="257" w:lineRule="auto"/>
        <w:rPr>
          <w:rFonts w:ascii="Arial" w:cs="Arial" w:eastAsia="Arial" w:hAnsi="Arial"/>
          <w:sz w:val="18"/>
          <w:szCs w:val="18"/>
          <w:color w:val="auto"/>
        </w:rPr>
      </w:pPr>
      <w:r>
        <w:rPr>
          <w:rFonts w:ascii="Arial" w:cs="Arial" w:eastAsia="Arial" w:hAnsi="Arial"/>
          <w:sz w:val="18"/>
          <w:szCs w:val="18"/>
          <w:color w:val="auto"/>
        </w:rPr>
        <w:t>CENTURY THERAPEUTICS, LLC Attention: Douglas Carr</w:t>
      </w:r>
    </w:p>
    <w:p>
      <w:pPr>
        <w:spacing w:after="0" w:line="1" w:lineRule="exact"/>
        <w:rPr>
          <w:rFonts w:ascii="Arial" w:cs="Arial" w:eastAsia="Arial" w:hAnsi="Arial"/>
          <w:sz w:val="18"/>
          <w:szCs w:val="18"/>
          <w:color w:val="auto"/>
        </w:rPr>
      </w:pPr>
    </w:p>
    <w:p>
      <w:pPr>
        <w:ind w:left="1300" w:right="6880"/>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3675 Market Street Philadelphia, PA 19104 email: </w:t>
      </w:r>
      <w:r>
        <w:rPr>
          <w:rFonts w:ascii="Arial" w:cs="Arial" w:eastAsia="Arial" w:hAnsi="Arial"/>
          <w:sz w:val="16"/>
          <w:szCs w:val="16"/>
          <w:u w:val="single" w:color="auto"/>
          <w:color w:val="auto"/>
        </w:rPr>
        <w:t>doug@centurytx.com</w:t>
      </w:r>
      <w:r>
        <w:rPr>
          <w:rFonts w:ascii="Arial" w:cs="Arial" w:eastAsia="Arial" w:hAnsi="Arial"/>
          <w:sz w:val="16"/>
          <w:szCs w:val="16"/>
          <w:color w:val="auto"/>
        </w:rPr>
        <w:t xml:space="preserve"> Telephone:</w:t>
      </w:r>
    </w:p>
    <w:p>
      <w:pPr>
        <w:spacing w:after="0" w:line="17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3" w:lineRule="exact"/>
        <w:rPr>
          <w:rFonts w:ascii="Arial" w:cs="Arial" w:eastAsia="Arial" w:hAnsi="Arial"/>
          <w:sz w:val="18"/>
          <w:szCs w:val="18"/>
          <w:color w:val="auto"/>
        </w:rPr>
      </w:pPr>
    </w:p>
    <w:p>
      <w:pPr>
        <w:ind w:left="1300" w:right="5420"/>
        <w:spacing w:after="0" w:line="255" w:lineRule="auto"/>
        <w:rPr>
          <w:rFonts w:ascii="Arial" w:cs="Arial" w:eastAsia="Arial" w:hAnsi="Arial"/>
          <w:sz w:val="18"/>
          <w:szCs w:val="18"/>
          <w:color w:val="auto"/>
        </w:rPr>
      </w:pPr>
      <w:r>
        <w:rPr>
          <w:rFonts w:ascii="Arial" w:cs="Arial" w:eastAsia="Arial" w:hAnsi="Arial"/>
          <w:sz w:val="18"/>
          <w:szCs w:val="18"/>
          <w:color w:val="auto"/>
        </w:rPr>
        <w:t>Troutman Pepper Hamilton Sanders LLP Attention: Rachael Bushey and Kathryn Nordick 3000 Two Logan Square</w:t>
      </w:r>
    </w:p>
    <w:p>
      <w:pPr>
        <w:ind w:left="1300"/>
        <w:spacing w:after="0"/>
        <w:rPr>
          <w:rFonts w:ascii="Arial" w:cs="Arial" w:eastAsia="Arial" w:hAnsi="Arial"/>
          <w:sz w:val="18"/>
          <w:szCs w:val="18"/>
          <w:color w:val="auto"/>
        </w:rPr>
      </w:pPr>
      <w:r>
        <w:rPr>
          <w:rFonts w:ascii="Arial" w:cs="Arial" w:eastAsia="Arial" w:hAnsi="Arial"/>
          <w:sz w:val="18"/>
          <w:szCs w:val="18"/>
          <w:color w:val="auto"/>
        </w:rPr>
        <w:t>Philadelphia, PA 19103-2799</w:t>
      </w:r>
    </w:p>
    <w:p>
      <w:pPr>
        <w:spacing w:after="0" w:line="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rachael.bushey@troutman.com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kathryn.nordick@troutman.com</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each party may designate for itself by like notice.</w:t>
      </w:r>
    </w:p>
    <w:p>
      <w:pPr>
        <w:spacing w:after="0" w:line="116"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Entire Agreement; Amendments.</w:t>
      </w:r>
    </w:p>
    <w:p>
      <w:pPr>
        <w:spacing w:after="0" w:line="223" w:lineRule="exact"/>
        <w:rPr>
          <w:sz w:val="20"/>
          <w:szCs w:val="20"/>
          <w:color w:val="auto"/>
        </w:rPr>
      </w:pPr>
    </w:p>
    <w:p>
      <w:pPr>
        <w:ind w:right="160" w:firstLine="646"/>
        <w:spacing w:after="0" w:line="300" w:lineRule="auto"/>
        <w:tabs>
          <w:tab w:leader="none" w:pos="1562"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June 23, 2020 and the Non-Disclosure Agreement).</w:t>
      </w:r>
    </w:p>
    <w:p>
      <w:pPr>
        <w:spacing w:after="0" w:line="169" w:lineRule="exact"/>
        <w:rPr>
          <w:rFonts w:ascii="Arial" w:cs="Arial" w:eastAsia="Arial" w:hAnsi="Arial"/>
          <w:sz w:val="16"/>
          <w:szCs w:val="16"/>
          <w:color w:val="auto"/>
        </w:rPr>
      </w:pPr>
    </w:p>
    <w:p>
      <w:pPr>
        <w:ind w:firstLine="646"/>
        <w:spacing w:after="0" w:line="295" w:lineRule="auto"/>
        <w:tabs>
          <w:tab w:leader="none" w:pos="1527" w:val="left"/>
        </w:tabs>
        <w:numPr>
          <w:ilvl w:val="0"/>
          <w:numId w:val="358"/>
        </w:numPr>
        <w:rPr>
          <w:rFonts w:ascii="Arial" w:cs="Arial" w:eastAsia="Arial" w:hAnsi="Arial"/>
          <w:sz w:val="16"/>
          <w:szCs w:val="16"/>
          <w:color w:val="auto"/>
        </w:rPr>
      </w:pPr>
      <w:r>
        <w:rPr>
          <w:rFonts w:ascii="Arial" w:cs="Arial" w:eastAsia="Arial" w:hAnsi="Arial"/>
          <w:sz w:val="16"/>
          <w:szCs w:val="16"/>
          <w:color w:val="auto"/>
        </w:rPr>
        <w:t>Neither this Agreement, any other Loan Document,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w:t>
      </w:r>
    </w:p>
    <w:p>
      <w:pPr>
        <w:spacing w:after="0" w:line="16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71329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220"/>
          </w:cols>
          <w:pgMar w:left="1080" w:top="771" w:right="599" w:bottom="1440" w:gutter="0" w:footer="0" w:header="0"/>
        </w:sectPr>
      </w:pPr>
    </w:p>
    <w:bookmarkStart w:id="466" w:name="page467"/>
    <w:bookmarkEnd w:id="466"/>
    <w:p>
      <w:pPr>
        <w:ind w:right="220"/>
        <w:spacing w:after="0" w:line="267" w:lineRule="auto"/>
        <w:rPr>
          <w:sz w:val="20"/>
          <w:szCs w:val="20"/>
          <w:color w:val="auto"/>
        </w:rPr>
      </w:pPr>
      <w:r>
        <w:rPr>
          <w:rFonts w:ascii="Arial" w:cs="Arial" w:eastAsia="Arial" w:hAnsi="Arial"/>
          <w:sz w:val="17"/>
          <w:szCs w:val="17"/>
          <w:color w:val="auto"/>
        </w:rPr>
        <w:t>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w:t>
      </w:r>
    </w:p>
    <w:p>
      <w:pPr>
        <w:spacing w:after="0" w:line="186" w:lineRule="exact"/>
        <w:rPr>
          <w:sz w:val="20"/>
          <w:szCs w:val="20"/>
          <w:color w:val="auto"/>
        </w:rPr>
      </w:pPr>
    </w:p>
    <w:p>
      <w:pPr>
        <w:ind w:right="360" w:firstLine="646"/>
        <w:spacing w:after="0" w:line="258" w:lineRule="auto"/>
        <w:rPr>
          <w:sz w:val="20"/>
          <w:szCs w:val="20"/>
          <w:color w:val="auto"/>
        </w:rPr>
      </w:pPr>
      <w:r>
        <w:rPr>
          <w:rFonts w:ascii="Arial" w:cs="Arial" w:eastAsia="Arial" w:hAnsi="Arial"/>
          <w:sz w:val="18"/>
          <w:szCs w:val="18"/>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200" w:lineRule="exact"/>
        <w:rPr>
          <w:sz w:val="20"/>
          <w:szCs w:val="20"/>
          <w:color w:val="auto"/>
        </w:rPr>
      </w:pPr>
    </w:p>
    <w:p>
      <w:pPr>
        <w:jc w:val="both"/>
        <w:ind w:right="80" w:firstLine="646"/>
        <w:spacing w:after="0" w:line="295" w:lineRule="auto"/>
        <w:rPr>
          <w:sz w:val="20"/>
          <w:szCs w:val="20"/>
          <w:color w:val="auto"/>
        </w:rPr>
      </w:pPr>
      <w:r>
        <w:rPr>
          <w:rFonts w:ascii="Arial" w:cs="Arial" w:eastAsia="Arial" w:hAnsi="Arial"/>
          <w:sz w:val="16"/>
          <w:szCs w:val="16"/>
          <w:color w:val="auto"/>
        </w:rPr>
        <w:t>11.5 No Waiver.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61" w:lineRule="exact"/>
        <w:rPr>
          <w:sz w:val="20"/>
          <w:szCs w:val="20"/>
          <w:color w:val="auto"/>
        </w:rPr>
      </w:pPr>
    </w:p>
    <w:p>
      <w:pPr>
        <w:ind w:right="20" w:firstLine="646"/>
        <w:spacing w:after="0" w:line="285" w:lineRule="auto"/>
        <w:rPr>
          <w:sz w:val="20"/>
          <w:szCs w:val="20"/>
          <w:color w:val="auto"/>
        </w:rPr>
      </w:pPr>
      <w:r>
        <w:rPr>
          <w:rFonts w:ascii="Arial" w:cs="Arial" w:eastAsia="Arial" w:hAnsi="Arial"/>
          <w:sz w:val="17"/>
          <w:szCs w:val="17"/>
          <w:color w:val="auto"/>
        </w:rPr>
        <w:t>11.6 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11.14, 11.15 and 11.18 shall survive the termination of this Agreement.</w:t>
      </w:r>
    </w:p>
    <w:p>
      <w:pPr>
        <w:spacing w:after="0" w:line="165" w:lineRule="exact"/>
        <w:rPr>
          <w:sz w:val="20"/>
          <w:szCs w:val="20"/>
          <w:color w:val="auto"/>
        </w:rPr>
      </w:pPr>
    </w:p>
    <w:p>
      <w:pPr>
        <w:ind w:firstLine="646"/>
        <w:spacing w:after="0" w:line="290" w:lineRule="auto"/>
        <w:rPr>
          <w:sz w:val="20"/>
          <w:szCs w:val="20"/>
          <w:color w:val="auto"/>
        </w:rPr>
      </w:pPr>
      <w:r>
        <w:rPr>
          <w:rFonts w:ascii="Arial" w:cs="Arial" w:eastAsia="Arial" w:hAnsi="Arial"/>
          <w:sz w:val="16"/>
          <w:szCs w:val="16"/>
          <w:color w:val="auto"/>
        </w:rPr>
        <w:t>11.7 Successors and Assigns.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the Lenders may assign, transfer, or endorse its rights hereunder and under the other Loan Documents with prior notice to Borrower (as long as no Event of Default has occurred and is continuing),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(as</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22860</wp:posOffset>
            </wp:positionV>
            <wp:extent cx="71329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360"/>
          </w:cols>
          <w:pgMar w:left="1000" w:top="690" w:right="539" w:bottom="1440" w:gutter="0" w:footer="0" w:header="0"/>
        </w:sectPr>
      </w:pPr>
    </w:p>
    <w:bookmarkStart w:id="467" w:name="page468"/>
    <w:bookmarkEnd w:id="467"/>
    <w:p>
      <w:pPr>
        <w:spacing w:after="0" w:line="284" w:lineRule="auto"/>
        <w:rPr>
          <w:sz w:val="20"/>
          <w:szCs w:val="20"/>
          <w:color w:val="auto"/>
        </w:rPr>
      </w:pPr>
      <w:r>
        <w:rPr>
          <w:rFonts w:ascii="Arial" w:cs="Arial" w:eastAsia="Arial" w:hAnsi="Arial"/>
          <w:sz w:val="16"/>
          <w:szCs w:val="16"/>
          <w:color w:val="auto"/>
        </w:rPr>
        <w:t>identified in writing by Borrower to Agent or otherwise reasonably determined by Agent),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(y) in connection with any assignment by a Lender the assigning Lender and the assignee Lender must provide the Agent with an information reasonably required by the Agent in order to maintain the Register and (z)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(z)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386" w:lineRule="exact"/>
        <w:rPr>
          <w:sz w:val="20"/>
          <w:szCs w:val="20"/>
          <w:color w:val="auto"/>
        </w:rPr>
      </w:pPr>
    </w:p>
    <w:p>
      <w:pPr>
        <w:ind w:right="20" w:firstLine="646"/>
        <w:spacing w:after="0" w:line="267" w:lineRule="auto"/>
        <w:rPr>
          <w:sz w:val="20"/>
          <w:szCs w:val="20"/>
          <w:color w:val="auto"/>
        </w:rPr>
      </w:pPr>
      <w:r>
        <w:rPr>
          <w:rFonts w:ascii="Arial" w:cs="Arial" w:eastAsia="Arial" w:hAnsi="Arial"/>
          <w:sz w:val="17"/>
          <w:szCs w:val="17"/>
          <w:color w:val="auto"/>
        </w:rPr>
        <w:t>11.8 Participations.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w:t>
      </w:r>
    </w:p>
    <w:p>
      <w:pPr>
        <w:spacing w:after="0" w:line="18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40"/>
          </w:cols>
          <w:pgMar w:left="1000" w:top="690" w:right="459" w:bottom="1440" w:gutter="0" w:footer="0" w:header="0"/>
        </w:sectPr>
      </w:pPr>
    </w:p>
    <w:bookmarkStart w:id="468" w:name="page469"/>
    <w:bookmarkEnd w:id="468"/>
    <w:p>
      <w:pPr>
        <w:ind w:right="820"/>
        <w:spacing w:after="0" w:line="275" w:lineRule="auto"/>
        <w:rPr>
          <w:sz w:val="20"/>
          <w:szCs w:val="20"/>
          <w:color w:val="auto"/>
        </w:rPr>
      </w:pPr>
      <w:r>
        <w:rPr>
          <w:rFonts w:ascii="Arial" w:cs="Arial" w:eastAsia="Arial" w:hAnsi="Arial"/>
          <w:sz w:val="18"/>
          <w:szCs w:val="18"/>
          <w:color w:val="auto"/>
        </w:rPr>
        <w:t>entitled to receive, except to the extent such entitlement to receive a greater payment results from a change in law that occurs after the participant acquired the applicable participation.</w:t>
      </w:r>
    </w:p>
    <w:p>
      <w:pPr>
        <w:spacing w:after="0" w:line="171" w:lineRule="exact"/>
        <w:rPr>
          <w:sz w:val="20"/>
          <w:szCs w:val="20"/>
          <w:color w:val="auto"/>
        </w:rPr>
      </w:pPr>
    </w:p>
    <w:p>
      <w:pPr>
        <w:ind w:right="60" w:firstLine="646"/>
        <w:spacing w:after="0" w:line="256" w:lineRule="auto"/>
        <w:rPr>
          <w:sz w:val="20"/>
          <w:szCs w:val="20"/>
          <w:color w:val="auto"/>
        </w:rPr>
      </w:pPr>
      <w:r>
        <w:rPr>
          <w:rFonts w:ascii="Arial" w:cs="Arial" w:eastAsia="Arial" w:hAnsi="Arial"/>
          <w:sz w:val="18"/>
          <w:szCs w:val="18"/>
          <w:color w:val="auto"/>
        </w:rPr>
        <w:t>11.9 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(other than the Warrant) shall be governed by, and construed and enforced in accordance with, the laws of the State of California, excluding conflict of laws principles that would cause the application of laws of any other jurisdiction.</w:t>
      </w:r>
    </w:p>
    <w:p>
      <w:pPr>
        <w:spacing w:after="0" w:line="201" w:lineRule="exact"/>
        <w:rPr>
          <w:sz w:val="20"/>
          <w:szCs w:val="20"/>
          <w:color w:val="auto"/>
        </w:rPr>
      </w:pPr>
    </w:p>
    <w:p>
      <w:pPr>
        <w:ind w:firstLine="646"/>
        <w:spacing w:after="0" w:line="252" w:lineRule="auto"/>
        <w:rPr>
          <w:sz w:val="20"/>
          <w:szCs w:val="20"/>
          <w:color w:val="auto"/>
        </w:rPr>
      </w:pPr>
      <w:r>
        <w:rPr>
          <w:rFonts w:ascii="Arial" w:cs="Arial" w:eastAsia="Arial" w:hAnsi="Arial"/>
          <w:sz w:val="18"/>
          <w:szCs w:val="18"/>
          <w:color w:val="auto"/>
        </w:rPr>
        <w:t>11.10 Consent to Jurisdiction and Venue.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9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Mutual Waiver of Jury Trial / Judicial Reference.</w:t>
      </w:r>
    </w:p>
    <w:p>
      <w:pPr>
        <w:spacing w:after="0" w:line="237" w:lineRule="exact"/>
        <w:rPr>
          <w:sz w:val="20"/>
          <w:szCs w:val="20"/>
          <w:color w:val="auto"/>
        </w:rPr>
      </w:pPr>
    </w:p>
    <w:p>
      <w:pPr>
        <w:ind w:left="80" w:right="200" w:firstLine="646"/>
        <w:spacing w:after="0" w:line="268" w:lineRule="auto"/>
        <w:tabs>
          <w:tab w:leader="none" w:pos="1642" w:val="left"/>
        </w:tabs>
        <w:numPr>
          <w:ilvl w:val="0"/>
          <w:numId w:val="359"/>
        </w:numPr>
        <w:rPr>
          <w:rFonts w:ascii="Arial" w:cs="Arial" w:eastAsia="Arial" w:hAnsi="Arial"/>
          <w:sz w:val="17"/>
          <w:szCs w:val="17"/>
          <w:color w:val="auto"/>
        </w:rPr>
      </w:pPr>
      <w:r>
        <w:rPr>
          <w:rFonts w:ascii="Arial" w:cs="Arial" w:eastAsia="Arial" w:hAnsi="Arial"/>
          <w:sz w:val="17"/>
          <w:szCs w:val="17"/>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84" w:lineRule="exact"/>
        <w:rPr>
          <w:rFonts w:ascii="Arial" w:cs="Arial" w:eastAsia="Arial" w:hAnsi="Arial"/>
          <w:sz w:val="17"/>
          <w:szCs w:val="17"/>
          <w:color w:val="auto"/>
        </w:rPr>
      </w:pPr>
    </w:p>
    <w:p>
      <w:pPr>
        <w:ind w:left="80" w:right="420" w:firstLine="646"/>
        <w:spacing w:after="0" w:line="256" w:lineRule="auto"/>
        <w:tabs>
          <w:tab w:leader="none" w:pos="160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8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22860</wp:posOffset>
            </wp:positionV>
            <wp:extent cx="71329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20"/>
          </w:cols>
          <w:pgMar w:left="1000" w:top="690" w:right="479" w:bottom="1440" w:gutter="0" w:footer="0" w:header="0"/>
        </w:sectPr>
      </w:pPr>
    </w:p>
    <w:bookmarkStart w:id="469" w:name="page470"/>
    <w:bookmarkEnd w:id="469"/>
    <w:p>
      <w:pPr>
        <w:ind w:left="80" w:right="40" w:firstLine="646"/>
        <w:spacing w:after="0" w:line="262" w:lineRule="auto"/>
        <w:tabs>
          <w:tab w:leader="none" w:pos="164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p>
    <w:p>
      <w:pPr>
        <w:spacing w:after="0" w:line="197" w:lineRule="exact"/>
        <w:rPr>
          <w:sz w:val="20"/>
          <w:szCs w:val="20"/>
          <w:color w:val="auto"/>
        </w:rPr>
      </w:pPr>
    </w:p>
    <w:p>
      <w:pPr>
        <w:ind w:right="140" w:firstLine="646"/>
        <w:spacing w:after="0" w:line="286" w:lineRule="auto"/>
        <w:rPr>
          <w:sz w:val="20"/>
          <w:szCs w:val="20"/>
          <w:color w:val="auto"/>
        </w:rPr>
      </w:pPr>
      <w:r>
        <w:rPr>
          <w:rFonts w:ascii="Arial" w:cs="Arial" w:eastAsia="Arial" w:hAnsi="Arial"/>
          <w:sz w:val="16"/>
          <w:szCs w:val="16"/>
          <w:color w:val="auto"/>
        </w:rPr>
        <w:t>11.12 Professional Fees. Borrower promises to pay Agent’s and the Lenders’ fees and expenses necessary to finalize the loan documentation, including but not limited to reasonable and documented attorneys’ fees, UCC searches, filing costs, and other miscellaneous expenses; provided that in no event shall such attorneys’ fees be in excess of $85,000. In addition, Borrower promises to pay any and all reasonable and documented attorneys’ and other professionals’ fees and expenses incurred by Agent and the Lenders after the Closing Date in connection with or related to: (a) the Loan; (b) the administration, collection, or enforcement of the Loan; (c) the amendment or modification of the Loan Documents; (d) any waiver, consent, release, or termination under the Loan Documents; (e) in conjunction with exercising rights and remedies after the occurrence and during the continuance of an Event of Default; (f) the protection, preservation, audit, field exam, sale, lease, liquidation, or disposition of Collateral or the exercise of remedies with respect to the Collateral; (g) any legal, litigation, administrative, arbitration, or out of court proceeding in connection with or related to Borrower or the Collateral, and any appeal or review thereof; and (h)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167" w:lineRule="exact"/>
        <w:rPr>
          <w:sz w:val="20"/>
          <w:szCs w:val="20"/>
          <w:color w:val="auto"/>
        </w:rPr>
      </w:pPr>
    </w:p>
    <w:p>
      <w:pPr>
        <w:ind w:firstLine="646"/>
        <w:spacing w:after="0" w:line="284" w:lineRule="auto"/>
        <w:rPr>
          <w:sz w:val="20"/>
          <w:szCs w:val="20"/>
          <w:color w:val="auto"/>
        </w:rPr>
      </w:pPr>
      <w:r>
        <w:rPr>
          <w:rFonts w:ascii="Arial" w:cs="Arial" w:eastAsia="Arial" w:hAnsi="Arial"/>
          <w:sz w:val="16"/>
          <w:szCs w:val="16"/>
          <w:color w:val="auto"/>
        </w:rPr>
        <w:t>11.13 Confidentiality. Agent and the Lenders acknowledge that certain items of Collateral and information provided to Agent and the Lenders by Borrower are confidential and proprietary information of Borrower, if and to the extent such information either (x) is marked as confidential by Borrower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the Borrower;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w:t>
      </w:r>
    </w:p>
    <w:p>
      <w:pPr>
        <w:spacing w:after="0" w:line="38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22860</wp:posOffset>
            </wp:positionV>
            <wp:extent cx="71329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60"/>
          </w:cols>
          <w:pgMar w:left="1000" w:top="771" w:right="439" w:bottom="1440" w:gutter="0" w:footer="0" w:header="0"/>
        </w:sectPr>
      </w:pPr>
    </w:p>
    <w:bookmarkStart w:id="470" w:name="page471"/>
    <w:bookmarkEnd w:id="470"/>
    <w:p>
      <w:pPr>
        <w:ind w:right="80"/>
        <w:spacing w:after="0" w:line="290" w:lineRule="auto"/>
        <w:rPr>
          <w:sz w:val="20"/>
          <w:szCs w:val="20"/>
          <w:color w:val="auto"/>
        </w:rPr>
      </w:pPr>
      <w:r>
        <w:rPr>
          <w:rFonts w:ascii="Arial" w:cs="Arial" w:eastAsia="Arial" w:hAnsi="Arial"/>
          <w:sz w:val="16"/>
          <w:szCs w:val="16"/>
          <w:color w:val="auto"/>
        </w:rPr>
        <w:t>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confidentiality restrictions that reasonably protect against the disclosure of Confidential Information; (h) otherwise to the extent consisting of general portfolio information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166" w:lineRule="exact"/>
        <w:rPr>
          <w:sz w:val="20"/>
          <w:szCs w:val="20"/>
          <w:color w:val="auto"/>
        </w:rPr>
      </w:pPr>
    </w:p>
    <w:p>
      <w:pPr>
        <w:ind w:right="40" w:firstLine="645"/>
        <w:spacing w:after="0" w:line="272" w:lineRule="auto"/>
        <w:rPr>
          <w:sz w:val="20"/>
          <w:szCs w:val="20"/>
          <w:color w:val="auto"/>
        </w:rPr>
      </w:pPr>
      <w:r>
        <w:rPr>
          <w:rFonts w:ascii="Arial" w:cs="Arial" w:eastAsia="Arial" w:hAnsi="Arial"/>
          <w:sz w:val="17"/>
          <w:szCs w:val="17"/>
          <w:color w:val="auto"/>
        </w:rPr>
        <w:t>11.14 Assignment of Rights. Borrower acknowledges and understands that Agent or the Lenders may, subject to Section 11.7,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w:t>
      </w:r>
    </w:p>
    <w:p>
      <w:pPr>
        <w:spacing w:after="0" w:line="191" w:lineRule="exact"/>
        <w:rPr>
          <w:sz w:val="20"/>
          <w:szCs w:val="20"/>
          <w:color w:val="auto"/>
        </w:rPr>
      </w:pPr>
    </w:p>
    <w:p>
      <w:pPr>
        <w:ind w:firstLine="646"/>
        <w:spacing w:after="0" w:line="268" w:lineRule="auto"/>
        <w:rPr>
          <w:sz w:val="20"/>
          <w:szCs w:val="20"/>
          <w:color w:val="auto"/>
        </w:rPr>
      </w:pPr>
      <w:r>
        <w:rPr>
          <w:rFonts w:ascii="Arial" w:cs="Arial" w:eastAsia="Arial" w:hAnsi="Arial"/>
          <w:sz w:val="17"/>
          <w:szCs w:val="17"/>
          <w:color w:val="auto"/>
        </w:rPr>
        <w:t>11.15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82" w:lineRule="exact"/>
        <w:rPr>
          <w:sz w:val="20"/>
          <w:szCs w:val="20"/>
          <w:color w:val="auto"/>
        </w:rPr>
      </w:pPr>
    </w:p>
    <w:p>
      <w:pPr>
        <w:jc w:val="both"/>
        <w:ind w:right="80" w:firstLine="646"/>
        <w:spacing w:after="0" w:line="262" w:lineRule="auto"/>
        <w:rPr>
          <w:sz w:val="20"/>
          <w:szCs w:val="20"/>
          <w:color w:val="auto"/>
        </w:rPr>
      </w:pPr>
      <w:r>
        <w:rPr>
          <w:rFonts w:ascii="Arial" w:cs="Arial" w:eastAsia="Arial" w:hAnsi="Arial"/>
          <w:sz w:val="18"/>
          <w:szCs w:val="18"/>
          <w:color w:val="auto"/>
        </w:rPr>
        <w:t>11.16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97" w:lineRule="exact"/>
        <w:rPr>
          <w:sz w:val="20"/>
          <w:szCs w:val="20"/>
          <w:color w:val="auto"/>
        </w:rPr>
      </w:pPr>
    </w:p>
    <w:p>
      <w:pPr>
        <w:ind w:right="20" w:firstLine="646"/>
        <w:spacing w:after="0" w:line="258" w:lineRule="auto"/>
        <w:rPr>
          <w:sz w:val="20"/>
          <w:szCs w:val="20"/>
          <w:color w:val="auto"/>
        </w:rPr>
      </w:pPr>
      <w:r>
        <w:rPr>
          <w:rFonts w:ascii="Arial" w:cs="Arial" w:eastAsia="Arial" w:hAnsi="Arial"/>
          <w:sz w:val="18"/>
          <w:szCs w:val="18"/>
          <w:color w:val="auto"/>
        </w:rPr>
        <w:t>11.17 No Third 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Borrower.</w:t>
      </w:r>
    </w:p>
    <w:p>
      <w:pPr>
        <w:spacing w:after="0" w:line="18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40"/>
          </w:cols>
          <w:pgMar w:left="1000" w:top="690" w:right="459" w:bottom="1440" w:gutter="0" w:footer="0" w:header="0"/>
        </w:sectPr>
      </w:pPr>
    </w:p>
    <w:bookmarkStart w:id="471" w:name="page472"/>
    <w:bookmarkEnd w:id="471"/>
    <w:p>
      <w:pPr>
        <w:ind w:left="640"/>
        <w:spacing w:after="0"/>
        <w:tabs>
          <w:tab w:leader="none" w:pos="130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color w:val="auto"/>
        </w:rPr>
        <w:t>Agency. Agent and each Lender hereby agree to the terms and conditions set forth on Addendum 3 attached hereto.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Borrower acknowledges and agrees to the terms and conditions set forth on Addendum 3 attached hereto.</w:t>
      </w:r>
    </w:p>
    <w:p>
      <w:pPr>
        <w:spacing w:after="0" w:line="222" w:lineRule="exact"/>
        <w:rPr>
          <w:sz w:val="20"/>
          <w:szCs w:val="20"/>
          <w:color w:val="auto"/>
        </w:rPr>
      </w:pPr>
    </w:p>
    <w:p>
      <w:pPr>
        <w:ind w:firstLine="646"/>
        <w:spacing w:after="0" w:line="269" w:lineRule="auto"/>
        <w:rPr>
          <w:sz w:val="20"/>
          <w:szCs w:val="20"/>
          <w:color w:val="auto"/>
        </w:rPr>
      </w:pPr>
      <w:r>
        <w:rPr>
          <w:rFonts w:ascii="Arial" w:cs="Arial" w:eastAsia="Arial" w:hAnsi="Arial"/>
          <w:sz w:val="17"/>
          <w:szCs w:val="17"/>
          <w:color w:val="auto"/>
        </w:rPr>
        <w:t>11.19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81" w:lineRule="exact"/>
        <w:rPr>
          <w:sz w:val="20"/>
          <w:szCs w:val="20"/>
          <w:color w:val="auto"/>
        </w:rPr>
      </w:pPr>
    </w:p>
    <w:p>
      <w:pPr>
        <w:ind w:right="40" w:firstLine="646"/>
        <w:spacing w:after="0" w:line="270" w:lineRule="auto"/>
        <w:rPr>
          <w:sz w:val="20"/>
          <w:szCs w:val="20"/>
          <w:color w:val="auto"/>
        </w:rPr>
      </w:pPr>
      <w:r>
        <w:rPr>
          <w:rFonts w:ascii="Arial" w:cs="Arial" w:eastAsia="Arial" w:hAnsi="Arial"/>
          <w:sz w:val="17"/>
          <w:szCs w:val="17"/>
          <w:color w:val="auto"/>
        </w:rPr>
        <w:t>11.20 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200" w:lineRule="exact"/>
        <w:rPr>
          <w:sz w:val="20"/>
          <w:szCs w:val="20"/>
          <w:color w:val="auto"/>
        </w:rPr>
      </w:pPr>
    </w:p>
    <w:p>
      <w:pPr>
        <w:spacing w:after="0" w:line="35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(SIGNATURES TO FOLLOW)</w:t>
      </w:r>
    </w:p>
    <w:p>
      <w:pPr>
        <w:spacing w:after="0" w:line="3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9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400"/>
          </w:cols>
          <w:pgMar w:left="1000" w:top="771" w:right="499" w:bottom="1440" w:gutter="0" w:footer="0" w:header="0"/>
        </w:sectPr>
      </w:pPr>
    </w:p>
    <w:bookmarkStart w:id="472" w:name="page473"/>
    <w:bookmarkEnd w:id="472"/>
    <w:p>
      <w:pPr>
        <w:ind w:left="120"/>
        <w:spacing w:after="0"/>
        <w:rPr>
          <w:sz w:val="20"/>
          <w:szCs w:val="20"/>
          <w:color w:val="auto"/>
        </w:rPr>
      </w:pPr>
      <w:r>
        <w:rPr>
          <w:rFonts w:ascii="Arial" w:cs="Arial" w:eastAsia="Arial" w:hAnsi="Arial"/>
          <w:sz w:val="18"/>
          <w:szCs w:val="18"/>
          <w:u w:val="single" w:color="auto"/>
          <w:color w:val="auto"/>
        </w:rPr>
        <w:t>CONFIDENTIAL</w:t>
      </w:r>
    </w:p>
    <w:p>
      <w:pPr>
        <w:spacing w:after="0" w:line="200" w:lineRule="exact"/>
        <w:rPr>
          <w:sz w:val="20"/>
          <w:szCs w:val="20"/>
          <w:color w:val="auto"/>
        </w:rPr>
      </w:pPr>
    </w:p>
    <w:p>
      <w:pPr>
        <w:spacing w:after="0" w:line="239" w:lineRule="exact"/>
        <w:rPr>
          <w:sz w:val="20"/>
          <w:szCs w:val="20"/>
          <w:color w:val="auto"/>
        </w:rPr>
      </w:pPr>
    </w:p>
    <w:p>
      <w:pPr>
        <w:ind w:right="40" w:firstLine="646"/>
        <w:spacing w:after="0" w:line="275" w:lineRule="auto"/>
        <w:rPr>
          <w:sz w:val="20"/>
          <w:szCs w:val="20"/>
          <w:color w:val="auto"/>
        </w:rPr>
      </w:pPr>
      <w:r>
        <w:rPr>
          <w:rFonts w:ascii="Arial" w:cs="Arial" w:eastAsia="Arial" w:hAnsi="Arial"/>
          <w:sz w:val="18"/>
          <w:szCs w:val="18"/>
          <w:color w:val="auto"/>
        </w:rPr>
        <w:t>IN WITNESS WHEREOF, Borrower, Agent and the lenders have duly executed and delivered this Loan and Security Agreement as of the day and year first above written.</w:t>
      </w: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BORROWER:</w:t>
      </w:r>
    </w:p>
    <w:p>
      <w:pPr>
        <w:spacing w:after="0" w:line="2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CENTURY THERAPEUTICS, LLC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ind w:left="5280"/>
              <w:spacing w:after="0"/>
              <w:rPr>
                <w:sz w:val="20"/>
                <w:szCs w:val="20"/>
                <w:color w:val="auto"/>
              </w:rPr>
            </w:pPr>
            <w:r>
              <w:rPr>
                <w:rFonts w:ascii="Arial" w:cs="Arial" w:eastAsia="Arial" w:hAnsi="Arial"/>
                <w:sz w:val="18"/>
                <w:szCs w:val="18"/>
                <w:color w:val="auto"/>
              </w:rPr>
              <w:t>Signature:</w:t>
            </w:r>
          </w:p>
        </w:tc>
        <w:tc>
          <w:tcPr>
            <w:tcW w:w="44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Carr</w:t>
            </w:r>
          </w:p>
        </w:tc>
      </w:tr>
      <w:tr>
        <w:trPr>
          <w:trHeight w:val="424"/>
        </w:trPr>
        <w:tc>
          <w:tcPr>
            <w:tcW w:w="7480" w:type="dxa"/>
            <w:vAlign w:val="bottom"/>
          </w:tcPr>
          <w:p>
            <w:pPr>
              <w:ind w:left="5280"/>
              <w:spacing w:after="0"/>
              <w:rPr>
                <w:sz w:val="20"/>
                <w:szCs w:val="20"/>
                <w:color w:val="auto"/>
              </w:rPr>
            </w:pPr>
            <w:r>
              <w:rPr>
                <w:rFonts w:ascii="Arial" w:cs="Arial" w:eastAsia="Arial" w:hAnsi="Arial"/>
                <w:sz w:val="18"/>
                <w:szCs w:val="18"/>
                <w:color w:val="auto"/>
              </w:rPr>
              <w:t>Print Name:</w:t>
            </w:r>
          </w:p>
        </w:tc>
        <w:tc>
          <w:tcPr>
            <w:tcW w:w="440" w:type="dxa"/>
            <w:vAlign w:val="bottom"/>
          </w:tcPr>
          <w:p>
            <w:pPr>
              <w:spacing w:after="0"/>
              <w:rPr>
                <w:sz w:val="24"/>
                <w:szCs w:val="24"/>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Douglas Carr</w:t>
            </w:r>
          </w:p>
        </w:tc>
      </w:tr>
      <w:tr>
        <w:trPr>
          <w:trHeight w:val="424"/>
        </w:trPr>
        <w:tc>
          <w:tcPr>
            <w:tcW w:w="7480" w:type="dxa"/>
            <w:vAlign w:val="bottom"/>
          </w:tcPr>
          <w:p>
            <w:pPr>
              <w:ind w:left="5280"/>
              <w:spacing w:after="0"/>
              <w:rPr>
                <w:sz w:val="20"/>
                <w:szCs w:val="20"/>
                <w:color w:val="auto"/>
              </w:rPr>
            </w:pPr>
            <w:r>
              <w:rPr>
                <w:rFonts w:ascii="Arial" w:cs="Arial" w:eastAsia="Arial" w:hAnsi="Arial"/>
                <w:sz w:val="18"/>
                <w:szCs w:val="18"/>
                <w:color w:val="auto"/>
              </w:rPr>
              <w:t>Title:</w:t>
            </w:r>
          </w:p>
        </w:tc>
        <w:tc>
          <w:tcPr>
            <w:tcW w:w="440" w:type="dxa"/>
            <w:vAlign w:val="bottom"/>
          </w:tcPr>
          <w:p>
            <w:pPr>
              <w:spacing w:after="0"/>
              <w:rPr>
                <w:sz w:val="24"/>
                <w:szCs w:val="24"/>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Finance &amp; Operations</w:t>
            </w:r>
          </w:p>
        </w:tc>
      </w:tr>
      <w:tr>
        <w:trPr>
          <w:trHeight w:val="639"/>
        </w:trPr>
        <w:tc>
          <w:tcPr>
            <w:tcW w:w="7480" w:type="dxa"/>
            <w:vAlign w:val="bottom"/>
          </w:tcPr>
          <w:p>
            <w:pPr>
              <w:spacing w:after="0"/>
              <w:rPr>
                <w:sz w:val="20"/>
                <w:szCs w:val="20"/>
                <w:color w:val="auto"/>
              </w:rPr>
            </w:pPr>
            <w:r>
              <w:rPr>
                <w:rFonts w:ascii="Arial" w:cs="Arial" w:eastAsia="Arial" w:hAnsi="Arial"/>
                <w:sz w:val="18"/>
                <w:szCs w:val="18"/>
                <w:color w:val="auto"/>
              </w:rPr>
              <w:t>Accepted in Palo Alto, California:</w:t>
            </w: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46"/>
        </w:trPr>
        <w:tc>
          <w:tcPr>
            <w:tcW w:w="7480" w:type="dxa"/>
            <w:vAlign w:val="bottom"/>
          </w:tcPr>
          <w:p>
            <w:pPr>
              <w:ind w:left="5280"/>
              <w:spacing w:after="0"/>
              <w:rPr>
                <w:sz w:val="20"/>
                <w:szCs w:val="20"/>
                <w:color w:val="auto"/>
              </w:rPr>
            </w:pPr>
            <w:r>
              <w:rPr>
                <w:rFonts w:ascii="Arial" w:cs="Arial" w:eastAsia="Arial" w:hAnsi="Arial"/>
                <w:sz w:val="18"/>
                <w:szCs w:val="18"/>
                <w:color w:val="auto"/>
              </w:rPr>
              <w:t>AGENT:</w:t>
            </w: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30"/>
        </w:trPr>
        <w:tc>
          <w:tcPr>
            <w:tcW w:w="7480" w:type="dxa"/>
            <w:vAlign w:val="bottom"/>
          </w:tcPr>
          <w:p>
            <w:pPr>
              <w:ind w:left="5320"/>
              <w:spacing w:after="0"/>
              <w:rPr>
                <w:sz w:val="20"/>
                <w:szCs w:val="20"/>
                <w:color w:val="auto"/>
              </w:rPr>
            </w:pPr>
            <w:r>
              <w:rPr>
                <w:rFonts w:ascii="Arial" w:cs="Arial" w:eastAsia="Arial" w:hAnsi="Arial"/>
                <w:sz w:val="18"/>
                <w:szCs w:val="18"/>
                <w:color w:val="auto"/>
                <w:w w:val="95"/>
              </w:rPr>
              <w:t>HERCULES CAPITAL, INC.</w:t>
            </w: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30"/>
        </w:trPr>
        <w:tc>
          <w:tcPr>
            <w:tcW w:w="7480" w:type="dxa"/>
            <w:vAlign w:val="bottom"/>
          </w:tcPr>
          <w:p>
            <w:pPr>
              <w:ind w:left="5280"/>
              <w:spacing w:after="0"/>
              <w:rPr>
                <w:sz w:val="20"/>
                <w:szCs w:val="20"/>
                <w:color w:val="auto"/>
              </w:rPr>
            </w:pPr>
            <w:r>
              <w:rPr>
                <w:rFonts w:ascii="Arial" w:cs="Arial" w:eastAsia="Arial" w:hAnsi="Arial"/>
                <w:sz w:val="18"/>
                <w:szCs w:val="18"/>
                <w:color w:val="auto"/>
              </w:rPr>
              <w:t>Signature:</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Jennifer Choe</w:t>
            </w:r>
          </w:p>
        </w:tc>
      </w:tr>
      <w:tr>
        <w:trPr>
          <w:trHeight w:val="424"/>
        </w:trPr>
        <w:tc>
          <w:tcPr>
            <w:tcW w:w="7480" w:type="dxa"/>
            <w:vAlign w:val="bottom"/>
          </w:tcPr>
          <w:p>
            <w:pPr>
              <w:ind w:left="5280"/>
              <w:spacing w:after="0"/>
              <w:rPr>
                <w:sz w:val="20"/>
                <w:szCs w:val="20"/>
                <w:color w:val="auto"/>
              </w:rPr>
            </w:pPr>
            <w:r>
              <w:rPr>
                <w:rFonts w:ascii="Arial" w:cs="Arial" w:eastAsia="Arial" w:hAnsi="Arial"/>
                <w:sz w:val="18"/>
                <w:szCs w:val="18"/>
                <w:color w:val="auto"/>
              </w:rPr>
              <w:t>Print name:</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Jennifer Choe</w:t>
            </w:r>
          </w:p>
        </w:tc>
      </w:tr>
      <w:tr>
        <w:trPr>
          <w:trHeight w:val="424"/>
        </w:trPr>
        <w:tc>
          <w:tcPr>
            <w:tcW w:w="7480" w:type="dxa"/>
            <w:vAlign w:val="bottom"/>
          </w:tcPr>
          <w:p>
            <w:pPr>
              <w:ind w:left="5280"/>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Associate General Counsel</w:t>
            </w:r>
          </w:p>
        </w:tc>
      </w:tr>
      <w:tr>
        <w:trPr>
          <w:trHeight w:val="424"/>
        </w:trPr>
        <w:tc>
          <w:tcPr>
            <w:tcW w:w="7480" w:type="dxa"/>
            <w:vAlign w:val="bottom"/>
          </w:tcPr>
          <w:p>
            <w:pPr>
              <w:ind w:left="5280"/>
              <w:spacing w:after="0"/>
              <w:rPr>
                <w:sz w:val="20"/>
                <w:szCs w:val="20"/>
                <w:color w:val="auto"/>
              </w:rPr>
            </w:pPr>
            <w:r>
              <w:rPr>
                <w:rFonts w:ascii="Arial" w:cs="Arial" w:eastAsia="Arial" w:hAnsi="Arial"/>
                <w:sz w:val="18"/>
                <w:szCs w:val="18"/>
                <w:b w:val="1"/>
                <w:bCs w:val="1"/>
                <w:color w:val="auto"/>
              </w:rPr>
              <w:t>LENDERS:</w:t>
            </w: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30"/>
        </w:trPr>
        <w:tc>
          <w:tcPr>
            <w:tcW w:w="7480" w:type="dxa"/>
            <w:vAlign w:val="bottom"/>
          </w:tcPr>
          <w:p>
            <w:pPr>
              <w:ind w:left="5280"/>
              <w:spacing w:after="0"/>
              <w:rPr>
                <w:sz w:val="20"/>
                <w:szCs w:val="20"/>
                <w:color w:val="auto"/>
              </w:rPr>
            </w:pPr>
            <w:r>
              <w:rPr>
                <w:rFonts w:ascii="Arial" w:cs="Arial" w:eastAsia="Arial" w:hAnsi="Arial"/>
                <w:sz w:val="18"/>
                <w:szCs w:val="18"/>
                <w:color w:val="auto"/>
                <w:w w:val="97"/>
              </w:rPr>
              <w:t>HERCULES CAPITAL, INC.</w:t>
            </w: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30"/>
        </w:trPr>
        <w:tc>
          <w:tcPr>
            <w:tcW w:w="7480" w:type="dxa"/>
            <w:vAlign w:val="bottom"/>
          </w:tcPr>
          <w:p>
            <w:pPr>
              <w:ind w:left="5280"/>
              <w:spacing w:after="0"/>
              <w:rPr>
                <w:sz w:val="20"/>
                <w:szCs w:val="20"/>
                <w:color w:val="auto"/>
              </w:rPr>
            </w:pPr>
            <w:r>
              <w:rPr>
                <w:rFonts w:ascii="Arial" w:cs="Arial" w:eastAsia="Arial" w:hAnsi="Arial"/>
                <w:sz w:val="18"/>
                <w:szCs w:val="18"/>
                <w:color w:val="auto"/>
              </w:rPr>
              <w:t>Signature:</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Jennifer Choe</w:t>
            </w:r>
          </w:p>
        </w:tc>
      </w:tr>
      <w:tr>
        <w:trPr>
          <w:trHeight w:val="424"/>
        </w:trPr>
        <w:tc>
          <w:tcPr>
            <w:tcW w:w="7480" w:type="dxa"/>
            <w:vAlign w:val="bottom"/>
          </w:tcPr>
          <w:p>
            <w:pPr>
              <w:ind w:left="5280"/>
              <w:spacing w:after="0"/>
              <w:rPr>
                <w:sz w:val="20"/>
                <w:szCs w:val="20"/>
                <w:color w:val="auto"/>
              </w:rPr>
            </w:pPr>
            <w:r>
              <w:rPr>
                <w:rFonts w:ascii="Arial" w:cs="Arial" w:eastAsia="Arial" w:hAnsi="Arial"/>
                <w:sz w:val="18"/>
                <w:szCs w:val="18"/>
                <w:color w:val="auto"/>
              </w:rPr>
              <w:t>Print name:</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Jennifer Choe</w:t>
            </w:r>
          </w:p>
        </w:tc>
      </w:tr>
      <w:tr>
        <w:trPr>
          <w:trHeight w:val="424"/>
        </w:trPr>
        <w:tc>
          <w:tcPr>
            <w:tcW w:w="7480" w:type="dxa"/>
            <w:vAlign w:val="bottom"/>
          </w:tcPr>
          <w:p>
            <w:pPr>
              <w:ind w:left="5280"/>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Associate General Counsel</w:t>
            </w:r>
          </w:p>
        </w:tc>
      </w:tr>
      <w:tr>
        <w:trPr>
          <w:trHeight w:val="639"/>
        </w:trPr>
        <w:tc>
          <w:tcPr>
            <w:tcW w:w="7480" w:type="dxa"/>
            <w:vAlign w:val="bottom"/>
          </w:tcPr>
          <w:p>
            <w:pPr>
              <w:ind w:left="38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Signature Page to Loan and Security Agreement</w:t>
            </w:r>
            <w:r>
              <w:rPr>
                <w:rFonts w:ascii="Arial" w:cs="Arial" w:eastAsia="Arial" w:hAnsi="Arial"/>
                <w:sz w:val="18"/>
                <w:szCs w:val="18"/>
                <w:color w:val="auto"/>
                <w:w w:val="91"/>
              </w:rPr>
              <w:t>]</w:t>
            </w: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46"/>
        </w:trPr>
        <w:tc>
          <w:tcPr>
            <w:tcW w:w="7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9" w:right="33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color w:val="auto"/>
        </w:rPr>
        <w:t>Table of Addenda, Exhibits and Schedules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Addendum 1:</w:t>
            </w:r>
          </w:p>
        </w:tc>
        <w:tc>
          <w:tcPr>
            <w:tcW w:w="9400" w:type="dxa"/>
            <w:vAlign w:val="bottom"/>
          </w:tcPr>
          <w:p>
            <w:pPr>
              <w:ind w:left="420"/>
              <w:spacing w:after="0"/>
              <w:rPr>
                <w:sz w:val="20"/>
                <w:szCs w:val="20"/>
                <w:color w:val="auto"/>
              </w:rPr>
            </w:pPr>
            <w:r>
              <w:rPr>
                <w:rFonts w:ascii="Arial" w:cs="Arial" w:eastAsia="Arial" w:hAnsi="Arial"/>
                <w:sz w:val="18"/>
                <w:szCs w:val="18"/>
                <w:color w:val="auto"/>
              </w:rPr>
              <w:t>Taxes; Increased</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Costs Addendum 2:</w:t>
            </w:r>
          </w:p>
        </w:tc>
        <w:tc>
          <w:tcPr>
            <w:tcW w:w="9400" w:type="dxa"/>
            <w:vAlign w:val="bottom"/>
          </w:tcPr>
          <w:p>
            <w:pPr>
              <w:ind w:left="420"/>
              <w:spacing w:after="0"/>
              <w:rPr>
                <w:sz w:val="20"/>
                <w:szCs w:val="20"/>
                <w:color w:val="auto"/>
              </w:rPr>
            </w:pPr>
            <w:r>
              <w:rPr>
                <w:rFonts w:ascii="Arial" w:cs="Arial" w:eastAsia="Arial" w:hAnsi="Arial"/>
                <w:sz w:val="18"/>
                <w:szCs w:val="18"/>
                <w:color w:val="auto"/>
              </w:rPr>
              <w:t>[Reserved]</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Addendum 3:</w:t>
            </w:r>
          </w:p>
        </w:tc>
        <w:tc>
          <w:tcPr>
            <w:tcW w:w="9400" w:type="dxa"/>
            <w:vAlign w:val="bottom"/>
          </w:tcPr>
          <w:p>
            <w:pPr>
              <w:ind w:left="420"/>
              <w:spacing w:after="0"/>
              <w:rPr>
                <w:sz w:val="20"/>
                <w:szCs w:val="20"/>
                <w:color w:val="auto"/>
              </w:rPr>
            </w:pPr>
            <w:r>
              <w:rPr>
                <w:rFonts w:ascii="Arial" w:cs="Arial" w:eastAsia="Arial" w:hAnsi="Arial"/>
                <w:sz w:val="18"/>
                <w:szCs w:val="18"/>
                <w:color w:val="auto"/>
              </w:rPr>
              <w:t>Agent and Lender Terms</w:t>
            </w:r>
          </w:p>
        </w:tc>
      </w:tr>
      <w:tr>
        <w:trPr>
          <w:trHeight w:val="362"/>
        </w:trPr>
        <w:tc>
          <w:tcPr>
            <w:tcW w:w="1840" w:type="dxa"/>
            <w:vAlign w:val="bottom"/>
          </w:tcPr>
          <w:p>
            <w:pPr>
              <w:spacing w:after="0"/>
              <w:rPr>
                <w:sz w:val="20"/>
                <w:szCs w:val="20"/>
                <w:color w:val="auto"/>
              </w:rPr>
            </w:pPr>
            <w:r>
              <w:rPr>
                <w:rFonts w:ascii="Arial" w:cs="Arial" w:eastAsia="Arial" w:hAnsi="Arial"/>
                <w:sz w:val="18"/>
                <w:szCs w:val="18"/>
                <w:color w:val="auto"/>
              </w:rPr>
              <w:t>Exhibit A:</w:t>
            </w:r>
          </w:p>
        </w:tc>
        <w:tc>
          <w:tcPr>
            <w:tcW w:w="9400" w:type="dxa"/>
            <w:vAlign w:val="bottom"/>
          </w:tcPr>
          <w:p>
            <w:pPr>
              <w:ind w:left="420"/>
              <w:spacing w:after="0"/>
              <w:rPr>
                <w:sz w:val="20"/>
                <w:szCs w:val="20"/>
                <w:color w:val="auto"/>
              </w:rPr>
            </w:pPr>
            <w:r>
              <w:rPr>
                <w:rFonts w:ascii="Arial" w:cs="Arial" w:eastAsia="Arial" w:hAnsi="Arial"/>
                <w:sz w:val="18"/>
                <w:szCs w:val="18"/>
                <w:color w:val="auto"/>
              </w:rPr>
              <w:t>Advance Request</w:t>
            </w:r>
          </w:p>
        </w:tc>
      </w:tr>
      <w:tr>
        <w:trPr>
          <w:trHeight w:val="230"/>
        </w:trPr>
        <w:tc>
          <w:tcPr>
            <w:tcW w:w="184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Attachment to Advance Request</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Exhibit B:</w:t>
            </w:r>
          </w:p>
        </w:tc>
        <w:tc>
          <w:tcPr>
            <w:tcW w:w="9400" w:type="dxa"/>
            <w:vAlign w:val="bottom"/>
          </w:tcPr>
          <w:p>
            <w:pPr>
              <w:ind w:left="420"/>
              <w:spacing w:after="0"/>
              <w:rPr>
                <w:sz w:val="20"/>
                <w:szCs w:val="20"/>
                <w:color w:val="auto"/>
              </w:rPr>
            </w:pPr>
            <w:r>
              <w:rPr>
                <w:rFonts w:ascii="Arial" w:cs="Arial" w:eastAsia="Arial" w:hAnsi="Arial"/>
                <w:sz w:val="18"/>
                <w:szCs w:val="18"/>
                <w:color w:val="auto"/>
              </w:rPr>
              <w:t>Name, Locations, and Other Information for Borrower</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Exhibit C:</w:t>
            </w:r>
          </w:p>
        </w:tc>
        <w:tc>
          <w:tcPr>
            <w:tcW w:w="9400" w:type="dxa"/>
            <w:vAlign w:val="bottom"/>
          </w:tcPr>
          <w:p>
            <w:pPr>
              <w:ind w:left="420"/>
              <w:spacing w:after="0"/>
              <w:rPr>
                <w:sz w:val="20"/>
                <w:szCs w:val="20"/>
                <w:color w:val="auto"/>
              </w:rPr>
            </w:pPr>
            <w:r>
              <w:rPr>
                <w:rFonts w:ascii="Arial" w:cs="Arial" w:eastAsia="Arial" w:hAnsi="Arial"/>
                <w:sz w:val="18"/>
                <w:szCs w:val="18"/>
                <w:color w:val="auto"/>
              </w:rPr>
              <w:t>Borrower’s Patents, Trademarks, Copyrights and Licenses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Exhibit D:</w:t>
            </w:r>
          </w:p>
        </w:tc>
        <w:tc>
          <w:tcPr>
            <w:tcW w:w="9400" w:type="dxa"/>
            <w:vAlign w:val="bottom"/>
          </w:tcPr>
          <w:p>
            <w:pPr>
              <w:ind w:left="420"/>
              <w:spacing w:after="0"/>
              <w:rPr>
                <w:sz w:val="20"/>
                <w:szCs w:val="20"/>
                <w:color w:val="auto"/>
              </w:rPr>
            </w:pPr>
            <w:r>
              <w:rPr>
                <w:rFonts w:ascii="Arial" w:cs="Arial" w:eastAsia="Arial" w:hAnsi="Arial"/>
                <w:sz w:val="18"/>
                <w:szCs w:val="18"/>
                <w:color w:val="auto"/>
              </w:rPr>
              <w:t>Borrower’s Deposit Accounts and Investment Accounts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Exhibit E:</w:t>
            </w:r>
          </w:p>
        </w:tc>
        <w:tc>
          <w:tcPr>
            <w:tcW w:w="9400" w:type="dxa"/>
            <w:vAlign w:val="bottom"/>
          </w:tcPr>
          <w:p>
            <w:pPr>
              <w:ind w:left="420"/>
              <w:spacing w:after="0"/>
              <w:rPr>
                <w:sz w:val="20"/>
                <w:szCs w:val="20"/>
                <w:color w:val="auto"/>
              </w:rPr>
            </w:pPr>
            <w:r>
              <w:rPr>
                <w:rFonts w:ascii="Arial" w:cs="Arial" w:eastAsia="Arial" w:hAnsi="Arial"/>
                <w:sz w:val="18"/>
                <w:szCs w:val="18"/>
                <w:color w:val="auto"/>
              </w:rPr>
              <w:t>Compliance Certificate</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Exhibit F:</w:t>
            </w:r>
          </w:p>
        </w:tc>
        <w:tc>
          <w:tcPr>
            <w:tcW w:w="9400" w:type="dxa"/>
            <w:vAlign w:val="bottom"/>
          </w:tcPr>
          <w:p>
            <w:pPr>
              <w:ind w:left="420"/>
              <w:spacing w:after="0"/>
              <w:rPr>
                <w:sz w:val="20"/>
                <w:szCs w:val="20"/>
                <w:color w:val="auto"/>
              </w:rPr>
            </w:pPr>
            <w:r>
              <w:rPr>
                <w:rFonts w:ascii="Arial" w:cs="Arial" w:eastAsia="Arial" w:hAnsi="Arial"/>
                <w:sz w:val="18"/>
                <w:szCs w:val="18"/>
                <w:color w:val="auto"/>
              </w:rPr>
              <w:t>Joinder Agreement</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Exhibit G:</w:t>
            </w:r>
          </w:p>
        </w:tc>
        <w:tc>
          <w:tcPr>
            <w:tcW w:w="9400" w:type="dxa"/>
            <w:vAlign w:val="bottom"/>
          </w:tcPr>
          <w:p>
            <w:pPr>
              <w:ind w:left="420"/>
              <w:spacing w:after="0"/>
              <w:rPr>
                <w:sz w:val="20"/>
                <w:szCs w:val="20"/>
                <w:color w:val="auto"/>
              </w:rPr>
            </w:pPr>
            <w:r>
              <w:rPr>
                <w:rFonts w:ascii="Arial" w:cs="Arial" w:eastAsia="Arial" w:hAnsi="Arial"/>
                <w:sz w:val="18"/>
                <w:szCs w:val="18"/>
                <w:color w:val="auto"/>
              </w:rPr>
              <w:t>[Reserved]</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Exhibit H:</w:t>
            </w:r>
          </w:p>
        </w:tc>
        <w:tc>
          <w:tcPr>
            <w:tcW w:w="9400" w:type="dxa"/>
            <w:vAlign w:val="bottom"/>
          </w:tcPr>
          <w:p>
            <w:pPr>
              <w:ind w:left="420"/>
              <w:spacing w:after="0"/>
              <w:rPr>
                <w:sz w:val="20"/>
                <w:szCs w:val="20"/>
                <w:color w:val="auto"/>
              </w:rPr>
            </w:pPr>
            <w:r>
              <w:rPr>
                <w:rFonts w:ascii="Arial" w:cs="Arial" w:eastAsia="Arial" w:hAnsi="Arial"/>
                <w:sz w:val="18"/>
                <w:szCs w:val="18"/>
                <w:color w:val="auto"/>
              </w:rPr>
              <w:t>ACH Debit Authorization Agreement</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Exhibit I:</w:t>
            </w:r>
          </w:p>
        </w:tc>
        <w:tc>
          <w:tcPr>
            <w:tcW w:w="9400" w:type="dxa"/>
            <w:vAlign w:val="bottom"/>
          </w:tcPr>
          <w:p>
            <w:pPr>
              <w:ind w:left="420"/>
              <w:spacing w:after="0"/>
              <w:rPr>
                <w:sz w:val="20"/>
                <w:szCs w:val="20"/>
                <w:color w:val="auto"/>
              </w:rPr>
            </w:pPr>
            <w:r>
              <w:rPr>
                <w:rFonts w:ascii="Arial" w:cs="Arial" w:eastAsia="Arial" w:hAnsi="Arial"/>
                <w:sz w:val="18"/>
                <w:szCs w:val="18"/>
                <w:color w:val="auto"/>
              </w:rPr>
              <w:t>[Reserved]</w:t>
            </w:r>
          </w:p>
        </w:tc>
      </w:tr>
      <w:tr>
        <w:trPr>
          <w:trHeight w:val="362"/>
        </w:trPr>
        <w:tc>
          <w:tcPr>
            <w:tcW w:w="1840" w:type="dxa"/>
            <w:vAlign w:val="bottom"/>
          </w:tcPr>
          <w:p>
            <w:pPr>
              <w:spacing w:after="0"/>
              <w:rPr>
                <w:sz w:val="20"/>
                <w:szCs w:val="20"/>
                <w:color w:val="auto"/>
              </w:rPr>
            </w:pPr>
            <w:r>
              <w:rPr>
                <w:rFonts w:ascii="Arial" w:cs="Arial" w:eastAsia="Arial" w:hAnsi="Arial"/>
                <w:sz w:val="18"/>
                <w:szCs w:val="18"/>
                <w:color w:val="auto"/>
              </w:rPr>
              <w:t>Exhibit J-1:</w:t>
            </w:r>
          </w:p>
        </w:tc>
        <w:tc>
          <w:tcPr>
            <w:tcW w:w="9400" w:type="dxa"/>
            <w:vAlign w:val="bottom"/>
          </w:tcPr>
          <w:p>
            <w:pPr>
              <w:ind w:left="420"/>
              <w:spacing w:after="0"/>
              <w:rPr>
                <w:sz w:val="20"/>
                <w:szCs w:val="20"/>
                <w:color w:val="auto"/>
              </w:rPr>
            </w:pPr>
            <w:r>
              <w:rPr>
                <w:rFonts w:ascii="Arial" w:cs="Arial" w:eastAsia="Arial" w:hAnsi="Arial"/>
                <w:sz w:val="18"/>
                <w:szCs w:val="18"/>
                <w:color w:val="auto"/>
                <w:w w:val="94"/>
              </w:rPr>
              <w:t>Form of U.S. Tax Compliance Certificate (For Foreign Lenders That Are Not Partnerships For U.S. Federal Income Tax</w:t>
            </w:r>
          </w:p>
        </w:tc>
      </w:tr>
      <w:tr>
        <w:trPr>
          <w:trHeight w:val="230"/>
        </w:trPr>
        <w:tc>
          <w:tcPr>
            <w:tcW w:w="184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Purposes)</w:t>
            </w:r>
          </w:p>
        </w:tc>
      </w:tr>
      <w:tr>
        <w:trPr>
          <w:trHeight w:val="362"/>
        </w:trPr>
        <w:tc>
          <w:tcPr>
            <w:tcW w:w="1840" w:type="dxa"/>
            <w:vAlign w:val="bottom"/>
          </w:tcPr>
          <w:p>
            <w:pPr>
              <w:spacing w:after="0"/>
              <w:rPr>
                <w:sz w:val="20"/>
                <w:szCs w:val="20"/>
                <w:color w:val="auto"/>
              </w:rPr>
            </w:pPr>
            <w:r>
              <w:rPr>
                <w:rFonts w:ascii="Arial" w:cs="Arial" w:eastAsia="Arial" w:hAnsi="Arial"/>
                <w:sz w:val="18"/>
                <w:szCs w:val="18"/>
                <w:color w:val="auto"/>
              </w:rPr>
              <w:t>Exhibit J-2:</w:t>
            </w:r>
          </w:p>
        </w:tc>
        <w:tc>
          <w:tcPr>
            <w:tcW w:w="9400" w:type="dxa"/>
            <w:vAlign w:val="bottom"/>
          </w:tcPr>
          <w:p>
            <w:pPr>
              <w:ind w:left="420"/>
              <w:spacing w:after="0"/>
              <w:rPr>
                <w:sz w:val="20"/>
                <w:szCs w:val="20"/>
                <w:color w:val="auto"/>
              </w:rPr>
            </w:pPr>
            <w:r>
              <w:rPr>
                <w:rFonts w:ascii="Arial" w:cs="Arial" w:eastAsia="Arial" w:hAnsi="Arial"/>
                <w:sz w:val="18"/>
                <w:szCs w:val="18"/>
                <w:color w:val="auto"/>
                <w:w w:val="91"/>
              </w:rPr>
              <w:t>Form of U.S. Tax Compliance Certificate (For Foreign Participants That Are Not Partnerships For U.S. Federal Income Tax</w:t>
            </w:r>
          </w:p>
        </w:tc>
      </w:tr>
      <w:tr>
        <w:trPr>
          <w:trHeight w:val="230"/>
        </w:trPr>
        <w:tc>
          <w:tcPr>
            <w:tcW w:w="184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Purposes)</w:t>
            </w:r>
          </w:p>
        </w:tc>
      </w:tr>
      <w:tr>
        <w:trPr>
          <w:trHeight w:val="362"/>
        </w:trPr>
        <w:tc>
          <w:tcPr>
            <w:tcW w:w="1840" w:type="dxa"/>
            <w:vAlign w:val="bottom"/>
          </w:tcPr>
          <w:p>
            <w:pPr>
              <w:spacing w:after="0"/>
              <w:rPr>
                <w:sz w:val="20"/>
                <w:szCs w:val="20"/>
                <w:color w:val="auto"/>
              </w:rPr>
            </w:pPr>
            <w:r>
              <w:rPr>
                <w:rFonts w:ascii="Arial" w:cs="Arial" w:eastAsia="Arial" w:hAnsi="Arial"/>
                <w:sz w:val="18"/>
                <w:szCs w:val="18"/>
                <w:color w:val="auto"/>
              </w:rPr>
              <w:t>Exhibit J-3:</w:t>
            </w:r>
          </w:p>
        </w:tc>
        <w:tc>
          <w:tcPr>
            <w:tcW w:w="9400" w:type="dxa"/>
            <w:vAlign w:val="bottom"/>
          </w:tcPr>
          <w:p>
            <w:pPr>
              <w:ind w:left="420"/>
              <w:spacing w:after="0"/>
              <w:rPr>
                <w:sz w:val="20"/>
                <w:szCs w:val="20"/>
                <w:color w:val="auto"/>
              </w:rPr>
            </w:pPr>
            <w:r>
              <w:rPr>
                <w:rFonts w:ascii="Arial" w:cs="Arial" w:eastAsia="Arial" w:hAnsi="Arial"/>
                <w:sz w:val="18"/>
                <w:szCs w:val="18"/>
                <w:color w:val="auto"/>
                <w:w w:val="94"/>
              </w:rPr>
              <w:t>Form of U.S. Tax Compliance Certificate (For Foreign Participants That Are Partnerships For U.S. Federal Income Tax</w:t>
            </w:r>
          </w:p>
        </w:tc>
      </w:tr>
      <w:tr>
        <w:trPr>
          <w:trHeight w:val="230"/>
        </w:trPr>
        <w:tc>
          <w:tcPr>
            <w:tcW w:w="184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Purposes)</w:t>
            </w:r>
          </w:p>
        </w:tc>
      </w:tr>
      <w:tr>
        <w:trPr>
          <w:trHeight w:val="362"/>
        </w:trPr>
        <w:tc>
          <w:tcPr>
            <w:tcW w:w="1840" w:type="dxa"/>
            <w:vAlign w:val="bottom"/>
          </w:tcPr>
          <w:p>
            <w:pPr>
              <w:spacing w:after="0"/>
              <w:rPr>
                <w:sz w:val="20"/>
                <w:szCs w:val="20"/>
                <w:color w:val="auto"/>
              </w:rPr>
            </w:pPr>
            <w:r>
              <w:rPr>
                <w:rFonts w:ascii="Arial" w:cs="Arial" w:eastAsia="Arial" w:hAnsi="Arial"/>
                <w:sz w:val="18"/>
                <w:szCs w:val="18"/>
                <w:color w:val="auto"/>
              </w:rPr>
              <w:t>Exhibit J-4:</w:t>
            </w:r>
          </w:p>
        </w:tc>
        <w:tc>
          <w:tcPr>
            <w:tcW w:w="9400" w:type="dxa"/>
            <w:vAlign w:val="bottom"/>
          </w:tcPr>
          <w:p>
            <w:pPr>
              <w:ind w:left="420"/>
              <w:spacing w:after="0"/>
              <w:rPr>
                <w:sz w:val="20"/>
                <w:szCs w:val="20"/>
                <w:color w:val="auto"/>
              </w:rPr>
            </w:pPr>
            <w:r>
              <w:rPr>
                <w:rFonts w:ascii="Arial" w:cs="Arial" w:eastAsia="Arial" w:hAnsi="Arial"/>
                <w:sz w:val="18"/>
                <w:szCs w:val="18"/>
                <w:color w:val="auto"/>
                <w:w w:val="97"/>
              </w:rPr>
              <w:t>Form of U.S. Tax Compliance Certificate (For Foreign Lenders That Are Partnerships For U.S. Federal Income Tax</w:t>
            </w:r>
          </w:p>
        </w:tc>
      </w:tr>
      <w:tr>
        <w:trPr>
          <w:trHeight w:val="230"/>
        </w:trPr>
        <w:tc>
          <w:tcPr>
            <w:tcW w:w="184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Purposes)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Schedule 1.1</w:t>
            </w:r>
          </w:p>
        </w:tc>
        <w:tc>
          <w:tcPr>
            <w:tcW w:w="9400" w:type="dxa"/>
            <w:vAlign w:val="bottom"/>
          </w:tcPr>
          <w:p>
            <w:pPr>
              <w:ind w:left="420"/>
              <w:spacing w:after="0"/>
              <w:rPr>
                <w:sz w:val="20"/>
                <w:szCs w:val="20"/>
                <w:color w:val="auto"/>
              </w:rPr>
            </w:pPr>
            <w:r>
              <w:rPr>
                <w:rFonts w:ascii="Arial" w:cs="Arial" w:eastAsia="Arial" w:hAnsi="Arial"/>
                <w:sz w:val="18"/>
                <w:szCs w:val="18"/>
                <w:color w:val="auto"/>
              </w:rPr>
              <w:t>Commitments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Schedule 1</w:t>
            </w:r>
          </w:p>
        </w:tc>
        <w:tc>
          <w:tcPr>
            <w:tcW w:w="9400" w:type="dxa"/>
            <w:vAlign w:val="bottom"/>
          </w:tcPr>
          <w:p>
            <w:pPr>
              <w:ind w:left="420"/>
              <w:spacing w:after="0"/>
              <w:rPr>
                <w:sz w:val="20"/>
                <w:szCs w:val="20"/>
                <w:color w:val="auto"/>
              </w:rPr>
            </w:pPr>
            <w:r>
              <w:rPr>
                <w:rFonts w:ascii="Arial" w:cs="Arial" w:eastAsia="Arial" w:hAnsi="Arial"/>
                <w:sz w:val="18"/>
                <w:szCs w:val="18"/>
                <w:color w:val="auto"/>
              </w:rPr>
              <w:t>Subsidiaries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Schedule 1A</w:t>
            </w:r>
          </w:p>
        </w:tc>
        <w:tc>
          <w:tcPr>
            <w:tcW w:w="9400" w:type="dxa"/>
            <w:vAlign w:val="bottom"/>
          </w:tcPr>
          <w:p>
            <w:pPr>
              <w:ind w:left="420"/>
              <w:spacing w:after="0"/>
              <w:rPr>
                <w:sz w:val="20"/>
                <w:szCs w:val="20"/>
                <w:color w:val="auto"/>
              </w:rPr>
            </w:pPr>
            <w:r>
              <w:rPr>
                <w:rFonts w:ascii="Arial" w:cs="Arial" w:eastAsia="Arial" w:hAnsi="Arial"/>
                <w:sz w:val="18"/>
                <w:szCs w:val="18"/>
                <w:color w:val="auto"/>
              </w:rPr>
              <w:t>Existing Permitted Indebtedness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Schedule 1B</w:t>
            </w:r>
          </w:p>
        </w:tc>
        <w:tc>
          <w:tcPr>
            <w:tcW w:w="9400" w:type="dxa"/>
            <w:vAlign w:val="bottom"/>
          </w:tcPr>
          <w:p>
            <w:pPr>
              <w:ind w:left="420"/>
              <w:spacing w:after="0"/>
              <w:rPr>
                <w:sz w:val="20"/>
                <w:szCs w:val="20"/>
                <w:color w:val="auto"/>
              </w:rPr>
            </w:pPr>
            <w:r>
              <w:rPr>
                <w:rFonts w:ascii="Arial" w:cs="Arial" w:eastAsia="Arial" w:hAnsi="Arial"/>
                <w:sz w:val="18"/>
                <w:szCs w:val="18"/>
                <w:color w:val="auto"/>
              </w:rPr>
              <w:t>Existing Permitted Investments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Schedule 1C</w:t>
            </w:r>
          </w:p>
        </w:tc>
        <w:tc>
          <w:tcPr>
            <w:tcW w:w="9400" w:type="dxa"/>
            <w:vAlign w:val="bottom"/>
          </w:tcPr>
          <w:p>
            <w:pPr>
              <w:ind w:left="420"/>
              <w:spacing w:after="0"/>
              <w:rPr>
                <w:sz w:val="20"/>
                <w:szCs w:val="20"/>
                <w:color w:val="auto"/>
              </w:rPr>
            </w:pPr>
            <w:r>
              <w:rPr>
                <w:rFonts w:ascii="Arial" w:cs="Arial" w:eastAsia="Arial" w:hAnsi="Arial"/>
                <w:sz w:val="18"/>
                <w:szCs w:val="18"/>
                <w:color w:val="auto"/>
              </w:rPr>
              <w:t>Existing Permitted Liens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Schedule 5.3</w:t>
            </w:r>
          </w:p>
        </w:tc>
        <w:tc>
          <w:tcPr>
            <w:tcW w:w="9400" w:type="dxa"/>
            <w:vAlign w:val="bottom"/>
          </w:tcPr>
          <w:p>
            <w:pPr>
              <w:ind w:left="420"/>
              <w:spacing w:after="0"/>
              <w:rPr>
                <w:sz w:val="20"/>
                <w:szCs w:val="20"/>
                <w:color w:val="auto"/>
              </w:rPr>
            </w:pPr>
            <w:r>
              <w:rPr>
                <w:rFonts w:ascii="Arial" w:cs="Arial" w:eastAsia="Arial" w:hAnsi="Arial"/>
                <w:sz w:val="18"/>
                <w:szCs w:val="18"/>
                <w:color w:val="auto"/>
              </w:rPr>
              <w:t>Consents, Etc.</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Schedule 5.8</w:t>
            </w:r>
          </w:p>
        </w:tc>
        <w:tc>
          <w:tcPr>
            <w:tcW w:w="9400" w:type="dxa"/>
            <w:vAlign w:val="bottom"/>
          </w:tcPr>
          <w:p>
            <w:pPr>
              <w:ind w:left="420"/>
              <w:spacing w:after="0"/>
              <w:rPr>
                <w:sz w:val="20"/>
                <w:szCs w:val="20"/>
                <w:color w:val="auto"/>
              </w:rPr>
            </w:pPr>
            <w:r>
              <w:rPr>
                <w:rFonts w:ascii="Arial" w:cs="Arial" w:eastAsia="Arial" w:hAnsi="Arial"/>
                <w:sz w:val="18"/>
                <w:szCs w:val="18"/>
                <w:color w:val="auto"/>
              </w:rPr>
              <w:t>Tax Matters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Schedule 5.9</w:t>
            </w:r>
          </w:p>
        </w:tc>
        <w:tc>
          <w:tcPr>
            <w:tcW w:w="9400" w:type="dxa"/>
            <w:vAlign w:val="bottom"/>
          </w:tcPr>
          <w:p>
            <w:pPr>
              <w:ind w:left="420"/>
              <w:spacing w:after="0"/>
              <w:rPr>
                <w:sz w:val="20"/>
                <w:szCs w:val="20"/>
                <w:color w:val="auto"/>
              </w:rPr>
            </w:pPr>
            <w:r>
              <w:rPr>
                <w:rFonts w:ascii="Arial" w:cs="Arial" w:eastAsia="Arial" w:hAnsi="Arial"/>
                <w:sz w:val="18"/>
                <w:szCs w:val="18"/>
                <w:color w:val="auto"/>
              </w:rPr>
              <w:t>Intellectual Property Claims</w:t>
            </w:r>
          </w:p>
        </w:tc>
      </w:tr>
      <w:tr>
        <w:trPr>
          <w:trHeight w:val="377"/>
        </w:trPr>
        <w:tc>
          <w:tcPr>
            <w:tcW w:w="1840" w:type="dxa"/>
            <w:vAlign w:val="bottom"/>
          </w:tcPr>
          <w:p>
            <w:pPr>
              <w:spacing w:after="0"/>
              <w:rPr>
                <w:sz w:val="20"/>
                <w:szCs w:val="20"/>
                <w:color w:val="auto"/>
              </w:rPr>
            </w:pPr>
            <w:r>
              <w:rPr>
                <w:rFonts w:ascii="Arial" w:cs="Arial" w:eastAsia="Arial" w:hAnsi="Arial"/>
                <w:sz w:val="18"/>
                <w:szCs w:val="18"/>
                <w:color w:val="auto"/>
              </w:rPr>
              <w:t>Schedule 5.10</w:t>
            </w:r>
          </w:p>
        </w:tc>
        <w:tc>
          <w:tcPr>
            <w:tcW w:w="9400" w:type="dxa"/>
            <w:vAlign w:val="bottom"/>
          </w:tcPr>
          <w:p>
            <w:pPr>
              <w:ind w:left="420"/>
              <w:spacing w:after="0"/>
              <w:rPr>
                <w:sz w:val="20"/>
                <w:szCs w:val="20"/>
                <w:color w:val="auto"/>
              </w:rPr>
            </w:pPr>
            <w:r>
              <w:rPr>
                <w:rFonts w:ascii="Arial" w:cs="Arial" w:eastAsia="Arial" w:hAnsi="Arial"/>
                <w:sz w:val="18"/>
                <w:szCs w:val="18"/>
                <w:color w:val="auto"/>
              </w:rPr>
              <w:t>Intellectual Property</w:t>
            </w:r>
          </w:p>
        </w:tc>
      </w:tr>
      <w:tr>
        <w:trPr>
          <w:trHeight w:val="679"/>
        </w:trPr>
        <w:tc>
          <w:tcPr>
            <w:tcW w:w="18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37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824" w:right="339" w:bottom="1440" w:gutter="0" w:footer="0" w:header="0"/>
        </w:sectPr>
      </w:pPr>
    </w:p>
    <w:bookmarkStart w:id="474" w:name="page475"/>
    <w:bookmarkEnd w:id="474"/>
    <w:p>
      <w:pPr>
        <w:spacing w:after="0"/>
        <w:rPr>
          <w:sz w:val="20"/>
          <w:szCs w:val="20"/>
          <w:color w:val="auto"/>
        </w:rPr>
      </w:pPr>
      <w:r>
        <w:rPr>
          <w:rFonts w:ascii="Arial" w:cs="Arial" w:eastAsia="Arial" w:hAnsi="Arial"/>
          <w:sz w:val="15"/>
          <w:szCs w:val="15"/>
          <w:color w:val="auto"/>
        </w:rPr>
        <w:t>Schedule 5.11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Borrower Products</w:t>
      </w:r>
    </w:p>
    <w:p>
      <w:pPr>
        <w:spacing w:after="0" w:line="193" w:lineRule="exact"/>
        <w:rPr>
          <w:sz w:val="20"/>
          <w:szCs w:val="20"/>
          <w:color w:val="auto"/>
        </w:rPr>
      </w:pPr>
    </w:p>
    <w:p>
      <w:pPr>
        <w:sectPr>
          <w:pgSz w:w="11900" w:h="16838" w:orient="portrait"/>
          <w:cols w:equalWidth="0" w:num="2">
            <w:col w:w="1540" w:space="720"/>
            <w:col w:w="7879"/>
          </w:cols>
          <w:pgMar w:left="320" w:top="771" w:right="1440" w:bottom="1440" w:gutter="0" w:footer="0" w:header="0"/>
        </w:sectPr>
      </w:pPr>
    </w:p>
    <w:p>
      <w:pPr>
        <w:spacing w:after="0"/>
        <w:rPr>
          <w:sz w:val="20"/>
          <w:szCs w:val="20"/>
          <w:color w:val="auto"/>
        </w:rPr>
      </w:pPr>
      <w:r>
        <w:rPr>
          <w:rFonts w:ascii="Arial" w:cs="Arial" w:eastAsia="Arial" w:hAnsi="Arial"/>
          <w:sz w:val="15"/>
          <w:szCs w:val="15"/>
          <w:color w:val="auto"/>
        </w:rPr>
        <w:t>Schedule 5.14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Capitalization</w:t>
      </w:r>
    </w:p>
    <w:p>
      <w:pPr>
        <w:spacing w:after="0" w:line="200" w:lineRule="exact"/>
        <w:rPr>
          <w:sz w:val="20"/>
          <w:szCs w:val="20"/>
          <w:color w:val="auto"/>
        </w:rPr>
      </w:pPr>
    </w:p>
    <w:p>
      <w:pPr>
        <w:sectPr>
          <w:pgSz w:w="11900" w:h="16838" w:orient="portrait"/>
          <w:cols w:equalWidth="0" w:num="2">
            <w:col w:w="1540" w:space="720"/>
            <w:col w:w="7879"/>
          </w:cols>
          <w:pgMar w:left="320" w:top="771" w:right="1440" w:bottom="1440" w:gutter="0" w:footer="0" w:header="0"/>
          <w:type w:val="continuous"/>
        </w:sectPr>
      </w:pPr>
    </w:p>
    <w:p>
      <w:pPr>
        <w:spacing w:after="0" w:line="356"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9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39"/>
          </w:cols>
          <w:pgMar w:left="320" w:top="771" w:right="1440" w:bottom="1440" w:gutter="0" w:footer="0" w:header="0"/>
          <w:type w:val="continuous"/>
        </w:sectPr>
      </w:pPr>
    </w:p>
    <w:bookmarkStart w:id="475" w:name="page476"/>
    <w:bookmarkEnd w:id="475"/>
    <w:p>
      <w:pPr>
        <w:jc w:val="center"/>
        <w:ind w:right="97"/>
        <w:spacing w:after="0"/>
        <w:rPr>
          <w:sz w:val="20"/>
          <w:szCs w:val="20"/>
          <w:color w:val="auto"/>
        </w:rPr>
      </w:pPr>
      <w:r>
        <w:rPr>
          <w:rFonts w:ascii="Arial" w:cs="Arial" w:eastAsia="Arial" w:hAnsi="Arial"/>
          <w:sz w:val="18"/>
          <w:szCs w:val="18"/>
          <w:b w:val="1"/>
          <w:bCs w:val="1"/>
          <w:color w:val="auto"/>
        </w:rPr>
        <w:t>ADDENDUM 1 to LOAN AND SECURITY AGREEMENT</w:t>
      </w:r>
    </w:p>
    <w:p>
      <w:pPr>
        <w:spacing w:after="0" w:line="27"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TAXES; INCREASED COSTS</w:t>
      </w:r>
    </w:p>
    <w:p>
      <w:pPr>
        <w:spacing w:after="0" w:line="218" w:lineRule="exact"/>
        <w:rPr>
          <w:sz w:val="20"/>
          <w:szCs w:val="20"/>
          <w:color w:val="auto"/>
        </w:rPr>
      </w:pPr>
    </w:p>
    <w:p>
      <w:pPr>
        <w:ind w:left="323" w:hanging="323"/>
        <w:spacing w:after="0"/>
        <w:tabs>
          <w:tab w:leader="none" w:pos="323"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Defined Terms</w:t>
      </w:r>
      <w:r>
        <w:rPr>
          <w:rFonts w:ascii="Arial" w:cs="Arial" w:eastAsia="Arial" w:hAnsi="Arial"/>
          <w:sz w:val="18"/>
          <w:szCs w:val="18"/>
          <w:color w:val="auto"/>
        </w:rPr>
        <w:t>. For purposes of this Addendum 1:</w:t>
      </w:r>
    </w:p>
    <w:p>
      <w:pPr>
        <w:spacing w:after="0" w:line="223" w:lineRule="exact"/>
        <w:rPr>
          <w:rFonts w:ascii="Arial" w:cs="Arial" w:eastAsia="Arial" w:hAnsi="Arial"/>
          <w:sz w:val="18"/>
          <w:szCs w:val="18"/>
          <w:color w:val="auto"/>
        </w:rPr>
      </w:pPr>
    </w:p>
    <w:p>
      <w:pPr>
        <w:ind w:left="923" w:hanging="331"/>
        <w:spacing w:after="0" w:line="280" w:lineRule="auto"/>
        <w:tabs>
          <w:tab w:leader="none" w:pos="923" w:val="left"/>
        </w:tabs>
        <w:numPr>
          <w:ilvl w:val="1"/>
          <w:numId w:val="3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6" w:lineRule="exact"/>
        <w:rPr>
          <w:rFonts w:ascii="Arial" w:cs="Arial" w:eastAsia="Arial" w:hAnsi="Arial"/>
          <w:sz w:val="18"/>
          <w:szCs w:val="18"/>
          <w:color w:val="auto"/>
        </w:rPr>
      </w:pPr>
    </w:p>
    <w:p>
      <w:pPr>
        <w:ind w:left="923" w:right="40" w:hanging="331"/>
        <w:spacing w:after="0" w:line="287" w:lineRule="auto"/>
        <w:tabs>
          <w:tab w:leader="none" w:pos="923" w:val="left"/>
        </w:tabs>
        <w:numPr>
          <w:ilvl w:val="1"/>
          <w:numId w:val="3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spacing w:after="0" w:line="162" w:lineRule="exact"/>
        <w:rPr>
          <w:rFonts w:ascii="Arial" w:cs="Arial" w:eastAsia="Arial" w:hAnsi="Arial"/>
          <w:sz w:val="16"/>
          <w:szCs w:val="16"/>
          <w:color w:val="auto"/>
        </w:rPr>
      </w:pPr>
    </w:p>
    <w:p>
      <w:pPr>
        <w:ind w:left="923" w:right="80" w:hanging="331"/>
        <w:spacing w:after="0" w:line="257" w:lineRule="auto"/>
        <w:tabs>
          <w:tab w:leader="none" w:pos="923" w:val="left"/>
        </w:tabs>
        <w:numPr>
          <w:ilvl w:val="1"/>
          <w:numId w:val="3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6" w:lineRule="exact"/>
        <w:rPr>
          <w:rFonts w:ascii="Arial" w:cs="Arial" w:eastAsia="Arial" w:hAnsi="Arial"/>
          <w:sz w:val="18"/>
          <w:szCs w:val="18"/>
          <w:color w:val="auto"/>
        </w:rPr>
      </w:pPr>
    </w:p>
    <w:p>
      <w:pPr>
        <w:ind w:left="923" w:hanging="331"/>
        <w:spacing w:after="0"/>
        <w:tabs>
          <w:tab w:leader="none" w:pos="923" w:val="left"/>
        </w:tabs>
        <w:numPr>
          <w:ilvl w:val="1"/>
          <w:numId w:val="3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 Lender that is not a U.S. Person.</w:t>
      </w:r>
    </w:p>
    <w:p>
      <w:pPr>
        <w:spacing w:after="0" w:line="236" w:lineRule="exact"/>
        <w:rPr>
          <w:rFonts w:ascii="Arial" w:cs="Arial" w:eastAsia="Arial" w:hAnsi="Arial"/>
          <w:sz w:val="18"/>
          <w:szCs w:val="18"/>
          <w:color w:val="auto"/>
        </w:rPr>
      </w:pPr>
    </w:p>
    <w:p>
      <w:pPr>
        <w:ind w:left="923" w:right="200" w:hanging="331"/>
        <w:spacing w:after="0" w:line="345" w:lineRule="auto"/>
        <w:tabs>
          <w:tab w:leader="none" w:pos="923" w:val="left"/>
        </w:tabs>
        <w:numPr>
          <w:ilvl w:val="1"/>
          <w:numId w:val="3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Taxes</w:t>
      </w:r>
      <w:r>
        <w:rPr>
          <w:rFonts w:ascii="Arial" w:cs="Arial" w:eastAsia="Arial" w:hAnsi="Arial"/>
          <w:sz w:val="16"/>
          <w:szCs w:val="16"/>
          <w:color w:val="auto"/>
        </w:rPr>
        <w:t>” means (i) Taxes, other than Excluded Taxes, imposed on or with respect to any payment made by or on account of any obligation of the Borrower under any Loan Document and (ii) to the extent not otherwise described in clause (i), Other Taxes.</w:t>
      </w:r>
    </w:p>
    <w:p>
      <w:pPr>
        <w:spacing w:after="0" w:line="116" w:lineRule="exact"/>
        <w:rPr>
          <w:rFonts w:ascii="Arial" w:cs="Arial" w:eastAsia="Arial" w:hAnsi="Arial"/>
          <w:sz w:val="16"/>
          <w:szCs w:val="16"/>
          <w:color w:val="auto"/>
        </w:rPr>
      </w:pPr>
    </w:p>
    <w:p>
      <w:pPr>
        <w:jc w:val="both"/>
        <w:ind w:left="923" w:right="80" w:hanging="331"/>
        <w:spacing w:after="0" w:line="302" w:lineRule="auto"/>
        <w:tabs>
          <w:tab w:leader="none" w:pos="923" w:val="left"/>
        </w:tabs>
        <w:numPr>
          <w:ilvl w:val="1"/>
          <w:numId w:val="3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3" w:lineRule="exact"/>
        <w:rPr>
          <w:rFonts w:ascii="Arial" w:cs="Arial" w:eastAsia="Arial" w:hAnsi="Arial"/>
          <w:sz w:val="16"/>
          <w:szCs w:val="16"/>
          <w:color w:val="auto"/>
        </w:rPr>
      </w:pPr>
    </w:p>
    <w:p>
      <w:pPr>
        <w:ind w:left="923" w:right="700" w:hanging="331"/>
        <w:spacing w:after="0" w:line="287" w:lineRule="auto"/>
        <w:tabs>
          <w:tab w:leader="none" w:pos="923" w:val="left"/>
        </w:tabs>
        <w:numPr>
          <w:ilvl w:val="1"/>
          <w:numId w:val="3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Taxes</w:t>
      </w:r>
      <w:r>
        <w:rPr>
          <w:rFonts w:ascii="Arial" w:cs="Arial" w:eastAsia="Arial" w:hAnsi="Arial"/>
          <w:sz w:val="17"/>
          <w:szCs w:val="17"/>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64" w:lineRule="exact"/>
        <w:rPr>
          <w:sz w:val="20"/>
          <w:szCs w:val="20"/>
          <w:color w:val="auto"/>
        </w:rPr>
      </w:pPr>
    </w:p>
    <w:p>
      <w:pPr>
        <w:jc w:val="center"/>
        <w:ind w:right="15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14605</wp:posOffset>
            </wp:positionV>
            <wp:extent cx="71329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23"/>
          </w:cols>
          <w:pgMar w:left="637" w:top="982" w:right="539" w:bottom="1440" w:gutter="0" w:footer="0" w:header="0"/>
        </w:sectPr>
      </w:pPr>
    </w:p>
    <w:bookmarkStart w:id="476" w:name="page477"/>
    <w:bookmarkEnd w:id="476"/>
    <w:p>
      <w:pPr>
        <w:ind w:left="910"/>
        <w:spacing w:after="0"/>
        <w:rPr>
          <w:sz w:val="20"/>
          <w:szCs w:val="20"/>
          <w:color w:val="auto"/>
        </w:rPr>
      </w:pPr>
      <w:r>
        <w:rPr>
          <w:rFonts w:ascii="Arial" w:cs="Arial" w:eastAsia="Arial" w:hAnsi="Arial"/>
          <w:sz w:val="18"/>
          <w:szCs w:val="18"/>
          <w:color w:val="auto"/>
        </w:rPr>
        <w:t>except any such Taxes that are Other Connection Taxes imposed with respect to an assignment.</w:t>
      </w:r>
    </w:p>
    <w:p>
      <w:pPr>
        <w:spacing w:after="0" w:line="219" w:lineRule="exact"/>
        <w:rPr>
          <w:sz w:val="20"/>
          <w:szCs w:val="20"/>
          <w:color w:val="auto"/>
        </w:rPr>
      </w:pPr>
    </w:p>
    <w:p>
      <w:pPr>
        <w:ind w:left="910" w:hanging="331"/>
        <w:spacing w:after="0"/>
        <w:tabs>
          <w:tab w:leader="none" w:pos="91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the Agent or any Lender, as applicable.</w:t>
      </w:r>
    </w:p>
    <w:p>
      <w:pPr>
        <w:spacing w:after="0" w:line="236" w:lineRule="exact"/>
        <w:rPr>
          <w:rFonts w:ascii="Arial" w:cs="Arial" w:eastAsia="Arial" w:hAnsi="Arial"/>
          <w:sz w:val="18"/>
          <w:szCs w:val="18"/>
          <w:color w:val="auto"/>
        </w:rPr>
      </w:pPr>
    </w:p>
    <w:p>
      <w:pPr>
        <w:ind w:left="910" w:hanging="331"/>
        <w:spacing w:after="0"/>
        <w:tabs>
          <w:tab w:leader="none" w:pos="91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the Borrower and the Agent.</w:t>
      </w:r>
    </w:p>
    <w:p>
      <w:pPr>
        <w:spacing w:after="0" w:line="223" w:lineRule="exact"/>
        <w:rPr>
          <w:rFonts w:ascii="Arial" w:cs="Arial" w:eastAsia="Arial" w:hAnsi="Arial"/>
          <w:sz w:val="18"/>
          <w:szCs w:val="18"/>
          <w:color w:val="auto"/>
        </w:rPr>
      </w:pPr>
    </w:p>
    <w:p>
      <w:pPr>
        <w:ind w:left="330" w:right="40" w:hanging="330"/>
        <w:spacing w:after="0" w:line="290" w:lineRule="auto"/>
        <w:tabs>
          <w:tab w:leader="none" w:pos="330" w:val="left"/>
        </w:tabs>
        <w:numPr>
          <w:ilvl w:val="0"/>
          <w:numId w:val="363"/>
        </w:numPr>
        <w:rPr>
          <w:rFonts w:ascii="Arial" w:cs="Arial" w:eastAsia="Arial" w:hAnsi="Arial"/>
          <w:sz w:val="16"/>
          <w:szCs w:val="16"/>
          <w:color w:val="auto"/>
        </w:rPr>
      </w:pPr>
      <w:r>
        <w:rPr>
          <w:rFonts w:ascii="Arial" w:cs="Arial" w:eastAsia="Arial" w:hAnsi="Arial"/>
          <w:sz w:val="16"/>
          <w:szCs w:val="16"/>
          <w:b w:val="1"/>
          <w:bCs w:val="1"/>
          <w:color w:val="auto"/>
        </w:rPr>
        <w:t>Payments Free of Taxes</w:t>
      </w:r>
      <w:r>
        <w:rPr>
          <w:rFonts w:ascii="Arial" w:cs="Arial" w:eastAsia="Arial" w:hAnsi="Arial"/>
          <w:sz w:val="16"/>
          <w:szCs w:val="16"/>
          <w:color w:val="auto"/>
        </w:rPr>
        <w:t>. Any and all payments by or on account of any obligation of the Borrower under any Loan Document shall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58" w:lineRule="exact"/>
        <w:rPr>
          <w:rFonts w:ascii="Arial" w:cs="Arial" w:eastAsia="Arial" w:hAnsi="Arial"/>
          <w:sz w:val="16"/>
          <w:szCs w:val="16"/>
          <w:color w:val="auto"/>
        </w:rPr>
      </w:pPr>
    </w:p>
    <w:p>
      <w:pPr>
        <w:ind w:left="330" w:right="960" w:hanging="330"/>
        <w:spacing w:after="0" w:line="280" w:lineRule="auto"/>
        <w:tabs>
          <w:tab w:leader="none" w:pos="33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Payment of Other Taxes by Borrower</w:t>
      </w:r>
      <w:r>
        <w:rPr>
          <w:rFonts w:ascii="Arial" w:cs="Arial" w:eastAsia="Arial" w:hAnsi="Arial"/>
          <w:sz w:val="18"/>
          <w:szCs w:val="18"/>
          <w:color w:val="auto"/>
        </w:rPr>
        <w:t>. The Borrower shall timely pay to the relevant Governmental Authority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or at the option of the Agent timely reimburse it for the payment of, any Other Taxes.</w:t>
      </w:r>
    </w:p>
    <w:p>
      <w:pPr>
        <w:spacing w:after="0" w:line="176" w:lineRule="exact"/>
        <w:rPr>
          <w:rFonts w:ascii="Arial" w:cs="Arial" w:eastAsia="Arial" w:hAnsi="Arial"/>
          <w:sz w:val="18"/>
          <w:szCs w:val="18"/>
          <w:color w:val="auto"/>
        </w:rPr>
      </w:pPr>
    </w:p>
    <w:p>
      <w:pPr>
        <w:ind w:left="330" w:hanging="330"/>
        <w:spacing w:after="0" w:line="293" w:lineRule="auto"/>
        <w:tabs>
          <w:tab w:leader="none" w:pos="330" w:val="left"/>
        </w:tabs>
        <w:numPr>
          <w:ilvl w:val="0"/>
          <w:numId w:val="363"/>
        </w:numPr>
        <w:rPr>
          <w:rFonts w:ascii="Arial" w:cs="Arial" w:eastAsia="Arial" w:hAnsi="Arial"/>
          <w:sz w:val="16"/>
          <w:szCs w:val="16"/>
          <w:color w:val="auto"/>
        </w:rPr>
      </w:pPr>
      <w:r>
        <w:rPr>
          <w:rFonts w:ascii="Arial" w:cs="Arial" w:eastAsia="Arial" w:hAnsi="Arial"/>
          <w:sz w:val="16"/>
          <w:szCs w:val="16"/>
          <w:b w:val="1"/>
          <w:bCs w:val="1"/>
          <w:color w:val="auto"/>
        </w:rPr>
        <w:t>Indemnification by Borrower</w:t>
      </w:r>
      <w:r>
        <w:rPr>
          <w:rFonts w:ascii="Arial" w:cs="Arial" w:eastAsia="Arial" w:hAnsi="Arial"/>
          <w:sz w:val="16"/>
          <w:szCs w:val="16"/>
          <w:color w:val="auto"/>
        </w:rPr>
        <w:t>. The Borrower shall indemnify each Recipient, within 10 days after demand therefor, for the full amount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58" w:lineRule="exact"/>
        <w:rPr>
          <w:rFonts w:ascii="Arial" w:cs="Arial" w:eastAsia="Arial" w:hAnsi="Arial"/>
          <w:sz w:val="16"/>
          <w:szCs w:val="16"/>
          <w:color w:val="auto"/>
        </w:rPr>
      </w:pPr>
    </w:p>
    <w:p>
      <w:pPr>
        <w:ind w:left="330" w:right="20" w:hanging="330"/>
        <w:spacing w:after="0" w:line="253" w:lineRule="auto"/>
        <w:tabs>
          <w:tab w:leader="none" w:pos="33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Indemnification by the Lenders</w:t>
      </w:r>
      <w:r>
        <w:rPr>
          <w:rFonts w:ascii="Arial" w:cs="Arial" w:eastAsia="Arial" w:hAnsi="Arial"/>
          <w:sz w:val="18"/>
          <w:szCs w:val="18"/>
          <w:color w:val="auto"/>
        </w:rPr>
        <w:t>. Each Lender shall severally indemnify the Agent, within 10 days after demand therefor, for (a)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Indemnified Taxes attributable to such Lender (but only to the extent that the Borrower has not already indemnified the Agent for such Indemnified Taxes and without limiting the obligation of the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p>
    <w:p>
      <w:pPr>
        <w:spacing w:after="0" w:line="199" w:lineRule="exact"/>
        <w:rPr>
          <w:rFonts w:ascii="Arial" w:cs="Arial" w:eastAsia="Arial" w:hAnsi="Arial"/>
          <w:sz w:val="18"/>
          <w:szCs w:val="18"/>
          <w:color w:val="auto"/>
        </w:rPr>
      </w:pPr>
    </w:p>
    <w:p>
      <w:pPr>
        <w:ind w:left="330" w:right="560" w:hanging="330"/>
        <w:spacing w:after="0" w:line="260" w:lineRule="auto"/>
        <w:tabs>
          <w:tab w:leader="none" w:pos="33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Evidence of Payments</w:t>
      </w:r>
      <w:r>
        <w:rPr>
          <w:rFonts w:ascii="Arial" w:cs="Arial" w:eastAsia="Arial" w:hAnsi="Arial"/>
          <w:sz w:val="18"/>
          <w:szCs w:val="18"/>
          <w:color w:val="auto"/>
        </w:rPr>
        <w:t>. As soon as practicable after any payment of Taxes by the Borrower to a Governmental Authority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Addendum 1, the Borrower shall deliver to</w:t>
      </w:r>
    </w:p>
    <w:p>
      <w:pPr>
        <w:spacing w:after="0" w:line="1"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5080</wp:posOffset>
            </wp:positionV>
            <wp:extent cx="71329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710"/>
          </w:cols>
          <w:pgMar w:left="650" w:top="690" w:right="539" w:bottom="1440" w:gutter="0" w:footer="0" w:header="0"/>
        </w:sectPr>
      </w:pPr>
    </w:p>
    <w:bookmarkStart w:id="477" w:name="page478"/>
    <w:bookmarkEnd w:id="477"/>
    <w:p>
      <w:pPr>
        <w:ind w:left="652" w:right="360"/>
        <w:spacing w:after="0" w:line="275" w:lineRule="auto"/>
        <w:rPr>
          <w:sz w:val="20"/>
          <w:szCs w:val="20"/>
          <w:color w:val="auto"/>
        </w:rPr>
      </w:pPr>
      <w:r>
        <w:rPr>
          <w:rFonts w:ascii="Arial" w:cs="Arial" w:eastAsia="Arial" w:hAnsi="Arial"/>
          <w:sz w:val="18"/>
          <w:szCs w:val="18"/>
          <w:color w:val="auto"/>
        </w:rPr>
        <w:t>the Agent the original or a certified copy of a receipt issued by such Governmental Authority evidencing such payment, a copy of the return reporting such payment or other evidence of such payment reasonably satisfactory to the Agent.</w:t>
      </w:r>
    </w:p>
    <w:p>
      <w:pPr>
        <w:spacing w:after="0" w:line="33" w:lineRule="exact"/>
        <w:rPr>
          <w:sz w:val="20"/>
          <w:szCs w:val="20"/>
          <w:color w:val="auto"/>
        </w:rPr>
      </w:pPr>
    </w:p>
    <w:p>
      <w:pPr>
        <w:ind w:left="172" w:hanging="172"/>
        <w:spacing w:after="0"/>
        <w:tabs>
          <w:tab w:leader="none" w:pos="172"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Status of Lenders</w:t>
      </w:r>
    </w:p>
    <w:p>
      <w:pPr>
        <w:spacing w:after="0" w:line="227" w:lineRule="exact"/>
        <w:rPr>
          <w:rFonts w:ascii="Arial" w:cs="Arial" w:eastAsia="Arial" w:hAnsi="Arial"/>
          <w:sz w:val="18"/>
          <w:szCs w:val="18"/>
          <w:color w:val="auto"/>
        </w:rPr>
      </w:pPr>
    </w:p>
    <w:p>
      <w:pPr>
        <w:ind w:left="1232" w:hanging="331"/>
        <w:spacing w:after="0" w:line="287" w:lineRule="auto"/>
        <w:tabs>
          <w:tab w:leader="none" w:pos="1232" w:val="left"/>
        </w:tabs>
        <w:numPr>
          <w:ilvl w:val="1"/>
          <w:numId w:val="364"/>
        </w:numPr>
        <w:rPr>
          <w:rFonts w:ascii="Arial" w:cs="Arial" w:eastAsia="Arial" w:hAnsi="Arial"/>
          <w:sz w:val="16"/>
          <w:szCs w:val="16"/>
          <w:color w:val="auto"/>
        </w:rPr>
      </w:pPr>
      <w:r>
        <w:rPr>
          <w:rFonts w:ascii="Arial" w:cs="Arial" w:eastAsia="Arial" w:hAnsi="Arial"/>
          <w:sz w:val="16"/>
          <w:szCs w:val="16"/>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0" w:lineRule="exact"/>
        <w:rPr>
          <w:rFonts w:ascii="Arial" w:cs="Arial" w:eastAsia="Arial" w:hAnsi="Arial"/>
          <w:sz w:val="16"/>
          <w:szCs w:val="16"/>
          <w:color w:val="auto"/>
        </w:rPr>
      </w:pPr>
    </w:p>
    <w:p>
      <w:pPr>
        <w:ind w:left="1232" w:hanging="331"/>
        <w:spacing w:after="0"/>
        <w:tabs>
          <w:tab w:leader="none" w:pos="123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236" w:lineRule="exact"/>
        <w:rPr>
          <w:rFonts w:ascii="Arial" w:cs="Arial" w:eastAsia="Arial" w:hAnsi="Arial"/>
          <w:sz w:val="18"/>
          <w:szCs w:val="18"/>
          <w:color w:val="auto"/>
        </w:rPr>
      </w:pPr>
    </w:p>
    <w:p>
      <w:pPr>
        <w:ind w:left="1872" w:right="200" w:hanging="258"/>
        <w:spacing w:after="0" w:line="310" w:lineRule="auto"/>
        <w:tabs>
          <w:tab w:leader="none" w:pos="1872" w:val="left"/>
        </w:tabs>
        <w:numPr>
          <w:ilvl w:val="3"/>
          <w:numId w:val="364"/>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48" w:lineRule="exact"/>
        <w:rPr>
          <w:rFonts w:ascii="Arial" w:cs="Arial" w:eastAsia="Arial" w:hAnsi="Arial"/>
          <w:sz w:val="16"/>
          <w:szCs w:val="16"/>
          <w:color w:val="auto"/>
        </w:rPr>
      </w:pPr>
    </w:p>
    <w:p>
      <w:pPr>
        <w:ind w:left="1852" w:right="160" w:hanging="305"/>
        <w:spacing w:after="0" w:line="258" w:lineRule="auto"/>
        <w:tabs>
          <w:tab w:leader="none" w:pos="1852" w:val="left"/>
        </w:tabs>
        <w:numPr>
          <w:ilvl w:val="2"/>
          <w:numId w:val="364"/>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199" w:lineRule="exact"/>
        <w:rPr>
          <w:rFonts w:ascii="Arial" w:cs="Arial" w:eastAsia="Arial" w:hAnsi="Arial"/>
          <w:sz w:val="18"/>
          <w:szCs w:val="18"/>
          <w:color w:val="auto"/>
        </w:rPr>
      </w:pPr>
    </w:p>
    <w:p>
      <w:pPr>
        <w:ind w:left="2512" w:right="160" w:hanging="320"/>
        <w:spacing w:after="0" w:line="272" w:lineRule="auto"/>
        <w:tabs>
          <w:tab w:leader="none" w:pos="2512" w:val="left"/>
        </w:tabs>
        <w:numPr>
          <w:ilvl w:val="4"/>
          <w:numId w:val="364"/>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77" w:lineRule="exact"/>
        <w:rPr>
          <w:rFonts w:ascii="Arial" w:cs="Arial" w:eastAsia="Arial" w:hAnsi="Arial"/>
          <w:sz w:val="17"/>
          <w:szCs w:val="17"/>
          <w:color w:val="auto"/>
        </w:rPr>
      </w:pPr>
    </w:p>
    <w:p>
      <w:pPr>
        <w:ind w:left="2512" w:hanging="320"/>
        <w:spacing w:after="0"/>
        <w:tabs>
          <w:tab w:leader="none" w:pos="2512" w:val="left"/>
        </w:tabs>
        <w:numPr>
          <w:ilvl w:val="4"/>
          <w:numId w:val="364"/>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3" w:lineRule="exact"/>
        <w:rPr>
          <w:rFonts w:ascii="Arial" w:cs="Arial" w:eastAsia="Arial" w:hAnsi="Arial"/>
          <w:sz w:val="18"/>
          <w:szCs w:val="18"/>
          <w:color w:val="auto"/>
        </w:rPr>
      </w:pPr>
    </w:p>
    <w:p>
      <w:pPr>
        <w:ind w:left="2512" w:right="260" w:hanging="320"/>
        <w:spacing w:after="0" w:line="257" w:lineRule="auto"/>
        <w:tabs>
          <w:tab w:leader="none" w:pos="2512" w:val="left"/>
        </w:tabs>
        <w:numPr>
          <w:ilvl w:val="4"/>
          <w:numId w:val="364"/>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w:t>
      </w:r>
    </w:p>
    <w:p>
      <w:pPr>
        <w:spacing w:after="0" w:line="2"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329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052"/>
          </w:cols>
          <w:pgMar w:left="328" w:top="986" w:right="519" w:bottom="1440" w:gutter="0" w:footer="0" w:header="0"/>
        </w:sectPr>
      </w:pPr>
    </w:p>
    <w:bookmarkStart w:id="478" w:name="page479"/>
    <w:bookmarkEnd w:id="478"/>
    <w:p>
      <w:pPr>
        <w:ind w:left="2190" w:right="160"/>
        <w:spacing w:after="0" w:line="290" w:lineRule="auto"/>
        <w:rPr>
          <w:sz w:val="20"/>
          <w:szCs w:val="20"/>
          <w:color w:val="auto"/>
        </w:rPr>
      </w:pPr>
      <w:r>
        <w:rPr>
          <w:rFonts w:ascii="Arial" w:cs="Arial" w:eastAsia="Arial" w:hAnsi="Arial"/>
          <w:sz w:val="16"/>
          <w:szCs w:val="16"/>
          <w:color w:val="auto"/>
        </w:rPr>
        <w:t>substantially in the form of Exhibit J-1 to the effect that such Foreign Lender is not a “bank” within the meaning of Section 881(c)(3)(A) of the Code, a “10 percent shareholder” of the Borrower within the meaning of Section 871(h)(3)</w:t>
      </w:r>
    </w:p>
    <w:p>
      <w:pPr>
        <w:ind w:left="2190"/>
        <w:spacing w:after="0" w:line="254" w:lineRule="auto"/>
        <w:rPr>
          <w:sz w:val="20"/>
          <w:szCs w:val="20"/>
          <w:color w:val="auto"/>
        </w:rPr>
      </w:pPr>
      <w:r>
        <w:rPr>
          <w:rFonts w:ascii="Arial" w:cs="Arial" w:eastAsia="Arial" w:hAnsi="Arial"/>
          <w:sz w:val="18"/>
          <w:szCs w:val="18"/>
          <w:color w:val="auto"/>
        </w:rPr>
        <w:t>(B) of the Code, or a “controlled foreign corporation” related to the Borrower as described in Section 881(c)(3)(C) of the Code (a “</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and (y) executed copies of IRS Form W-8BEN or IRS Form W-8BEN-E; or</w:t>
      </w:r>
    </w:p>
    <w:p>
      <w:pPr>
        <w:spacing w:after="0" w:line="189" w:lineRule="exact"/>
        <w:rPr>
          <w:sz w:val="20"/>
          <w:szCs w:val="20"/>
          <w:color w:val="auto"/>
        </w:rPr>
      </w:pPr>
    </w:p>
    <w:p>
      <w:pPr>
        <w:ind w:left="2190" w:right="120" w:hanging="320"/>
        <w:spacing w:after="0" w:line="292" w:lineRule="auto"/>
        <w:tabs>
          <w:tab w:leader="none" w:pos="2190" w:val="left"/>
        </w:tabs>
        <w:numPr>
          <w:ilvl w:val="3"/>
          <w:numId w:val="365"/>
        </w:numPr>
        <w:rPr>
          <w:rFonts w:ascii="Arial" w:cs="Arial" w:eastAsia="Arial" w:hAnsi="Arial"/>
          <w:sz w:val="16"/>
          <w:szCs w:val="16"/>
          <w:color w:val="auto"/>
        </w:rPr>
      </w:pPr>
      <w:r>
        <w:rPr>
          <w:rFonts w:ascii="Arial" w:cs="Arial" w:eastAsia="Arial" w:hAnsi="Arial"/>
          <w:sz w:val="16"/>
          <w:szCs w:val="16"/>
          <w:color w:val="auto"/>
        </w:rPr>
        <w:t>to the extent a Foreign Lender is not the beneficial owner, executed copies of IRS Form W-8IMY, accompanied by IRS Form W-8ECI, IRS Form W- 8BEN,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177" w:lineRule="exact"/>
        <w:rPr>
          <w:rFonts w:ascii="Arial" w:cs="Arial" w:eastAsia="Arial" w:hAnsi="Arial"/>
          <w:sz w:val="16"/>
          <w:szCs w:val="16"/>
          <w:color w:val="auto"/>
        </w:rPr>
      </w:pPr>
    </w:p>
    <w:p>
      <w:pPr>
        <w:ind w:left="1550" w:right="280" w:hanging="366"/>
        <w:spacing w:after="0" w:line="292" w:lineRule="auto"/>
        <w:tabs>
          <w:tab w:leader="none" w:pos="1550" w:val="left"/>
        </w:tabs>
        <w:numPr>
          <w:ilvl w:val="2"/>
          <w:numId w:val="366"/>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63" w:lineRule="exact"/>
        <w:rPr>
          <w:rFonts w:ascii="Arial" w:cs="Arial" w:eastAsia="Arial" w:hAnsi="Arial"/>
          <w:sz w:val="16"/>
          <w:szCs w:val="16"/>
          <w:color w:val="auto"/>
        </w:rPr>
      </w:pPr>
    </w:p>
    <w:p>
      <w:pPr>
        <w:ind w:left="1530" w:right="140" w:hanging="346"/>
        <w:spacing w:after="0" w:line="269" w:lineRule="auto"/>
        <w:tabs>
          <w:tab w:leader="none" w:pos="1530" w:val="left"/>
        </w:tabs>
        <w:numPr>
          <w:ilvl w:val="2"/>
          <w:numId w:val="366"/>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93" w:lineRule="exact"/>
        <w:rPr>
          <w:rFonts w:ascii="Arial" w:cs="Arial" w:eastAsia="Arial" w:hAnsi="Arial"/>
          <w:sz w:val="17"/>
          <w:szCs w:val="17"/>
          <w:color w:val="auto"/>
        </w:rPr>
      </w:pPr>
    </w:p>
    <w:p>
      <w:pPr>
        <w:ind w:left="910" w:right="500" w:hanging="331"/>
        <w:spacing w:after="0" w:line="340" w:lineRule="auto"/>
        <w:tabs>
          <w:tab w:leader="none" w:pos="91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20" w:lineRule="exact"/>
        <w:rPr>
          <w:rFonts w:ascii="Arial" w:cs="Arial" w:eastAsia="Arial" w:hAnsi="Arial"/>
          <w:sz w:val="16"/>
          <w:szCs w:val="16"/>
          <w:color w:val="auto"/>
        </w:rPr>
      </w:pPr>
    </w:p>
    <w:p>
      <w:pPr>
        <w:ind w:left="330" w:right="700" w:hanging="330"/>
        <w:spacing w:after="0" w:line="260" w:lineRule="auto"/>
        <w:tabs>
          <w:tab w:leader="none" w:pos="33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Treatment of Certain Refunds</w:t>
      </w:r>
      <w:r>
        <w:rPr>
          <w:rFonts w:ascii="Arial" w:cs="Arial" w:eastAsia="Arial" w:hAnsi="Arial"/>
          <w:sz w:val="18"/>
          <w:szCs w:val="18"/>
          <w:color w:val="auto"/>
        </w:rPr>
        <w:t>. If any party determines, in its sole discretion exercised in good faith, that it has received a refund of any</w:t>
      </w:r>
      <w:r>
        <w:rPr>
          <w:rFonts w:ascii="Arial" w:cs="Arial" w:eastAsia="Arial" w:hAnsi="Arial"/>
          <w:sz w:val="18"/>
          <w:szCs w:val="18"/>
          <w:b w:val="1"/>
          <w:bCs w:val="1"/>
          <w:color w:val="auto"/>
        </w:rPr>
        <w:t xml:space="preserve"> </w:t>
      </w:r>
      <w:r>
        <w:rPr>
          <w:rFonts w:ascii="Arial" w:cs="Arial" w:eastAsia="Arial" w:hAnsi="Arial"/>
          <w:sz w:val="18"/>
          <w:szCs w:val="18"/>
          <w:color w:val="auto"/>
        </w:rPr>
        <w:t>Taxes as to which it has been indemnified pursuant to the</w:t>
      </w:r>
    </w:p>
    <w:p>
      <w:pPr>
        <w:spacing w:after="0" w:line="1" w:lineRule="exact"/>
        <w:rPr>
          <w:sz w:val="20"/>
          <w:szCs w:val="20"/>
          <w:color w:val="auto"/>
        </w:rPr>
      </w:pPr>
    </w:p>
    <w:p>
      <w:pPr>
        <w:jc w:val="center"/>
        <w:ind w:right="31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5080</wp:posOffset>
            </wp:positionV>
            <wp:extent cx="71329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870"/>
          </w:cols>
          <w:pgMar w:left="650" w:top="690" w:right="379" w:bottom="1440" w:gutter="0" w:footer="0" w:header="0"/>
        </w:sectPr>
      </w:pPr>
    </w:p>
    <w:bookmarkStart w:id="479" w:name="page480"/>
    <w:bookmarkEnd w:id="479"/>
    <w:p>
      <w:pPr>
        <w:ind w:left="330"/>
        <w:spacing w:after="0" w:line="286" w:lineRule="auto"/>
        <w:rPr>
          <w:sz w:val="20"/>
          <w:szCs w:val="20"/>
          <w:color w:val="auto"/>
        </w:rPr>
      </w:pPr>
      <w:r>
        <w:rPr>
          <w:rFonts w:ascii="Arial" w:cs="Arial" w:eastAsia="Arial" w:hAnsi="Arial"/>
          <w:sz w:val="16"/>
          <w:szCs w:val="16"/>
          <w:color w:val="auto"/>
        </w:rPr>
        <w:t>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spacing w:after="0" w:line="163" w:lineRule="exact"/>
        <w:rPr>
          <w:sz w:val="20"/>
          <w:szCs w:val="20"/>
          <w:color w:val="auto"/>
        </w:rPr>
      </w:pPr>
    </w:p>
    <w:p>
      <w:pPr>
        <w:ind w:left="330" w:right="300" w:hanging="330"/>
        <w:spacing w:after="0" w:line="272" w:lineRule="auto"/>
        <w:tabs>
          <w:tab w:leader="none" w:pos="330" w:val="left"/>
        </w:tabs>
        <w:numPr>
          <w:ilvl w:val="0"/>
          <w:numId w:val="369"/>
        </w:numPr>
        <w:rPr>
          <w:rFonts w:ascii="Arial" w:cs="Arial" w:eastAsia="Arial" w:hAnsi="Arial"/>
          <w:sz w:val="17"/>
          <w:szCs w:val="17"/>
          <w:color w:val="auto"/>
        </w:rPr>
      </w:pPr>
      <w:r>
        <w:rPr>
          <w:rFonts w:ascii="Arial" w:cs="Arial" w:eastAsia="Arial" w:hAnsi="Arial"/>
          <w:sz w:val="17"/>
          <w:szCs w:val="17"/>
          <w:b w:val="1"/>
          <w:bCs w:val="1"/>
          <w:color w:val="auto"/>
        </w:rPr>
        <w:t>Increased Costs</w:t>
      </w:r>
      <w:r>
        <w:rPr>
          <w:rFonts w:ascii="Arial" w:cs="Arial" w:eastAsia="Arial" w:hAnsi="Arial"/>
          <w:sz w:val="17"/>
          <w:szCs w:val="17"/>
          <w:color w:val="auto"/>
        </w:rPr>
        <w:t>. If any change in applicable law shall subject any Recipient to any Taxes (other than (A) Indemnified Taxes, (B) Taxes</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spacing w:after="0" w:line="184" w:lineRule="exact"/>
        <w:rPr>
          <w:rFonts w:ascii="Arial" w:cs="Arial" w:eastAsia="Arial" w:hAnsi="Arial"/>
          <w:sz w:val="17"/>
          <w:szCs w:val="17"/>
          <w:color w:val="auto"/>
        </w:rPr>
      </w:pPr>
    </w:p>
    <w:p>
      <w:pPr>
        <w:ind w:left="330" w:hanging="330"/>
        <w:spacing w:after="0"/>
        <w:tabs>
          <w:tab w:leader="none" w:pos="330" w:val="left"/>
        </w:tabs>
        <w:numPr>
          <w:ilvl w:val="0"/>
          <w:numId w:val="369"/>
        </w:numPr>
        <w:rPr>
          <w:rFonts w:ascii="Arial" w:cs="Arial" w:eastAsia="Arial" w:hAnsi="Arial"/>
          <w:sz w:val="17"/>
          <w:szCs w:val="17"/>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Each party’s obligations under the provisions of this Addendum 1 shall survive the resignation or replacement of the Agent or any</w:t>
      </w:r>
    </w:p>
    <w:p>
      <w:pPr>
        <w:spacing w:after="0" w:line="38" w:lineRule="exact"/>
        <w:rPr>
          <w:sz w:val="20"/>
          <w:szCs w:val="20"/>
          <w:color w:val="auto"/>
        </w:rPr>
      </w:pPr>
    </w:p>
    <w:p>
      <w:pPr>
        <w:ind w:left="330" w:right="240"/>
        <w:spacing w:after="0" w:line="249" w:lineRule="auto"/>
        <w:rPr>
          <w:sz w:val="20"/>
          <w:szCs w:val="20"/>
          <w:color w:val="auto"/>
        </w:rPr>
      </w:pPr>
      <w:r>
        <w:rPr>
          <w:rFonts w:ascii="Arial" w:cs="Arial" w:eastAsia="Arial" w:hAnsi="Arial"/>
          <w:sz w:val="18"/>
          <w:szCs w:val="18"/>
          <w:color w:val="auto"/>
        </w:rPr>
        <w:t>assignment of rights by, or the replacement of, a Lender, the termination of the Term Commitments and the repayment, satisfaction or discharge of all obligations under any Loan Document.</w:t>
      </w:r>
    </w:p>
    <w:p>
      <w:pPr>
        <w:spacing w:after="0" w:line="1" w:lineRule="exact"/>
        <w:rPr>
          <w:sz w:val="20"/>
          <w:szCs w:val="20"/>
          <w:color w:val="auto"/>
        </w:rPr>
      </w:pPr>
    </w:p>
    <w:p>
      <w:pPr>
        <w:jc w:val="center"/>
        <w:ind w:right="33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5080</wp:posOffset>
            </wp:positionV>
            <wp:extent cx="71329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890"/>
          </w:cols>
          <w:pgMar w:left="650" w:top="690" w:right="359" w:bottom="1440" w:gutter="0" w:footer="0" w:header="0"/>
        </w:sectPr>
      </w:pPr>
    </w:p>
    <w:bookmarkStart w:id="480" w:name="page481"/>
    <w:bookmarkEnd w:id="480"/>
    <w:p>
      <w:pPr>
        <w:jc w:val="center"/>
        <w:ind w:right="-40"/>
        <w:spacing w:after="0"/>
        <w:rPr>
          <w:sz w:val="20"/>
          <w:szCs w:val="20"/>
          <w:color w:val="auto"/>
        </w:rPr>
      </w:pPr>
      <w:r>
        <w:rPr>
          <w:rFonts w:ascii="Arial" w:cs="Arial" w:eastAsia="Arial" w:hAnsi="Arial"/>
          <w:sz w:val="17"/>
          <w:szCs w:val="17"/>
          <w:b w:val="1"/>
          <w:bCs w:val="1"/>
          <w:color w:val="auto"/>
        </w:rPr>
        <w:t>ADDENDUM 2 to LOAN AND SECURITY AGREEMENT</w:t>
      </w:r>
    </w:p>
    <w:p>
      <w:pPr>
        <w:sectPr>
          <w:pgSz w:w="11900" w:h="16838" w:orient="portrait"/>
          <w:cols w:equalWidth="0" w:num="1">
            <w:col w:w="9019"/>
          </w:cols>
          <w:pgMar w:left="1440" w:top="996" w:right="1440"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295275</wp:posOffset>
            </wp:positionV>
            <wp:extent cx="71329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019"/>
          </w:cols>
          <w:pgMar w:left="1440" w:top="996" w:right="1440" w:bottom="1440" w:gutter="0" w:footer="0" w:header="0"/>
          <w:type w:val="continuous"/>
        </w:sectPr>
      </w:pPr>
    </w:p>
    <w:bookmarkStart w:id="481" w:name="page482"/>
    <w:bookmarkEnd w:id="481"/>
    <w:p>
      <w:pPr>
        <w:jc w:val="center"/>
        <w:ind w:right="620"/>
        <w:spacing w:after="0"/>
        <w:rPr>
          <w:sz w:val="20"/>
          <w:szCs w:val="20"/>
          <w:color w:val="auto"/>
        </w:rPr>
      </w:pPr>
      <w:r>
        <w:rPr>
          <w:rFonts w:ascii="Arial" w:cs="Arial" w:eastAsia="Arial" w:hAnsi="Arial"/>
          <w:sz w:val="18"/>
          <w:szCs w:val="18"/>
          <w:b w:val="1"/>
          <w:bCs w:val="1"/>
          <w:color w:val="auto"/>
        </w:rPr>
        <w:t>ADDENDUM 3 to LOAN AND SECURITY AGREEMENT</w:t>
      </w:r>
    </w:p>
    <w:p>
      <w:pPr>
        <w:spacing w:after="0" w:line="2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Agent and Lender Terms</w:t>
      </w:r>
    </w:p>
    <w:p>
      <w:pPr>
        <w:spacing w:after="0" w:line="237" w:lineRule="exact"/>
        <w:rPr>
          <w:sz w:val="20"/>
          <w:szCs w:val="20"/>
          <w:color w:val="auto"/>
        </w:rPr>
      </w:pPr>
    </w:p>
    <w:p>
      <w:pPr>
        <w:ind w:right="320" w:firstLine="638"/>
        <w:spacing w:after="0" w:line="285" w:lineRule="auto"/>
        <w:tabs>
          <w:tab w:leader="none" w:pos="1562" w:val="left"/>
        </w:tabs>
        <w:numPr>
          <w:ilvl w:val="0"/>
          <w:numId w:val="370"/>
        </w:numPr>
        <w:rPr>
          <w:rFonts w:ascii="Arial" w:cs="Arial" w:eastAsia="Arial" w:hAnsi="Arial"/>
          <w:sz w:val="17"/>
          <w:szCs w:val="17"/>
          <w:color w:val="auto"/>
        </w:rPr>
      </w:pPr>
      <w:r>
        <w:rPr>
          <w:rFonts w:ascii="Arial" w:cs="Arial" w:eastAsia="Arial" w:hAnsi="Arial"/>
          <w:sz w:val="17"/>
          <w:szCs w:val="17"/>
          <w:color w:val="auto"/>
        </w:rPr>
        <w:t>Each Lender hereby irrevocably appoints Hercules Capital, Inc.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spacing w:after="0" w:line="164" w:lineRule="exact"/>
        <w:rPr>
          <w:rFonts w:ascii="Arial" w:cs="Arial" w:eastAsia="Arial" w:hAnsi="Arial"/>
          <w:sz w:val="17"/>
          <w:szCs w:val="17"/>
          <w:color w:val="auto"/>
        </w:rPr>
      </w:pPr>
    </w:p>
    <w:p>
      <w:pPr>
        <w:ind w:right="40" w:firstLine="638"/>
        <w:spacing w:after="0" w:line="270" w:lineRule="auto"/>
        <w:tabs>
          <w:tab w:leader="none" w:pos="152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Each Lender agrees to indemnify the Agent in its capacity as such (to the extent not reimbursed by Borrower and without limiting the obligation of Borrower to do so), according to its respective Term Commitment percentages (based upon the total outstanding Term Loan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91" w:lineRule="exact"/>
        <w:rPr>
          <w:rFonts w:ascii="Arial" w:cs="Arial" w:eastAsia="Arial" w:hAnsi="Arial"/>
          <w:sz w:val="17"/>
          <w:szCs w:val="17"/>
          <w:color w:val="auto"/>
        </w:rPr>
      </w:pPr>
    </w:p>
    <w:p>
      <w:pPr>
        <w:ind w:left="1560" w:hanging="922"/>
        <w:spacing w:after="0"/>
        <w:tabs>
          <w:tab w:leader="none" w:pos="156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Agent in Its Individual Capacity. The Person serving as the Agent hereunder shall have the same rights and powers in</w:t>
      </w:r>
    </w:p>
    <w:p>
      <w:pPr>
        <w:spacing w:after="0" w:line="4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203" w:lineRule="exact"/>
        <w:rPr>
          <w:sz w:val="20"/>
          <w:szCs w:val="20"/>
          <w:color w:val="auto"/>
        </w:rPr>
      </w:pPr>
    </w:p>
    <w:p>
      <w:pPr>
        <w:ind w:right="180" w:firstLine="638"/>
        <w:spacing w:after="0" w:line="275" w:lineRule="auto"/>
        <w:tabs>
          <w:tab w:leader="none" w:pos="152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Exculpatory Provisions. The Agent shall have no duties or obligations except those expressly set forth herein and in the other Loan Documents. Without limiting the generality of the foregoing, the Agent shall not:</w:t>
      </w:r>
    </w:p>
    <w:p>
      <w:pPr>
        <w:spacing w:after="0" w:line="171" w:lineRule="exact"/>
        <w:rPr>
          <w:rFonts w:ascii="Arial" w:cs="Arial" w:eastAsia="Arial" w:hAnsi="Arial"/>
          <w:sz w:val="18"/>
          <w:szCs w:val="18"/>
          <w:color w:val="auto"/>
        </w:rPr>
      </w:pPr>
    </w:p>
    <w:p>
      <w:pPr>
        <w:ind w:left="1600" w:right="580" w:hanging="320"/>
        <w:spacing w:after="0" w:line="275" w:lineRule="auto"/>
        <w:tabs>
          <w:tab w:leader="none" w:pos="16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be subject to any fiduciary or other implied duties, regardless of whether any default or any Event of Default has occurred and is continuing;</w:t>
      </w:r>
    </w:p>
    <w:p>
      <w:pPr>
        <w:spacing w:after="0" w:line="171" w:lineRule="exact"/>
        <w:rPr>
          <w:rFonts w:ascii="Arial" w:cs="Arial" w:eastAsia="Arial" w:hAnsi="Arial"/>
          <w:sz w:val="18"/>
          <w:szCs w:val="18"/>
          <w:color w:val="auto"/>
        </w:rPr>
      </w:pPr>
    </w:p>
    <w:p>
      <w:pPr>
        <w:ind w:left="1600" w:hanging="320"/>
        <w:spacing w:after="0" w:line="256" w:lineRule="auto"/>
        <w:tabs>
          <w:tab w:leader="none" w:pos="16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200" w:lineRule="exact"/>
        <w:rPr>
          <w:rFonts w:ascii="Arial" w:cs="Arial" w:eastAsia="Arial" w:hAnsi="Arial"/>
          <w:sz w:val="18"/>
          <w:szCs w:val="18"/>
          <w:color w:val="auto"/>
        </w:rPr>
      </w:pPr>
    </w:p>
    <w:p>
      <w:pPr>
        <w:ind w:left="1600" w:right="40" w:hanging="320"/>
        <w:spacing w:after="0" w:line="285" w:lineRule="auto"/>
        <w:tabs>
          <w:tab w:leader="none" w:pos="160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267335</wp:posOffset>
            </wp:positionV>
            <wp:extent cx="71329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260"/>
          </w:cols>
          <w:pgMar w:left="1160" w:top="995" w:right="479" w:bottom="1440" w:gutter="0" w:footer="0" w:header="0"/>
        </w:sectPr>
      </w:pPr>
    </w:p>
    <w:bookmarkStart w:id="482" w:name="page483"/>
    <w:bookmarkEnd w:id="482"/>
    <w:p>
      <w:pPr>
        <w:jc w:val="both"/>
        <w:ind w:left="-280" w:right="840" w:firstLine="638"/>
        <w:spacing w:after="0" w:line="262" w:lineRule="auto"/>
        <w:tabs>
          <w:tab w:leader="none" w:pos="1282"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spacing w:after="0" w:line="183" w:lineRule="exact"/>
        <w:rPr>
          <w:rFonts w:ascii="Arial" w:cs="Arial" w:eastAsia="Arial" w:hAnsi="Arial"/>
          <w:sz w:val="18"/>
          <w:szCs w:val="18"/>
          <w:color w:val="auto"/>
        </w:rPr>
      </w:pPr>
    </w:p>
    <w:p>
      <w:pPr>
        <w:ind w:left="-280" w:firstLine="638"/>
        <w:spacing w:after="0" w:line="284" w:lineRule="auto"/>
        <w:tabs>
          <w:tab w:leader="none" w:pos="126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 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the Lenders unless Agent shall have been provided by the Lenders with adequate security and indemnity against the costs, expenses and liabilities that may be incurred by it in compliance with such request or direction.</w:t>
      </w:r>
    </w:p>
    <w:p>
      <w:pPr>
        <w:spacing w:after="0" w:line="200" w:lineRule="exact"/>
        <w:rPr>
          <w:sz w:val="20"/>
          <w:szCs w:val="20"/>
          <w:color w:val="auto"/>
        </w:rPr>
      </w:pPr>
    </w:p>
    <w:p>
      <w:pPr>
        <w:spacing w:after="0" w:line="28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9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020"/>
          </w:cols>
          <w:pgMar w:left="1440" w:top="1000" w:right="439" w:bottom="1440" w:gutter="0" w:footer="0" w:header="0"/>
        </w:sectPr>
      </w:pPr>
    </w:p>
    <w:bookmarkStart w:id="483" w:name="page484"/>
    <w:bookmarkEnd w:id="483"/>
    <w:p>
      <w:pPr>
        <w:jc w:val="center"/>
        <w:ind w:right="-119"/>
        <w:spacing w:after="0"/>
        <w:rPr>
          <w:sz w:val="20"/>
          <w:szCs w:val="20"/>
          <w:color w:val="auto"/>
        </w:rPr>
      </w:pPr>
      <w:r>
        <w:rPr>
          <w:rFonts w:ascii="Arial" w:cs="Arial" w:eastAsia="Arial" w:hAnsi="Arial"/>
          <w:sz w:val="18"/>
          <w:szCs w:val="18"/>
          <w:b w:val="1"/>
          <w:bCs w:val="1"/>
          <w:color w:val="auto"/>
        </w:rPr>
        <w:t>EXHIBIT A</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ADVANCE REQUEST</w:t>
      </w:r>
    </w:p>
    <w:p>
      <w:pPr>
        <w:spacing w:after="0" w:line="308" w:lineRule="exact"/>
        <w:rPr>
          <w:sz w:val="20"/>
          <w:szCs w:val="20"/>
          <w:color w:val="auto"/>
        </w:rPr>
      </w:pPr>
    </w:p>
    <w:p>
      <w:pPr>
        <w:spacing w:after="0"/>
        <w:tabs>
          <w:tab w:leader="none" w:pos="1020" w:val="left"/>
          <w:tab w:leader="none" w:pos="5620" w:val="left"/>
          <w:tab w:leader="none" w:pos="84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Agent:</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________,202__</w:t>
      </w: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Hercules Capital, Inc. (the “Agent”)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400 Hamilton Avenue, Suite 310</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Palo Alto, CA 94301</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mail: legal@htgc.com</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Attn:</w:t>
      </w: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CENTURY THERAPEUTICS, LLC, a Delaware limited liability company (“Borrower”) hereby requests from Hercules Capital, Inc. (“Lender”) an</w:t>
      </w:r>
    </w:p>
    <w:p>
      <w:pPr>
        <w:spacing w:after="0" w:line="34" w:lineRule="exact"/>
        <w:rPr>
          <w:sz w:val="20"/>
          <w:szCs w:val="20"/>
          <w:color w:val="auto"/>
        </w:rPr>
      </w:pPr>
    </w:p>
    <w:p>
      <w:pPr>
        <w:jc w:val="both"/>
        <w:ind w:left="180" w:right="120"/>
        <w:spacing w:after="0" w:line="254" w:lineRule="auto"/>
        <w:rPr>
          <w:sz w:val="20"/>
          <w:szCs w:val="20"/>
          <w:color w:val="auto"/>
        </w:rPr>
      </w:pPr>
      <w:r>
        <w:rPr>
          <w:rFonts w:ascii="Arial" w:cs="Arial" w:eastAsia="Arial" w:hAnsi="Arial"/>
          <w:sz w:val="18"/>
          <w:szCs w:val="18"/>
          <w:color w:val="auto"/>
        </w:rPr>
        <w:t>Advance in the amount of Dollars ($ ) (the “Advance Amount”) on (the “Advance Date”) pursuant to the Loan and Security Agreement among Borrower, Agent and the Lender (the “Agreement”). Capitalized words and other terms used but not otherwise defined herein are used with the same meanings as defined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-305435</wp:posOffset>
            </wp:positionV>
            <wp:extent cx="45529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5529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-305435</wp:posOffset>
            </wp:positionV>
            <wp:extent cx="45529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5529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-305435</wp:posOffset>
            </wp:positionV>
            <wp:extent cx="93916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Please:</w:t>
      </w:r>
    </w:p>
    <w:p>
      <w:pPr>
        <w:spacing w:after="0" w:line="223" w:lineRule="exact"/>
        <w:rPr>
          <w:sz w:val="20"/>
          <w:szCs w:val="20"/>
          <w:color w:val="auto"/>
        </w:rPr>
      </w:pPr>
    </w:p>
    <w:p>
      <w:pPr>
        <w:ind w:left="1480" w:hanging="652"/>
        <w:spacing w:after="0"/>
        <w:tabs>
          <w:tab w:leader="none" w:pos="14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Issue a check payable to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14605</wp:posOffset>
            </wp:positionV>
            <wp:extent cx="6832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31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or</w:t>
      </w:r>
    </w:p>
    <w:p>
      <w:pPr>
        <w:spacing w:after="0" w:line="223" w:lineRule="exact"/>
        <w:rPr>
          <w:sz w:val="20"/>
          <w:szCs w:val="20"/>
          <w:color w:val="auto"/>
        </w:rPr>
      </w:pPr>
    </w:p>
    <w:p>
      <w:pPr>
        <w:ind w:left="1480" w:hanging="652"/>
        <w:spacing w:after="0"/>
        <w:tabs>
          <w:tab w:leader="none" w:pos="14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Wire Funds to Borrower’s account</w:t>
      </w:r>
    </w:p>
    <w:p>
      <w:pPr>
        <w:spacing w:after="0" w:line="26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Bank:</w:t>
      </w:r>
    </w:p>
    <w:p>
      <w:pPr>
        <w:spacing w:after="0" w:line="22"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249" w:lineRule="exact"/>
        <w:rPr>
          <w:rFonts w:ascii="Arial" w:cs="Arial" w:eastAsia="Arial" w:hAnsi="Arial"/>
          <w:sz w:val="18"/>
          <w:szCs w:val="18"/>
          <w:color w:val="auto"/>
        </w:rPr>
      </w:pPr>
    </w:p>
    <w:p>
      <w:pPr>
        <w:ind w:left="1460" w:right="8360"/>
        <w:spacing w:after="0" w:line="298" w:lineRule="auto"/>
        <w:rPr>
          <w:rFonts w:ascii="Arial" w:cs="Arial" w:eastAsia="Arial" w:hAnsi="Arial"/>
          <w:sz w:val="18"/>
          <w:szCs w:val="18"/>
          <w:color w:val="auto"/>
        </w:rPr>
      </w:pPr>
      <w:r>
        <w:rPr>
          <w:rFonts w:ascii="Arial" w:cs="Arial" w:eastAsia="Arial" w:hAnsi="Arial"/>
          <w:sz w:val="16"/>
          <w:szCs w:val="16"/>
          <w:color w:val="auto"/>
        </w:rPr>
        <w:t>ABA Number: Account Number: Account Name: Contact Person:</w:t>
      </w:r>
    </w:p>
    <w:p>
      <w:pPr>
        <w:spacing w:after="0" w:line="2" w:lineRule="exact"/>
        <w:rPr>
          <w:rFonts w:ascii="Arial" w:cs="Arial" w:eastAsia="Arial" w:hAnsi="Arial"/>
          <w:sz w:val="18"/>
          <w:szCs w:val="18"/>
          <w:color w:val="auto"/>
        </w:rPr>
      </w:pPr>
    </w:p>
    <w:p>
      <w:pPr>
        <w:ind w:left="1460" w:right="7060"/>
        <w:spacing w:after="0" w:line="290" w:lineRule="auto"/>
        <w:rPr>
          <w:rFonts w:ascii="Arial" w:cs="Arial" w:eastAsia="Arial" w:hAnsi="Arial"/>
          <w:sz w:val="18"/>
          <w:szCs w:val="18"/>
          <w:color w:val="auto"/>
        </w:rPr>
      </w:pPr>
      <w:r>
        <w:rPr>
          <w:rFonts w:ascii="Arial" w:cs="Arial" w:eastAsia="Arial" w:hAnsi="Arial"/>
          <w:sz w:val="18"/>
          <w:szCs w:val="18"/>
          <w:color w:val="auto"/>
        </w:rPr>
        <w:t>Phone Number To Verify Wire Info: 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-1487170</wp:posOffset>
            </wp:positionV>
            <wp:extent cx="68326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326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-1188720</wp:posOffset>
            </wp:positionV>
            <wp:extent cx="170815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-1043305</wp:posOffset>
            </wp:positionV>
            <wp:extent cx="170815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-897890</wp:posOffset>
            </wp:positionV>
            <wp:extent cx="170815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-752475</wp:posOffset>
            </wp:positionV>
            <wp:extent cx="170815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-607695</wp:posOffset>
            </wp:positionV>
            <wp:extent cx="170815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-462280</wp:posOffset>
            </wp:positionV>
            <wp:extent cx="170815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-316865</wp:posOffset>
            </wp:positionV>
            <wp:extent cx="170815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-172085</wp:posOffset>
            </wp:positionV>
            <wp:extent cx="170815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-26670</wp:posOffset>
            </wp:positionV>
            <wp:extent cx="170815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firstLine="646"/>
        <w:spacing w:after="0" w:line="269" w:lineRule="auto"/>
        <w:rPr>
          <w:sz w:val="20"/>
          <w:szCs w:val="20"/>
          <w:color w:val="auto"/>
        </w:rPr>
      </w:pPr>
      <w:r>
        <w:rPr>
          <w:rFonts w:ascii="Arial" w:cs="Arial" w:eastAsia="Arial" w:hAnsi="Arial"/>
          <w:sz w:val="17"/>
          <w:szCs w:val="17"/>
          <w:color w:val="auto"/>
        </w:rPr>
        <w:t>Borrower represents that the conditions precedent to the Advance set forth in the Agreement are satisfied and shall be satisfied upon the making of such Advance, including but not limited to: (i) that no event that has had or could reasonably be expected to have a Material Adverse Effect has occurred and is continuing; (ii) that the representations and warranties set forth in the Agreement and in the Warrant are and shall be true and correct in all material respects (or, in the case of any representation and warranty qualified by materiality, in all respects) on and as of the Advance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or, in the case of any representation and warranty qualified by materiality, in all respects as of such earlier date); (iii) that Borrower is in compliance with all material terms and provisions set forth in each Loan Document on its part to be observed or performed; and (iv) that as of the Advance Date, no fact or condition exists that could (or could, with the passage of time, the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9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20"/>
          </w:cols>
          <w:pgMar w:left="320" w:top="995" w:right="459" w:bottom="1440" w:gutter="0" w:footer="0" w:header="0"/>
        </w:sectPr>
      </w:pPr>
    </w:p>
    <w:bookmarkStart w:id="484" w:name="page485"/>
    <w:bookmarkEnd w:id="484"/>
    <w:p>
      <w:pPr>
        <w:ind w:right="460"/>
        <w:spacing w:after="0" w:line="262" w:lineRule="auto"/>
        <w:rPr>
          <w:sz w:val="20"/>
          <w:szCs w:val="20"/>
          <w:color w:val="auto"/>
        </w:rPr>
      </w:pPr>
      <w:r>
        <w:rPr>
          <w:rFonts w:ascii="Arial" w:cs="Arial" w:eastAsia="Arial" w:hAnsi="Arial"/>
          <w:sz w:val="18"/>
          <w:szCs w:val="18"/>
          <w:color w:val="auto"/>
        </w:rPr>
        <w:t>notice, or both) constitute an Event of Default under the Loan Documents. Borrower understands and acknowledges that Agent has the right to review the financial information supporting this representation and, based upon such review in its sole discretion, the Lender may decline to fund the requested Advance.</w:t>
      </w:r>
    </w:p>
    <w:p>
      <w:pPr>
        <w:spacing w:after="0" w:line="183" w:lineRule="exact"/>
        <w:rPr>
          <w:sz w:val="20"/>
          <w:szCs w:val="20"/>
          <w:color w:val="auto"/>
        </w:rPr>
      </w:pPr>
    </w:p>
    <w:p>
      <w:pPr>
        <w:ind w:right="620" w:firstLine="646"/>
        <w:spacing w:after="0" w:line="306" w:lineRule="auto"/>
        <w:rPr>
          <w:sz w:val="20"/>
          <w:szCs w:val="20"/>
          <w:color w:val="auto"/>
        </w:rPr>
      </w:pPr>
      <w:r>
        <w:rPr>
          <w:rFonts w:ascii="Arial" w:cs="Arial" w:eastAsia="Arial" w:hAnsi="Arial"/>
          <w:sz w:val="17"/>
          <w:szCs w:val="17"/>
          <w:color w:val="auto"/>
        </w:rPr>
        <w:t>Borrower hereby represents that Borrower’s corporate status and locations have not changed since the date of the Agreement or, if the Attachment to this Advance Request is completed, are as set forth in the Attachment to this Advance Request.</w:t>
      </w:r>
    </w:p>
    <w:p>
      <w:pPr>
        <w:spacing w:after="0" w:line="161" w:lineRule="exact"/>
        <w:rPr>
          <w:sz w:val="20"/>
          <w:szCs w:val="20"/>
          <w:color w:val="auto"/>
        </w:rPr>
      </w:pPr>
    </w:p>
    <w:p>
      <w:pPr>
        <w:ind w:firstLine="646"/>
        <w:spacing w:after="0" w:line="262" w:lineRule="auto"/>
        <w:rPr>
          <w:sz w:val="20"/>
          <w:szCs w:val="20"/>
          <w:color w:val="auto"/>
        </w:rPr>
      </w:pPr>
      <w:r>
        <w:rPr>
          <w:rFonts w:ascii="Arial" w:cs="Arial" w:eastAsia="Arial" w:hAnsi="Arial"/>
          <w:sz w:val="18"/>
          <w:szCs w:val="18"/>
          <w:color w:val="auto"/>
        </w:rPr>
        <w:t>Borrower agrees to notify Agent promptly before the funding of the Loan if any of the matters which have been represented above shall not be true and correct on the Borrowing Date and if Agent has received no such notice before the Advance Date then the statements set forth above shall be deemed to have been made and shall be deemed to be true and correct as of the Advance Date.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as of [ ], 20[ ].</w:t>
      </w:r>
    </w:p>
    <w:p>
      <w:pPr>
        <w:spacing w:after="0" w:line="23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CENTURY THERAPEUTICS, LLC</w:t>
      </w:r>
    </w:p>
    <w:p>
      <w:pPr>
        <w:spacing w:after="0" w:line="20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14605</wp:posOffset>
            </wp:positionV>
            <wp:extent cx="300672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006725"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22225</wp:posOffset>
            </wp:positionV>
            <wp:extent cx="30067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00672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-122555</wp:posOffset>
            </wp:positionV>
            <wp:extent cx="300672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00672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9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880"/>
          </w:cols>
          <w:pgMar w:left="500" w:top="906" w:right="519" w:bottom="1440" w:gutter="0" w:footer="0" w:header="0"/>
        </w:sectPr>
      </w:pPr>
    </w:p>
    <w:bookmarkStart w:id="485" w:name="page486"/>
    <w:bookmarkEnd w:id="485"/>
    <w:p>
      <w:pPr>
        <w:jc w:val="center"/>
        <w:ind w:right="-79"/>
        <w:spacing w:after="0"/>
        <w:rPr>
          <w:sz w:val="20"/>
          <w:szCs w:val="20"/>
          <w:color w:val="auto"/>
        </w:rPr>
      </w:pPr>
      <w:r>
        <w:rPr>
          <w:rFonts w:ascii="Arial" w:cs="Arial" w:eastAsia="Arial" w:hAnsi="Arial"/>
          <w:sz w:val="18"/>
          <w:szCs w:val="18"/>
          <w:b w:val="1"/>
          <w:bCs w:val="1"/>
          <w:color w:val="auto"/>
        </w:rPr>
        <w:t>ATTACHMENT TO ADVANCE REQUEST</w:t>
      </w: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-10795</wp:posOffset>
            </wp:positionV>
            <wp:extent cx="108140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Borrower hereby represents and warrants to Agent that Borrower’s current name and organizational status is as follows:</w:t>
      </w:r>
    </w:p>
    <w:p>
      <w:pPr>
        <w:spacing w:after="0" w:line="30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Name:</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w w:val="95"/>
              </w:rPr>
              <w:t>CENTURY THERAPEUTICS, LLC</w:t>
            </w:r>
          </w:p>
        </w:tc>
      </w:tr>
      <w:tr>
        <w:trPr>
          <w:trHeight w:val="377"/>
        </w:trPr>
        <w:tc>
          <w:tcPr>
            <w:tcW w:w="2100" w:type="dxa"/>
            <w:vAlign w:val="bottom"/>
          </w:tcPr>
          <w:p>
            <w:pPr>
              <w:spacing w:after="0"/>
              <w:rPr>
                <w:sz w:val="20"/>
                <w:szCs w:val="20"/>
                <w:color w:val="auto"/>
              </w:rPr>
            </w:pPr>
            <w:r>
              <w:rPr>
                <w:rFonts w:ascii="Arial" w:cs="Arial" w:eastAsia="Arial" w:hAnsi="Arial"/>
                <w:sz w:val="18"/>
                <w:szCs w:val="18"/>
                <w:color w:val="auto"/>
              </w:rPr>
              <w:t>Type of organization:</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limited liability company</w:t>
            </w:r>
          </w:p>
        </w:tc>
      </w:tr>
      <w:tr>
        <w:trPr>
          <w:trHeight w:val="377"/>
        </w:trPr>
        <w:tc>
          <w:tcPr>
            <w:tcW w:w="2100" w:type="dxa"/>
            <w:vAlign w:val="bottom"/>
          </w:tcPr>
          <w:p>
            <w:pPr>
              <w:spacing w:after="0"/>
              <w:rPr>
                <w:sz w:val="20"/>
                <w:szCs w:val="20"/>
                <w:color w:val="auto"/>
              </w:rPr>
            </w:pPr>
            <w:r>
              <w:rPr>
                <w:rFonts w:ascii="Arial" w:cs="Arial" w:eastAsia="Arial" w:hAnsi="Arial"/>
                <w:sz w:val="18"/>
                <w:szCs w:val="18"/>
                <w:color w:val="auto"/>
              </w:rPr>
              <w:t>State of organization:</w:t>
            </w:r>
          </w:p>
        </w:tc>
        <w:tc>
          <w:tcPr>
            <w:tcW w:w="1240" w:type="dxa"/>
            <w:vAlign w:val="bottom"/>
          </w:tcPr>
          <w:p>
            <w:pPr>
              <w:ind w:left="260"/>
              <w:spacing w:after="0"/>
              <w:rPr>
                <w:sz w:val="20"/>
                <w:szCs w:val="20"/>
                <w:color w:val="auto"/>
              </w:rPr>
            </w:pPr>
            <w:r>
              <w:rPr>
                <w:rFonts w:ascii="Arial" w:cs="Arial" w:eastAsia="Arial" w:hAnsi="Arial"/>
                <w:sz w:val="18"/>
                <w:szCs w:val="18"/>
                <w:color w:val="auto"/>
              </w:rPr>
              <w:t>Delaware</w:t>
            </w:r>
          </w:p>
        </w:tc>
        <w:tc>
          <w:tcPr>
            <w:tcW w:w="1660" w:type="dxa"/>
            <w:vAlign w:val="bottom"/>
          </w:tcPr>
          <w:p>
            <w:pPr>
              <w:spacing w:after="0"/>
              <w:rPr>
                <w:sz w:val="24"/>
                <w:szCs w:val="24"/>
                <w:color w:val="auto"/>
              </w:rPr>
            </w:pPr>
          </w:p>
        </w:tc>
      </w:tr>
      <w:tr>
        <w:trPr>
          <w:trHeight w:val="377"/>
        </w:trPr>
        <w:tc>
          <w:tcPr>
            <w:tcW w:w="2100" w:type="dxa"/>
            <w:vAlign w:val="bottom"/>
          </w:tcPr>
          <w:p>
            <w:pPr>
              <w:spacing w:after="0"/>
              <w:rPr>
                <w:sz w:val="20"/>
                <w:szCs w:val="20"/>
                <w:color w:val="auto"/>
              </w:rPr>
            </w:pPr>
            <w:r>
              <w:rPr>
                <w:rFonts w:ascii="Arial" w:cs="Arial" w:eastAsia="Arial" w:hAnsi="Arial"/>
                <w:sz w:val="18"/>
                <w:szCs w:val="18"/>
                <w:color w:val="auto"/>
              </w:rPr>
              <w:t>Organization file number:</w:t>
            </w:r>
          </w:p>
        </w:tc>
        <w:tc>
          <w:tcPr>
            <w:tcW w:w="1240" w:type="dxa"/>
            <w:vAlign w:val="bottom"/>
          </w:tcPr>
          <w:p>
            <w:pPr>
              <w:ind w:left="2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1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Borrower hereby represents and warrants to Agent that the street addresses, cities, states and postal codes of its current locations are as follows: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 ]</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Borrower hereby represents and warrants to Agent that the Advance Amount does not exceed the Maximum Term Loan Amount as follows:</w:t>
      </w:r>
    </w:p>
    <w:p>
      <w:pPr>
        <w:spacing w:after="0" w:line="248" w:lineRule="exact"/>
        <w:rPr>
          <w:sz w:val="20"/>
          <w:szCs w:val="20"/>
          <w:color w:val="auto"/>
        </w:rPr>
      </w:pPr>
    </w:p>
    <w:p>
      <w:pPr>
        <w:ind w:left="820" w:hanging="637"/>
        <w:spacing w:after="0"/>
        <w:tabs>
          <w:tab w:leader="none" w:pos="8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Advance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1477645</wp:posOffset>
            </wp:positionH>
            <wp:positionV relativeFrom="paragraph">
              <wp:posOffset>-10795</wp:posOffset>
            </wp:positionV>
            <wp:extent cx="59753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97535"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ind w:left="180"/>
              <w:spacing w:after="0"/>
              <w:rPr>
                <w:sz w:val="20"/>
                <w:szCs w:val="20"/>
                <w:color w:val="auto"/>
              </w:rPr>
            </w:pPr>
            <w:r>
              <w:rPr>
                <w:rFonts w:ascii="Arial" w:cs="Arial" w:eastAsia="Arial" w:hAnsi="Arial"/>
                <w:sz w:val="18"/>
                <w:szCs w:val="18"/>
                <w:color w:val="auto"/>
              </w:rPr>
              <w:t>b.</w:t>
            </w:r>
          </w:p>
        </w:tc>
        <w:tc>
          <w:tcPr>
            <w:tcW w:w="2700" w:type="dxa"/>
            <w:vAlign w:val="bottom"/>
          </w:tcPr>
          <w:p>
            <w:pPr>
              <w:ind w:left="240"/>
              <w:spacing w:after="0"/>
              <w:rPr>
                <w:sz w:val="20"/>
                <w:szCs w:val="20"/>
                <w:color w:val="auto"/>
              </w:rPr>
            </w:pPr>
            <w:r>
              <w:rPr>
                <w:rFonts w:ascii="Arial" w:cs="Arial" w:eastAsia="Arial" w:hAnsi="Arial"/>
                <w:sz w:val="18"/>
                <w:szCs w:val="18"/>
                <w:color w:val="auto"/>
                <w:w w:val="93"/>
              </w:rPr>
              <w:t>[Maximum Term Loan Amount: $</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
        </w:trPr>
        <w:tc>
          <w:tcPr>
            <w:tcW w:w="328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10"/>
        </w:trPr>
        <w:tc>
          <w:tcPr>
            <w:tcW w:w="5360" w:type="dxa"/>
            <w:vAlign w:val="bottom"/>
            <w:gridSpan w:val="5"/>
          </w:tcPr>
          <w:p>
            <w:pPr>
              <w:ind w:left="180"/>
              <w:spacing w:after="0"/>
              <w:rPr>
                <w:sz w:val="20"/>
                <w:szCs w:val="20"/>
                <w:color w:val="auto"/>
              </w:rPr>
            </w:pPr>
            <w:r>
              <w:rPr>
                <w:rFonts w:ascii="Arial" w:cs="Arial" w:eastAsia="Arial" w:hAnsi="Arial"/>
                <w:sz w:val="18"/>
                <w:szCs w:val="18"/>
                <w:color w:val="auto"/>
              </w:rPr>
              <w:t>[c. Is clause a. less than or equal to clause b.? Yes/Compliant</w:t>
            </w:r>
          </w:p>
        </w:tc>
        <w:tc>
          <w:tcPr>
            <w:tcW w:w="2140" w:type="dxa"/>
            <w:vAlign w:val="bottom"/>
            <w:gridSpan w:val="2"/>
          </w:tcPr>
          <w:p>
            <w:pPr>
              <w:spacing w:after="0"/>
              <w:rPr>
                <w:sz w:val="20"/>
                <w:szCs w:val="20"/>
                <w:color w:val="auto"/>
              </w:rPr>
            </w:pPr>
            <w:r>
              <w:rPr>
                <w:rFonts w:ascii="Arial" w:cs="Arial" w:eastAsia="Arial" w:hAnsi="Arial"/>
                <w:sz w:val="18"/>
                <w:szCs w:val="18"/>
                <w:color w:val="auto"/>
              </w:rPr>
              <w:t>No/Non-Compliant</w:t>
            </w:r>
          </w:p>
        </w:tc>
        <w:tc>
          <w:tcPr>
            <w:tcW w:w="3740" w:type="dxa"/>
            <w:vAlign w:val="bottom"/>
          </w:tcPr>
          <w:p>
            <w:pPr>
              <w:jc w:val="right"/>
              <w:ind w:right="3590"/>
              <w:spacing w:after="0"/>
              <w:rPr>
                <w:sz w:val="20"/>
                <w:szCs w:val="20"/>
                <w:color w:val="auto"/>
              </w:rPr>
            </w:pPr>
            <w:r>
              <w:rPr>
                <w:rFonts w:ascii="Arial" w:cs="Arial" w:eastAsia="Arial" w:hAnsi="Arial"/>
                <w:sz w:val="18"/>
                <w:szCs w:val="18"/>
                <w:color w:val="auto"/>
                <w:w w:val="78"/>
              </w:rPr>
              <w:t>]</w:t>
            </w:r>
          </w:p>
        </w:tc>
      </w:tr>
      <w:tr>
        <w:trPr>
          <w:trHeight w:val="243"/>
        </w:trPr>
        <w:tc>
          <w:tcPr>
            <w:tcW w:w="5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3</w:t>
            </w:r>
          </w:p>
        </w:tc>
        <w:tc>
          <w:tcPr>
            <w:tcW w:w="760" w:type="dxa"/>
            <w:vAlign w:val="bottom"/>
            <w:tcBorders>
              <w:top w:val="single" w:sz="8" w:color="auto"/>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r>
    </w:tbl>
    <w:p>
      <w:pPr>
        <w:sectPr>
          <w:pgSz w:w="11900" w:h="16838" w:orient="portrait"/>
          <w:cols w:equalWidth="0" w:num="1">
            <w:col w:w="11240"/>
          </w:cols>
          <w:pgMar w:left="320" w:top="982" w:right="339" w:bottom="1440" w:gutter="0" w:footer="0" w:header="0"/>
        </w:sectPr>
      </w:pPr>
    </w:p>
    <w:bookmarkStart w:id="486" w:name="page487"/>
    <w:bookmarkEnd w:id="486"/>
    <w:p>
      <w:pPr>
        <w:jc w:val="center"/>
        <w:ind w:right="29"/>
        <w:spacing w:after="0"/>
        <w:rPr>
          <w:sz w:val="20"/>
          <w:szCs w:val="20"/>
          <w:color w:val="auto"/>
        </w:rPr>
      </w:pPr>
      <w:r>
        <w:rPr>
          <w:rFonts w:ascii="Arial" w:cs="Arial" w:eastAsia="Arial" w:hAnsi="Arial"/>
          <w:sz w:val="18"/>
          <w:szCs w:val="18"/>
          <w:b w:val="1"/>
          <w:bCs w:val="1"/>
          <w:color w:val="auto"/>
        </w:rPr>
        <w:t>EXHIBIT B</w:t>
      </w:r>
    </w:p>
    <w:p>
      <w:pPr>
        <w:spacing w:after="0" w:line="89"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NAME, LOCATIONS, AND OTHER INFORMATION FOR BORROWER</w:t>
      </w:r>
    </w:p>
    <w:p>
      <w:pPr>
        <w:spacing w:after="0" w:line="227" w:lineRule="exact"/>
        <w:rPr>
          <w:sz w:val="20"/>
          <w:szCs w:val="20"/>
          <w:color w:val="auto"/>
        </w:rPr>
      </w:pPr>
    </w:p>
    <w:p>
      <w:pPr>
        <w:ind w:left="331"/>
        <w:spacing w:after="0"/>
        <w:tabs>
          <w:tab w:leader="none" w:pos="611"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Borrower represents and warrants to Agent that Borrower’s current name and organizational status as of the Closing Date is as follows:</w:t>
      </w:r>
    </w:p>
    <w:p>
      <w:pPr>
        <w:sectPr>
          <w:pgSz w:w="11900" w:h="16838" w:orient="portrait"/>
          <w:cols w:equalWidth="0" w:num="1">
            <w:col w:w="10331"/>
          </w:cols>
          <w:pgMar w:left="829" w:top="780" w:right="739" w:bottom="1440" w:gutter="0" w:footer="0" w:header="0"/>
        </w:sectPr>
      </w:pPr>
    </w:p>
    <w:p>
      <w:pPr>
        <w:spacing w:after="0" w:line="331" w:lineRule="exact"/>
        <w:rPr>
          <w:sz w:val="20"/>
          <w:szCs w:val="20"/>
          <w:color w:val="auto"/>
        </w:rPr>
      </w:pPr>
    </w:p>
    <w:p>
      <w:pPr>
        <w:ind w:left="1191"/>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CENTURY THERAPEUTICS, LLC</w:t>
      </w:r>
    </w:p>
    <w:p>
      <w:pPr>
        <w:spacing w:after="0" w:line="181" w:lineRule="exact"/>
        <w:rPr>
          <w:sz w:val="20"/>
          <w:szCs w:val="20"/>
          <w:color w:val="auto"/>
        </w:rPr>
      </w:pPr>
    </w:p>
    <w:p>
      <w:pPr>
        <w:sectPr>
          <w:pgSz w:w="11900" w:h="16838" w:orient="portrait"/>
          <w:cols w:equalWidth="0" w:num="2">
            <w:col w:w="4391" w:space="720"/>
            <w:col w:w="5220"/>
          </w:cols>
          <w:pgMar w:left="829" w:top="780" w:right="739" w:bottom="1440" w:gutter="0" w:footer="0" w:header="0"/>
          <w:type w:val="continuous"/>
        </w:sectPr>
      </w:pPr>
    </w:p>
    <w:p>
      <w:pPr>
        <w:ind w:left="1191"/>
        <w:spacing w:after="0"/>
        <w:rPr>
          <w:sz w:val="20"/>
          <w:szCs w:val="20"/>
          <w:color w:val="auto"/>
        </w:rPr>
      </w:pPr>
      <w:r>
        <w:rPr>
          <w:rFonts w:ascii="Arial" w:cs="Arial" w:eastAsia="Arial" w:hAnsi="Arial"/>
          <w:sz w:val="16"/>
          <w:szCs w:val="16"/>
          <w:color w:val="auto"/>
        </w:rPr>
        <w:t>Type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limited liability company</w:t>
      </w:r>
    </w:p>
    <w:p>
      <w:pPr>
        <w:spacing w:after="0" w:line="181" w:lineRule="exact"/>
        <w:rPr>
          <w:sz w:val="20"/>
          <w:szCs w:val="20"/>
          <w:color w:val="auto"/>
        </w:rPr>
      </w:pPr>
    </w:p>
    <w:p>
      <w:pPr>
        <w:sectPr>
          <w:pgSz w:w="11900" w:h="16838" w:orient="portrait"/>
          <w:cols w:equalWidth="0" w:num="2">
            <w:col w:w="4391" w:space="720"/>
            <w:col w:w="5220"/>
          </w:cols>
          <w:pgMar w:left="829" w:top="780" w:right="739" w:bottom="1440" w:gutter="0" w:footer="0" w:header="0"/>
          <w:type w:val="continuous"/>
        </w:sectPr>
      </w:pPr>
    </w:p>
    <w:p>
      <w:pPr>
        <w:ind w:left="1191"/>
        <w:spacing w:after="0"/>
        <w:rPr>
          <w:sz w:val="20"/>
          <w:szCs w:val="20"/>
          <w:color w:val="auto"/>
        </w:rPr>
      </w:pPr>
      <w:r>
        <w:rPr>
          <w:rFonts w:ascii="Arial" w:cs="Arial" w:eastAsia="Arial" w:hAnsi="Arial"/>
          <w:sz w:val="16"/>
          <w:szCs w:val="16"/>
          <w:color w:val="auto"/>
        </w:rPr>
        <w:t>State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193" w:lineRule="exact"/>
        <w:rPr>
          <w:sz w:val="20"/>
          <w:szCs w:val="20"/>
          <w:color w:val="auto"/>
        </w:rPr>
      </w:pPr>
    </w:p>
    <w:p>
      <w:pPr>
        <w:sectPr>
          <w:pgSz w:w="11900" w:h="16838" w:orient="portrait"/>
          <w:cols w:equalWidth="0" w:num="2">
            <w:col w:w="4391" w:space="720"/>
            <w:col w:w="5220"/>
          </w:cols>
          <w:pgMar w:left="829" w:top="780" w:right="739" w:bottom="1440" w:gutter="0" w:footer="0" w:header="0"/>
          <w:type w:val="continuous"/>
        </w:sectPr>
      </w:pPr>
    </w:p>
    <w:p>
      <w:pPr>
        <w:ind w:left="1191"/>
        <w:spacing w:after="0"/>
        <w:rPr>
          <w:sz w:val="20"/>
          <w:szCs w:val="20"/>
          <w:color w:val="auto"/>
        </w:rPr>
      </w:pPr>
      <w:r>
        <w:rPr>
          <w:rFonts w:ascii="Arial" w:cs="Arial" w:eastAsia="Arial" w:hAnsi="Arial"/>
          <w:sz w:val="16"/>
          <w:szCs w:val="16"/>
          <w:color w:val="auto"/>
        </w:rPr>
        <w:t>Organization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7453663</w:t>
      </w:r>
    </w:p>
    <w:p>
      <w:pPr>
        <w:spacing w:after="0" w:line="200" w:lineRule="exact"/>
        <w:rPr>
          <w:sz w:val="20"/>
          <w:szCs w:val="20"/>
          <w:color w:val="auto"/>
        </w:rPr>
      </w:pPr>
    </w:p>
    <w:p>
      <w:pPr>
        <w:sectPr>
          <w:pgSz w:w="11900" w:h="16838" w:orient="portrait"/>
          <w:cols w:equalWidth="0" w:num="2">
            <w:col w:w="4391" w:space="720"/>
            <w:col w:w="5220"/>
          </w:cols>
          <w:pgMar w:left="829" w:top="780" w:right="739" w:bottom="1440" w:gutter="0" w:footer="0" w:header="0"/>
          <w:type w:val="continuous"/>
        </w:sectPr>
      </w:pPr>
    </w:p>
    <w:p>
      <w:pPr>
        <w:spacing w:after="0" w:line="342" w:lineRule="exact"/>
        <w:rPr>
          <w:sz w:val="20"/>
          <w:szCs w:val="20"/>
          <w:color w:val="auto"/>
        </w:rPr>
      </w:pPr>
    </w:p>
    <w:p>
      <w:pPr>
        <w:ind w:left="-329" w:right="580" w:firstLine="329"/>
        <w:spacing w:after="0" w:line="275" w:lineRule="auto"/>
        <w:tabs>
          <w:tab w:leader="none" w:pos="307" w:val="left"/>
        </w:tabs>
        <w:numPr>
          <w:ilvl w:val="0"/>
          <w:numId w:val="376"/>
        </w:numPr>
        <w:rPr>
          <w:rFonts w:ascii="Arial" w:cs="Arial" w:eastAsia="Arial" w:hAnsi="Arial"/>
          <w:sz w:val="18"/>
          <w:szCs w:val="18"/>
          <w:color w:val="auto"/>
        </w:rPr>
      </w:pPr>
      <w:r>
        <w:rPr>
          <w:rFonts w:ascii="Arial" w:cs="Arial" w:eastAsia="Arial" w:hAnsi="Arial"/>
          <w:sz w:val="18"/>
          <w:szCs w:val="18"/>
          <w:color w:val="auto"/>
        </w:rPr>
        <w:t>Borrower represents and warrants to Agent that for five (5) years prior to the Closing Date, Borrower did not do business under any other name or organization or form except the following:</w:t>
      </w:r>
    </w:p>
    <w:p>
      <w:pPr>
        <w:spacing w:after="0" w:line="185" w:lineRule="exact"/>
        <w:rPr>
          <w:sz w:val="20"/>
          <w:szCs w:val="20"/>
          <w:color w:val="auto"/>
        </w:rPr>
      </w:pPr>
    </w:p>
    <w:p>
      <w:pPr>
        <w:ind w:left="331"/>
        <w:spacing w:after="0"/>
        <w:rPr>
          <w:sz w:val="20"/>
          <w:szCs w:val="20"/>
          <w:color w:val="auto"/>
        </w:rPr>
      </w:pPr>
      <w:r>
        <w:rPr>
          <w:rFonts w:ascii="Arial" w:cs="Arial" w:eastAsia="Arial" w:hAnsi="Arial"/>
          <w:sz w:val="18"/>
          <w:szCs w:val="18"/>
          <w:color w:val="auto"/>
        </w:rPr>
        <w:t>Name: N/A</w:t>
      </w:r>
    </w:p>
    <w:p>
      <w:pPr>
        <w:spacing w:after="0" w:line="23" w:lineRule="exact"/>
        <w:rPr>
          <w:sz w:val="20"/>
          <w:szCs w:val="20"/>
          <w:color w:val="auto"/>
        </w:rPr>
      </w:pPr>
    </w:p>
    <w:p>
      <w:pPr>
        <w:ind w:left="331"/>
        <w:spacing w:after="0"/>
        <w:rPr>
          <w:sz w:val="20"/>
          <w:szCs w:val="20"/>
          <w:color w:val="auto"/>
        </w:rPr>
      </w:pPr>
      <w:r>
        <w:rPr>
          <w:rFonts w:ascii="Arial" w:cs="Arial" w:eastAsia="Arial" w:hAnsi="Arial"/>
          <w:sz w:val="18"/>
          <w:szCs w:val="18"/>
          <w:color w:val="auto"/>
        </w:rPr>
        <w:t>Used during dates of: N/A</w:t>
      </w:r>
    </w:p>
    <w:p>
      <w:pPr>
        <w:spacing w:after="0" w:line="8" w:lineRule="exact"/>
        <w:rPr>
          <w:sz w:val="20"/>
          <w:szCs w:val="20"/>
          <w:color w:val="auto"/>
        </w:rPr>
      </w:pPr>
    </w:p>
    <w:p>
      <w:pPr>
        <w:ind w:left="331"/>
        <w:spacing w:after="0"/>
        <w:rPr>
          <w:sz w:val="20"/>
          <w:szCs w:val="20"/>
          <w:color w:val="auto"/>
        </w:rPr>
      </w:pPr>
      <w:r>
        <w:rPr>
          <w:rFonts w:ascii="Arial" w:cs="Arial" w:eastAsia="Arial" w:hAnsi="Arial"/>
          <w:sz w:val="18"/>
          <w:szCs w:val="18"/>
          <w:color w:val="auto"/>
        </w:rPr>
        <w:t>Type of Organization: N/A</w:t>
      </w:r>
    </w:p>
    <w:p>
      <w:pPr>
        <w:spacing w:after="0" w:line="8" w:lineRule="exact"/>
        <w:rPr>
          <w:sz w:val="20"/>
          <w:szCs w:val="20"/>
          <w:color w:val="auto"/>
        </w:rPr>
      </w:pPr>
    </w:p>
    <w:p>
      <w:pPr>
        <w:ind w:left="331"/>
        <w:spacing w:after="0"/>
        <w:rPr>
          <w:sz w:val="20"/>
          <w:szCs w:val="20"/>
          <w:color w:val="auto"/>
        </w:rPr>
      </w:pPr>
      <w:r>
        <w:rPr>
          <w:rFonts w:ascii="Arial" w:cs="Arial" w:eastAsia="Arial" w:hAnsi="Arial"/>
          <w:sz w:val="18"/>
          <w:szCs w:val="18"/>
          <w:color w:val="auto"/>
        </w:rPr>
        <w:t>State of organization: N/A</w:t>
      </w:r>
    </w:p>
    <w:p>
      <w:pPr>
        <w:spacing w:after="0" w:line="8" w:lineRule="exact"/>
        <w:rPr>
          <w:sz w:val="20"/>
          <w:szCs w:val="20"/>
          <w:color w:val="auto"/>
        </w:rPr>
      </w:pPr>
    </w:p>
    <w:p>
      <w:pPr>
        <w:ind w:left="331"/>
        <w:spacing w:after="0"/>
        <w:rPr>
          <w:sz w:val="20"/>
          <w:szCs w:val="20"/>
          <w:color w:val="auto"/>
        </w:rPr>
      </w:pPr>
      <w:r>
        <w:rPr>
          <w:rFonts w:ascii="Arial" w:cs="Arial" w:eastAsia="Arial" w:hAnsi="Arial"/>
          <w:sz w:val="18"/>
          <w:szCs w:val="18"/>
          <w:color w:val="auto"/>
        </w:rPr>
        <w:t>Organization file Number: N/A</w:t>
      </w:r>
    </w:p>
    <w:p>
      <w:pPr>
        <w:spacing w:after="0" w:line="8" w:lineRule="exact"/>
        <w:rPr>
          <w:sz w:val="20"/>
          <w:szCs w:val="20"/>
          <w:color w:val="auto"/>
        </w:rPr>
      </w:pPr>
    </w:p>
    <w:p>
      <w:pPr>
        <w:ind w:left="331"/>
        <w:spacing w:after="0"/>
        <w:rPr>
          <w:sz w:val="20"/>
          <w:szCs w:val="20"/>
          <w:color w:val="auto"/>
        </w:rPr>
      </w:pPr>
      <w:r>
        <w:rPr>
          <w:rFonts w:ascii="Arial" w:cs="Arial" w:eastAsia="Arial" w:hAnsi="Arial"/>
          <w:sz w:val="18"/>
          <w:szCs w:val="18"/>
          <w:color w:val="auto"/>
        </w:rPr>
        <w:t>Borrower’s fiscal year ends on 12/31</w:t>
      </w:r>
    </w:p>
    <w:p>
      <w:pPr>
        <w:spacing w:after="0" w:line="8" w:lineRule="exact"/>
        <w:rPr>
          <w:sz w:val="20"/>
          <w:szCs w:val="20"/>
          <w:color w:val="auto"/>
        </w:rPr>
      </w:pPr>
    </w:p>
    <w:p>
      <w:pPr>
        <w:ind w:left="331"/>
        <w:spacing w:after="0"/>
        <w:rPr>
          <w:sz w:val="20"/>
          <w:szCs w:val="20"/>
          <w:color w:val="auto"/>
        </w:rPr>
      </w:pPr>
      <w:r>
        <w:rPr>
          <w:rFonts w:ascii="Arial" w:cs="Arial" w:eastAsia="Arial" w:hAnsi="Arial"/>
          <w:sz w:val="18"/>
          <w:szCs w:val="18"/>
          <w:color w:val="auto"/>
        </w:rPr>
        <w:t>Borrower’s federal employer tax identification number is: 84-2040295</w:t>
      </w:r>
    </w:p>
    <w:p>
      <w:pPr>
        <w:spacing w:after="0" w:line="222" w:lineRule="exact"/>
        <w:rPr>
          <w:sz w:val="20"/>
          <w:szCs w:val="20"/>
          <w:color w:val="auto"/>
        </w:rPr>
      </w:pPr>
    </w:p>
    <w:p>
      <w:pPr>
        <w:ind w:left="11"/>
        <w:spacing w:after="0"/>
        <w:tabs>
          <w:tab w:leader="none" w:pos="311"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Borrower represents and warrants to Agent that its chief executive office is located at 3675 Market Street,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287655</wp:posOffset>
            </wp:positionV>
            <wp:extent cx="71329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331"/>
          </w:cols>
          <w:pgMar w:left="829" w:top="780" w:right="739" w:bottom="1440" w:gutter="0" w:footer="0" w:header="0"/>
          <w:type w:val="continuous"/>
        </w:sectPr>
      </w:pPr>
    </w:p>
    <w:bookmarkStart w:id="487" w:name="page488"/>
    <w:bookmarkEnd w:id="487"/>
    <w:p>
      <w:pPr>
        <w:jc w:val="center"/>
        <w:ind w:right="120"/>
        <w:spacing w:after="0"/>
        <w:rPr>
          <w:sz w:val="20"/>
          <w:szCs w:val="20"/>
          <w:color w:val="auto"/>
        </w:rPr>
      </w:pPr>
      <w:r>
        <w:rPr>
          <w:rFonts w:ascii="Arial" w:cs="Arial" w:eastAsia="Arial" w:hAnsi="Arial"/>
          <w:sz w:val="18"/>
          <w:szCs w:val="18"/>
          <w:b w:val="1"/>
          <w:bCs w:val="1"/>
          <w:color w:val="auto"/>
        </w:rPr>
        <w:t>EXHIBIT C</w:t>
      </w:r>
    </w:p>
    <w:p>
      <w:pPr>
        <w:spacing w:after="0" w:line="8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BORROWER’S PATENTS, TRADEMARKS, COPYRIGHTS AND LICENSES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Trademarks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Copyrights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Agreements under which Borrower licenses Intellectual Property from Third Parties (other than shrink-wrap software licenses)</w:t>
      </w:r>
    </w:p>
    <w:p>
      <w:pPr>
        <w:spacing w:after="0" w:line="23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License Agreement (differentiation) by and between the Company (as assignee) and FUJIFILM Cellular Dynamics Inc., a Wisconsin corporation, signed September 18, 2018 (</w:t>
      </w:r>
      <w:r>
        <w:rPr>
          <w:rFonts w:ascii="Arial" w:cs="Arial" w:eastAsia="Arial" w:hAnsi="Arial"/>
          <w:sz w:val="18"/>
          <w:szCs w:val="18"/>
          <w:i w:val="1"/>
          <w:iCs w:val="1"/>
          <w:color w:val="auto"/>
        </w:rPr>
        <w:t>exclusive</w:t>
      </w:r>
      <w:r>
        <w:rPr>
          <w:rFonts w:ascii="Arial" w:cs="Arial" w:eastAsia="Arial" w:hAnsi="Arial"/>
          <w:sz w:val="18"/>
          <w:szCs w:val="18"/>
          <w:color w:val="auto"/>
        </w:rPr>
        <w:t>).</w:t>
      </w:r>
    </w:p>
    <w:p>
      <w:pPr>
        <w:spacing w:after="0" w:line="18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License Agreement (reprogramming) by and between the Company (as assignee) and FUJIFILM Cellular Dynamics Inc., a Wisconsin corporation, effective September 18, 2018 (</w:t>
      </w:r>
      <w:r>
        <w:rPr>
          <w:rFonts w:ascii="Arial" w:cs="Arial" w:eastAsia="Arial" w:hAnsi="Arial"/>
          <w:sz w:val="18"/>
          <w:szCs w:val="18"/>
          <w:i w:val="1"/>
          <w:iCs w:val="1"/>
          <w:color w:val="auto"/>
        </w:rPr>
        <w:t>non-exclusive</w:t>
      </w:r>
      <w:r>
        <w:rPr>
          <w:rFonts w:ascii="Arial" w:cs="Arial" w:eastAsia="Arial" w:hAnsi="Arial"/>
          <w:sz w:val="18"/>
          <w:szCs w:val="18"/>
          <w:color w:val="auto"/>
        </w:rPr>
        <w:t>).</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Master Collaboration Agreement by and between the Company and FUJIFILM Cellular Dynamics Inc., a Wisconsin corporation, dated as of October 21, 2019.</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Letter Agreement regarding WARF/CDI License Agreement and CDI/Century Sublicense Agreement by and among the Company, FUJIFILM Cellular Dynamics Inc., a Wisconsin corporation and Wisconsin Alumni Research Foundation dated as of July 2, 2019.</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Sublicense Agreement by and between the Company and iCell Inc., a Japanese corporation, effective as of March 20, 2020 (</w:t>
      </w:r>
      <w:r>
        <w:rPr>
          <w:rFonts w:ascii="Arial" w:cs="Arial" w:eastAsia="Arial" w:hAnsi="Arial"/>
          <w:sz w:val="18"/>
          <w:szCs w:val="18"/>
          <w:i w:val="1"/>
          <w:iCs w:val="1"/>
          <w:color w:val="auto"/>
        </w:rPr>
        <w:t>exclusive, excluding</w:t>
      </w:r>
      <w:r>
        <w:rPr>
          <w:rFonts w:ascii="Arial" w:cs="Arial" w:eastAsia="Arial" w:hAnsi="Arial"/>
          <w:sz w:val="18"/>
          <w:szCs w:val="18"/>
          <w:color w:val="auto"/>
        </w:rPr>
        <w:t xml:space="preserve"> </w:t>
      </w:r>
      <w:r>
        <w:rPr>
          <w:rFonts w:ascii="Arial" w:cs="Arial" w:eastAsia="Arial" w:hAnsi="Arial"/>
          <w:sz w:val="18"/>
          <w:szCs w:val="18"/>
          <w:i w:val="1"/>
          <w:iCs w:val="1"/>
          <w:color w:val="auto"/>
        </w:rPr>
        <w:t>Japan</w:t>
      </w:r>
      <w:r>
        <w:rPr>
          <w:rFonts w:ascii="Arial" w:cs="Arial" w:eastAsia="Arial" w:hAnsi="Arial"/>
          <w:sz w:val="18"/>
          <w:szCs w:val="18"/>
          <w:color w:val="auto"/>
        </w:rPr>
        <w:t>).</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Master Software and Service Agreement by and between the Company, Century Therapeutics, Inc., a Delaware Corporation, and Labvantage Solutions, Inc., dated April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126365</wp:posOffset>
            </wp:positionV>
            <wp:extent cx="71329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000"/>
          </w:cols>
          <w:pgMar w:left="500" w:top="780" w:right="399" w:bottom="1440" w:gutter="0" w:footer="0" w:header="0"/>
        </w:sectPr>
      </w:pPr>
    </w:p>
    <w:bookmarkStart w:id="488" w:name="page489"/>
    <w:bookmarkEnd w:id="488"/>
    <w:p>
      <w:pPr>
        <w:jc w:val="center"/>
        <w:ind w:right="-79"/>
        <w:spacing w:after="0"/>
        <w:rPr>
          <w:sz w:val="20"/>
          <w:szCs w:val="20"/>
          <w:color w:val="auto"/>
        </w:rPr>
      </w:pPr>
      <w:r>
        <w:rPr>
          <w:rFonts w:ascii="Arial" w:cs="Arial" w:eastAsia="Arial" w:hAnsi="Arial"/>
          <w:sz w:val="18"/>
          <w:szCs w:val="18"/>
          <w:b w:val="1"/>
          <w:bCs w:val="1"/>
          <w:color w:val="auto"/>
        </w:rPr>
        <w:t>EXHIBIT D</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BORROWER’S DEPOSIT ACCOUNTS AND INVESTMENT ACCOUNTS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120" w:type="dxa"/>
            <w:vAlign w:val="bottom"/>
            <w:tcBorders>
              <w:top w:val="single" w:sz="8" w:color="auto"/>
              <w:left w:val="single" w:sz="8" w:color="auto"/>
            </w:tcBorders>
          </w:tcPr>
          <w:p>
            <w:pPr>
              <w:spacing w:after="0"/>
              <w:rPr>
                <w:sz w:val="16"/>
                <w:szCs w:val="16"/>
                <w:color w:val="auto"/>
              </w:rPr>
            </w:pPr>
          </w:p>
        </w:tc>
        <w:tc>
          <w:tcPr>
            <w:tcW w:w="17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color w:val="auto"/>
              </w:rPr>
              <w:t>Bank Name</w:t>
            </w:r>
          </w:p>
        </w:tc>
        <w:tc>
          <w:tcPr>
            <w:tcW w:w="1680" w:type="dxa"/>
            <w:vAlign w:val="bottom"/>
            <w:tcBorders>
              <w:top w:val="single" w:sz="8" w:color="auto"/>
              <w:right w:val="single" w:sz="8" w:color="auto"/>
            </w:tcBorders>
            <w:gridSpan w:val="3"/>
          </w:tcPr>
          <w:p>
            <w:pPr>
              <w:ind w:left="80"/>
              <w:spacing w:after="0" w:line="189" w:lineRule="exact"/>
              <w:rPr>
                <w:sz w:val="20"/>
                <w:szCs w:val="20"/>
                <w:color w:val="auto"/>
              </w:rPr>
            </w:pPr>
            <w:r>
              <w:rPr>
                <w:rFonts w:ascii="Arial" w:cs="Arial" w:eastAsia="Arial" w:hAnsi="Arial"/>
                <w:sz w:val="18"/>
                <w:szCs w:val="18"/>
                <w:color w:val="auto"/>
              </w:rPr>
              <w:t>Account</w:t>
            </w:r>
          </w:p>
        </w:tc>
        <w:tc>
          <w:tcPr>
            <w:tcW w:w="100" w:type="dxa"/>
            <w:vAlign w:val="bottom"/>
            <w:tcBorders>
              <w:top w:val="single" w:sz="8" w:color="auto"/>
            </w:tcBorders>
          </w:tcPr>
          <w:p>
            <w:pPr>
              <w:spacing w:after="0"/>
              <w:rPr>
                <w:sz w:val="16"/>
                <w:szCs w:val="16"/>
                <w:color w:val="auto"/>
              </w:rPr>
            </w:pPr>
          </w:p>
        </w:tc>
        <w:tc>
          <w:tcPr>
            <w:tcW w:w="248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color w:val="auto"/>
              </w:rPr>
              <w:t>Branch Address</w:t>
            </w: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right w:val="single" w:sz="8" w:color="auto"/>
            </w:tcBorders>
            <w:gridSpan w:val="3"/>
          </w:tcPr>
          <w:p>
            <w:pPr>
              <w:spacing w:after="0" w:line="189" w:lineRule="exact"/>
              <w:rPr>
                <w:sz w:val="20"/>
                <w:szCs w:val="20"/>
                <w:color w:val="auto"/>
              </w:rPr>
            </w:pPr>
            <w:r>
              <w:rPr>
                <w:rFonts w:ascii="Arial" w:cs="Arial" w:eastAsia="Arial" w:hAnsi="Arial"/>
                <w:sz w:val="18"/>
                <w:szCs w:val="18"/>
                <w:color w:val="auto"/>
              </w:rPr>
              <w:t>Borrower/</w:t>
            </w:r>
          </w:p>
        </w:tc>
        <w:tc>
          <w:tcPr>
            <w:tcW w:w="1780" w:type="dxa"/>
            <w:vAlign w:val="bottom"/>
            <w:tcBorders>
              <w:top w:val="single" w:sz="8" w:color="auto"/>
              <w:right w:val="single" w:sz="8" w:color="auto"/>
            </w:tcBorders>
            <w:gridSpan w:val="4"/>
          </w:tcPr>
          <w:p>
            <w:pPr>
              <w:ind w:left="80"/>
              <w:spacing w:after="0" w:line="189" w:lineRule="exact"/>
              <w:rPr>
                <w:sz w:val="20"/>
                <w:szCs w:val="20"/>
                <w:color w:val="auto"/>
              </w:rPr>
            </w:pPr>
            <w:r>
              <w:rPr>
                <w:rFonts w:ascii="Arial" w:cs="Arial" w:eastAsia="Arial" w:hAnsi="Arial"/>
                <w:sz w:val="18"/>
                <w:szCs w:val="18"/>
                <w:color w:val="auto"/>
              </w:rPr>
              <w:t>Purpose of</w:t>
            </w:r>
          </w:p>
        </w:tc>
        <w:tc>
          <w:tcPr>
            <w:tcW w:w="1560" w:type="dxa"/>
            <w:vAlign w:val="bottom"/>
            <w:tcBorders>
              <w:top w:val="single" w:sz="8" w:color="auto"/>
              <w:right w:val="single" w:sz="8" w:color="auto"/>
            </w:tcBorders>
            <w:gridSpan w:val="4"/>
          </w:tcPr>
          <w:p>
            <w:pPr>
              <w:ind w:left="100"/>
              <w:spacing w:after="0" w:line="189" w:lineRule="exact"/>
              <w:rPr>
                <w:sz w:val="20"/>
                <w:szCs w:val="20"/>
                <w:color w:val="auto"/>
              </w:rPr>
            </w:pPr>
            <w:r>
              <w:rPr>
                <w:rFonts w:ascii="Arial" w:cs="Arial" w:eastAsia="Arial" w:hAnsi="Arial"/>
                <w:sz w:val="18"/>
                <w:szCs w:val="18"/>
                <w:color w:val="auto"/>
              </w:rPr>
              <w:t>Avg.</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Subsidiary</w:t>
            </w:r>
          </w:p>
        </w:tc>
        <w:tc>
          <w:tcPr>
            <w:tcW w:w="1780" w:type="dxa"/>
            <w:vAlign w:val="bottom"/>
            <w:tcBorders>
              <w:right w:val="single" w:sz="8" w:color="auto"/>
            </w:tcBorders>
            <w:gridSpan w:val="4"/>
          </w:tcPr>
          <w:p>
            <w:pPr>
              <w:ind w:left="80"/>
              <w:spacing w:after="0" w:line="195" w:lineRule="exact"/>
              <w:rPr>
                <w:sz w:val="20"/>
                <w:szCs w:val="20"/>
                <w:color w:val="auto"/>
              </w:rPr>
            </w:pPr>
            <w:r>
              <w:rPr>
                <w:rFonts w:ascii="Arial" w:cs="Arial" w:eastAsia="Arial" w:hAnsi="Arial"/>
                <w:sz w:val="18"/>
                <w:szCs w:val="18"/>
                <w:color w:val="auto"/>
              </w:rPr>
              <w:t>Account</w:t>
            </w:r>
          </w:p>
        </w:tc>
        <w:tc>
          <w:tcPr>
            <w:tcW w:w="1560" w:type="dxa"/>
            <w:vAlign w:val="bottom"/>
            <w:tcBorders>
              <w:righ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rPr>
              <w:t>Balance</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120" w:type="dxa"/>
            <w:vAlign w:val="bottom"/>
            <w:tcBorders>
              <w:lef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Primary operating</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2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Silicon Valley Bank</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3003 Tasman Drive Santa Clara,</w:t>
            </w:r>
          </w:p>
        </w:tc>
        <w:tc>
          <w:tcPr>
            <w:tcW w:w="100" w:type="dxa"/>
            <w:vAlign w:val="bottom"/>
          </w:tcPr>
          <w:p>
            <w:pPr>
              <w:spacing w:after="0"/>
              <w:rPr>
                <w:sz w:val="18"/>
                <w:szCs w:val="18"/>
                <w:color w:val="auto"/>
              </w:rPr>
            </w:pPr>
          </w:p>
        </w:tc>
        <w:tc>
          <w:tcPr>
            <w:tcW w:w="17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Borrower</w:t>
            </w:r>
          </w:p>
        </w:tc>
        <w:tc>
          <w:tcPr>
            <w:tcW w:w="1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account for all</w:t>
            </w:r>
          </w:p>
        </w:tc>
        <w:tc>
          <w:tcPr>
            <w:tcW w:w="15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122"/>
        </w:trPr>
        <w:tc>
          <w:tcPr>
            <w:tcW w:w="12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continue"/>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CA 95054</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business operations</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8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17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Silicon Valley Bank</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3"/>
              </w:rPr>
              <w:t>3003 Tasman Drive Santa Clara,</w:t>
            </w:r>
          </w:p>
        </w:tc>
        <w:tc>
          <w:tcPr>
            <w:tcW w:w="100" w:type="dxa"/>
            <w:vAlign w:val="bottom"/>
          </w:tcPr>
          <w:p>
            <w:pPr>
              <w:spacing w:after="0"/>
              <w:rPr>
                <w:sz w:val="16"/>
                <w:szCs w:val="16"/>
                <w:color w:val="auto"/>
              </w:rPr>
            </w:pPr>
          </w:p>
        </w:tc>
        <w:tc>
          <w:tcPr>
            <w:tcW w:w="17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Borrower</w:t>
            </w:r>
          </w:p>
        </w:tc>
        <w:tc>
          <w:tcPr>
            <w:tcW w:w="1780" w:type="dxa"/>
            <w:vAlign w:val="bottom"/>
            <w:tcBorders>
              <w:right w:val="single" w:sz="8" w:color="auto"/>
            </w:tcBorders>
            <w:gridSpan w:val="4"/>
          </w:tcPr>
          <w:p>
            <w:pPr>
              <w:ind w:left="80"/>
              <w:spacing w:after="0" w:line="195" w:lineRule="exact"/>
              <w:rPr>
                <w:sz w:val="20"/>
                <w:szCs w:val="20"/>
                <w:color w:val="auto"/>
              </w:rPr>
            </w:pPr>
            <w:r>
              <w:rPr>
                <w:rFonts w:ascii="Arial" w:cs="Arial" w:eastAsia="Arial" w:hAnsi="Arial"/>
                <w:sz w:val="18"/>
                <w:szCs w:val="18"/>
                <w:color w:val="auto"/>
              </w:rPr>
              <w:t>Asset Management</w:t>
            </w:r>
          </w:p>
        </w:tc>
        <w:tc>
          <w:tcPr>
            <w:tcW w:w="156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$42,000,000</w:t>
            </w:r>
          </w:p>
        </w:tc>
        <w:tc>
          <w:tcPr>
            <w:tcW w:w="0" w:type="dxa"/>
            <w:vAlign w:val="bottom"/>
          </w:tcPr>
          <w:p>
            <w:pPr>
              <w:spacing w:after="0"/>
              <w:rPr>
                <w:sz w:val="1"/>
                <w:szCs w:val="1"/>
                <w:color w:val="auto"/>
              </w:rPr>
            </w:pPr>
          </w:p>
        </w:tc>
      </w:tr>
      <w:tr>
        <w:trPr>
          <w:trHeight w:val="122"/>
        </w:trPr>
        <w:tc>
          <w:tcPr>
            <w:tcW w:w="120" w:type="dxa"/>
            <w:vAlign w:val="bottom"/>
            <w:tcBorders>
              <w:left w:val="single" w:sz="8" w:color="auto"/>
            </w:tcBorders>
          </w:tcPr>
          <w:p>
            <w:pPr>
              <w:spacing w:after="0"/>
              <w:rPr>
                <w:sz w:val="10"/>
                <w:szCs w:val="10"/>
                <w:color w:val="auto"/>
              </w:rPr>
            </w:pPr>
          </w:p>
        </w:tc>
        <w:tc>
          <w:tcPr>
            <w:tcW w:w="1720" w:type="dxa"/>
            <w:vAlign w:val="bottom"/>
            <w:tcBorders>
              <w:right w:val="single" w:sz="8" w:color="auto"/>
            </w:tcBorders>
            <w:gridSpan w:val="2"/>
            <w:vMerge w:val="continue"/>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CA 95054</w:t>
            </w:r>
          </w:p>
        </w:tc>
        <w:tc>
          <w:tcPr>
            <w:tcW w:w="100" w:type="dxa"/>
            <w:vAlign w:val="bottom"/>
          </w:tcPr>
          <w:p>
            <w:pPr>
              <w:spacing w:after="0"/>
              <w:rPr>
                <w:sz w:val="10"/>
                <w:szCs w:val="10"/>
                <w:color w:val="auto"/>
              </w:rPr>
            </w:pPr>
          </w:p>
        </w:tc>
        <w:tc>
          <w:tcPr>
            <w:tcW w:w="1700" w:type="dxa"/>
            <w:vAlign w:val="bottom"/>
            <w:tcBorders>
              <w:right w:val="single" w:sz="8" w:color="auto"/>
            </w:tcBorders>
            <w:gridSpan w:val="3"/>
            <w:vMerge w:val="continue"/>
          </w:tcPr>
          <w:p>
            <w:pPr>
              <w:spacing w:after="0"/>
              <w:rPr>
                <w:sz w:val="10"/>
                <w:szCs w:val="10"/>
                <w:color w:val="auto"/>
              </w:rPr>
            </w:pPr>
          </w:p>
        </w:tc>
        <w:tc>
          <w:tcPr>
            <w:tcW w:w="1780" w:type="dxa"/>
            <w:vAlign w:val="bottom"/>
            <w:tcBorders>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Account</w:t>
            </w:r>
          </w:p>
        </w:tc>
        <w:tc>
          <w:tcPr>
            <w:tcW w:w="156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 w:type="dxa"/>
            <w:vAlign w:val="bottom"/>
            <w:tcBorders>
              <w:left w:val="single" w:sz="8" w:color="auto"/>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gridSpan w:val="2"/>
            <w:vMerge w:val="continue"/>
          </w:tcPr>
          <w:p>
            <w:pPr>
              <w:spacing w:after="0"/>
              <w:rPr>
                <w:sz w:val="10"/>
                <w:szCs w:val="10"/>
                <w:color w:val="auto"/>
              </w:rPr>
            </w:pPr>
          </w:p>
        </w:tc>
        <w:tc>
          <w:tcPr>
            <w:tcW w:w="680" w:type="dxa"/>
            <w:vAlign w:val="bottom"/>
            <w:tcBorders>
              <w:bottom w:val="single" w:sz="8" w:color="auto"/>
            </w:tcBorders>
            <w:gridSpan w:val="2"/>
            <w:vMerge w:val="continue"/>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gridSpan w:val="2"/>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gridSpan w:val="4"/>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gridSpan w:val="4"/>
          </w:tcPr>
          <w:p>
            <w:pPr>
              <w:ind w:left="80"/>
              <w:spacing w:after="0" w:line="195" w:lineRule="exact"/>
              <w:rPr>
                <w:sz w:val="20"/>
                <w:szCs w:val="20"/>
                <w:color w:val="auto"/>
              </w:rPr>
            </w:pPr>
            <w:r>
              <w:rPr>
                <w:rFonts w:ascii="Arial" w:cs="Arial" w:eastAsia="Arial" w:hAnsi="Arial"/>
                <w:sz w:val="18"/>
                <w:szCs w:val="18"/>
                <w:color w:val="auto"/>
              </w:rPr>
              <w:t>Invest Excess cash,</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JP Morgan</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Borrower</w:t>
            </w:r>
          </w:p>
        </w:tc>
        <w:tc>
          <w:tcPr>
            <w:tcW w:w="1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transferred to SVB</w:t>
            </w:r>
          </w:p>
        </w:tc>
        <w:tc>
          <w:tcPr>
            <w:tcW w:w="156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5"/>
        </w:trPr>
        <w:tc>
          <w:tcPr>
            <w:tcW w:w="12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right w:val="single" w:sz="8" w:color="auto"/>
            </w:tcBorders>
            <w:gridSpan w:val="3"/>
            <w:vMerge w:val="continue"/>
          </w:tcPr>
          <w:p>
            <w:pPr>
              <w:spacing w:after="0"/>
              <w:rPr>
                <w:sz w:val="18"/>
                <w:szCs w:val="18"/>
                <w:color w:val="auto"/>
              </w:rPr>
            </w:pPr>
          </w:p>
        </w:tc>
        <w:tc>
          <w:tcPr>
            <w:tcW w:w="1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Operating account as</w:t>
            </w:r>
          </w:p>
        </w:tc>
        <w:tc>
          <w:tcPr>
            <w:tcW w:w="1560" w:type="dxa"/>
            <w:vAlign w:val="bottom"/>
            <w:tcBorders>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needed</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0" w:right="339" w:bottom="1440" w:gutter="0" w:footer="0" w:header="0"/>
        </w:sectPr>
      </w:pPr>
    </w:p>
    <w:bookmarkStart w:id="489" w:name="page490"/>
    <w:bookmarkEnd w:id="489"/>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Hercules Capital, Inc. (as “Agent”)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400 Hamilton Avenue, Suite 310</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Palo Alto, CA 94301</w:t>
      </w:r>
    </w:p>
    <w:p>
      <w:pPr>
        <w:spacing w:after="0" w:line="209" w:lineRule="exact"/>
        <w:rPr>
          <w:sz w:val="20"/>
          <w:szCs w:val="20"/>
          <w:color w:val="auto"/>
        </w:rPr>
      </w:pPr>
    </w:p>
    <w:p>
      <w:pPr>
        <w:ind w:left="180" w:right="40" w:firstLine="646"/>
        <w:spacing w:after="0" w:line="256" w:lineRule="auto"/>
        <w:rPr>
          <w:sz w:val="20"/>
          <w:szCs w:val="20"/>
          <w:color w:val="auto"/>
        </w:rPr>
      </w:pPr>
      <w:r>
        <w:rPr>
          <w:rFonts w:ascii="Arial" w:cs="Arial" w:eastAsia="Arial" w:hAnsi="Arial"/>
          <w:sz w:val="18"/>
          <w:szCs w:val="18"/>
          <w:color w:val="auto"/>
        </w:rPr>
        <w:t>Reference is made to that certain Loan and Security Agreement dated September 14, 2020 and the Loan Documents (as defined therein) entered into in connection with such Loan and Security Agreement all as may be amended from time to time (hereinafter referred to collectively as the “Loan Agreement”) by and among Hercules Capital, Inc. (the “Agent”), the several banks and other financial institutions or entities from time to time party thereto (collectively, the “Lender”) and CENTURY THERAPEUTICS, LLC (the “Company”) as Borrower. All capitalized terms not defined herein shall have the same meaning as defined in the Loan Agreement.</w:t>
      </w:r>
    </w:p>
    <w:p>
      <w:pPr>
        <w:spacing w:after="0" w:line="188" w:lineRule="exact"/>
        <w:rPr>
          <w:sz w:val="20"/>
          <w:szCs w:val="20"/>
          <w:color w:val="auto"/>
        </w:rPr>
      </w:pPr>
    </w:p>
    <w:p>
      <w:pPr>
        <w:ind w:left="180" w:right="300" w:firstLine="646"/>
        <w:spacing w:after="0" w:line="290" w:lineRule="auto"/>
        <w:rPr>
          <w:sz w:val="20"/>
          <w:szCs w:val="20"/>
          <w:color w:val="auto"/>
        </w:rPr>
      </w:pPr>
      <w:r>
        <w:rPr>
          <w:rFonts w:ascii="Arial" w:cs="Arial" w:eastAsia="Arial" w:hAnsi="Arial"/>
          <w:sz w:val="16"/>
          <w:szCs w:val="16"/>
          <w:color w:val="auto"/>
        </w:rPr>
        <w:t>The undersigned is an Officer of the Company, knowledgeable of all Company financial matters, and is authorized to provide certification of information regarding the Company; hereby certifies, in such capacity (and not in his or her personal capacity), that in accordance with the terms and</w:t>
      </w:r>
    </w:p>
    <w:p>
      <w:pPr>
        <w:ind w:left="180" w:right="100"/>
        <w:spacing w:after="0" w:line="286" w:lineRule="auto"/>
        <w:rPr>
          <w:sz w:val="20"/>
          <w:szCs w:val="20"/>
          <w:color w:val="auto"/>
        </w:rPr>
      </w:pPr>
      <w:r>
        <w:rPr>
          <w:rFonts w:ascii="Arial" w:cs="Arial" w:eastAsia="Arial" w:hAnsi="Arial"/>
          <w:sz w:val="16"/>
          <w:szCs w:val="16"/>
          <w:color w:val="auto"/>
        </w:rPr>
        <w:t>conditions of the Loan Agreement, to the knowledge of the undersigned, the Company is in compliance for the period ending of all covenants, conditions and terms and hereby reaffirms that, except as noted below,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provided that the exceptions noted below shall not apply to an earlier date and shall not cure any default arising from any false or incorrect misrepresentations and warranties previously made. Attached are the required documents supporting the above certification. The undersigned further certifies that these are prepared in accordance with GAAP (except for the absence of footnotes with respect to unaudited financial statement and subject to normal year-end adjustments) and are consistent from one period to the next except as explained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5824855</wp:posOffset>
            </wp:positionH>
            <wp:positionV relativeFrom="paragraph">
              <wp:posOffset>-1002030</wp:posOffset>
            </wp:positionV>
            <wp:extent cx="48387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149"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CHECK IF ATTACHED</w:t>
      </w:r>
    </w:p>
    <w:p>
      <w:pPr>
        <w:sectPr>
          <w:pgSz w:w="11900" w:h="16838" w:orient="portrait"/>
          <w:cols w:equalWidth="0" w:num="1">
            <w:col w:w="11240"/>
          </w:cols>
          <w:pgMar w:left="320" w:top="700" w:right="339" w:bottom="1440" w:gutter="0" w:footer="0" w:header="0"/>
        </w:sectPr>
      </w:pP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REPORTING REQUIREMENT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REQUIRED</w:t>
      </w:r>
    </w:p>
    <w:p>
      <w:pPr>
        <w:spacing w:after="0" w:line="99" w:lineRule="exact"/>
        <w:rPr>
          <w:sz w:val="20"/>
          <w:szCs w:val="20"/>
          <w:color w:val="auto"/>
        </w:rPr>
      </w:pPr>
    </w:p>
    <w:p>
      <w:pPr>
        <w:sectPr>
          <w:pgSz w:w="11900" w:h="16838" w:orient="portrait"/>
          <w:cols w:equalWidth="0" w:num="2">
            <w:col w:w="5020" w:space="720"/>
            <w:col w:w="5500"/>
          </w:cols>
          <w:pgMar w:left="320" w:top="700" w:right="3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Interim Financial Statements</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6"/>
          <w:szCs w:val="16"/>
          <w:color w:val="auto"/>
        </w:rPr>
        <w:t>Monthly within 30 days</w:t>
      </w:r>
    </w:p>
    <w:p>
      <w:pPr>
        <w:spacing w:after="0" w:line="125" w:lineRule="exact"/>
        <w:rPr>
          <w:sz w:val="20"/>
          <w:szCs w:val="20"/>
          <w:color w:val="auto"/>
        </w:rPr>
      </w:pPr>
    </w:p>
    <w:p>
      <w:pPr>
        <w:sectPr>
          <w:pgSz w:w="11900" w:h="16838" w:orient="portrait"/>
          <w:cols w:equalWidth="0" w:num="2">
            <w:col w:w="5020" w:space="720"/>
            <w:col w:w="5500"/>
          </w:cols>
          <w:pgMar w:left="320" w:top="700" w:right="3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Interim Financial Statements</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Arial" w:cs="Arial" w:eastAsia="Arial" w:hAnsi="Arial"/>
          <w:sz w:val="16"/>
          <w:szCs w:val="16"/>
          <w:color w:val="auto"/>
        </w:rPr>
        <w:t>Quarterly within 45 days</w:t>
      </w:r>
    </w:p>
    <w:p>
      <w:pPr>
        <w:spacing w:after="0" w:line="125" w:lineRule="exact"/>
        <w:rPr>
          <w:sz w:val="20"/>
          <w:szCs w:val="20"/>
          <w:color w:val="auto"/>
        </w:rPr>
      </w:pPr>
    </w:p>
    <w:p>
      <w:pPr>
        <w:sectPr>
          <w:pgSz w:w="11900" w:h="16838" w:orient="portrait"/>
          <w:cols w:equalWidth="0" w:num="2">
            <w:col w:w="5020" w:space="720"/>
            <w:col w:w="5500"/>
          </w:cols>
          <w:pgMar w:left="320" w:top="700" w:right="3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Audited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FYE within 180 days</w:t>
      </w:r>
    </w:p>
    <w:p>
      <w:pPr>
        <w:spacing w:after="0" w:line="200" w:lineRule="exact"/>
        <w:rPr>
          <w:sz w:val="20"/>
          <w:szCs w:val="20"/>
          <w:color w:val="auto"/>
        </w:rPr>
      </w:pPr>
    </w:p>
    <w:p>
      <w:pPr>
        <w:sectPr>
          <w:pgSz w:w="11900" w:h="16838" w:orient="portrait"/>
          <w:cols w:equalWidth="0" w:num="2">
            <w:col w:w="5020" w:space="720"/>
            <w:col w:w="5500"/>
          </w:cols>
          <w:pgMar w:left="320" w:top="700"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OF BORROWER AND ITS SUBSIDIARIES AND AFFILIATES</w:t>
      </w:r>
    </w:p>
    <w:p>
      <w:pPr>
        <w:spacing w:after="0" w:line="223" w:lineRule="exact"/>
        <w:rPr>
          <w:sz w:val="20"/>
          <w:szCs w:val="20"/>
          <w:color w:val="auto"/>
        </w:rPr>
      </w:pPr>
    </w:p>
    <w:p>
      <w:pPr>
        <w:ind w:left="180" w:right="100"/>
        <w:spacing w:after="0" w:line="275" w:lineRule="auto"/>
        <w:rPr>
          <w:sz w:val="20"/>
          <w:szCs w:val="20"/>
          <w:color w:val="auto"/>
        </w:rPr>
      </w:pPr>
      <w:r>
        <w:rPr>
          <w:rFonts w:ascii="Arial" w:cs="Arial" w:eastAsia="Arial" w:hAnsi="Arial"/>
          <w:sz w:val="18"/>
          <w:szCs w:val="18"/>
          <w:color w:val="auto"/>
        </w:rPr>
        <w:t>The undersigned hereby also confirms the below disclosed accounts represent all depository accounts and securities accounts presently open in the name of each Borrower or Borrower’s Subsidiary/Affiliate, as applicable.</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Each new account that has been opened since delivery of the previous Compliance Certificate is designated below with a “*”.</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6800" w:type="dxa"/>
            <w:vAlign w:val="bottom"/>
            <w:tcBorders>
              <w:top w:val="single" w:sz="8" w:color="auto"/>
              <w:left w:val="single" w:sz="8" w:color="auto"/>
            </w:tcBorders>
          </w:tcPr>
          <w:p>
            <w:pPr>
              <w:ind w:left="3480"/>
              <w:spacing w:after="0"/>
              <w:rPr>
                <w:sz w:val="20"/>
                <w:szCs w:val="20"/>
                <w:color w:val="auto"/>
              </w:rPr>
            </w:pPr>
            <w:r>
              <w:rPr>
                <w:rFonts w:ascii="Arial" w:cs="Arial" w:eastAsia="Arial" w:hAnsi="Arial"/>
                <w:sz w:val="18"/>
                <w:szCs w:val="18"/>
                <w:b w:val="1"/>
                <w:bCs w:val="1"/>
                <w:color w:val="auto"/>
              </w:rPr>
              <w:t>Depository AC #   Financial Institution</w:t>
            </w:r>
          </w:p>
        </w:tc>
        <w:tc>
          <w:tcPr>
            <w:tcW w:w="154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Account Type</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Last Month</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Purpose of</w:t>
            </w:r>
          </w:p>
        </w:tc>
      </w:tr>
      <w:tr>
        <w:trPr>
          <w:trHeight w:val="234"/>
        </w:trPr>
        <w:tc>
          <w:tcPr>
            <w:tcW w:w="6800" w:type="dxa"/>
            <w:vAlign w:val="bottom"/>
            <w:tcBorders>
              <w:left w:val="single" w:sz="8" w:color="auto"/>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Account</w:t>
            </w:r>
          </w:p>
        </w:tc>
      </w:tr>
      <w:tr>
        <w:trPr>
          <w:trHeight w:val="437"/>
        </w:trPr>
        <w:tc>
          <w:tcPr>
            <w:tcW w:w="6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0" w:right="339" w:bottom="1440" w:gutter="0" w:footer="0" w:header="0"/>
          <w:type w:val="continuous"/>
        </w:sectPr>
      </w:pPr>
    </w:p>
    <w:bookmarkStart w:id="490" w:name="page491"/>
    <w:bookmarkEnd w:id="4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80" w:type="dxa"/>
            <w:vAlign w:val="bottom"/>
            <w:tcBorders>
              <w:top w:val="single" w:sz="8" w:color="auto"/>
              <w:left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0"/>
              </w:rPr>
              <w:t>(Depository /</w:t>
            </w:r>
          </w:p>
        </w:tc>
        <w:tc>
          <w:tcPr>
            <w:tcW w:w="290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Account</w:t>
            </w: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9"/>
              </w:rPr>
              <w:t>Securities)</w:t>
            </w:r>
          </w:p>
        </w:tc>
        <w:tc>
          <w:tcPr>
            <w:tcW w:w="2900" w:type="dxa"/>
            <w:vAlign w:val="bottom"/>
            <w:tcBorders>
              <w:bottom w:val="single" w:sz="8" w:color="auto"/>
              <w:right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Balance</w:t>
            </w:r>
          </w:p>
        </w:tc>
      </w:tr>
      <w:tr>
        <w:trPr>
          <w:trHeight w:val="190"/>
        </w:trPr>
        <w:tc>
          <w:tcPr>
            <w:tcW w:w="2000" w:type="dxa"/>
            <w:vAlign w:val="bottom"/>
            <w:tcBorders>
              <w:left w:val="single" w:sz="8" w:color="auto"/>
            </w:tcBorders>
            <w:gridSpan w:val="3"/>
          </w:tcPr>
          <w:p>
            <w:pPr>
              <w:ind w:left="120"/>
              <w:spacing w:after="0" w:line="190" w:lineRule="exact"/>
              <w:rPr>
                <w:sz w:val="20"/>
                <w:szCs w:val="20"/>
                <w:color w:val="auto"/>
              </w:rPr>
            </w:pPr>
            <w:r>
              <w:rPr>
                <w:rFonts w:ascii="Arial" w:cs="Arial" w:eastAsia="Arial" w:hAnsi="Arial"/>
                <w:sz w:val="18"/>
                <w:szCs w:val="18"/>
                <w:b w:val="1"/>
                <w:bCs w:val="1"/>
                <w:color w:val="auto"/>
              </w:rPr>
              <w:t>BORROWER</w:t>
            </w:r>
          </w:p>
        </w:tc>
        <w:tc>
          <w:tcPr>
            <w:tcW w:w="9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r>
      <w:tr>
        <w:trPr>
          <w:trHeight w:val="234"/>
        </w:trPr>
        <w:tc>
          <w:tcPr>
            <w:tcW w:w="200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Name/Address:</w:t>
            </w:r>
          </w:p>
        </w:tc>
        <w:tc>
          <w:tcPr>
            <w:tcW w:w="9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190"/>
        </w:trPr>
        <w:tc>
          <w:tcPr>
            <w:tcW w:w="2940" w:type="dxa"/>
            <w:vAlign w:val="bottom"/>
            <w:tcBorders>
              <w:left w:val="single" w:sz="8" w:color="auto"/>
              <w:right w:val="single" w:sz="8" w:color="auto"/>
            </w:tcBorders>
            <w:gridSpan w:val="4"/>
          </w:tcPr>
          <w:p>
            <w:pPr>
              <w:ind w:left="120"/>
              <w:spacing w:after="0" w:line="190" w:lineRule="exact"/>
              <w:rPr>
                <w:sz w:val="20"/>
                <w:szCs w:val="20"/>
                <w:color w:val="auto"/>
              </w:rPr>
            </w:pPr>
            <w:r>
              <w:rPr>
                <w:rFonts w:ascii="Arial" w:cs="Arial" w:eastAsia="Arial" w:hAnsi="Arial"/>
                <w:sz w:val="18"/>
                <w:szCs w:val="18"/>
                <w:b w:val="1"/>
                <w:bCs w:val="1"/>
                <w:color w:val="auto"/>
              </w:rPr>
              <w:t>SUBSIDIARY / AFFILIATE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r>
      <w:tr>
        <w:trPr>
          <w:trHeight w:val="234"/>
        </w:trPr>
        <w:tc>
          <w:tcPr>
            <w:tcW w:w="200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Name/Address</w:t>
            </w:r>
          </w:p>
        </w:tc>
        <w:tc>
          <w:tcPr>
            <w:tcW w:w="9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1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464"/>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8"/>
              </w:rPr>
              <w:t>Name of Test</w:t>
            </w:r>
          </w:p>
        </w:tc>
        <w:tc>
          <w:tcPr>
            <w:tcW w:w="8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Required Level</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3"/>
              </w:rPr>
              <w:t>Actual Level</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In Compliance Y/N?</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32"/>
        </w:trPr>
        <w:tc>
          <w:tcPr>
            <w:tcW w:w="18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Minimum Cash*</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14" w:lineRule="exact"/>
        <w:rPr>
          <w:sz w:val="20"/>
          <w:szCs w:val="20"/>
          <w:color w:val="auto"/>
        </w:rPr>
      </w:pPr>
    </w:p>
    <w:p>
      <w:pPr>
        <w:ind w:left="180" w:right="780"/>
        <w:spacing w:after="0" w:line="275" w:lineRule="auto"/>
        <w:rPr>
          <w:sz w:val="20"/>
          <w:szCs w:val="20"/>
          <w:color w:val="auto"/>
        </w:rPr>
      </w:pPr>
      <w:r>
        <w:rPr>
          <w:rFonts w:ascii="Arial" w:cs="Arial" w:eastAsia="Arial" w:hAnsi="Arial"/>
          <w:sz w:val="18"/>
          <w:szCs w:val="18"/>
          <w:color w:val="auto"/>
        </w:rPr>
        <w:t>[Effective if and only if Borrower has both: (a) drawn the Tranche 2 Advance and (b) not achieved Performance Milestone II by September 30, 2021. See Section 7.20.]</w:t>
      </w:r>
    </w:p>
    <w:p>
      <w:pPr>
        <w:spacing w:after="0" w:line="185" w:lineRule="exact"/>
        <w:rPr>
          <w:sz w:val="20"/>
          <w:szCs w:val="20"/>
          <w:color w:val="auto"/>
        </w:rPr>
      </w:pPr>
    </w:p>
    <w:p>
      <w:pPr>
        <w:ind w:left="500" w:hanging="317"/>
        <w:spacing w:after="0"/>
        <w:tabs>
          <w:tab w:leader="none" w:pos="5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amount of unrestricted Cash as of the date hereof: $</w:t>
      </w:r>
    </w:p>
    <w:p>
      <w:pPr>
        <w:spacing w:after="0" w:line="304" w:lineRule="exact"/>
        <w:rPr>
          <w:rFonts w:ascii="Arial" w:cs="Arial" w:eastAsia="Arial" w:hAnsi="Arial"/>
          <w:sz w:val="18"/>
          <w:szCs w:val="18"/>
          <w:color w:val="auto"/>
        </w:rPr>
      </w:pPr>
    </w:p>
    <w:p>
      <w:pPr>
        <w:ind w:left="580" w:hanging="393"/>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amount of the Borrower’s accounts payable not paid after the 90th day following the invoice date for such accounts payable: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9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2901315</wp:posOffset>
            </wp:positionH>
            <wp:positionV relativeFrom="paragraph">
              <wp:posOffset>-335280</wp:posOffset>
            </wp:positionV>
            <wp:extent cx="54038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-10795</wp:posOffset>
            </wp:positionV>
            <wp:extent cx="51244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1244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491" w:name="page492"/>
    <w:bookmarkEnd w:id="491"/>
    <w:p>
      <w:pPr>
        <w:spacing w:after="0"/>
        <w:rPr>
          <w:sz w:val="20"/>
          <w:szCs w:val="20"/>
          <w:color w:val="auto"/>
        </w:rPr>
      </w:pPr>
      <w:r>
        <w:rPr>
          <w:rFonts w:ascii="Arial" w:cs="Arial" w:eastAsia="Arial" w:hAnsi="Arial"/>
          <w:sz w:val="18"/>
          <w:szCs w:val="18"/>
          <w:color w:val="auto"/>
        </w:rPr>
        <w:t xml:space="preserve">(c) Clause (a) </w:t>
      </w:r>
      <w:r>
        <w:rPr>
          <w:rFonts w:ascii="Arial" w:cs="Arial" w:eastAsia="Arial" w:hAnsi="Arial"/>
          <w:sz w:val="18"/>
          <w:szCs w:val="18"/>
          <w:i w:val="1"/>
          <w:iCs w:val="1"/>
          <w:color w:val="auto"/>
        </w:rPr>
        <w:t>minus</w:t>
      </w:r>
      <w:r>
        <w:rPr>
          <w:rFonts w:ascii="Arial" w:cs="Arial" w:eastAsia="Arial" w:hAnsi="Arial"/>
          <w:sz w:val="18"/>
          <w:szCs w:val="18"/>
          <w:color w:val="auto"/>
        </w:rPr>
        <w:t xml:space="preserve"> clause (b) 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-10795</wp:posOffset>
            </wp:positionV>
            <wp:extent cx="93916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Is the amount reported in clause (c) equal to or greater than $8,500,000?</w:t>
      </w:r>
    </w:p>
    <w:p>
      <w:pPr>
        <w:spacing w:after="0" w:line="304"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8"/>
          <w:szCs w:val="18"/>
          <w:color w:val="auto"/>
        </w:rPr>
        <w:t>Yes;</w:t>
        <w:tab/>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-10795</wp:posOffset>
            </wp:positionV>
            <wp:extent cx="14224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42240" cy="8255"/>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-10795</wp:posOffset>
            </wp:positionV>
            <wp:extent cx="14224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42240" cy="8255"/>
                    </a:xfrm>
                    <a:prstGeom prst="rect">
                      <a:avLst/>
                    </a:prstGeom>
                    <a:noFill/>
                  </pic:spPr>
                </pic:pic>
              </a:graphicData>
            </a:graphic>
          </wp:anchor>
        </w:drawing>
      </w:r>
    </w:p>
    <w:p>
      <w:pPr>
        <w:spacing w:after="0" w:line="29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If No: not in compliance</w:t>
      </w:r>
    </w:p>
    <w:p>
      <w:pPr>
        <w:spacing w:after="0" w:line="223" w:lineRule="exact"/>
        <w:rPr>
          <w:sz w:val="20"/>
          <w:szCs w:val="20"/>
          <w:color w:val="auto"/>
        </w:rPr>
      </w:pPr>
    </w:p>
    <w:p>
      <w:pPr>
        <w:ind w:firstLine="7"/>
        <w:spacing w:after="0" w:line="275" w:lineRule="auto"/>
        <w:tabs>
          <w:tab w:leader="none" w:pos="13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if the Tranche 2 Advance is not drawn or Borrower has achieved Performance Milestone II by September 30, 2021, then there shall be no minimum cash requirement</w:t>
      </w:r>
      <w:r>
        <w:rPr>
          <w:rFonts w:ascii="Arial" w:cs="Arial" w:eastAsia="Arial" w:hAnsi="Arial"/>
          <w:sz w:val="18"/>
          <w:szCs w:val="18"/>
          <w:b w:val="1"/>
          <w:bCs w:val="1"/>
          <w:color w:val="auto"/>
        </w:rPr>
        <w:t>.</w:t>
      </w:r>
    </w:p>
    <w:p>
      <w:pPr>
        <w:spacing w:after="0" w:line="40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CENTURY THERAPEUTICS, LLC</w:t>
      </w:r>
    </w:p>
    <w:p>
      <w:pPr>
        <w:spacing w:after="0" w:line="2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14605</wp:posOffset>
            </wp:positionV>
            <wp:extent cx="320357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167640</wp:posOffset>
            </wp:positionV>
            <wp:extent cx="71329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22225</wp:posOffset>
            </wp:positionV>
            <wp:extent cx="320357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203575"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-122555</wp:posOffset>
            </wp:positionV>
            <wp:extent cx="320357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ectPr>
          <w:pgSz w:w="11900" w:h="16838" w:orient="portrait"/>
          <w:cols w:equalWidth="0" w:num="1">
            <w:col w:w="10000"/>
          </w:cols>
          <w:pgMar w:left="500" w:top="811" w:right="1399" w:bottom="1440" w:gutter="0" w:footer="0" w:header="0"/>
        </w:sectPr>
      </w:pPr>
    </w:p>
    <w:bookmarkStart w:id="492" w:name="page493"/>
    <w:bookmarkEnd w:id="492"/>
    <w:tbl>
      <w:tblPr>
        <w:tblLayout w:type="fixed"/>
        <w:tblInd w:w="0" w:type="dxa"/>
        <w:tblCellMar>
          <w:top w:w="0" w:type="dxa"/>
          <w:left w:w="0" w:type="dxa"/>
          <w:bottom w:w="0" w:type="dxa"/>
          <w:right w:w="0" w:type="dxa"/>
        </w:tblCellMar>
      </w:tblPr>
      <w:tr>
        <w:trPr>
          <w:trHeight w:val="234"/>
        </w:trPr>
        <w:tc>
          <w:tcPr>
            <w:tcW w:w="1022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rPr>
              <w:t>EXHIBIT F</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4"/>
        </w:trPr>
        <w:tc>
          <w:tcPr>
            <w:tcW w:w="1022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rPr>
              <w:t>FORM OF JOINDER AGREEMENT</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71"/>
        </w:trPr>
        <w:tc>
          <w:tcPr>
            <w:tcW w:w="9740" w:type="dxa"/>
            <w:vAlign w:val="bottom"/>
          </w:tcPr>
          <w:p>
            <w:pPr>
              <w:ind w:left="660"/>
              <w:spacing w:after="0"/>
              <w:rPr>
                <w:sz w:val="20"/>
                <w:szCs w:val="20"/>
                <w:color w:val="auto"/>
              </w:rPr>
            </w:pPr>
            <w:r>
              <w:rPr>
                <w:rFonts w:ascii="Arial" w:cs="Arial" w:eastAsia="Arial" w:hAnsi="Arial"/>
                <w:sz w:val="18"/>
                <w:szCs w:val="18"/>
                <w:color w:val="auto"/>
                <w:w w:val="92"/>
              </w:rPr>
              <w:t>This Joinder Agreement (the “Joinder Agreement”) is made and dated as of [   ], 20[   ], and is entered into by and between</w:t>
            </w: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 a</w:t>
            </w:r>
          </w:p>
        </w:tc>
      </w:tr>
      <w:tr>
        <w:trPr>
          <w:trHeight w:val="236"/>
        </w:trPr>
        <w:tc>
          <w:tcPr>
            <w:tcW w:w="9740" w:type="dxa"/>
            <w:vAlign w:val="bottom"/>
          </w:tcPr>
          <w:p>
            <w:pPr>
              <w:spacing w:after="0"/>
              <w:rPr>
                <w:sz w:val="20"/>
                <w:szCs w:val="20"/>
                <w:color w:val="auto"/>
              </w:rPr>
            </w:pPr>
            <w:r>
              <w:rPr>
                <w:rFonts w:ascii="Arial" w:cs="Arial" w:eastAsia="Arial" w:hAnsi="Arial"/>
                <w:sz w:val="18"/>
                <w:szCs w:val="18"/>
                <w:color w:val="auto"/>
              </w:rPr>
              <w:t>corporation (“Subsidiary”), and HERCULES CAPITAL, INC., a Maryland corporation (as “Agent”).</w:t>
            </w:r>
          </w:p>
        </w:tc>
        <w:tc>
          <w:tcPr>
            <w:tcW w:w="4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r>
      <w:tr>
        <w:trPr>
          <w:trHeight w:val="430"/>
        </w:trPr>
        <w:tc>
          <w:tcPr>
            <w:tcW w:w="10220" w:type="dxa"/>
            <w:vAlign w:val="bottom"/>
            <w:gridSpan w:val="2"/>
          </w:tcPr>
          <w:p>
            <w:pPr>
              <w:ind w:left="5020"/>
              <w:spacing w:after="0"/>
              <w:rPr>
                <w:sz w:val="20"/>
                <w:szCs w:val="20"/>
                <w:color w:val="auto"/>
              </w:rPr>
            </w:pPr>
            <w:r>
              <w:rPr>
                <w:rFonts w:ascii="Arial" w:cs="Arial" w:eastAsia="Arial" w:hAnsi="Arial"/>
                <w:sz w:val="18"/>
                <w:szCs w:val="18"/>
                <w:b w:val="1"/>
                <w:bCs w:val="1"/>
                <w:color w:val="auto"/>
              </w:rPr>
              <w:t>RECITALS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14" w:lineRule="exact"/>
        <w:rPr>
          <w:sz w:val="20"/>
          <w:szCs w:val="20"/>
          <w:color w:val="auto"/>
        </w:rPr>
      </w:pPr>
    </w:p>
    <w:p>
      <w:pPr>
        <w:ind w:right="40" w:firstLine="653"/>
        <w:spacing w:after="0" w:line="258" w:lineRule="auto"/>
        <w:tabs>
          <w:tab w:leader="none" w:pos="99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Subsidiary’s Affiliate, CENTURY THERAPEUTICS, LLC (“Company”) [has entered/desires to enter] into that certain Loan and Security Agreement dated September 14, 2020, with the several banks and other financial institutions or entities from time to time party thereto as lender (collectively, the “Lenders”) and the Agent, as such agreement may be amended (the “Loan Agreement”), together with the other agreements executed and delivered in connection therewith;</w:t>
      </w:r>
    </w:p>
    <w:p>
      <w:pPr>
        <w:spacing w:after="0" w:line="186" w:lineRule="exact"/>
        <w:rPr>
          <w:rFonts w:ascii="Arial" w:cs="Arial" w:eastAsia="Arial" w:hAnsi="Arial"/>
          <w:sz w:val="18"/>
          <w:szCs w:val="18"/>
          <w:color w:val="auto"/>
        </w:rPr>
      </w:pPr>
    </w:p>
    <w:p>
      <w:pPr>
        <w:ind w:left="1000" w:hanging="348"/>
        <w:spacing w:after="0"/>
        <w:tabs>
          <w:tab w:leader="none" w:pos="10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Subsidiary acknowledges and agrees that it will benefit both directly and indirectly from Company’s execution of the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and the other agreements executed and delivered in connection therewith;</w:t>
      </w:r>
    </w:p>
    <w:p>
      <w:pPr>
        <w:spacing w:after="0" w:line="21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AGREEMENT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Subsidiary and Agent agree as follows:</w:t>
      </w:r>
    </w:p>
    <w:p>
      <w:pPr>
        <w:spacing w:after="0" w:line="223" w:lineRule="exact"/>
        <w:rPr>
          <w:sz w:val="20"/>
          <w:szCs w:val="20"/>
          <w:color w:val="auto"/>
        </w:rPr>
      </w:pPr>
    </w:p>
    <w:p>
      <w:pPr>
        <w:ind w:left="320" w:right="20" w:hanging="317"/>
        <w:spacing w:after="0" w:line="275" w:lineRule="auto"/>
        <w:tabs>
          <w:tab w:leader="none" w:pos="3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recitals set forth above are incorporated into and made part of this Joinder Agreement. Capitalized terms not defined herein shall have the meaning provided in the Loan Agreement.</w:t>
      </w:r>
    </w:p>
    <w:p>
      <w:pPr>
        <w:spacing w:after="0" w:line="184" w:lineRule="exact"/>
        <w:rPr>
          <w:rFonts w:ascii="Arial" w:cs="Arial" w:eastAsia="Arial" w:hAnsi="Arial"/>
          <w:sz w:val="18"/>
          <w:szCs w:val="18"/>
          <w:color w:val="auto"/>
        </w:rPr>
      </w:pPr>
    </w:p>
    <w:p>
      <w:pPr>
        <w:jc w:val="both"/>
        <w:ind w:left="320" w:hanging="317"/>
        <w:spacing w:after="0" w:line="286" w:lineRule="auto"/>
        <w:tabs>
          <w:tab w:leader="none" w:pos="32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By signing this Joinder Agreement, Subsidiary shall be bound by the terms and conditions of the Loan Agreement the same as if it were the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p>
    <w:p>
      <w:pPr>
        <w:spacing w:after="0" w:line="99" w:lineRule="exact"/>
        <w:rPr>
          <w:rFonts w:ascii="Arial" w:cs="Arial" w:eastAsia="Arial" w:hAnsi="Arial"/>
          <w:sz w:val="16"/>
          <w:szCs w:val="16"/>
          <w:color w:val="auto"/>
        </w:rPr>
      </w:pPr>
    </w:p>
    <w:p>
      <w:pPr>
        <w:ind w:left="320" w:hanging="317"/>
        <w:spacing w:after="0" w:line="275" w:lineRule="auto"/>
        <w:tabs>
          <w:tab w:leader="none" w:pos="3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p>
    <w:p>
      <w:pPr>
        <w:spacing w:after="0" w:line="117" w:lineRule="exact"/>
        <w:rPr>
          <w:rFonts w:ascii="Arial" w:cs="Arial" w:eastAsia="Arial" w:hAnsi="Arial"/>
          <w:sz w:val="18"/>
          <w:szCs w:val="18"/>
          <w:color w:val="auto"/>
        </w:rPr>
      </w:pPr>
    </w:p>
    <w:p>
      <w:pPr>
        <w:jc w:val="both"/>
        <w:ind w:left="320" w:hanging="317"/>
        <w:spacing w:after="0" w:line="285" w:lineRule="auto"/>
        <w:tabs>
          <w:tab w:leader="none" w:pos="32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w:t>
      </w:r>
    </w:p>
    <w:p>
      <w:pPr>
        <w:spacing w:after="0" w:line="1" w:lineRule="exact"/>
        <w:rPr>
          <w:rFonts w:ascii="Arial" w:cs="Arial" w:eastAsia="Arial" w:hAnsi="Arial"/>
          <w:sz w:val="16"/>
          <w:szCs w:val="16"/>
          <w:color w:val="auto"/>
        </w:rPr>
      </w:pPr>
    </w:p>
    <w:p>
      <w:pPr>
        <w:ind w:left="580" w:hanging="255"/>
        <w:spacing w:after="0"/>
        <w:tabs>
          <w:tab w:leader="none" w:pos="5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its obligations under this Joinder Agreement are avoidable as a fraudulent conveyance.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287020</wp:posOffset>
            </wp:positionV>
            <wp:extent cx="71329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60"/>
          </w:cols>
          <w:pgMar w:left="500" w:top="740" w:right="439" w:bottom="1440" w:gutter="0" w:footer="0" w:header="0"/>
        </w:sectPr>
      </w:pPr>
    </w:p>
    <w:bookmarkStart w:id="493" w:name="page494"/>
    <w:bookmarkEnd w:id="493"/>
    <w:p>
      <w:pPr>
        <w:ind w:left="317" w:hanging="317"/>
        <w:spacing w:after="0" w:line="306" w:lineRule="auto"/>
        <w:tabs>
          <w:tab w:leader="none" w:pos="317"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spacing w:after="0" w:line="93"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390525</wp:posOffset>
            </wp:positionV>
            <wp:extent cx="71329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37"/>
          </w:cols>
          <w:pgMar w:left="503" w:top="1067" w:right="459" w:bottom="1440" w:gutter="0" w:footer="0" w:header="0"/>
        </w:sectPr>
      </w:pPr>
    </w:p>
    <w:bookmarkStart w:id="494" w:name="page495"/>
    <w:bookmarkEnd w:id="494"/>
    <w:p>
      <w:pPr>
        <w:jc w:val="right"/>
        <w:ind w:right="2599"/>
        <w:spacing w:after="0"/>
        <w:rPr>
          <w:sz w:val="20"/>
          <w:szCs w:val="20"/>
          <w:color w:val="auto"/>
        </w:rPr>
      </w:pPr>
      <w:r>
        <w:rPr>
          <w:rFonts w:ascii="Arial" w:cs="Arial" w:eastAsia="Arial" w:hAnsi="Arial"/>
          <w:sz w:val="18"/>
          <w:szCs w:val="18"/>
          <w:color w:val="auto"/>
        </w:rPr>
        <w:t>[SIGNATURE PAGE TO JOINDER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151130</wp:posOffset>
            </wp:positionV>
            <wp:extent cx="287020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870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14605</wp:posOffset>
            </wp:positionV>
            <wp:extent cx="170815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13970</wp:posOffset>
            </wp:positionV>
            <wp:extent cx="170815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13970</wp:posOffset>
            </wp:positionV>
            <wp:extent cx="170815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-130175</wp:posOffset>
            </wp:positionV>
            <wp:extent cx="170815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14605</wp:posOffset>
            </wp:positionV>
            <wp:extent cx="170815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-130175</wp:posOffset>
            </wp:positionV>
            <wp:extent cx="170815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14605</wp:posOffset>
            </wp:positionV>
            <wp:extent cx="170815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13970</wp:posOffset>
            </wp:positionV>
            <wp:extent cx="170815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HERCULES CAPITAL, INC.</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206692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066925" cy="825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13970</wp:posOffset>
            </wp:positionV>
            <wp:extent cx="206692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066925" cy="8255"/>
                    </a:xfrm>
                    <a:prstGeom prst="rect">
                      <a:avLst/>
                    </a:prstGeom>
                    <a:noFill/>
                  </pic:spPr>
                </pic:pic>
              </a:graphicData>
            </a:graphic>
          </wp:anchor>
        </w:drawing>
      </w:r>
    </w:p>
    <w:p>
      <w:pPr>
        <w:spacing w:after="0" w:line="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13970</wp:posOffset>
            </wp:positionV>
            <wp:extent cx="206692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066925" cy="8255"/>
                    </a:xfrm>
                    <a:prstGeom prst="rect">
                      <a:avLst/>
                    </a:prstGeom>
                    <a:noFill/>
                  </pic:spPr>
                </pic:pic>
              </a:graphicData>
            </a:graphic>
          </wp:anchor>
        </w:drawing>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400 Hamilton Ave., Suite 310</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Palo Alto, CA 94301</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email: legal@htgc.com</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Telephone: 650-289-3060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278765</wp:posOffset>
            </wp:positionV>
            <wp:extent cx="71329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859"/>
          </w:cols>
          <w:pgMar w:left="600" w:top="637" w:right="1440" w:bottom="1440" w:gutter="0" w:footer="0" w:header="0"/>
        </w:sectPr>
      </w:pPr>
    </w:p>
    <w:bookmarkStart w:id="495" w:name="page496"/>
    <w:bookmarkEnd w:id="495"/>
    <w:p>
      <w:pPr>
        <w:jc w:val="center"/>
        <w:ind w:right="-60"/>
        <w:spacing w:after="0"/>
        <w:rPr>
          <w:sz w:val="20"/>
          <w:szCs w:val="20"/>
          <w:color w:val="auto"/>
        </w:rPr>
      </w:pPr>
      <w:r>
        <w:rPr>
          <w:rFonts w:ascii="Arial" w:cs="Arial" w:eastAsia="Arial" w:hAnsi="Arial"/>
          <w:sz w:val="18"/>
          <w:szCs w:val="18"/>
          <w:b w:val="1"/>
          <w:bCs w:val="1"/>
          <w:color w:val="auto"/>
        </w:rPr>
        <w:t>EXHIBIT G</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9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019"/>
          </w:cols>
          <w:pgMar w:left="1440" w:top="780" w:right="1440" w:bottom="1440" w:gutter="0" w:footer="0" w:header="0"/>
        </w:sectPr>
      </w:pPr>
    </w:p>
    <w:bookmarkStart w:id="496" w:name="page497"/>
    <w:bookmarkEnd w:id="496"/>
    <w:p>
      <w:pPr>
        <w:jc w:val="center"/>
        <w:ind w:right="-79"/>
        <w:spacing w:after="0"/>
        <w:rPr>
          <w:sz w:val="20"/>
          <w:szCs w:val="20"/>
          <w:color w:val="auto"/>
        </w:rPr>
      </w:pPr>
      <w:r>
        <w:rPr>
          <w:rFonts w:ascii="Arial" w:cs="Arial" w:eastAsia="Arial" w:hAnsi="Arial"/>
          <w:sz w:val="18"/>
          <w:szCs w:val="18"/>
          <w:b w:val="1"/>
          <w:bCs w:val="1"/>
          <w:color w:val="auto"/>
        </w:rPr>
        <w:t>EXHIBIT I</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ACH DEBIT AUTHORIZATION AGREEMENT</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Hercules Capital, Inc.</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400 Hamilton Avenue, Suite 310</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Palo Alto, CA 94301</w:t>
      </w:r>
    </w:p>
    <w:p>
      <w:pPr>
        <w:spacing w:after="0" w:line="237" w:lineRule="exact"/>
        <w:rPr>
          <w:sz w:val="20"/>
          <w:szCs w:val="20"/>
          <w:color w:val="auto"/>
        </w:rPr>
      </w:pPr>
    </w:p>
    <w:p>
      <w:pPr>
        <w:ind w:left="840" w:right="920"/>
        <w:spacing w:after="0" w:line="306" w:lineRule="auto"/>
        <w:rPr>
          <w:sz w:val="20"/>
          <w:szCs w:val="20"/>
          <w:color w:val="auto"/>
        </w:rPr>
      </w:pPr>
      <w:r>
        <w:rPr>
          <w:rFonts w:ascii="Arial" w:cs="Arial" w:eastAsia="Arial" w:hAnsi="Arial"/>
          <w:sz w:val="17"/>
          <w:szCs w:val="17"/>
          <w:color w:val="auto"/>
        </w:rPr>
        <w:t>Re: Loan and Security Agreement dated September 14, 2020 (the “Agreement”) by and among CENTURY THERAPEUTICS, LLC (“Borrower”) and Hercules Capital, Inc., as agent (“Company”) and the lenders party thereto (collectively, the “Lenders”)</w:t>
      </w:r>
    </w:p>
    <w:p>
      <w:pPr>
        <w:spacing w:after="0" w:line="147" w:lineRule="exact"/>
        <w:rPr>
          <w:sz w:val="20"/>
          <w:szCs w:val="20"/>
          <w:color w:val="auto"/>
        </w:rPr>
      </w:pPr>
    </w:p>
    <w:p>
      <w:pPr>
        <w:jc w:val="both"/>
        <w:ind w:left="180" w:right="120"/>
        <w:spacing w:after="0" w:line="285" w:lineRule="auto"/>
        <w:rPr>
          <w:sz w:val="20"/>
          <w:szCs w:val="20"/>
          <w:color w:val="auto"/>
        </w:rPr>
      </w:pPr>
      <w:r>
        <w:rPr>
          <w:rFonts w:ascii="Arial" w:cs="Arial" w:eastAsia="Arial" w:hAnsi="Arial"/>
          <w:sz w:val="17"/>
          <w:szCs w:val="17"/>
          <w:color w:val="auto"/>
        </w:rPr>
        <w:t>In connection with the above referenced Agreement, the Borrower hereby authorizes the Company to initiate debit entries for (i) the periodic payments due under the Agreement and (ii) out-of-pocket legal fees and costs incurred by Agent or the Lenders pursuant to Section 11.12 of the Agreement to the Borrower’s account indicated below. The Borrower authorizes the depository institution named below to debit to such account.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[IF FILED PUBLICLY, ACCOUNT INFO REDACTED FOR SECURITY PURPOSES]</w:t>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76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DEPOSITORY NAME</w:t>
            </w:r>
          </w:p>
        </w:tc>
        <w:tc>
          <w:tcPr>
            <w:tcW w:w="54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BRANCH</w:t>
            </w:r>
          </w:p>
        </w:tc>
        <w:tc>
          <w:tcPr>
            <w:tcW w:w="0" w:type="dxa"/>
            <w:vAlign w:val="bottom"/>
          </w:tcPr>
          <w:p>
            <w:pPr>
              <w:spacing w:after="0"/>
              <w:rPr>
                <w:sz w:val="1"/>
                <w:szCs w:val="1"/>
                <w:color w:val="auto"/>
              </w:rPr>
            </w:pPr>
          </w:p>
        </w:tc>
      </w:tr>
      <w:tr>
        <w:trPr>
          <w:trHeight w:val="107"/>
        </w:trPr>
        <w:tc>
          <w:tcPr>
            <w:tcW w:w="5760" w:type="dxa"/>
            <w:vAlign w:val="bottom"/>
            <w:tcBorders>
              <w:left w:val="single" w:sz="8" w:color="auto"/>
              <w:right w:val="single" w:sz="8" w:color="auto"/>
            </w:tcBorders>
            <w:vMerge w:val="continue"/>
          </w:tcPr>
          <w:p>
            <w:pPr>
              <w:spacing w:after="0"/>
              <w:rPr>
                <w:sz w:val="9"/>
                <w:szCs w:val="9"/>
                <w:color w:val="auto"/>
              </w:rPr>
            </w:pPr>
          </w:p>
        </w:tc>
        <w:tc>
          <w:tcPr>
            <w:tcW w:w="5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760" w:type="dxa"/>
            <w:vAlign w:val="bottom"/>
            <w:tcBorders>
              <w:left w:val="single" w:sz="8" w:color="auto"/>
              <w:bottom w:val="single" w:sz="8" w:color="auto"/>
              <w:right w:val="single" w:sz="8" w:color="auto"/>
            </w:tcBorders>
          </w:tcPr>
          <w:p>
            <w:pPr>
              <w:spacing w:after="0"/>
              <w:rPr>
                <w:sz w:val="10"/>
                <w:szCs w:val="10"/>
                <w:color w:val="auto"/>
              </w:rPr>
            </w:pPr>
          </w:p>
        </w:tc>
        <w:tc>
          <w:tcPr>
            <w:tcW w:w="5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7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CITY</w:t>
            </w:r>
          </w:p>
        </w:tc>
        <w:tc>
          <w:tcPr>
            <w:tcW w:w="5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STATE AND ZIP CODE</w:t>
            </w:r>
          </w:p>
        </w:tc>
        <w:tc>
          <w:tcPr>
            <w:tcW w:w="0" w:type="dxa"/>
            <w:vAlign w:val="bottom"/>
          </w:tcPr>
          <w:p>
            <w:pPr>
              <w:spacing w:after="0"/>
              <w:rPr>
                <w:sz w:val="1"/>
                <w:szCs w:val="1"/>
                <w:color w:val="auto"/>
              </w:rPr>
            </w:pPr>
          </w:p>
        </w:tc>
      </w:tr>
      <w:tr>
        <w:trPr>
          <w:trHeight w:val="107"/>
        </w:trPr>
        <w:tc>
          <w:tcPr>
            <w:tcW w:w="5760" w:type="dxa"/>
            <w:vAlign w:val="bottom"/>
            <w:tcBorders>
              <w:left w:val="single" w:sz="8" w:color="auto"/>
              <w:right w:val="single" w:sz="8" w:color="auto"/>
            </w:tcBorders>
            <w:vMerge w:val="continue"/>
          </w:tcPr>
          <w:p>
            <w:pPr>
              <w:spacing w:after="0"/>
              <w:rPr>
                <w:sz w:val="9"/>
                <w:szCs w:val="9"/>
                <w:color w:val="auto"/>
              </w:rPr>
            </w:pPr>
          </w:p>
        </w:tc>
        <w:tc>
          <w:tcPr>
            <w:tcW w:w="5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760" w:type="dxa"/>
            <w:vAlign w:val="bottom"/>
            <w:tcBorders>
              <w:left w:val="single" w:sz="8" w:color="auto"/>
              <w:bottom w:val="single" w:sz="8" w:color="auto"/>
              <w:right w:val="single" w:sz="8" w:color="auto"/>
            </w:tcBorders>
          </w:tcPr>
          <w:p>
            <w:pPr>
              <w:spacing w:after="0"/>
              <w:rPr>
                <w:sz w:val="10"/>
                <w:szCs w:val="10"/>
                <w:color w:val="auto"/>
              </w:rPr>
            </w:pPr>
          </w:p>
        </w:tc>
        <w:tc>
          <w:tcPr>
            <w:tcW w:w="5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7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TRANSIT/ABA NUMBER</w:t>
            </w:r>
          </w:p>
        </w:tc>
        <w:tc>
          <w:tcPr>
            <w:tcW w:w="5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ACCOUNT NUMBER</w:t>
            </w:r>
          </w:p>
        </w:tc>
        <w:tc>
          <w:tcPr>
            <w:tcW w:w="0" w:type="dxa"/>
            <w:vAlign w:val="bottom"/>
          </w:tcPr>
          <w:p>
            <w:pPr>
              <w:spacing w:after="0"/>
              <w:rPr>
                <w:sz w:val="1"/>
                <w:szCs w:val="1"/>
                <w:color w:val="auto"/>
              </w:rPr>
            </w:pPr>
          </w:p>
        </w:tc>
      </w:tr>
      <w:tr>
        <w:trPr>
          <w:trHeight w:val="107"/>
        </w:trPr>
        <w:tc>
          <w:tcPr>
            <w:tcW w:w="5760" w:type="dxa"/>
            <w:vAlign w:val="bottom"/>
            <w:tcBorders>
              <w:left w:val="single" w:sz="8" w:color="auto"/>
              <w:right w:val="single" w:sz="8" w:color="auto"/>
            </w:tcBorders>
            <w:vMerge w:val="continue"/>
          </w:tcPr>
          <w:p>
            <w:pPr>
              <w:spacing w:after="0"/>
              <w:rPr>
                <w:sz w:val="9"/>
                <w:szCs w:val="9"/>
                <w:color w:val="auto"/>
              </w:rPr>
            </w:pPr>
          </w:p>
        </w:tc>
        <w:tc>
          <w:tcPr>
            <w:tcW w:w="5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760" w:type="dxa"/>
            <w:vAlign w:val="bottom"/>
            <w:tcBorders>
              <w:left w:val="single" w:sz="8" w:color="auto"/>
              <w:bottom w:val="single" w:sz="8" w:color="auto"/>
              <w:right w:val="single" w:sz="8" w:color="auto"/>
            </w:tcBorders>
          </w:tcPr>
          <w:p>
            <w:pPr>
              <w:spacing w:after="0"/>
              <w:rPr>
                <w:sz w:val="10"/>
                <w:szCs w:val="10"/>
                <w:color w:val="auto"/>
              </w:rPr>
            </w:pPr>
          </w:p>
        </w:tc>
        <w:tc>
          <w:tcPr>
            <w:tcW w:w="5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This authority will remain in full force and effect so long as any amounts are due under the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CENTURY THERAPEUTICS,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5715</wp:posOffset>
            </wp:positionV>
            <wp:extent cx="254571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5715</wp:posOffset>
            </wp:positionV>
            <wp:extent cx="254571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5715</wp:posOffset>
            </wp:positionV>
            <wp:extent cx="254571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545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9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497" w:name="page498"/>
    <w:bookmarkEnd w:id="497"/>
    <w:p>
      <w:pPr>
        <w:jc w:val="center"/>
        <w:ind w:right="-60"/>
        <w:spacing w:after="0"/>
        <w:rPr>
          <w:sz w:val="20"/>
          <w:szCs w:val="20"/>
          <w:color w:val="auto"/>
        </w:rPr>
      </w:pPr>
      <w:r>
        <w:rPr>
          <w:rFonts w:ascii="Arial" w:cs="Arial" w:eastAsia="Arial" w:hAnsi="Arial"/>
          <w:sz w:val="18"/>
          <w:szCs w:val="18"/>
          <w:b w:val="1"/>
          <w:bCs w:val="1"/>
          <w:color w:val="auto"/>
        </w:rPr>
        <w:t>EXHIBIT I</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9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019"/>
          </w:cols>
          <w:pgMar w:left="1440" w:top="780" w:right="1440" w:bottom="1440" w:gutter="0" w:footer="0" w:header="0"/>
        </w:sectPr>
      </w:pPr>
    </w:p>
    <w:bookmarkStart w:id="498" w:name="page499"/>
    <w:bookmarkEnd w:id="498"/>
    <w:p>
      <w:pPr>
        <w:jc w:val="center"/>
        <w:ind w:right="-279"/>
        <w:spacing w:after="0"/>
        <w:rPr>
          <w:sz w:val="20"/>
          <w:szCs w:val="20"/>
          <w:color w:val="auto"/>
        </w:rPr>
      </w:pPr>
      <w:r>
        <w:rPr>
          <w:rFonts w:ascii="Arial" w:cs="Arial" w:eastAsia="Arial" w:hAnsi="Arial"/>
          <w:sz w:val="18"/>
          <w:szCs w:val="18"/>
          <w:b w:val="1"/>
          <w:bCs w:val="1"/>
          <w:color w:val="auto"/>
        </w:rPr>
        <w:t>EXHIBIT J-1</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Foreign Lenders That Are Not Partnerships For U.S. Federal Income Tax Purposes)</w:t>
      </w:r>
    </w:p>
    <w:p>
      <w:pPr>
        <w:spacing w:after="0" w:line="241" w:lineRule="exact"/>
        <w:rPr>
          <w:sz w:val="20"/>
          <w:szCs w:val="20"/>
          <w:color w:val="auto"/>
        </w:rPr>
      </w:pPr>
    </w:p>
    <w:p>
      <w:pPr>
        <w:ind w:left="180" w:firstLine="646"/>
        <w:spacing w:after="0" w:line="295" w:lineRule="auto"/>
        <w:rPr>
          <w:sz w:val="20"/>
          <w:szCs w:val="20"/>
          <w:color w:val="auto"/>
        </w:rPr>
      </w:pPr>
      <w:r>
        <w:rPr>
          <w:rFonts w:ascii="Arial" w:cs="Arial" w:eastAsia="Arial" w:hAnsi="Arial"/>
          <w:sz w:val="16"/>
          <w:szCs w:val="16"/>
          <w:color w:val="auto"/>
        </w:rPr>
        <w:t>Reference is hereby made to the Loan and Security Agreement dated as of September 14, 2020 (as amended, supplemented or otherwise modified from time to time, the “Loan Agreement”) by and among CENTURY THERAPEUTICS, LLC, a Delaware limited liability company, and each of its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1" w:lineRule="exact"/>
        <w:rPr>
          <w:sz w:val="20"/>
          <w:szCs w:val="20"/>
          <w:color w:val="auto"/>
        </w:rPr>
      </w:pPr>
    </w:p>
    <w:p>
      <w:pPr>
        <w:ind w:left="180" w:right="40" w:firstLine="646"/>
        <w:spacing w:after="0" w:line="300" w:lineRule="auto"/>
        <w:rPr>
          <w:sz w:val="20"/>
          <w:szCs w:val="20"/>
          <w:color w:val="auto"/>
        </w:rPr>
      </w:pPr>
      <w:r>
        <w:rPr>
          <w:rFonts w:ascii="Arial" w:cs="Arial" w:eastAsia="Arial" w:hAnsi="Arial"/>
          <w:sz w:val="16"/>
          <w:szCs w:val="16"/>
          <w:color w:val="auto"/>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0" w:lineRule="exact"/>
        <w:rPr>
          <w:sz w:val="20"/>
          <w:szCs w:val="20"/>
          <w:color w:val="auto"/>
        </w:rPr>
      </w:pPr>
    </w:p>
    <w:p>
      <w:pPr>
        <w:ind w:left="180" w:right="60" w:firstLine="646"/>
        <w:spacing w:after="0" w:line="256" w:lineRule="auto"/>
        <w:rPr>
          <w:sz w:val="20"/>
          <w:szCs w:val="20"/>
          <w:color w:val="auto"/>
        </w:rPr>
      </w:pPr>
      <w:r>
        <w:rPr>
          <w:rFonts w:ascii="Arial" w:cs="Arial" w:eastAsia="Arial" w:hAnsi="Arial"/>
          <w:sz w:val="18"/>
          <w:szCs w:val="18"/>
          <w:color w:val="auto"/>
        </w:rPr>
        <w:t>The undersigned has furnished the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201" w:lineRule="exact"/>
        <w:rPr>
          <w:sz w:val="20"/>
          <w:szCs w:val="20"/>
          <w:color w:val="auto"/>
        </w:rPr>
      </w:pPr>
    </w:p>
    <w:p>
      <w:pPr>
        <w:ind w:left="180" w:right="380" w:firstLine="646"/>
        <w:spacing w:after="0" w:line="275" w:lineRule="auto"/>
        <w:rPr>
          <w:sz w:val="20"/>
          <w:szCs w:val="20"/>
          <w:color w:val="auto"/>
        </w:rPr>
      </w:pPr>
      <w:r>
        <w:rPr>
          <w:rFonts w:ascii="Arial" w:cs="Arial" w:eastAsia="Arial" w:hAnsi="Arial"/>
          <w:sz w:val="18"/>
          <w:szCs w:val="18"/>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40" w:val="left"/>
          <w:tab w:leader="none" w:pos="3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20_</w:t>
      </w:r>
      <w:r>
        <w:rPr>
          <w:sz w:val="20"/>
          <w:szCs w:val="20"/>
          <w:color w:val="auto"/>
        </w:rPr>
        <w:tab/>
      </w:r>
      <w:r>
        <w:rPr>
          <w:rFonts w:ascii="Arial" w:cs="Arial" w:eastAsia="Arial" w:hAnsi="Arial"/>
          <w:sz w:val="17"/>
          <w:szCs w:val="17"/>
          <w:color w:val="auto"/>
        </w:rPr>
        <w:t>[NAME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-10795</wp:posOffset>
            </wp:positionV>
            <wp:extent cx="48387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14605</wp:posOffset>
            </wp:positionV>
            <wp:extent cx="255397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13970</wp:posOffset>
            </wp:positionV>
            <wp:extent cx="255397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13970</wp:posOffset>
            </wp:positionV>
            <wp:extent cx="255397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5539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9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20"/>
          </w:cols>
          <w:pgMar w:left="320" w:top="781" w:right="459" w:bottom="1440" w:gutter="0" w:footer="0" w:header="0"/>
        </w:sectPr>
      </w:pPr>
    </w:p>
    <w:bookmarkStart w:id="499" w:name="page500"/>
    <w:bookmarkEnd w:id="499"/>
    <w:p>
      <w:pPr>
        <w:jc w:val="center"/>
        <w:ind w:right="-279"/>
        <w:spacing w:after="0"/>
        <w:rPr>
          <w:sz w:val="20"/>
          <w:szCs w:val="20"/>
          <w:color w:val="auto"/>
        </w:rPr>
      </w:pPr>
      <w:r>
        <w:rPr>
          <w:rFonts w:ascii="Arial" w:cs="Arial" w:eastAsia="Arial" w:hAnsi="Arial"/>
          <w:sz w:val="18"/>
          <w:szCs w:val="18"/>
          <w:b w:val="1"/>
          <w:bCs w:val="1"/>
          <w:color w:val="auto"/>
        </w:rPr>
        <w:t>EXHIBIT J-2</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Foreign Participants That Are Not Partnerships For U.S. Federal Income Tax Purposes)</w:t>
      </w:r>
    </w:p>
    <w:p>
      <w:pPr>
        <w:spacing w:after="0" w:line="241" w:lineRule="exact"/>
        <w:rPr>
          <w:sz w:val="20"/>
          <w:szCs w:val="20"/>
          <w:color w:val="auto"/>
        </w:rPr>
      </w:pPr>
    </w:p>
    <w:p>
      <w:pPr>
        <w:ind w:left="180" w:firstLine="646"/>
        <w:spacing w:after="0" w:line="295" w:lineRule="auto"/>
        <w:rPr>
          <w:sz w:val="20"/>
          <w:szCs w:val="20"/>
          <w:color w:val="auto"/>
        </w:rPr>
      </w:pPr>
      <w:r>
        <w:rPr>
          <w:rFonts w:ascii="Arial" w:cs="Arial" w:eastAsia="Arial" w:hAnsi="Arial"/>
          <w:sz w:val="16"/>
          <w:szCs w:val="16"/>
          <w:color w:val="auto"/>
        </w:rPr>
        <w:t>Reference is hereby made to the Loan and Security Agreement dated as of September 14, 2020 (as amended, supplemented or otherwise modified from time to time, the “Loan Agreement”) by and among CENTURY THERAPEUTICS, LLC, a Delaware limited liability company, and each of its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1" w:lineRule="exact"/>
        <w:rPr>
          <w:sz w:val="20"/>
          <w:szCs w:val="20"/>
          <w:color w:val="auto"/>
        </w:rPr>
      </w:pPr>
    </w:p>
    <w:p>
      <w:pPr>
        <w:ind w:left="180" w:right="160" w:firstLine="646"/>
        <w:spacing w:after="0" w:line="255" w:lineRule="auto"/>
        <w:rPr>
          <w:sz w:val="20"/>
          <w:szCs w:val="20"/>
          <w:color w:val="auto"/>
        </w:rPr>
      </w:pPr>
      <w:r>
        <w:rPr>
          <w:rFonts w:ascii="Arial" w:cs="Arial" w:eastAsia="Arial" w:hAnsi="Arial"/>
          <w:sz w:val="18"/>
          <w:szCs w:val="18"/>
          <w:color w:val="auto"/>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w:t>
      </w:r>
    </w:p>
    <w:p>
      <w:pPr>
        <w:ind w:left="180" w:right="60" w:firstLine="6"/>
        <w:spacing w:after="0" w:line="259" w:lineRule="auto"/>
        <w:tabs>
          <w:tab w:leader="none" w:pos="5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it is not a “ten percent shareholder” of the Borrower within the meaning of Section 871(h)(3)(B) of the Code and (iv) it is not a “controlled foreign corporation” related to the Borrower as described in Section 881(c)(3)(C) of the Code.</w:t>
      </w:r>
    </w:p>
    <w:p>
      <w:pPr>
        <w:spacing w:after="0" w:line="198" w:lineRule="exact"/>
        <w:rPr>
          <w:sz w:val="20"/>
          <w:szCs w:val="20"/>
          <w:color w:val="auto"/>
        </w:rPr>
      </w:pPr>
    </w:p>
    <w:p>
      <w:pPr>
        <w:ind w:left="180" w:right="120" w:firstLine="646"/>
        <w:spacing w:after="0" w:line="256"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1" w:lineRule="exact"/>
        <w:rPr>
          <w:sz w:val="20"/>
          <w:szCs w:val="20"/>
          <w:color w:val="auto"/>
        </w:rPr>
      </w:pPr>
    </w:p>
    <w:p>
      <w:pPr>
        <w:ind w:left="180" w:right="380" w:firstLine="646"/>
        <w:spacing w:after="0" w:line="275" w:lineRule="auto"/>
        <w:rPr>
          <w:sz w:val="20"/>
          <w:szCs w:val="20"/>
          <w:color w:val="auto"/>
        </w:rPr>
      </w:pPr>
      <w:r>
        <w:rPr>
          <w:rFonts w:ascii="Arial" w:cs="Arial" w:eastAsia="Arial" w:hAnsi="Arial"/>
          <w:sz w:val="18"/>
          <w:szCs w:val="18"/>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40" w:val="left"/>
          <w:tab w:leader="none" w:pos="3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20_</w:t>
      </w:r>
      <w:r>
        <w:rPr>
          <w:sz w:val="20"/>
          <w:szCs w:val="20"/>
          <w:color w:val="auto"/>
        </w:rPr>
        <w:tab/>
      </w:r>
      <w:r>
        <w:rPr>
          <w:rFonts w:ascii="Arial" w:cs="Arial" w:eastAsia="Arial" w:hAnsi="Arial"/>
          <w:sz w:val="17"/>
          <w:szCs w:val="17"/>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-10795</wp:posOffset>
            </wp:positionV>
            <wp:extent cx="48387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1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-130175</wp:posOffset>
            </wp:positionV>
            <wp:extent cx="234061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340610"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14605</wp:posOffset>
            </wp:positionV>
            <wp:extent cx="234061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340610" cy="8255"/>
                    </a:xfrm>
                    <a:prstGeom prst="rect">
                      <a:avLst/>
                    </a:prstGeom>
                    <a:noFill/>
                  </pic:spPr>
                </pic:pic>
              </a:graphicData>
            </a:graphic>
          </wp:anchor>
        </w:drawing>
      </w:r>
    </w:p>
    <w:p>
      <w:pPr>
        <w:spacing w:after="0" w:line="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13970</wp:posOffset>
            </wp:positionV>
            <wp:extent cx="234061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340610" cy="8255"/>
                    </a:xfrm>
                    <a:prstGeom prst="rect">
                      <a:avLst/>
                    </a:prstGeom>
                    <a:noFill/>
                  </pic:spPr>
                </pic:pic>
              </a:graphicData>
            </a:graphic>
          </wp:anchor>
        </w:drawing>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13970</wp:posOffset>
            </wp:positionV>
            <wp:extent cx="234061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3406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9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20"/>
          </w:cols>
          <w:pgMar w:left="320" w:top="995" w:right="459" w:bottom="1440" w:gutter="0" w:footer="0" w:header="0"/>
        </w:sectPr>
      </w:pPr>
    </w:p>
    <w:bookmarkStart w:id="500" w:name="page501"/>
    <w:bookmarkEnd w:id="500"/>
    <w:p>
      <w:pPr>
        <w:jc w:val="center"/>
        <w:ind w:right="-279"/>
        <w:spacing w:after="0"/>
        <w:rPr>
          <w:sz w:val="20"/>
          <w:szCs w:val="20"/>
          <w:color w:val="auto"/>
        </w:rPr>
      </w:pPr>
      <w:r>
        <w:rPr>
          <w:rFonts w:ascii="Arial" w:cs="Arial" w:eastAsia="Arial" w:hAnsi="Arial"/>
          <w:sz w:val="18"/>
          <w:szCs w:val="18"/>
          <w:b w:val="1"/>
          <w:bCs w:val="1"/>
          <w:color w:val="auto"/>
        </w:rPr>
        <w:t>EXHIBIT J-3</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Foreign Participants That Are Partnerships For U.S. Federal Income Tax Purposes)</w:t>
      </w:r>
    </w:p>
    <w:p>
      <w:pPr>
        <w:spacing w:after="0" w:line="241" w:lineRule="exact"/>
        <w:rPr>
          <w:sz w:val="20"/>
          <w:szCs w:val="20"/>
          <w:color w:val="auto"/>
        </w:rPr>
      </w:pPr>
    </w:p>
    <w:p>
      <w:pPr>
        <w:ind w:left="180" w:firstLine="646"/>
        <w:spacing w:after="0" w:line="295" w:lineRule="auto"/>
        <w:rPr>
          <w:sz w:val="20"/>
          <w:szCs w:val="20"/>
          <w:color w:val="auto"/>
        </w:rPr>
      </w:pPr>
      <w:r>
        <w:rPr>
          <w:rFonts w:ascii="Arial" w:cs="Arial" w:eastAsia="Arial" w:hAnsi="Arial"/>
          <w:sz w:val="16"/>
          <w:szCs w:val="16"/>
          <w:color w:val="auto"/>
        </w:rPr>
        <w:t>Reference is hereby made to the Loan and Security Agreement dated as of September 14, 2020 (as amended, supplemented or otherwise modified from time to time, the “Loan Agreement”) by and among CENTURY THERAPEUTICS, LLC, a Delaware limited liability company, and each of its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1" w:lineRule="exact"/>
        <w:rPr>
          <w:sz w:val="20"/>
          <w:szCs w:val="20"/>
          <w:color w:val="auto"/>
        </w:rPr>
      </w:pPr>
    </w:p>
    <w:p>
      <w:pPr>
        <w:ind w:left="180" w:right="260" w:firstLine="646"/>
        <w:spacing w:after="0" w:line="255" w:lineRule="auto"/>
        <w:rPr>
          <w:sz w:val="20"/>
          <w:szCs w:val="20"/>
          <w:color w:val="auto"/>
        </w:rPr>
      </w:pPr>
      <w:r>
        <w:rPr>
          <w:rFonts w:ascii="Arial" w:cs="Arial" w:eastAsia="Arial" w:hAnsi="Arial"/>
          <w:sz w:val="18"/>
          <w:szCs w:val="18"/>
          <w:color w:val="auto"/>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w:t>
      </w:r>
    </w:p>
    <w:p>
      <w:pPr>
        <w:ind w:left="180" w:right="20" w:firstLine="6"/>
        <w:spacing w:after="0" w:line="294" w:lineRule="auto"/>
        <w:tabs>
          <w:tab w:leader="none" w:pos="494" w:val="left"/>
        </w:tabs>
        <w:numPr>
          <w:ilvl w:val="0"/>
          <w:numId w:val="383"/>
        </w:numPr>
        <w:rPr>
          <w:rFonts w:ascii="Arial" w:cs="Arial" w:eastAsia="Arial" w:hAnsi="Arial"/>
          <w:sz w:val="16"/>
          <w:szCs w:val="16"/>
          <w:color w:val="auto"/>
        </w:rPr>
      </w:pPr>
      <w:r>
        <w:rPr>
          <w:rFonts w:ascii="Arial" w:cs="Arial" w:eastAsia="Arial" w:hAnsi="Arial"/>
          <w:sz w:val="16"/>
          <w:szCs w:val="16"/>
          <w:color w:val="auto"/>
        </w:rPr>
        <w:t>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4" w:lineRule="exact"/>
        <w:rPr>
          <w:sz w:val="20"/>
          <w:szCs w:val="20"/>
          <w:color w:val="auto"/>
        </w:rPr>
      </w:pPr>
    </w:p>
    <w:p>
      <w:pPr>
        <w:ind w:left="180" w:right="80" w:firstLine="646"/>
        <w:spacing w:after="0" w:line="253"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8" w:lineRule="exact"/>
        <w:rPr>
          <w:sz w:val="20"/>
          <w:szCs w:val="20"/>
          <w:color w:val="auto"/>
        </w:rPr>
      </w:pPr>
    </w:p>
    <w:p>
      <w:pPr>
        <w:ind w:left="180" w:right="380" w:firstLine="646"/>
        <w:spacing w:after="0" w:line="275" w:lineRule="auto"/>
        <w:rPr>
          <w:sz w:val="20"/>
          <w:szCs w:val="20"/>
          <w:color w:val="auto"/>
        </w:rPr>
      </w:pPr>
      <w:r>
        <w:rPr>
          <w:rFonts w:ascii="Arial" w:cs="Arial" w:eastAsia="Arial" w:hAnsi="Arial"/>
          <w:sz w:val="18"/>
          <w:szCs w:val="18"/>
          <w:color w:val="auto"/>
        </w:rPr>
        <w:t>Unless otherwise defined herein, terms defined in the Loan Agreement and used herein shall have the meanings given to them in the Loan Agreement.</w:t>
      </w:r>
    </w:p>
    <w:p>
      <w:pPr>
        <w:spacing w:after="0" w:line="387" w:lineRule="exact"/>
        <w:rPr>
          <w:sz w:val="20"/>
          <w:szCs w:val="20"/>
          <w:color w:val="auto"/>
        </w:rPr>
      </w:pPr>
    </w:p>
    <w:p>
      <w:pPr>
        <w:spacing w:after="0"/>
        <w:tabs>
          <w:tab w:leader="none" w:pos="1140" w:val="left"/>
          <w:tab w:leader="none" w:pos="3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20_</w:t>
      </w:r>
      <w:r>
        <w:rPr>
          <w:sz w:val="20"/>
          <w:szCs w:val="20"/>
          <w:color w:val="auto"/>
        </w:rPr>
        <w:tab/>
      </w:r>
      <w:r>
        <w:rPr>
          <w:rFonts w:ascii="Arial" w:cs="Arial" w:eastAsia="Arial" w:hAnsi="Arial"/>
          <w:sz w:val="17"/>
          <w:szCs w:val="17"/>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-10795</wp:posOffset>
            </wp:positionV>
            <wp:extent cx="48387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1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-130175</wp:posOffset>
            </wp:positionV>
            <wp:extent cx="234061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340610"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14605</wp:posOffset>
            </wp:positionV>
            <wp:extent cx="234061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340610" cy="8255"/>
                    </a:xfrm>
                    <a:prstGeom prst="rect">
                      <a:avLst/>
                    </a:prstGeom>
                    <a:noFill/>
                  </pic:spPr>
                </pic:pic>
              </a:graphicData>
            </a:graphic>
          </wp:anchor>
        </w:drawing>
      </w:r>
    </w:p>
    <w:p>
      <w:pPr>
        <w:spacing w:after="0" w:line="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13970</wp:posOffset>
            </wp:positionV>
            <wp:extent cx="234061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340610" cy="8255"/>
                    </a:xfrm>
                    <a:prstGeom prst="rect">
                      <a:avLst/>
                    </a:prstGeom>
                    <a:noFill/>
                  </pic:spPr>
                </pic:pic>
              </a:graphicData>
            </a:graphic>
          </wp:anchor>
        </w:drawing>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13970</wp:posOffset>
            </wp:positionV>
            <wp:extent cx="234061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3406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9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20"/>
          </w:cols>
          <w:pgMar w:left="320" w:top="995" w:right="459" w:bottom="1440" w:gutter="0" w:footer="0" w:header="0"/>
        </w:sectPr>
      </w:pPr>
    </w:p>
    <w:bookmarkStart w:id="501" w:name="page502"/>
    <w:bookmarkEnd w:id="501"/>
    <w:p>
      <w:pPr>
        <w:jc w:val="center"/>
        <w:ind w:right="-279"/>
        <w:spacing w:after="0"/>
        <w:rPr>
          <w:sz w:val="20"/>
          <w:szCs w:val="20"/>
          <w:color w:val="auto"/>
        </w:rPr>
      </w:pPr>
      <w:r>
        <w:rPr>
          <w:rFonts w:ascii="Arial" w:cs="Arial" w:eastAsia="Arial" w:hAnsi="Arial"/>
          <w:sz w:val="18"/>
          <w:szCs w:val="18"/>
          <w:b w:val="1"/>
          <w:bCs w:val="1"/>
          <w:color w:val="auto"/>
        </w:rPr>
        <w:t>EXHIBIT J-4</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Foreign Lenders That Are Partnerships For U.S. Federal Income Tax Purposes)</w:t>
      </w:r>
    </w:p>
    <w:p>
      <w:pPr>
        <w:spacing w:after="0" w:line="241" w:lineRule="exact"/>
        <w:rPr>
          <w:sz w:val="20"/>
          <w:szCs w:val="20"/>
          <w:color w:val="auto"/>
        </w:rPr>
      </w:pPr>
    </w:p>
    <w:p>
      <w:pPr>
        <w:ind w:left="180" w:firstLine="646"/>
        <w:spacing w:after="0" w:line="295" w:lineRule="auto"/>
        <w:rPr>
          <w:sz w:val="20"/>
          <w:szCs w:val="20"/>
          <w:color w:val="auto"/>
        </w:rPr>
      </w:pPr>
      <w:r>
        <w:rPr>
          <w:rFonts w:ascii="Arial" w:cs="Arial" w:eastAsia="Arial" w:hAnsi="Arial"/>
          <w:sz w:val="16"/>
          <w:szCs w:val="16"/>
          <w:color w:val="auto"/>
        </w:rPr>
        <w:t>Reference is hereby made to the Loan and Security Agreement dated as of September 14, 2020 (as amended, supplemented or otherwise modified from time to time, the “Loan Agreement”) by and among CENTURY THERAPEUTICS, LLC, a Delaware limited liability company, and each of its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1" w:lineRule="exact"/>
        <w:rPr>
          <w:sz w:val="20"/>
          <w:szCs w:val="20"/>
          <w:color w:val="auto"/>
        </w:rPr>
      </w:pPr>
    </w:p>
    <w:p>
      <w:pPr>
        <w:ind w:left="180" w:right="260" w:firstLine="646"/>
        <w:spacing w:after="0" w:line="270" w:lineRule="auto"/>
        <w:rPr>
          <w:sz w:val="20"/>
          <w:szCs w:val="20"/>
          <w:color w:val="auto"/>
        </w:rPr>
      </w:pPr>
      <w:r>
        <w:rPr>
          <w:rFonts w:ascii="Arial" w:cs="Arial" w:eastAsia="Arial" w:hAnsi="Arial"/>
          <w:sz w:val="17"/>
          <w:szCs w:val="17"/>
          <w:color w:val="auto"/>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w:t>
      </w:r>
    </w:p>
    <w:p>
      <w:pPr>
        <w:spacing w:after="0" w:line="1" w:lineRule="exact"/>
        <w:rPr>
          <w:sz w:val="20"/>
          <w:szCs w:val="20"/>
          <w:color w:val="auto"/>
        </w:rPr>
      </w:pPr>
    </w:p>
    <w:p>
      <w:pPr>
        <w:ind w:left="180" w:right="40" w:firstLine="6"/>
        <w:spacing w:after="0" w:line="251" w:lineRule="auto"/>
        <w:tabs>
          <w:tab w:leader="none" w:pos="49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208" w:lineRule="exact"/>
        <w:rPr>
          <w:sz w:val="20"/>
          <w:szCs w:val="20"/>
          <w:color w:val="auto"/>
        </w:rPr>
      </w:pPr>
    </w:p>
    <w:p>
      <w:pPr>
        <w:ind w:left="180" w:right="60" w:firstLine="646"/>
        <w:spacing w:after="0" w:line="271" w:lineRule="auto"/>
        <w:rPr>
          <w:sz w:val="20"/>
          <w:szCs w:val="20"/>
          <w:color w:val="auto"/>
        </w:rPr>
      </w:pPr>
      <w:r>
        <w:rPr>
          <w:rFonts w:ascii="Arial" w:cs="Arial" w:eastAsia="Arial" w:hAnsi="Arial"/>
          <w:sz w:val="17"/>
          <w:szCs w:val="17"/>
          <w:color w:val="auto"/>
        </w:rPr>
        <w:t>The undersigned has furnished the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90" w:lineRule="exact"/>
        <w:rPr>
          <w:sz w:val="20"/>
          <w:szCs w:val="20"/>
          <w:color w:val="auto"/>
        </w:rPr>
      </w:pPr>
    </w:p>
    <w:p>
      <w:pPr>
        <w:ind w:left="180" w:right="380" w:firstLine="646"/>
        <w:spacing w:after="0" w:line="275" w:lineRule="auto"/>
        <w:rPr>
          <w:sz w:val="20"/>
          <w:szCs w:val="20"/>
          <w:color w:val="auto"/>
        </w:rPr>
      </w:pPr>
      <w:r>
        <w:rPr>
          <w:rFonts w:ascii="Arial" w:cs="Arial" w:eastAsia="Arial" w:hAnsi="Arial"/>
          <w:sz w:val="18"/>
          <w:szCs w:val="18"/>
          <w:color w:val="auto"/>
        </w:rPr>
        <w:t>Unless otherwise defined herein, terms defined in the Loan Agreement and used herein shall have the meanings given to them in the Loan Agreement.</w:t>
      </w:r>
    </w:p>
    <w:p>
      <w:pPr>
        <w:spacing w:after="0" w:line="387" w:lineRule="exact"/>
        <w:rPr>
          <w:sz w:val="20"/>
          <w:szCs w:val="20"/>
          <w:color w:val="auto"/>
        </w:rPr>
      </w:pPr>
    </w:p>
    <w:p>
      <w:pPr>
        <w:spacing w:after="0"/>
        <w:tabs>
          <w:tab w:leader="none" w:pos="1140" w:val="left"/>
          <w:tab w:leader="none" w:pos="3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20_</w:t>
      </w:r>
      <w:r>
        <w:rPr>
          <w:sz w:val="20"/>
          <w:szCs w:val="20"/>
          <w:color w:val="auto"/>
        </w:rPr>
        <w:tab/>
      </w:r>
      <w:r>
        <w:rPr>
          <w:rFonts w:ascii="Arial" w:cs="Arial" w:eastAsia="Arial" w:hAnsi="Arial"/>
          <w:sz w:val="17"/>
          <w:szCs w:val="17"/>
          <w:color w:val="auto"/>
        </w:rPr>
        <w:t>[NAME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-10795</wp:posOffset>
            </wp:positionV>
            <wp:extent cx="48387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1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-130175</wp:posOffset>
            </wp:positionV>
            <wp:extent cx="255397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553970"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14605</wp:posOffset>
            </wp:positionV>
            <wp:extent cx="255397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13970</wp:posOffset>
            </wp:positionV>
            <wp:extent cx="255397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13970</wp:posOffset>
            </wp:positionV>
            <wp:extent cx="255397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5539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71329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20"/>
          </w:cols>
          <w:pgMar w:left="320" w:top="996" w:right="459" w:bottom="1440" w:gutter="0" w:footer="0" w:header="0"/>
        </w:sectPr>
      </w:pPr>
    </w:p>
    <w:bookmarkStart w:id="502" w:name="page503"/>
    <w:bookmarkEnd w:id="502"/>
    <w:tbl>
      <w:tblPr>
        <w:tblLayout w:type="fixed"/>
        <w:tblInd w:w="227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SCHEDULE 1.1</w:t>
            </w:r>
          </w:p>
        </w:tc>
        <w:tc>
          <w:tcPr>
            <w:tcW w:w="2660" w:type="dxa"/>
            <w:vAlign w:val="bottom"/>
          </w:tcPr>
          <w:p>
            <w:pPr>
              <w:spacing w:after="0"/>
              <w:rPr>
                <w:sz w:val="17"/>
                <w:szCs w:val="17"/>
                <w:color w:val="auto"/>
              </w:rPr>
            </w:pPr>
          </w:p>
        </w:tc>
      </w:tr>
      <w:tr>
        <w:trPr>
          <w:trHeight w:val="451"/>
        </w:trPr>
        <w:tc>
          <w:tcPr>
            <w:tcW w:w="2580" w:type="dxa"/>
            <w:vAlign w:val="bottom"/>
          </w:tcPr>
          <w:p>
            <w:pPr>
              <w:spacing w:after="0"/>
              <w:rPr>
                <w:sz w:val="24"/>
                <w:szCs w:val="24"/>
                <w:color w:val="auto"/>
              </w:rPr>
            </w:pPr>
          </w:p>
        </w:tc>
        <w:tc>
          <w:tcPr>
            <w:tcW w:w="416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COMMITMENTS</w:t>
            </w:r>
          </w:p>
        </w:tc>
      </w:tr>
      <w:tr>
        <w:trPr>
          <w:trHeight w:val="444"/>
        </w:trPr>
        <w:tc>
          <w:tcPr>
            <w:tcW w:w="2580" w:type="dxa"/>
            <w:vAlign w:val="bottom"/>
          </w:tcPr>
          <w:p>
            <w:pPr>
              <w:spacing w:after="0"/>
              <w:rPr>
                <w:sz w:val="24"/>
                <w:szCs w:val="24"/>
                <w:color w:val="auto"/>
              </w:rPr>
            </w:pPr>
          </w:p>
        </w:tc>
        <w:tc>
          <w:tcPr>
            <w:tcW w:w="4160" w:type="dxa"/>
            <w:vAlign w:val="bottom"/>
            <w:gridSpan w:val="4"/>
          </w:tcPr>
          <w:p>
            <w:pPr>
              <w:ind w:left="80"/>
              <w:spacing w:after="0"/>
              <w:rPr>
                <w:sz w:val="20"/>
                <w:szCs w:val="20"/>
                <w:color w:val="auto"/>
              </w:rPr>
            </w:pPr>
            <w:r>
              <w:rPr>
                <w:rFonts w:ascii="Arial" w:cs="Arial" w:eastAsia="Arial" w:hAnsi="Arial"/>
                <w:sz w:val="18"/>
                <w:szCs w:val="18"/>
                <w:b w:val="1"/>
                <w:bCs w:val="1"/>
                <w:color w:val="auto"/>
              </w:rPr>
              <w:t>Tranche 1 Advance</w:t>
            </w:r>
          </w:p>
        </w:tc>
      </w:tr>
      <w:tr>
        <w:trPr>
          <w:trHeight w:val="229"/>
        </w:trPr>
        <w:tc>
          <w:tcPr>
            <w:tcW w:w="2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r>
      <w:tr>
        <w:trPr>
          <w:trHeight w:val="209"/>
        </w:trPr>
        <w:tc>
          <w:tcPr>
            <w:tcW w:w="2580" w:type="dxa"/>
            <w:vAlign w:val="bottom"/>
            <w:tcBorders>
              <w:left w:val="single" w:sz="8" w:color="auto"/>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rPr>
              <w:t>LENDER</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TERM COMMITMENT</w:t>
            </w:r>
          </w:p>
        </w:tc>
      </w:tr>
      <w:tr>
        <w:trPr>
          <w:trHeight w:val="209"/>
        </w:trPr>
        <w:tc>
          <w:tcPr>
            <w:tcW w:w="2580" w:type="dxa"/>
            <w:vAlign w:val="bottom"/>
            <w:tcBorders>
              <w:left w:val="single" w:sz="8" w:color="auto"/>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1"/>
              </w:rPr>
              <w:t>Hercules Capital, Inc.</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33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$10,000,000</w:t>
            </w:r>
          </w:p>
        </w:tc>
      </w:tr>
      <w:tr>
        <w:trPr>
          <w:trHeight w:val="612"/>
        </w:trPr>
        <w:tc>
          <w:tcPr>
            <w:tcW w:w="2580" w:type="dxa"/>
            <w:vAlign w:val="bottom"/>
          </w:tcPr>
          <w:p>
            <w:pPr>
              <w:spacing w:after="0"/>
              <w:rPr>
                <w:sz w:val="24"/>
                <w:szCs w:val="24"/>
                <w:color w:val="auto"/>
              </w:rPr>
            </w:pPr>
          </w:p>
        </w:tc>
        <w:tc>
          <w:tcPr>
            <w:tcW w:w="4160" w:type="dxa"/>
            <w:vAlign w:val="bottom"/>
            <w:gridSpan w:val="4"/>
          </w:tcPr>
          <w:p>
            <w:pPr>
              <w:ind w:left="80"/>
              <w:spacing w:after="0"/>
              <w:rPr>
                <w:sz w:val="20"/>
                <w:szCs w:val="20"/>
                <w:color w:val="auto"/>
              </w:rPr>
            </w:pPr>
            <w:r>
              <w:rPr>
                <w:rFonts w:ascii="Arial" w:cs="Arial" w:eastAsia="Arial" w:hAnsi="Arial"/>
                <w:sz w:val="18"/>
                <w:szCs w:val="18"/>
                <w:b w:val="1"/>
                <w:bCs w:val="1"/>
                <w:color w:val="auto"/>
              </w:rPr>
              <w:t>Tranche 2 Advance</w:t>
            </w:r>
          </w:p>
        </w:tc>
      </w:tr>
      <w:tr>
        <w:trPr>
          <w:trHeight w:val="228"/>
        </w:trPr>
        <w:tc>
          <w:tcPr>
            <w:tcW w:w="2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r>
      <w:tr>
        <w:trPr>
          <w:trHeight w:val="209"/>
        </w:trPr>
        <w:tc>
          <w:tcPr>
            <w:tcW w:w="2580" w:type="dxa"/>
            <w:vAlign w:val="bottom"/>
            <w:tcBorders>
              <w:left w:val="single" w:sz="8" w:color="auto"/>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rPr>
              <w:t>LENDER</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TERM COMMITMENT</w:t>
            </w:r>
          </w:p>
        </w:tc>
      </w:tr>
      <w:tr>
        <w:trPr>
          <w:trHeight w:val="209"/>
        </w:trPr>
        <w:tc>
          <w:tcPr>
            <w:tcW w:w="2580" w:type="dxa"/>
            <w:vAlign w:val="bottom"/>
            <w:tcBorders>
              <w:left w:val="single" w:sz="8" w:color="auto"/>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1"/>
              </w:rPr>
              <w:t>Hercules Capital, Inc.</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33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$10,000,000</w:t>
            </w:r>
          </w:p>
        </w:tc>
      </w:tr>
      <w:tr>
        <w:trPr>
          <w:trHeight w:val="612"/>
        </w:trPr>
        <w:tc>
          <w:tcPr>
            <w:tcW w:w="2580" w:type="dxa"/>
            <w:vAlign w:val="bottom"/>
          </w:tcPr>
          <w:p>
            <w:pPr>
              <w:spacing w:after="0"/>
              <w:rPr>
                <w:sz w:val="24"/>
                <w:szCs w:val="24"/>
                <w:color w:val="auto"/>
              </w:rPr>
            </w:pPr>
          </w:p>
        </w:tc>
        <w:tc>
          <w:tcPr>
            <w:tcW w:w="4160" w:type="dxa"/>
            <w:vAlign w:val="bottom"/>
            <w:gridSpan w:val="4"/>
          </w:tcPr>
          <w:p>
            <w:pPr>
              <w:ind w:left="80"/>
              <w:spacing w:after="0"/>
              <w:rPr>
                <w:sz w:val="20"/>
                <w:szCs w:val="20"/>
                <w:color w:val="auto"/>
              </w:rPr>
            </w:pPr>
            <w:r>
              <w:rPr>
                <w:rFonts w:ascii="Arial" w:cs="Arial" w:eastAsia="Arial" w:hAnsi="Arial"/>
                <w:sz w:val="18"/>
                <w:szCs w:val="18"/>
                <w:b w:val="1"/>
                <w:bCs w:val="1"/>
                <w:color w:val="auto"/>
              </w:rPr>
              <w:t>Tranche 3 Advance</w:t>
            </w:r>
          </w:p>
        </w:tc>
      </w:tr>
      <w:tr>
        <w:trPr>
          <w:trHeight w:val="228"/>
        </w:trPr>
        <w:tc>
          <w:tcPr>
            <w:tcW w:w="2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r>
      <w:tr>
        <w:trPr>
          <w:trHeight w:val="209"/>
        </w:trPr>
        <w:tc>
          <w:tcPr>
            <w:tcW w:w="2580" w:type="dxa"/>
            <w:vAlign w:val="bottom"/>
            <w:tcBorders>
              <w:left w:val="single" w:sz="8" w:color="auto"/>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rPr>
              <w:t>LENDER</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TERM COMMITMENT</w:t>
            </w:r>
          </w:p>
        </w:tc>
      </w:tr>
      <w:tr>
        <w:trPr>
          <w:trHeight w:val="209"/>
        </w:trPr>
        <w:tc>
          <w:tcPr>
            <w:tcW w:w="2580" w:type="dxa"/>
            <w:vAlign w:val="bottom"/>
            <w:tcBorders>
              <w:left w:val="single" w:sz="8" w:color="auto"/>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1"/>
              </w:rPr>
              <w:t>Hercules Capital, Inc.</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33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$10,000,000*</w:t>
            </w:r>
          </w:p>
        </w:tc>
      </w:tr>
    </w:tbl>
    <w:p>
      <w:pPr>
        <w:jc w:val="center"/>
        <w:ind w:right="-79"/>
        <w:spacing w:after="0"/>
        <w:rPr>
          <w:sz w:val="20"/>
          <w:szCs w:val="20"/>
          <w:color w:val="auto"/>
        </w:rPr>
      </w:pPr>
      <w:r>
        <w:rPr>
          <w:rFonts w:ascii="Arial" w:cs="Arial" w:eastAsia="Arial" w:hAnsi="Arial"/>
          <w:sz w:val="18"/>
          <w:szCs w:val="18"/>
          <w:color w:val="auto"/>
        </w:rPr>
        <w:t>*Subject to approval by Lender’s investment committee in its sole discretion</w:t>
      </w: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Total Term Commitment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80" w:type="dxa"/>
            <w:vAlign w:val="bottom"/>
            <w:tcBorders>
              <w:right w:val="single" w:sz="8" w:color="auto"/>
            </w:tcBorders>
          </w:tcPr>
          <w:p>
            <w:pPr>
              <w:spacing w:after="0"/>
              <w:rPr>
                <w:sz w:val="19"/>
                <w:szCs w:val="19"/>
                <w:color w:val="auto"/>
              </w:rPr>
            </w:pP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LENDER</w:t>
            </w: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TERM COMMITMENT</w:t>
            </w:r>
          </w:p>
        </w:tc>
        <w:tc>
          <w:tcPr>
            <w:tcW w:w="2240" w:type="dxa"/>
            <w:vAlign w:val="bottom"/>
          </w:tcPr>
          <w:p>
            <w:pPr>
              <w:spacing w:after="0"/>
              <w:rPr>
                <w:sz w:val="19"/>
                <w:szCs w:val="19"/>
                <w:color w:val="auto"/>
              </w:rPr>
            </w:pPr>
          </w:p>
        </w:tc>
      </w:tr>
      <w:tr>
        <w:trPr>
          <w:trHeight w:val="209"/>
        </w:trPr>
        <w:tc>
          <w:tcPr>
            <w:tcW w:w="2280" w:type="dxa"/>
            <w:vAlign w:val="bottom"/>
            <w:tcBorders>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Hercules Capital, Inc.</w:t>
            </w:r>
          </w:p>
        </w:tc>
        <w:tc>
          <w:tcPr>
            <w:tcW w:w="3300" w:type="dxa"/>
            <w:vAlign w:val="bottom"/>
            <w:tcBorders>
              <w:bottom w:val="single" w:sz="8" w:color="auto"/>
              <w:right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$30,000,000*</w:t>
            </w:r>
          </w:p>
        </w:tc>
        <w:tc>
          <w:tcPr>
            <w:tcW w:w="2240" w:type="dxa"/>
            <w:vAlign w:val="bottom"/>
          </w:tcPr>
          <w:p>
            <w:pPr>
              <w:spacing w:after="0"/>
              <w:rPr>
                <w:sz w:val="18"/>
                <w:szCs w:val="18"/>
                <w:color w:val="auto"/>
              </w:rPr>
            </w:pPr>
          </w:p>
        </w:tc>
      </w:tr>
      <w:tr>
        <w:trPr>
          <w:trHeight w:val="222"/>
        </w:trPr>
        <w:tc>
          <w:tcPr>
            <w:tcW w:w="22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982" w:right="339" w:bottom="1440" w:gutter="0" w:footer="0" w:header="0"/>
        </w:sectPr>
      </w:pPr>
    </w:p>
    <w:bookmarkStart w:id="503" w:name="page504"/>
    <w:bookmarkEnd w:id="503"/>
    <w:p>
      <w:pPr>
        <w:ind w:left="5040"/>
        <w:spacing w:after="0"/>
        <w:rPr>
          <w:sz w:val="20"/>
          <w:szCs w:val="20"/>
          <w:color w:val="auto"/>
        </w:rPr>
      </w:pPr>
      <w:r>
        <w:rPr>
          <w:rFonts w:ascii="Arial" w:cs="Arial" w:eastAsia="Arial" w:hAnsi="Arial"/>
          <w:sz w:val="17"/>
          <w:szCs w:val="17"/>
          <w:b w:val="1"/>
          <w:bCs w:val="1"/>
          <w:color w:val="auto"/>
        </w:rPr>
        <w:t>Schedule 1</w:t>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15"/>
          <w:szCs w:val="15"/>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Century Therapeutics Canada 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329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2" w:right="1440" w:bottom="1440" w:gutter="0" w:footer="0" w:header="0"/>
        </w:sectPr>
      </w:pPr>
    </w:p>
    <w:bookmarkStart w:id="504" w:name="page505"/>
    <w:bookmarkEnd w:id="504"/>
    <w:p>
      <w:pPr>
        <w:jc w:val="center"/>
        <w:ind w:right="-1000"/>
        <w:spacing w:after="0"/>
        <w:rPr>
          <w:sz w:val="20"/>
          <w:szCs w:val="20"/>
          <w:color w:val="auto"/>
        </w:rPr>
      </w:pPr>
      <w:r>
        <w:rPr>
          <w:rFonts w:ascii="Arial" w:cs="Arial" w:eastAsia="Arial" w:hAnsi="Arial"/>
          <w:sz w:val="18"/>
          <w:szCs w:val="18"/>
          <w:b w:val="1"/>
          <w:bCs w:val="1"/>
          <w:color w:val="auto"/>
        </w:rPr>
        <w:t>Schedule 1A</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Existing Permitted Indebtedness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 dated as of June 9, 2020, issued by Century Therapeutics Canada ULC in favor of Empirica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302260</wp:posOffset>
            </wp:positionV>
            <wp:extent cx="71329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2" w:right="1440" w:bottom="1440" w:gutter="0" w:footer="0" w:header="0"/>
        </w:sectPr>
      </w:pPr>
    </w:p>
    <w:bookmarkStart w:id="505" w:name="page506"/>
    <w:bookmarkEnd w:id="505"/>
    <w:p>
      <w:pPr>
        <w:jc w:val="center"/>
        <w:ind w:right="-1000"/>
        <w:spacing w:after="0"/>
        <w:rPr>
          <w:sz w:val="20"/>
          <w:szCs w:val="20"/>
          <w:color w:val="auto"/>
        </w:rPr>
      </w:pPr>
      <w:r>
        <w:rPr>
          <w:rFonts w:ascii="Arial" w:cs="Arial" w:eastAsia="Arial" w:hAnsi="Arial"/>
          <w:sz w:val="18"/>
          <w:szCs w:val="18"/>
          <w:b w:val="1"/>
          <w:bCs w:val="1"/>
          <w:color w:val="auto"/>
        </w:rPr>
        <w:t>Schedule 1B</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Existing Permitted Investments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329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2" w:right="1440" w:bottom="1440" w:gutter="0" w:footer="0" w:header="0"/>
        </w:sectPr>
      </w:pPr>
    </w:p>
    <w:bookmarkStart w:id="506" w:name="page507"/>
    <w:bookmarkEnd w:id="506"/>
    <w:p>
      <w:pPr>
        <w:jc w:val="center"/>
        <w:ind w:right="-880"/>
        <w:spacing w:after="0"/>
        <w:rPr>
          <w:sz w:val="20"/>
          <w:szCs w:val="20"/>
          <w:color w:val="auto"/>
        </w:rPr>
      </w:pPr>
      <w:r>
        <w:rPr>
          <w:rFonts w:ascii="Arial" w:cs="Arial" w:eastAsia="Arial" w:hAnsi="Arial"/>
          <w:sz w:val="18"/>
          <w:szCs w:val="18"/>
          <w:b w:val="1"/>
          <w:bCs w:val="1"/>
          <w:color w:val="auto"/>
        </w:rPr>
        <w:t>Schedule 1C</w:t>
      </w:r>
    </w:p>
    <w:p>
      <w:pPr>
        <w:spacing w:after="0" w:line="27"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Existing Permitted Liens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329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2" w:right="1440" w:bottom="1440" w:gutter="0" w:footer="0" w:header="0"/>
        </w:sectPr>
      </w:pPr>
    </w:p>
    <w:bookmarkStart w:id="507" w:name="page508"/>
    <w:bookmarkEnd w:id="507"/>
    <w:p>
      <w:pPr>
        <w:ind w:left="4980"/>
        <w:spacing w:after="0"/>
        <w:rPr>
          <w:sz w:val="20"/>
          <w:szCs w:val="20"/>
          <w:color w:val="auto"/>
        </w:rPr>
      </w:pPr>
      <w:r>
        <w:rPr>
          <w:rFonts w:ascii="Arial" w:cs="Arial" w:eastAsia="Arial" w:hAnsi="Arial"/>
          <w:sz w:val="17"/>
          <w:szCs w:val="17"/>
          <w:b w:val="1"/>
          <w:bCs w:val="1"/>
          <w:color w:val="auto"/>
        </w:rPr>
        <w:t>Schedule 5.3</w:t>
      </w:r>
    </w:p>
    <w:p>
      <w:pPr>
        <w:spacing w:after="0" w:line="38"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Consents, Etc.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329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2" w:right="1440" w:bottom="1440" w:gutter="0" w:footer="0" w:header="0"/>
        </w:sectPr>
      </w:pPr>
    </w:p>
    <w:bookmarkStart w:id="508" w:name="page509"/>
    <w:bookmarkEnd w:id="508"/>
    <w:p>
      <w:pPr>
        <w:jc w:val="right"/>
        <w:ind w:right="4019"/>
        <w:spacing w:after="0"/>
        <w:rPr>
          <w:sz w:val="20"/>
          <w:szCs w:val="20"/>
          <w:color w:val="auto"/>
        </w:rPr>
      </w:pPr>
      <w:r>
        <w:rPr>
          <w:rFonts w:ascii="Arial" w:cs="Arial" w:eastAsia="Arial" w:hAnsi="Arial"/>
          <w:sz w:val="18"/>
          <w:szCs w:val="18"/>
          <w:b w:val="1"/>
          <w:bCs w:val="1"/>
          <w:color w:val="auto"/>
        </w:rPr>
        <w:t>Schedule 5.8</w:t>
      </w:r>
    </w:p>
    <w:p>
      <w:pPr>
        <w:spacing w:after="0" w:line="27" w:lineRule="exact"/>
        <w:rPr>
          <w:sz w:val="20"/>
          <w:szCs w:val="20"/>
          <w:color w:val="auto"/>
        </w:rPr>
      </w:pPr>
    </w:p>
    <w:p>
      <w:pPr>
        <w:jc w:val="right"/>
        <w:ind w:right="4019"/>
        <w:spacing w:after="0"/>
        <w:rPr>
          <w:sz w:val="20"/>
          <w:szCs w:val="20"/>
          <w:color w:val="auto"/>
        </w:rPr>
      </w:pPr>
      <w:r>
        <w:rPr>
          <w:rFonts w:ascii="Arial" w:cs="Arial" w:eastAsia="Arial" w:hAnsi="Arial"/>
          <w:sz w:val="18"/>
          <w:szCs w:val="18"/>
          <w:b w:val="1"/>
          <w:bCs w:val="1"/>
          <w:color w:val="auto"/>
        </w:rPr>
        <w:t>Tax Matters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329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2" w:right="1440" w:bottom="1440" w:gutter="0" w:footer="0" w:header="0"/>
        </w:sectPr>
      </w:pPr>
    </w:p>
    <w:bookmarkStart w:id="509" w:name="page510"/>
    <w:bookmarkEnd w:id="509"/>
    <w:p>
      <w:pPr>
        <w:jc w:val="center"/>
        <w:ind w:right="-900"/>
        <w:spacing w:after="0"/>
        <w:rPr>
          <w:sz w:val="20"/>
          <w:szCs w:val="20"/>
          <w:color w:val="auto"/>
        </w:rPr>
      </w:pPr>
      <w:r>
        <w:rPr>
          <w:rFonts w:ascii="Arial" w:cs="Arial" w:eastAsia="Arial" w:hAnsi="Arial"/>
          <w:sz w:val="18"/>
          <w:szCs w:val="18"/>
          <w:b w:val="1"/>
          <w:bCs w:val="1"/>
          <w:color w:val="auto"/>
        </w:rPr>
        <w:t>Schedule 5.9</w:t>
      </w:r>
    </w:p>
    <w:p>
      <w:pPr>
        <w:spacing w:after="0" w:line="27"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Intellectual Property Claims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329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2" w:right="1440" w:bottom="1440" w:gutter="0" w:footer="0" w:header="0"/>
        </w:sectPr>
      </w:pPr>
    </w:p>
    <w:bookmarkStart w:id="510" w:name="page511"/>
    <w:bookmarkEnd w:id="510"/>
    <w:p>
      <w:pPr>
        <w:jc w:val="center"/>
        <w:ind w:right="20"/>
        <w:spacing w:after="0"/>
        <w:rPr>
          <w:sz w:val="20"/>
          <w:szCs w:val="20"/>
          <w:color w:val="auto"/>
        </w:rPr>
      </w:pPr>
      <w:r>
        <w:rPr>
          <w:rFonts w:ascii="Arial" w:cs="Arial" w:eastAsia="Arial" w:hAnsi="Arial"/>
          <w:sz w:val="18"/>
          <w:szCs w:val="18"/>
          <w:b w:val="1"/>
          <w:bCs w:val="1"/>
          <w:color w:val="auto"/>
        </w:rPr>
        <w:t>Schedule 5.10</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Intellectual Property</w:t>
      </w:r>
    </w:p>
    <w:p>
      <w:pPr>
        <w:spacing w:after="0" w:line="200" w:lineRule="exact"/>
        <w:rPr>
          <w:sz w:val="20"/>
          <w:szCs w:val="20"/>
          <w:color w:val="auto"/>
        </w:rPr>
      </w:pP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License Agreement (differentiation) by and between the Borrower (as assignee) and FUJIFILM Cellular Dynamics Inc., a Wisconsin corporation, signed September 18, 2018 (</w:t>
      </w:r>
      <w:r>
        <w:rPr>
          <w:rFonts w:ascii="Arial" w:cs="Arial" w:eastAsia="Arial" w:hAnsi="Arial"/>
          <w:sz w:val="18"/>
          <w:szCs w:val="18"/>
          <w:i w:val="1"/>
          <w:iCs w:val="1"/>
          <w:color w:val="auto"/>
        </w:rPr>
        <w:t>exclusive</w:t>
      </w:r>
      <w:r>
        <w:rPr>
          <w:rFonts w:ascii="Arial" w:cs="Arial" w:eastAsia="Arial" w:hAnsi="Arial"/>
          <w:sz w:val="18"/>
          <w:szCs w:val="18"/>
          <w:color w:val="auto"/>
        </w:rPr>
        <w:t>).</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License Agreement (reprogramming) by and between the Borrower (as assignee) and FUJIFILM Cellular Dynamics Inc., a Wisconsin corporation, effective September 18, 2018 (</w:t>
      </w:r>
      <w:r>
        <w:rPr>
          <w:rFonts w:ascii="Arial" w:cs="Arial" w:eastAsia="Arial" w:hAnsi="Arial"/>
          <w:sz w:val="18"/>
          <w:szCs w:val="18"/>
          <w:i w:val="1"/>
          <w:iCs w:val="1"/>
          <w:color w:val="auto"/>
        </w:rPr>
        <w:t>non-exclusive</w:t>
      </w:r>
      <w:r>
        <w:rPr>
          <w:rFonts w:ascii="Arial" w:cs="Arial" w:eastAsia="Arial" w:hAnsi="Arial"/>
          <w:sz w:val="18"/>
          <w:szCs w:val="18"/>
          <w:color w:val="auto"/>
        </w:rPr>
        <w:t>).</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Master Collaboration Agreement by and between the Borrower and FUJIFILM Cellular Dynamics Inc., a Wisconsin corporation, dated as of October 21, 2019.</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Letter Agreement regarding WARF/CDI License Agreement and CDI/Century Sublicense Agreement by and among the Borrower, FUJIFILM Cellular Dynamics Inc., a Wisconsin corporation and Wisconsin Alumni Research Foundation dated as of July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254635</wp:posOffset>
            </wp:positionV>
            <wp:extent cx="71329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940"/>
          </w:cols>
          <w:pgMar w:left="500" w:top="982" w:right="459" w:bottom="1440" w:gutter="0" w:footer="0" w:header="0"/>
        </w:sectPr>
      </w:pPr>
    </w:p>
    <w:bookmarkStart w:id="511" w:name="page512"/>
    <w:bookmarkEnd w:id="511"/>
    <w:p>
      <w:pPr>
        <w:ind w:left="4940"/>
        <w:spacing w:after="0"/>
        <w:rPr>
          <w:sz w:val="20"/>
          <w:szCs w:val="20"/>
          <w:color w:val="auto"/>
        </w:rPr>
      </w:pPr>
      <w:r>
        <w:rPr>
          <w:rFonts w:ascii="Arial" w:cs="Arial" w:eastAsia="Arial" w:hAnsi="Arial"/>
          <w:sz w:val="18"/>
          <w:szCs w:val="18"/>
          <w:b w:val="1"/>
          <w:bCs w:val="1"/>
          <w:color w:val="auto"/>
        </w:rPr>
        <w:t>Schedule 5.11</w:t>
      </w:r>
    </w:p>
    <w:p>
      <w:pPr>
        <w:spacing w:after="0" w:line="27"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Borrower Products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329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2" w:right="1440" w:bottom="1440" w:gutter="0" w:footer="0" w:header="0"/>
        </w:sectPr>
      </w:pPr>
    </w:p>
    <w:bookmarkStart w:id="512" w:name="page513"/>
    <w:bookmarkEnd w:id="512"/>
    <w:p>
      <w:pPr>
        <w:ind w:left="4940"/>
        <w:spacing w:after="0"/>
        <w:rPr>
          <w:sz w:val="20"/>
          <w:szCs w:val="20"/>
          <w:color w:val="auto"/>
        </w:rPr>
      </w:pPr>
      <w:r>
        <w:rPr>
          <w:rFonts w:ascii="Arial" w:cs="Arial" w:eastAsia="Arial" w:hAnsi="Arial"/>
          <w:sz w:val="17"/>
          <w:szCs w:val="17"/>
          <w:b w:val="1"/>
          <w:bCs w:val="1"/>
          <w:color w:val="auto"/>
        </w:rPr>
        <w:t>Schedule 5.13</w:t>
      </w:r>
    </w:p>
    <w:p>
      <w:pPr>
        <w:spacing w:after="0" w:line="38" w:lineRule="exact"/>
        <w:rPr>
          <w:sz w:val="20"/>
          <w:szCs w:val="20"/>
          <w:color w:val="auto"/>
        </w:rPr>
      </w:pPr>
    </w:p>
    <w:p>
      <w:pPr>
        <w:jc w:val="right"/>
        <w:ind w:right="3839"/>
        <w:spacing w:after="0"/>
        <w:rPr>
          <w:sz w:val="20"/>
          <w:szCs w:val="20"/>
          <w:color w:val="auto"/>
        </w:rPr>
      </w:pPr>
      <w:r>
        <w:rPr>
          <w:rFonts w:ascii="Arial" w:cs="Arial" w:eastAsia="Arial" w:hAnsi="Arial"/>
          <w:sz w:val="18"/>
          <w:szCs w:val="18"/>
          <w:b w:val="1"/>
          <w:bCs w:val="1"/>
          <w:color w:val="auto"/>
        </w:rPr>
        <w:t>Employee Loans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329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1" w:right="1440" w:bottom="1440" w:gutter="0" w:footer="0" w:header="0"/>
        </w:sectPr>
      </w:pPr>
    </w:p>
    <w:bookmarkStart w:id="513" w:name="page514"/>
    <w:bookmarkEnd w:id="513"/>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640" w:type="dxa"/>
            <w:vAlign w:val="bottom"/>
            <w:gridSpan w:val="5"/>
          </w:tcPr>
          <w:p>
            <w:pPr>
              <w:ind w:left="460"/>
              <w:spacing w:after="0"/>
              <w:rPr>
                <w:sz w:val="20"/>
                <w:szCs w:val="20"/>
                <w:color w:val="auto"/>
              </w:rPr>
            </w:pPr>
            <w:r>
              <w:rPr>
                <w:rFonts w:ascii="Arial" w:cs="Arial" w:eastAsia="Arial" w:hAnsi="Arial"/>
                <w:sz w:val="18"/>
                <w:szCs w:val="18"/>
                <w:b w:val="1"/>
                <w:bCs w:val="1"/>
                <w:color w:val="auto"/>
              </w:rPr>
              <w:t>Schedule 5.14 Capitalization</w:t>
            </w: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4"/>
        </w:trPr>
        <w:tc>
          <w:tcPr>
            <w:tcW w:w="18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Borrower</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Number of Unit</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Record Owners</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0" w:type="dxa"/>
            <w:vAlign w:val="bottom"/>
            <w:gridSpan w:val="3"/>
          </w:tcPr>
          <w:p>
            <w:pPr>
              <w:ind w:left="80"/>
              <w:spacing w:after="0"/>
              <w:rPr>
                <w:sz w:val="20"/>
                <w:szCs w:val="20"/>
                <w:color w:val="auto"/>
              </w:rPr>
            </w:pPr>
            <w:r>
              <w:rPr>
                <w:rFonts w:ascii="Arial" w:cs="Arial" w:eastAsia="Arial" w:hAnsi="Arial"/>
                <w:sz w:val="18"/>
                <w:szCs w:val="18"/>
                <w:b w:val="1"/>
                <w:bCs w:val="1"/>
                <w:color w:val="auto"/>
              </w:rPr>
              <w:t>Number of Units</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Equivalents</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Ownership</w:t>
            </w:r>
          </w:p>
        </w:tc>
      </w:tr>
      <w:tr>
        <w:trPr>
          <w:trHeight w:val="209"/>
        </w:trPr>
        <w:tc>
          <w:tcPr>
            <w:tcW w:w="4120" w:type="dxa"/>
            <w:vAlign w:val="bottom"/>
            <w:tcBorders>
              <w:top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color w:val="auto"/>
              </w:rPr>
              <w:t>Century Therapeutics, Inc.</w:t>
            </w: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67,226,891</w:t>
            </w:r>
          </w:p>
        </w:tc>
        <w:tc>
          <w:tcPr>
            <w:tcW w:w="5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4120" w:type="dxa"/>
            <w:vAlign w:val="bottom"/>
            <w:gridSpan w:val="4"/>
          </w:tcPr>
          <w:p>
            <w:pPr>
              <w:ind w:left="100"/>
              <w:spacing w:after="0"/>
              <w:rPr>
                <w:sz w:val="20"/>
                <w:szCs w:val="20"/>
                <w:color w:val="auto"/>
              </w:rPr>
            </w:pPr>
            <w:r>
              <w:rPr>
                <w:rFonts w:ascii="Arial" w:cs="Arial" w:eastAsia="Arial" w:hAnsi="Arial"/>
                <w:sz w:val="18"/>
                <w:szCs w:val="18"/>
                <w:color w:val="auto"/>
              </w:rPr>
              <w:t>Bayer Healthcare, LLC</w:t>
            </w:r>
          </w:p>
        </w:tc>
        <w:tc>
          <w:tcPr>
            <w:tcW w:w="3080" w:type="dxa"/>
            <w:vAlign w:val="bottom"/>
            <w:gridSpan w:val="4"/>
          </w:tcPr>
          <w:p>
            <w:pPr>
              <w:jc w:val="right"/>
              <w:ind w:right="10"/>
              <w:spacing w:after="0"/>
              <w:rPr>
                <w:sz w:val="20"/>
                <w:szCs w:val="20"/>
                <w:color w:val="auto"/>
              </w:rPr>
            </w:pPr>
            <w:r>
              <w:rPr>
                <w:rFonts w:ascii="Arial" w:cs="Arial" w:eastAsia="Arial" w:hAnsi="Arial"/>
                <w:sz w:val="18"/>
                <w:szCs w:val="18"/>
                <w:color w:val="auto"/>
              </w:rPr>
              <w:t>26,143,790</w:t>
            </w:r>
          </w:p>
        </w:tc>
        <w:tc>
          <w:tcPr>
            <w:tcW w:w="56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41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Reserved</w:t>
            </w:r>
          </w:p>
        </w:tc>
        <w:tc>
          <w:tcPr>
            <w:tcW w:w="30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15,598,186</w:t>
            </w: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121,620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34"/>
        </w:trPr>
        <w:tc>
          <w:tcPr>
            <w:tcW w:w="4120" w:type="dxa"/>
            <w:vAlign w:val="bottom"/>
            <w:gridSpan w:val="4"/>
          </w:tcPr>
          <w:p>
            <w:pPr>
              <w:ind w:left="100"/>
              <w:spacing w:after="0"/>
              <w:rPr>
                <w:sz w:val="20"/>
                <w:szCs w:val="20"/>
                <w:color w:val="auto"/>
              </w:rPr>
            </w:pPr>
            <w:r>
              <w:rPr>
                <w:rFonts w:ascii="Arial" w:cs="Arial" w:eastAsia="Arial" w:hAnsi="Arial"/>
                <w:sz w:val="18"/>
                <w:szCs w:val="18"/>
                <w:b w:val="1"/>
                <w:bCs w:val="1"/>
                <w:color w:val="auto"/>
              </w:rPr>
              <w:t>Total:</w:t>
            </w:r>
          </w:p>
        </w:tc>
        <w:tc>
          <w:tcPr>
            <w:tcW w:w="30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108,968,867</w:t>
            </w:r>
          </w:p>
        </w:tc>
        <w:tc>
          <w:tcPr>
            <w:tcW w:w="56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121,620</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r>
      <w:tr>
        <w:trPr>
          <w:trHeight w:val="587"/>
        </w:trPr>
        <w:tc>
          <w:tcPr>
            <w:tcW w:w="18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Subsidiaries</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78"/>
        </w:trPr>
        <w:tc>
          <w:tcPr>
            <w:tcW w:w="18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30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Subsidiary</w:t>
            </w: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60" w:type="dxa"/>
            <w:vAlign w:val="bottom"/>
            <w:tcBorders>
              <w:bottom w:val="single" w:sz="8" w:color="CCEEFF"/>
            </w:tcBorders>
            <w:gridSpan w:val="3"/>
          </w:tcPr>
          <w:p>
            <w:pPr>
              <w:jc w:val="right"/>
              <w:ind w:right="630"/>
              <w:spacing w:after="0"/>
              <w:rPr>
                <w:sz w:val="20"/>
                <w:szCs w:val="20"/>
                <w:color w:val="auto"/>
              </w:rPr>
            </w:pPr>
            <w:r>
              <w:rPr>
                <w:rFonts w:ascii="Arial" w:cs="Arial" w:eastAsia="Arial" w:hAnsi="Arial"/>
                <w:sz w:val="18"/>
                <w:szCs w:val="18"/>
                <w:b w:val="1"/>
                <w:bCs w:val="1"/>
                <w:color w:val="auto"/>
              </w:rPr>
              <w:t>Number of Shares</w:t>
            </w:r>
          </w:p>
        </w:tc>
        <w:tc>
          <w:tcPr>
            <w:tcW w:w="4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4"/>
              </w:rPr>
              <w:t>Percentage Ownership</w:t>
            </w:r>
          </w:p>
        </w:tc>
      </w:tr>
      <w:tr>
        <w:trPr>
          <w:trHeight w:val="222"/>
        </w:trPr>
        <w:tc>
          <w:tcPr>
            <w:tcW w:w="41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Century Therapeutics Canada ULC</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100 shares of common stock</w:t>
            </w:r>
          </w:p>
        </w:tc>
        <w:tc>
          <w:tcPr>
            <w:tcW w:w="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100%</w:t>
            </w:r>
          </w:p>
        </w:tc>
      </w:tr>
      <w:tr>
        <w:trPr>
          <w:trHeight w:val="659"/>
        </w:trPr>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82" w:right="339" w:bottom="1440" w:gutter="0" w:footer="0" w:header="0"/>
        </w:sectPr>
      </w:pPr>
    </w:p>
    <w:bookmarkStart w:id="514" w:name="page515"/>
    <w:bookmarkEnd w:id="514"/>
    <w:p>
      <w:pPr>
        <w:jc w:val="center"/>
        <w:ind w:right="-920"/>
        <w:spacing w:after="0"/>
        <w:rPr>
          <w:sz w:val="20"/>
          <w:szCs w:val="20"/>
          <w:color w:val="auto"/>
        </w:rPr>
      </w:pPr>
      <w:r>
        <w:rPr>
          <w:rFonts w:ascii="Arial" w:cs="Arial" w:eastAsia="Arial" w:hAnsi="Arial"/>
          <w:sz w:val="18"/>
          <w:szCs w:val="18"/>
          <w:b w:val="1"/>
          <w:bCs w:val="1"/>
          <w:color w:val="auto"/>
        </w:rPr>
        <w:t>Schedule 7.22</w:t>
      </w:r>
    </w:p>
    <w:p>
      <w:pPr>
        <w:spacing w:after="0" w:line="89" w:lineRule="exact"/>
        <w:rPr>
          <w:sz w:val="20"/>
          <w:szCs w:val="20"/>
          <w:color w:val="auto"/>
        </w:rPr>
      </w:pPr>
    </w:p>
    <w:p>
      <w:pPr>
        <w:jc w:val="center"/>
        <w:ind w:right="-920"/>
        <w:spacing w:after="0"/>
        <w:rPr>
          <w:sz w:val="20"/>
          <w:szCs w:val="20"/>
          <w:color w:val="auto"/>
        </w:rPr>
      </w:pPr>
      <w:r>
        <w:rPr>
          <w:rFonts w:ascii="Arial" w:cs="Arial" w:eastAsia="Arial" w:hAnsi="Arial"/>
          <w:sz w:val="16"/>
          <w:szCs w:val="16"/>
          <w:b w:val="1"/>
          <w:bCs w:val="1"/>
          <w:color w:val="auto"/>
        </w:rPr>
        <w:t>Transactions with Affiliates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Shared Services Agreement, to be entered into between the Borrower and Century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165735</wp:posOffset>
            </wp:positionV>
            <wp:extent cx="71329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959"/>
          </w:cols>
          <w:pgMar w:left="500" w:top="982" w:right="1440" w:bottom="1440" w:gutter="0" w:footer="0" w:header="0"/>
        </w:sectPr>
      </w:pPr>
    </w:p>
    <w:bookmarkStart w:id="515" w:name="page516"/>
    <w:bookmarkEnd w:id="515"/>
    <w:p>
      <w:pPr>
        <w:ind w:left="10180"/>
        <w:spacing w:after="0"/>
        <w:rPr>
          <w:sz w:val="20"/>
          <w:szCs w:val="20"/>
          <w:color w:val="auto"/>
        </w:rPr>
      </w:pPr>
      <w:r>
        <w:rPr>
          <w:rFonts w:ascii="Arial" w:cs="Arial" w:eastAsia="Arial" w:hAnsi="Arial"/>
          <w:sz w:val="17"/>
          <w:szCs w:val="17"/>
          <w:b w:val="1"/>
          <w:bCs w:val="1"/>
          <w:color w:val="auto"/>
        </w:rPr>
        <w:t>Exhibit 10.29</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Joseph Jimenez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 Pepperwood Ct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Danville, CA 94506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joe.jimenez@aditumbio.com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Joe:</w:t>
      </w:r>
    </w:p>
    <w:p>
      <w:pPr>
        <w:spacing w:after="0" w:line="223" w:lineRule="exact"/>
        <w:rPr>
          <w:sz w:val="20"/>
          <w:szCs w:val="20"/>
          <w:color w:val="auto"/>
        </w:rPr>
      </w:pPr>
    </w:p>
    <w:p>
      <w:pPr>
        <w:ind w:firstLine="1291"/>
        <w:spacing w:after="0" w:line="306" w:lineRule="auto"/>
        <w:rPr>
          <w:sz w:val="20"/>
          <w:szCs w:val="20"/>
          <w:color w:val="auto"/>
        </w:rPr>
      </w:pPr>
      <w:r>
        <w:rPr>
          <w:rFonts w:ascii="Arial" w:cs="Arial" w:eastAsia="Arial" w:hAnsi="Arial"/>
          <w:sz w:val="17"/>
          <w:szCs w:val="17"/>
          <w:color w:val="auto"/>
        </w:rPr>
        <w:t>Following our recent discussions, I am very pleased to invite you to serve as Chairman of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Century Therapeutics, Inc. (f/k/a Century Therapeutics, LLC, the “</w:t>
      </w:r>
      <w:r>
        <w:rPr>
          <w:rFonts w:ascii="Arial" w:cs="Arial" w:eastAsia="Arial" w:hAnsi="Arial"/>
          <w:sz w:val="17"/>
          <w:szCs w:val="17"/>
          <w:u w:val="single" w:color="auto"/>
          <w:color w:val="auto"/>
        </w:rPr>
        <w:t>Company</w:t>
      </w:r>
      <w:r>
        <w:rPr>
          <w:rFonts w:ascii="Arial" w:cs="Arial" w:eastAsia="Arial" w:hAnsi="Arial"/>
          <w:sz w:val="17"/>
          <w:szCs w:val="17"/>
          <w:color w:val="auto"/>
        </w:rPr>
        <w:t>”), on the terms and subject to the conditions set forth below.</w:t>
      </w:r>
    </w:p>
    <w:p>
      <w:pPr>
        <w:spacing w:after="0" w:line="147" w:lineRule="exact"/>
        <w:rPr>
          <w:sz w:val="20"/>
          <w:szCs w:val="20"/>
          <w:color w:val="auto"/>
        </w:rPr>
      </w:pPr>
    </w:p>
    <w:p>
      <w:pPr>
        <w:jc w:val="both"/>
        <w:ind w:firstLine="1299"/>
        <w:spacing w:after="0" w:line="272" w:lineRule="auto"/>
        <w:tabs>
          <w:tab w:leader="none" w:pos="2062"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Upon your acceptance of this letter, in connection with the conversion of the Company from a Delaware limited liability company to a Delaware corporation (which is anticipated to occur on or before February 24, 2021) (the “</w:t>
      </w:r>
      <w:r>
        <w:rPr>
          <w:rFonts w:ascii="Arial" w:cs="Arial" w:eastAsia="Arial" w:hAnsi="Arial"/>
          <w:sz w:val="17"/>
          <w:szCs w:val="17"/>
          <w:u w:val="single" w:color="auto"/>
          <w:color w:val="auto"/>
        </w:rPr>
        <w:t>Conversion</w:t>
      </w:r>
      <w:r>
        <w:rPr>
          <w:rFonts w:ascii="Arial" w:cs="Arial" w:eastAsia="Arial" w:hAnsi="Arial"/>
          <w:sz w:val="17"/>
          <w:szCs w:val="17"/>
          <w:color w:val="auto"/>
        </w:rPr>
        <w:t>”), your nomination to serve as Chairman of the Board will be submitted to the other members of the Board for approval. In connection with your appointment, you shall hold office until such time that your successor is duly elected and qualified, or until your earlier death, retirement, resignation or removal from office. The terms and obligations under this letter agreement shall remain in full force and effect until your earlier death, retirement, resignation or removal from the Board; provided that the obligations under Section 6 shall survive indefinitely.</w:t>
      </w:r>
    </w:p>
    <w:p>
      <w:pPr>
        <w:spacing w:after="0" w:line="177" w:lineRule="exact"/>
        <w:rPr>
          <w:rFonts w:ascii="Arial" w:cs="Arial" w:eastAsia="Arial" w:hAnsi="Arial"/>
          <w:sz w:val="17"/>
          <w:szCs w:val="17"/>
          <w:color w:val="auto"/>
        </w:rPr>
      </w:pPr>
    </w:p>
    <w:p>
      <w:pPr>
        <w:jc w:val="both"/>
        <w:ind w:firstLine="1299"/>
        <w:spacing w:after="0" w:line="285" w:lineRule="auto"/>
        <w:tabs>
          <w:tab w:leader="none" w:pos="2076"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As an independent director, you will be expected to attend the meetings of the Board and the Committees of the Board on which you serve, as regularly or specially called. Board meetings are scheduled upon prior consultation with directors and are typically held in Philadelphia, PA. You may attend and participate at each such meeting via teleconference, video conference or in person.</w:t>
      </w:r>
    </w:p>
    <w:p>
      <w:pPr>
        <w:spacing w:after="0" w:line="164" w:lineRule="exact"/>
        <w:rPr>
          <w:rFonts w:ascii="Arial" w:cs="Arial" w:eastAsia="Arial" w:hAnsi="Arial"/>
          <w:sz w:val="17"/>
          <w:szCs w:val="17"/>
          <w:color w:val="auto"/>
        </w:rPr>
      </w:pPr>
    </w:p>
    <w:p>
      <w:pPr>
        <w:jc w:val="both"/>
        <w:ind w:firstLine="1299"/>
        <w:spacing w:after="0" w:line="278" w:lineRule="auto"/>
        <w:tabs>
          <w:tab w:leader="none" w:pos="2103"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Fiduciary Obligations; Governance</w:t>
      </w:r>
      <w:r>
        <w:rPr>
          <w:rFonts w:ascii="Arial" w:cs="Arial" w:eastAsia="Arial" w:hAnsi="Arial"/>
          <w:sz w:val="17"/>
          <w:szCs w:val="17"/>
          <w:color w:val="auto"/>
        </w:rPr>
        <w:t>: The Company is governed by Delaware law. The structure, practices and authority of the Board, including matters relating to the size and composition of the Board, the election and removal of directors, requirements relating to Board action and the appointment of executive officers, effective as of the Conversion, will be governed by the Company’s Amended and Restated Certificate of Incorporation and Bylaws, as each may be amended from time to time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ind w:left="2360" w:hanging="1061"/>
        <w:spacing w:after="0"/>
        <w:tabs>
          <w:tab w:leader="none" w:pos="2360"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As consideration for your service as a member of the Board, the Company will pay you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compensation:</w:t>
      </w:r>
    </w:p>
    <w:p>
      <w:pPr>
        <w:spacing w:after="0" w:line="208" w:lineRule="exact"/>
        <w:rPr>
          <w:rFonts w:ascii="Arial" w:cs="Arial" w:eastAsia="Arial" w:hAnsi="Arial"/>
          <w:sz w:val="17"/>
          <w:szCs w:val="17"/>
          <w:color w:val="auto"/>
        </w:rPr>
      </w:pPr>
    </w:p>
    <w:p>
      <w:pPr>
        <w:jc w:val="both"/>
        <w:ind w:firstLine="1945"/>
        <w:spacing w:after="0" w:line="262" w:lineRule="auto"/>
        <w:tabs>
          <w:tab w:leader="none" w:pos="2642"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Equity Award</w:t>
      </w:r>
      <w:r>
        <w:rPr>
          <w:rFonts w:ascii="Arial" w:cs="Arial" w:eastAsia="Arial" w:hAnsi="Arial"/>
          <w:sz w:val="18"/>
          <w:szCs w:val="18"/>
          <w:color w:val="auto"/>
        </w:rPr>
        <w:t>. Subject to the approval of the Board, upon the closing of an equity financing resulting in gross proceeds to the Company of at least $155,000,000 (the “</w:t>
      </w:r>
      <w:r>
        <w:rPr>
          <w:rFonts w:ascii="Arial" w:cs="Arial" w:eastAsia="Arial" w:hAnsi="Arial"/>
          <w:sz w:val="18"/>
          <w:szCs w:val="18"/>
          <w:u w:val="single" w:color="auto"/>
          <w:color w:val="auto"/>
        </w:rPr>
        <w:t>Series C Financing</w:t>
      </w:r>
      <w:r>
        <w:rPr>
          <w:rFonts w:ascii="Arial" w:cs="Arial" w:eastAsia="Arial" w:hAnsi="Arial"/>
          <w:sz w:val="18"/>
          <w:szCs w:val="18"/>
          <w:color w:val="auto"/>
        </w:rPr>
        <w:t>”), the Company will grant to you a one-time nonqualified stock option exercisable for the purchase of 683,601 shares of the Company’s common stock,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9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6" w:name="page517"/>
    <w:bookmarkEnd w:id="516"/>
    <w:p>
      <w:pPr>
        <w:jc w:val="both"/>
        <w:spacing w:after="0" w:line="288" w:lineRule="auto"/>
        <w:rPr>
          <w:sz w:val="20"/>
          <w:szCs w:val="20"/>
          <w:color w:val="auto"/>
        </w:rPr>
      </w:pPr>
      <w:r>
        <w:rPr>
          <w:rFonts w:ascii="Arial" w:cs="Arial" w:eastAsia="Arial" w:hAnsi="Arial"/>
          <w:sz w:val="16"/>
          <w:szCs w:val="16"/>
          <w:color w:val="auto"/>
        </w:rPr>
        <w:t>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w:t>
      </w:r>
      <w:r>
        <w:rPr>
          <w:rFonts w:ascii="Arial" w:cs="Arial" w:eastAsia="Arial" w:hAnsi="Arial"/>
          <w:sz w:val="16"/>
          <w:szCs w:val="16"/>
          <w:u w:val="single" w:color="auto"/>
          <w:color w:val="auto"/>
        </w:rPr>
        <w:t>Option</w:t>
      </w:r>
      <w:r>
        <w:rPr>
          <w:rFonts w:ascii="Arial" w:cs="Arial" w:eastAsia="Arial" w:hAnsi="Arial"/>
          <w:sz w:val="16"/>
          <w:szCs w:val="16"/>
          <w:color w:val="auto"/>
        </w:rPr>
        <w:t>”), which, together with existing awards previously granted to you by the Company, brings your equity ownership in the Company following the closing of the Series C Financing to 1% of the Company measured on a fully diluted basis. The Option will: (i) be subject to the terms and conditions of the Century Therapeutics, Inc. 2018 Stock Option and Grant Plan (as amended, restated or otherwise modified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and the Non-Qualified Stock Option Agreement by and between you and the Company (the “</w:t>
      </w:r>
      <w:r>
        <w:rPr>
          <w:rFonts w:ascii="Arial" w:cs="Arial" w:eastAsia="Arial" w:hAnsi="Arial"/>
          <w:sz w:val="16"/>
          <w:szCs w:val="16"/>
          <w:u w:val="single" w:color="auto"/>
          <w:color w:val="auto"/>
        </w:rPr>
        <w:t>Award Agreement</w:t>
      </w:r>
      <w:r>
        <w:rPr>
          <w:rFonts w:ascii="Arial" w:cs="Arial" w:eastAsia="Arial" w:hAnsi="Arial"/>
          <w:sz w:val="16"/>
          <w:szCs w:val="16"/>
          <w:color w:val="auto"/>
        </w:rPr>
        <w:t xml:space="preserve">”), (ii) have an exercise price per share equal to the fair market value per share of Common Stock on the date of the grant, as determined by the Board, and (iii) be subject to vesting requirements such that 25% of the shares of Common Stock underlying the Option shall vest on the first anniversary of the date of grant, and thereafter, the remaining 75% of the shares of Common Stock underlying the Option shall vest in 36 substantially equal monthly installments, in each case if you continue to provide services to the Company as of the applicable vesting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then-unvested portion of the Option shall automatically vest upon the closing of a Sale Event (as defined in the Plan) if you continue to provide services to the Company through such event.</w:t>
      </w:r>
    </w:p>
    <w:p>
      <w:pPr>
        <w:spacing w:after="0" w:line="165" w:lineRule="exact"/>
        <w:rPr>
          <w:sz w:val="20"/>
          <w:szCs w:val="20"/>
          <w:color w:val="auto"/>
        </w:rPr>
      </w:pPr>
    </w:p>
    <w:p>
      <w:pPr>
        <w:ind w:firstLine="1945"/>
        <w:spacing w:after="0" w:line="340" w:lineRule="auto"/>
        <w:tabs>
          <w:tab w:leader="none" w:pos="2648" w:val="left"/>
        </w:tabs>
        <w:numPr>
          <w:ilvl w:val="1"/>
          <w:numId w:val="386"/>
        </w:numPr>
        <w:rPr>
          <w:rFonts w:ascii="Arial" w:cs="Arial" w:eastAsia="Arial" w:hAnsi="Arial"/>
          <w:sz w:val="16"/>
          <w:szCs w:val="16"/>
          <w:color w:val="auto"/>
        </w:rPr>
      </w:pPr>
      <w:r>
        <w:rPr>
          <w:rFonts w:ascii="Arial" w:cs="Arial" w:eastAsia="Arial" w:hAnsi="Arial"/>
          <w:sz w:val="16"/>
          <w:szCs w:val="16"/>
          <w:u w:val="single" w:color="auto"/>
          <w:color w:val="auto"/>
        </w:rPr>
        <w:t>Annual Retainer</w:t>
      </w:r>
      <w:r>
        <w:rPr>
          <w:rFonts w:ascii="Arial" w:cs="Arial" w:eastAsia="Arial" w:hAnsi="Arial"/>
          <w:sz w:val="16"/>
          <w:szCs w:val="16"/>
          <w:color w:val="auto"/>
        </w:rPr>
        <w:t>. Subject to approval by the Board, for so long as you continue to serve as a director of the Company, you shall be entitled to receive an annual retainer of $50,000, payable on a quarterly basis. Such retainer shall be pro-rated for any partial year.</w:t>
      </w:r>
    </w:p>
    <w:p>
      <w:pPr>
        <w:spacing w:after="0" w:line="124" w:lineRule="exact"/>
        <w:rPr>
          <w:rFonts w:ascii="Arial" w:cs="Arial" w:eastAsia="Arial" w:hAnsi="Arial"/>
          <w:sz w:val="16"/>
          <w:szCs w:val="16"/>
          <w:color w:val="auto"/>
        </w:rPr>
      </w:pPr>
    </w:p>
    <w:p>
      <w:pPr>
        <w:ind w:firstLine="1299"/>
        <w:spacing w:after="0" w:line="340" w:lineRule="auto"/>
        <w:tabs>
          <w:tab w:leader="none" w:pos="2129" w:val="left"/>
        </w:tabs>
        <w:numPr>
          <w:ilvl w:val="0"/>
          <w:numId w:val="38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pay or reimburse the reasonable, authorized expenses incurred by you in the discharge of your duties as a director, in accordance with the general practices and policies of the Company and upon the submission of appropriate documentation.</w:t>
      </w:r>
    </w:p>
    <w:p>
      <w:pPr>
        <w:spacing w:after="0" w:line="124" w:lineRule="exact"/>
        <w:rPr>
          <w:rFonts w:ascii="Arial" w:cs="Arial" w:eastAsia="Arial" w:hAnsi="Arial"/>
          <w:sz w:val="16"/>
          <w:szCs w:val="16"/>
          <w:color w:val="auto"/>
        </w:rPr>
      </w:pPr>
    </w:p>
    <w:p>
      <w:pPr>
        <w:jc w:val="both"/>
        <w:ind w:firstLine="1299"/>
        <w:spacing w:after="0" w:line="256" w:lineRule="auto"/>
        <w:tabs>
          <w:tab w:leader="none" w:pos="2358"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Indemnification; Insurance</w:t>
      </w:r>
      <w:r>
        <w:rPr>
          <w:rFonts w:ascii="Arial" w:cs="Arial" w:eastAsia="Arial" w:hAnsi="Arial"/>
          <w:sz w:val="18"/>
          <w:szCs w:val="18"/>
          <w:color w:val="auto"/>
        </w:rPr>
        <w:t>. As a director, you will be entitled to indemnification under the Company’s Organizational Documents and that certain Indemnification Agreement by and between the Company and you, effective as of August 19, 2019 (as the same may be amended, restated, modified, superseded or replaced from time to time, the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In addition, the Company will also carry director and officer liability insurance and you will be a covered person under any such policy maintained by the Company during the term of your service on the Board.</w:t>
      </w:r>
    </w:p>
    <w:p>
      <w:pPr>
        <w:spacing w:after="0" w:line="187" w:lineRule="exact"/>
        <w:rPr>
          <w:rFonts w:ascii="Arial" w:cs="Arial" w:eastAsia="Arial" w:hAnsi="Arial"/>
          <w:sz w:val="18"/>
          <w:szCs w:val="18"/>
          <w:color w:val="auto"/>
        </w:rPr>
      </w:pPr>
    </w:p>
    <w:p>
      <w:pPr>
        <w:jc w:val="both"/>
        <w:ind w:firstLine="1299"/>
        <w:spacing w:after="0" w:line="252" w:lineRule="auto"/>
        <w:tabs>
          <w:tab w:leader="none" w:pos="2156"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In your capacity as a Board member the Company will you with information of a private, secret or confidential nature concerning the Company’s business, business relationships or financial affairs (collectively, “</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In consideration for the Company sharing with you the Company’s Proprietary Information, you agree that you will not disclose any Proprietary Information to any person or entity other than employees or advisors of the Company or use the same for any purposes (other than in the performance of your duties as a member of the Board) without written approval by an officer of the Company, either during or after you serve as a member of the Board, unless and until such Proprietary Information has become public knowledge without your fault. All such materials or copies thereof and all tangible property of the Company in your custody or possession shall be delivered to the Company or destroyed, at the Company’s election, upon the earlier of (i) the Company’s request or (ii) termination of your service on the Board. After such delivery or destruction, you shall not retain any such materials or copies thereof or any such tangible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9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17" w:name="page518"/>
    <w:bookmarkEnd w:id="517"/>
    <w:p>
      <w:pPr>
        <w:jc w:val="both"/>
        <w:spacing w:after="0" w:line="262" w:lineRule="auto"/>
        <w:rPr>
          <w:sz w:val="20"/>
          <w:szCs w:val="20"/>
          <w:color w:val="auto"/>
        </w:rPr>
      </w:pPr>
      <w:r>
        <w:rPr>
          <w:rFonts w:ascii="Arial" w:cs="Arial" w:eastAsia="Arial" w:hAnsi="Arial"/>
          <w:sz w:val="18"/>
          <w:szCs w:val="18"/>
          <w:color w:val="auto"/>
        </w:rPr>
        <w:t>You agree that your obligations not to disclose or to use Proprietary Information and materials containing Proprietary Information and to return materials and tangible property also extends to such types of information, materials and tangible property of customers of the Company or suppliers to the Company or other third parties who may have disclosed or entrusted the same to you or the Company.</w:t>
      </w:r>
    </w:p>
    <w:p>
      <w:pPr>
        <w:spacing w:after="0" w:line="183" w:lineRule="exact"/>
        <w:rPr>
          <w:sz w:val="20"/>
          <w:szCs w:val="20"/>
          <w:color w:val="auto"/>
        </w:rPr>
      </w:pPr>
    </w:p>
    <w:p>
      <w:pPr>
        <w:jc w:val="both"/>
        <w:ind w:firstLine="1299"/>
        <w:spacing w:after="0" w:line="258" w:lineRule="auto"/>
        <w:tabs>
          <w:tab w:leader="none" w:pos="2251"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Obligations to Third Parties</w:t>
      </w:r>
      <w:r>
        <w:rPr>
          <w:rFonts w:ascii="Arial" w:cs="Arial" w:eastAsia="Arial" w:hAnsi="Arial"/>
          <w:sz w:val="18"/>
          <w:szCs w:val="18"/>
          <w:color w:val="auto"/>
        </w:rPr>
        <w:t>. You represent that your service as a member of the Board does not and will not breach any agreement you have with any current or former employer or any other person (including without limitation any nondisclosure or non-competition agreement), and that you will not disclose to the Company or induce the Company to use any confidential or proprietary information or material belonging to any current or previous employer or others.</w:t>
      </w:r>
    </w:p>
    <w:p>
      <w:pPr>
        <w:spacing w:after="0" w:line="186" w:lineRule="exact"/>
        <w:rPr>
          <w:rFonts w:ascii="Arial" w:cs="Arial" w:eastAsia="Arial" w:hAnsi="Arial"/>
          <w:sz w:val="18"/>
          <w:szCs w:val="18"/>
          <w:color w:val="auto"/>
        </w:rPr>
      </w:pPr>
    </w:p>
    <w:p>
      <w:pPr>
        <w:ind w:firstLine="1299"/>
        <w:spacing w:after="0" w:line="275" w:lineRule="auto"/>
        <w:tabs>
          <w:tab w:leader="none" w:pos="2049"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Nothing contained in this letter agreement shall be construed to create an employer/employee, joint venture, partnership, or principal-agent relationship between you and the Company.</w:t>
      </w:r>
    </w:p>
    <w:p>
      <w:pPr>
        <w:spacing w:after="0" w:line="171" w:lineRule="exact"/>
        <w:rPr>
          <w:rFonts w:ascii="Arial" w:cs="Arial" w:eastAsia="Arial" w:hAnsi="Arial"/>
          <w:sz w:val="18"/>
          <w:szCs w:val="18"/>
          <w:color w:val="auto"/>
        </w:rPr>
      </w:pPr>
    </w:p>
    <w:p>
      <w:pPr>
        <w:jc w:val="both"/>
        <w:ind w:firstLine="1299"/>
        <w:spacing w:after="0" w:line="258" w:lineRule="auto"/>
        <w:tabs>
          <w:tab w:leader="none" w:pos="2049"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Governing Law; Consent to Jurisdiction</w:t>
      </w:r>
      <w:r>
        <w:rPr>
          <w:rFonts w:ascii="Arial" w:cs="Arial" w:eastAsia="Arial" w:hAnsi="Arial"/>
          <w:sz w:val="18"/>
          <w:szCs w:val="18"/>
          <w:color w:val="auto"/>
        </w:rPr>
        <w:t>. This letter agreement shall be interpreted according to and governed by the law of the State of Delaware applicable to agreements made and performed within the State of Delaware without reference to its choice of law rules. The parties to this Agreement hereby consent to the jurisdiction of the courts located in New Castle County, Delaware for any proceeding arising out of or relating to this letter agreement.</w:t>
      </w:r>
    </w:p>
    <w:p>
      <w:pPr>
        <w:spacing w:after="0" w:line="186" w:lineRule="exact"/>
        <w:rPr>
          <w:rFonts w:ascii="Arial" w:cs="Arial" w:eastAsia="Arial" w:hAnsi="Arial"/>
          <w:sz w:val="18"/>
          <w:szCs w:val="18"/>
          <w:color w:val="auto"/>
        </w:rPr>
      </w:pPr>
    </w:p>
    <w:p>
      <w:pPr>
        <w:jc w:val="both"/>
        <w:ind w:firstLine="1299"/>
        <w:spacing w:after="0" w:line="262" w:lineRule="auto"/>
        <w:tabs>
          <w:tab w:leader="none" w:pos="2136"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letter agreement and the Indemnification Agreement constitute the entire understanding between the parties with respect to the subject matter hereof and supersedes any and all prior understandings, statements, warranties, representations and agreements, both oral and written, relating hereto.</w:t>
      </w:r>
    </w:p>
    <w:p>
      <w:pPr>
        <w:spacing w:after="0" w:line="183" w:lineRule="exact"/>
        <w:rPr>
          <w:rFonts w:ascii="Arial" w:cs="Arial" w:eastAsia="Arial" w:hAnsi="Arial"/>
          <w:sz w:val="18"/>
          <w:szCs w:val="18"/>
          <w:color w:val="auto"/>
        </w:rPr>
      </w:pPr>
    </w:p>
    <w:p>
      <w:pPr>
        <w:ind w:firstLine="1299"/>
        <w:spacing w:after="0" w:line="275" w:lineRule="auto"/>
        <w:tabs>
          <w:tab w:leader="none" w:pos="2076"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of this letter agreement is held invalid, illegal, or unenforceable by a court of competent jurisdiction, that term shall be severed and the remaining terms shall continue in full force.</w:t>
      </w:r>
    </w:p>
    <w:p>
      <w:pPr>
        <w:spacing w:after="0" w:line="171" w:lineRule="exact"/>
        <w:rPr>
          <w:rFonts w:ascii="Arial" w:cs="Arial" w:eastAsia="Arial" w:hAnsi="Arial"/>
          <w:sz w:val="18"/>
          <w:szCs w:val="18"/>
          <w:color w:val="auto"/>
        </w:rPr>
      </w:pPr>
    </w:p>
    <w:p>
      <w:pPr>
        <w:ind w:firstLine="1299"/>
        <w:spacing w:after="0" w:line="275" w:lineRule="auto"/>
        <w:tabs>
          <w:tab w:leader="none" w:pos="2089"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 counterparts, including by facsimile signature, each of which shall be deemed an original but all of which taken together shall constitute one and the same instrument.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9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18" w:name="page519"/>
    <w:bookmarkEnd w:id="518"/>
    <w:p>
      <w:pPr>
        <w:ind w:firstLine="1291"/>
        <w:spacing w:after="0" w:line="275" w:lineRule="auto"/>
        <w:rPr>
          <w:sz w:val="20"/>
          <w:szCs w:val="20"/>
          <w:color w:val="auto"/>
        </w:rPr>
      </w:pPr>
      <w:r>
        <w:rPr>
          <w:rFonts w:ascii="Arial" w:cs="Arial" w:eastAsia="Arial" w:hAnsi="Arial"/>
          <w:sz w:val="18"/>
          <w:szCs w:val="18"/>
          <w:color w:val="auto"/>
        </w:rPr>
        <w:t>If you are in agreement with the terms described above, please return a countersigned copy of this letter to me. We look forward to your continued participation as a member of the Board.</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Osvaldo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142684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Osvaldo Flores, Ph.D.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3"/>
          </w:tcPr>
          <w:p>
            <w:pPr>
              <w:spacing w:after="0"/>
              <w:rPr>
                <w:sz w:val="20"/>
                <w:szCs w:val="20"/>
                <w:color w:val="auto"/>
              </w:rPr>
            </w:pPr>
            <w:r>
              <w:rPr>
                <w:rFonts w:ascii="Arial" w:cs="Arial" w:eastAsia="Arial" w:hAnsi="Arial"/>
                <w:sz w:val="18"/>
                <w:szCs w:val="18"/>
                <w:color w:val="auto"/>
              </w:rPr>
              <w:t>/s/ Joseph Jimenez</w:t>
            </w:r>
          </w:p>
        </w:tc>
        <w:tc>
          <w:tcPr>
            <w:tcW w:w="2240" w:type="dxa"/>
            <w:vAlign w:val="bottom"/>
          </w:tcPr>
          <w:p>
            <w:pPr>
              <w:spacing w:after="0"/>
              <w:rPr>
                <w:sz w:val="20"/>
                <w:szCs w:val="20"/>
                <w:color w:val="auto"/>
              </w:rPr>
            </w:pPr>
            <w:r>
              <w:rPr>
                <w:rFonts w:ascii="Arial" w:cs="Arial" w:eastAsia="Arial" w:hAnsi="Arial"/>
                <w:sz w:val="18"/>
                <w:szCs w:val="18"/>
                <w:color w:val="auto"/>
              </w:rPr>
              <w:t>Feb 16 2021</w:t>
            </w:r>
          </w:p>
        </w:tc>
        <w:tc>
          <w:tcPr>
            <w:tcW w:w="3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Jimenez</w:t>
            </w:r>
          </w:p>
        </w:tc>
        <w:tc>
          <w:tcPr>
            <w:tcW w:w="3380" w:type="dxa"/>
            <w:vAlign w:val="bottom"/>
          </w:tcPr>
          <w:p>
            <w:pPr>
              <w:spacing w:after="0"/>
              <w:rPr>
                <w:sz w:val="19"/>
                <w:szCs w:val="19"/>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spacing w:after="0"/>
              <w:rPr>
                <w:sz w:val="19"/>
                <w:szCs w:val="19"/>
                <w:color w:val="auto"/>
              </w:rPr>
            </w:pPr>
          </w:p>
        </w:tc>
      </w:tr>
      <w:tr>
        <w:trPr>
          <w:trHeight w:val="658"/>
        </w:trPr>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5" w:right="339" w:bottom="1440" w:gutter="0" w:footer="0" w:header="0"/>
        </w:sectPr>
      </w:pPr>
    </w:p>
    <w:bookmarkStart w:id="519" w:name="page520"/>
    <w:bookmarkEnd w:id="519"/>
    <w:p>
      <w:pPr>
        <w:jc w:val="right"/>
        <w:spacing w:after="0"/>
        <w:rPr>
          <w:sz w:val="20"/>
          <w:szCs w:val="20"/>
          <w:color w:val="auto"/>
        </w:rPr>
      </w:pPr>
      <w:r>
        <w:rPr>
          <w:rFonts w:ascii="Arial" w:cs="Arial" w:eastAsia="Arial" w:hAnsi="Arial"/>
          <w:sz w:val="18"/>
          <w:szCs w:val="18"/>
          <w:b w:val="1"/>
          <w:bCs w:val="1"/>
          <w:color w:val="auto"/>
        </w:rPr>
        <w:t>Exhibit 10.30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Cynthia Butitta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 Montage Way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Laguna Beach, CA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92651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E-mail:cynthiabutitta@gmail.com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Cynthia:</w:t>
      </w:r>
    </w:p>
    <w:p>
      <w:pPr>
        <w:spacing w:after="0" w:line="223" w:lineRule="exact"/>
        <w:rPr>
          <w:sz w:val="20"/>
          <w:szCs w:val="20"/>
          <w:color w:val="auto"/>
        </w:rPr>
      </w:pPr>
    </w:p>
    <w:p>
      <w:pPr>
        <w:ind w:firstLine="1291"/>
        <w:spacing w:after="0" w:line="275" w:lineRule="auto"/>
        <w:rPr>
          <w:sz w:val="20"/>
          <w:szCs w:val="20"/>
          <w:color w:val="auto"/>
        </w:rPr>
      </w:pPr>
      <w:r>
        <w:rPr>
          <w:rFonts w:ascii="Arial" w:cs="Arial" w:eastAsia="Arial" w:hAnsi="Arial"/>
          <w:sz w:val="18"/>
          <w:szCs w:val="18"/>
          <w:color w:val="auto"/>
        </w:rPr>
        <w:t>Following our recent discussions, I am very pleased to invite you to serve as member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Century Therapeutics, Inc. (f/k/a Century Therapeutics, LLC, the “</w:t>
      </w:r>
      <w:r>
        <w:rPr>
          <w:rFonts w:ascii="Arial" w:cs="Arial" w:eastAsia="Arial" w:hAnsi="Arial"/>
          <w:sz w:val="18"/>
          <w:szCs w:val="18"/>
          <w:u w:val="single" w:color="auto"/>
          <w:color w:val="auto"/>
        </w:rPr>
        <w:t>Company</w:t>
      </w:r>
      <w:r>
        <w:rPr>
          <w:rFonts w:ascii="Arial" w:cs="Arial" w:eastAsia="Arial" w:hAnsi="Arial"/>
          <w:sz w:val="18"/>
          <w:szCs w:val="18"/>
          <w:color w:val="auto"/>
        </w:rPr>
        <w:t>”), on the terms and subject to the conditions set forth below.</w:t>
      </w:r>
    </w:p>
    <w:p>
      <w:pPr>
        <w:spacing w:after="0" w:line="171" w:lineRule="exact"/>
        <w:rPr>
          <w:sz w:val="20"/>
          <w:szCs w:val="20"/>
          <w:color w:val="auto"/>
        </w:rPr>
      </w:pPr>
    </w:p>
    <w:p>
      <w:pPr>
        <w:jc w:val="both"/>
        <w:ind w:firstLine="1299"/>
        <w:spacing w:after="0" w:line="253" w:lineRule="auto"/>
        <w:tabs>
          <w:tab w:leader="none" w:pos="217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Upon your acceptance of this letter, following the conversion of the Company from a Delaware limited liability company to a Delaware corporation (which is anticipated to occur on or before February 25, 2021) (the “</w:t>
      </w:r>
      <w:r>
        <w:rPr>
          <w:rFonts w:ascii="Arial" w:cs="Arial" w:eastAsia="Arial" w:hAnsi="Arial"/>
          <w:sz w:val="18"/>
          <w:szCs w:val="18"/>
          <w:u w:val="single" w:color="auto"/>
          <w:color w:val="auto"/>
        </w:rPr>
        <w:t>Conversion</w:t>
      </w:r>
      <w:r>
        <w:rPr>
          <w:rFonts w:ascii="Arial" w:cs="Arial" w:eastAsia="Arial" w:hAnsi="Arial"/>
          <w:sz w:val="18"/>
          <w:szCs w:val="18"/>
          <w:color w:val="auto"/>
        </w:rPr>
        <w:t>”), and the consummation of an equity financing resulting in gross proceeds to the Company of at least $160,000,000 (the “</w:t>
      </w:r>
      <w:r>
        <w:rPr>
          <w:rFonts w:ascii="Arial" w:cs="Arial" w:eastAsia="Arial" w:hAnsi="Arial"/>
          <w:sz w:val="18"/>
          <w:szCs w:val="18"/>
          <w:u w:val="single" w:color="auto"/>
          <w:color w:val="auto"/>
        </w:rPr>
        <w:t>Series C Financing</w:t>
      </w:r>
      <w:r>
        <w:rPr>
          <w:rFonts w:ascii="Arial" w:cs="Arial" w:eastAsia="Arial" w:hAnsi="Arial"/>
          <w:sz w:val="18"/>
          <w:szCs w:val="18"/>
          <w:color w:val="auto"/>
        </w:rPr>
        <w:t>”), your nomination and election as an independent director will be submitted to the stockholders of the Company for approval. Following your nomination and election, you shall hold office until such time that your successor is duly elected and qualified, or until your earlier death, retirement, resignation or removal from office. The terms and obligations under this letter agreement shall remain in full force and effect until your earlier death, retirement, resignation or removal from the Board; provided that the obligations under Section 6 shall survive indefinitely.</w:t>
      </w:r>
    </w:p>
    <w:p>
      <w:pPr>
        <w:spacing w:after="0" w:line="194" w:lineRule="exact"/>
        <w:rPr>
          <w:rFonts w:ascii="Arial" w:cs="Arial" w:eastAsia="Arial" w:hAnsi="Arial"/>
          <w:sz w:val="18"/>
          <w:szCs w:val="18"/>
          <w:color w:val="auto"/>
        </w:rPr>
      </w:pPr>
    </w:p>
    <w:p>
      <w:pPr>
        <w:jc w:val="both"/>
        <w:ind w:firstLine="1299"/>
        <w:spacing w:after="0" w:line="285" w:lineRule="auto"/>
        <w:tabs>
          <w:tab w:leader="none" w:pos="2156"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As an independent director, you will be expected to attend the meetings of the Board and the Committees of the Board on which you serve, as regularly or specially called. Board meetings are scheduled upon prior consultation with directors and are typically held in Philadelphia, PA. You may attend and participate at each such meeting via teleconference, video conference or in person.</w:t>
      </w:r>
    </w:p>
    <w:p>
      <w:pPr>
        <w:spacing w:after="0" w:line="164" w:lineRule="exact"/>
        <w:rPr>
          <w:rFonts w:ascii="Arial" w:cs="Arial" w:eastAsia="Arial" w:hAnsi="Arial"/>
          <w:sz w:val="17"/>
          <w:szCs w:val="17"/>
          <w:color w:val="auto"/>
        </w:rPr>
      </w:pPr>
    </w:p>
    <w:p>
      <w:pPr>
        <w:jc w:val="both"/>
        <w:ind w:firstLine="1299"/>
        <w:spacing w:after="0" w:line="278" w:lineRule="auto"/>
        <w:tabs>
          <w:tab w:leader="none" w:pos="2183"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Fiduciary Obligations; Governance</w:t>
      </w:r>
      <w:r>
        <w:rPr>
          <w:rFonts w:ascii="Arial" w:cs="Arial" w:eastAsia="Arial" w:hAnsi="Arial"/>
          <w:sz w:val="17"/>
          <w:szCs w:val="17"/>
          <w:color w:val="auto"/>
        </w:rPr>
        <w:t>. The Company is governed by Delaware law. The structure, practices and authority of the Board, including matters relating to the size and composition of the Board, the election and removal of directors, requirements relating to Board action and the appointment of executive officers, effective as of the Conversion, will be governed by the Company’s Amended and Restated Certificate of Incorporation and Bylaws, as each may be amended from time to time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ind w:left="2480" w:hanging="1181"/>
        <w:spacing w:after="0"/>
        <w:tabs>
          <w:tab w:leader="none" w:pos="2480"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As consideration for your service as a member of the Board, the Company will pay you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compensation:</w:t>
      </w:r>
    </w:p>
    <w:p>
      <w:pPr>
        <w:spacing w:after="0" w:line="209" w:lineRule="exact"/>
        <w:rPr>
          <w:sz w:val="20"/>
          <w:szCs w:val="20"/>
          <w:color w:val="auto"/>
        </w:rPr>
      </w:pPr>
    </w:p>
    <w:p>
      <w:pPr>
        <w:ind w:firstLine="1299"/>
        <w:spacing w:after="0" w:line="306" w:lineRule="auto"/>
        <w:tabs>
          <w:tab w:leader="none" w:pos="2118"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Equity Award</w:t>
      </w:r>
      <w:r>
        <w:rPr>
          <w:rFonts w:ascii="Arial" w:cs="Arial" w:eastAsia="Arial" w:hAnsi="Arial"/>
          <w:sz w:val="17"/>
          <w:szCs w:val="17"/>
          <w:color w:val="auto"/>
        </w:rPr>
        <w:t>. Subject to the approval of the Board, upon the closing of the Series C Financing, the Company will grant to you a one-time nonqualified stock option exercisable for the purchase of 375,465 shares of the Company’s common stock,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9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0" w:name="page521"/>
    <w:bookmarkEnd w:id="520"/>
    <w:p>
      <w:pPr>
        <w:jc w:val="both"/>
        <w:spacing w:after="0" w:line="269" w:lineRule="auto"/>
        <w:rPr>
          <w:sz w:val="20"/>
          <w:szCs w:val="20"/>
          <w:color w:val="auto"/>
        </w:rPr>
      </w:pPr>
      <w:r>
        <w:rPr>
          <w:rFonts w:ascii="Arial" w:cs="Arial" w:eastAsia="Arial" w:hAnsi="Arial"/>
          <w:sz w:val="17"/>
          <w:szCs w:val="17"/>
          <w:color w:val="auto"/>
        </w:rPr>
        <w:t>per share (the “</w:t>
      </w:r>
      <w:r>
        <w:rPr>
          <w:rFonts w:ascii="Arial" w:cs="Arial" w:eastAsia="Arial" w:hAnsi="Arial"/>
          <w:sz w:val="17"/>
          <w:szCs w:val="17"/>
          <w:u w:val="single" w:color="auto"/>
          <w:color w:val="auto"/>
        </w:rPr>
        <w:t>Option</w:t>
      </w:r>
      <w:r>
        <w:rPr>
          <w:rFonts w:ascii="Arial" w:cs="Arial" w:eastAsia="Arial" w:hAnsi="Arial"/>
          <w:sz w:val="17"/>
          <w:szCs w:val="17"/>
          <w:color w:val="auto"/>
        </w:rPr>
        <w:t>”), which, following the closing of the Series C Financing, is equal to 0.3% of the Company measured on a fully diluted basis. The Option will: (i) be subject to the terms and conditions of the Century Therapeutics, Inc. 2018 Stock Option and Grant Plan (as amended, restated or otherwise modified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and the Non-Qualified Stock Option Agreement by and between you and the Company (the “</w:t>
      </w:r>
      <w:r>
        <w:rPr>
          <w:rFonts w:ascii="Arial" w:cs="Arial" w:eastAsia="Arial" w:hAnsi="Arial"/>
          <w:sz w:val="17"/>
          <w:szCs w:val="17"/>
          <w:u w:val="single" w:color="auto"/>
          <w:color w:val="auto"/>
        </w:rPr>
        <w:t>Award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(ii) have an exercise price per share equal to the fair market value per share of Common Stock on the date of the grant, as determined by the Board, and (iii) be subject to vesting requirements such that 25% of the shares of Common Stock underlying the Option shall vest on the first anniversary of the date of grant, and thereafter, the remaining 75% of the shares of Common Stock underlying the Option shall vest in 36 substantially equal monthly installments, in each case if you continue to provide services to the Company as of the applicable vesting date; provided, however, that any then-unvested portion of the Option shall automatically vest upon the closing of a Sale Event (as defined in the Plan) if you continue to provide services to the Company through such event.</w:t>
      </w:r>
    </w:p>
    <w:p>
      <w:pPr>
        <w:spacing w:after="0" w:line="181" w:lineRule="exact"/>
        <w:rPr>
          <w:sz w:val="20"/>
          <w:szCs w:val="20"/>
          <w:color w:val="auto"/>
        </w:rPr>
      </w:pPr>
    </w:p>
    <w:p>
      <w:pPr>
        <w:ind w:firstLine="1945"/>
        <w:spacing w:after="0" w:line="340" w:lineRule="auto"/>
        <w:tabs>
          <w:tab w:leader="none" w:pos="2617"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Annual Retainer</w:t>
      </w:r>
      <w:r>
        <w:rPr>
          <w:rFonts w:ascii="Arial" w:cs="Arial" w:eastAsia="Arial" w:hAnsi="Arial"/>
          <w:sz w:val="16"/>
          <w:szCs w:val="16"/>
          <w:color w:val="auto"/>
        </w:rPr>
        <w:t>. Subject to approval by the Board, for so long as you continue to serve as a director of the Company, you shall be entitled to receive an annual retainer of $25,000, payable on a quarterly basis. Such retainer shall be pro-rated for any partial year.</w:t>
      </w:r>
    </w:p>
    <w:p>
      <w:pPr>
        <w:spacing w:after="0" w:line="124" w:lineRule="exact"/>
        <w:rPr>
          <w:rFonts w:ascii="Arial" w:cs="Arial" w:eastAsia="Arial" w:hAnsi="Arial"/>
          <w:sz w:val="16"/>
          <w:szCs w:val="16"/>
          <w:color w:val="auto"/>
        </w:rPr>
      </w:pPr>
    </w:p>
    <w:p>
      <w:pPr>
        <w:ind w:firstLine="1299"/>
        <w:spacing w:after="0" w:line="340" w:lineRule="auto"/>
        <w:tabs>
          <w:tab w:leader="none" w:pos="2224"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pay or reimburse the reasonable, authorized expenses incurred by you in the discharge of your duties as a director, in accordance with the general practices and policies of the Company and upon the submission of appropriate documentation.</w:t>
      </w:r>
    </w:p>
    <w:p>
      <w:pPr>
        <w:spacing w:after="0" w:line="124" w:lineRule="exact"/>
        <w:rPr>
          <w:rFonts w:ascii="Arial" w:cs="Arial" w:eastAsia="Arial" w:hAnsi="Arial"/>
          <w:sz w:val="16"/>
          <w:szCs w:val="16"/>
          <w:color w:val="auto"/>
        </w:rPr>
      </w:pPr>
    </w:p>
    <w:p>
      <w:pPr>
        <w:jc w:val="both"/>
        <w:ind w:firstLine="1299"/>
        <w:spacing w:after="0" w:line="258" w:lineRule="auto"/>
        <w:tabs>
          <w:tab w:leader="none" w:pos="2466"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Indemnification; Insurance</w:t>
      </w:r>
      <w:r>
        <w:rPr>
          <w:rFonts w:ascii="Arial" w:cs="Arial" w:eastAsia="Arial" w:hAnsi="Arial"/>
          <w:sz w:val="18"/>
          <w:szCs w:val="18"/>
          <w:color w:val="auto"/>
        </w:rPr>
        <w:t>. As a director, you will be entitled to indemnification under the Company’s Organizational Documents and an Indemnification Agreement to be entered into between the Company and you (the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In addition, the Company will also carry director and officer liability insurance and you will be a covered person under any such policy maintained by the Company during the term of your service on the Board.</w:t>
      </w:r>
    </w:p>
    <w:p>
      <w:pPr>
        <w:spacing w:after="0" w:line="186" w:lineRule="exact"/>
        <w:rPr>
          <w:rFonts w:ascii="Arial" w:cs="Arial" w:eastAsia="Arial" w:hAnsi="Arial"/>
          <w:sz w:val="18"/>
          <w:szCs w:val="18"/>
          <w:color w:val="auto"/>
        </w:rPr>
      </w:pPr>
    </w:p>
    <w:p>
      <w:pPr>
        <w:jc w:val="both"/>
        <w:ind w:firstLine="1299"/>
        <w:spacing w:after="0" w:line="287" w:lineRule="auto"/>
        <w:tabs>
          <w:tab w:leader="none" w:pos="2251"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Proprietary Information</w:t>
      </w:r>
      <w:r>
        <w:rPr>
          <w:rFonts w:ascii="Arial" w:cs="Arial" w:eastAsia="Arial" w:hAnsi="Arial"/>
          <w:sz w:val="16"/>
          <w:szCs w:val="16"/>
          <w:color w:val="auto"/>
        </w:rPr>
        <w:t>. You agree that all information, whether or not in writing, of a private, secret or confidential nature concerning the Company’s business, business relationships or financial affairs (collectively, “</w:t>
      </w:r>
      <w:r>
        <w:rPr>
          <w:rFonts w:ascii="Arial" w:cs="Arial" w:eastAsia="Arial" w:hAnsi="Arial"/>
          <w:sz w:val="16"/>
          <w:szCs w:val="16"/>
          <w:u w:val="single" w:color="auto"/>
          <w:color w:val="auto"/>
        </w:rPr>
        <w:t>Proprietary Information</w:t>
      </w:r>
      <w:r>
        <w:rPr>
          <w:rFonts w:ascii="Arial" w:cs="Arial" w:eastAsia="Arial" w:hAnsi="Arial"/>
          <w:sz w:val="16"/>
          <w:szCs w:val="16"/>
          <w:color w:val="auto"/>
        </w:rPr>
        <w:t>”) is and shall be the exclusive property of the Company. In consideration for the Company sharing with you the Company’s Proprietary Information, you agree (a) that you will not disclose any Proprietary Information to any person or entity other than employees or advisors of the Company or use the same for any purposes (other than in the performance of your duties as a member of the Board) without written approval by an officer of the Company, either during or after you serve as a member of the Board, unless and until such Proprietary Information has become public knowledge without your fault, and (b) that any materials containing Proprietary Information which shall come into your custody or possession shall be and are the exclusive property of the Company to be used only in the performance of your duties for the Company. All such materials or copies thereof and all tangible property of the Company in your custody or possession shall be delivered to the Company or destroyed, at the Company’s election, upon the earlier of (i) the Company’s request or (ii) termination of your service on the Board. After such delivery or destruction, you shall not retain any such materials or copies thereof or any such tangible property. You agree that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9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21" w:name="page522"/>
    <w:bookmarkEnd w:id="521"/>
    <w:p>
      <w:pPr>
        <w:jc w:val="both"/>
        <w:spacing w:after="0" w:line="262" w:lineRule="auto"/>
        <w:rPr>
          <w:sz w:val="20"/>
          <w:szCs w:val="20"/>
          <w:color w:val="auto"/>
        </w:rPr>
      </w:pPr>
      <w:r>
        <w:rPr>
          <w:rFonts w:ascii="Arial" w:cs="Arial" w:eastAsia="Arial" w:hAnsi="Arial"/>
          <w:sz w:val="18"/>
          <w:szCs w:val="18"/>
          <w:color w:val="auto"/>
        </w:rPr>
        <w:t>obligations not to disclose or to use Proprietary Information and materials containing Proprietary Information and to return materials and tangible property also extends to such types of information, materials and tangible property of customers of the Company or suppliers to the Company or other third parties who may have disclosed or entrusted the same to you or the Company.</w:t>
      </w:r>
    </w:p>
    <w:p>
      <w:pPr>
        <w:spacing w:after="0" w:line="183" w:lineRule="exact"/>
        <w:rPr>
          <w:sz w:val="20"/>
          <w:szCs w:val="20"/>
          <w:color w:val="auto"/>
        </w:rPr>
      </w:pPr>
    </w:p>
    <w:p>
      <w:pPr>
        <w:jc w:val="both"/>
        <w:ind w:firstLine="1299"/>
        <w:spacing w:after="0" w:line="258" w:lineRule="auto"/>
        <w:tabs>
          <w:tab w:leader="none" w:pos="2358"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Obligations to Third Parties</w:t>
      </w:r>
      <w:r>
        <w:rPr>
          <w:rFonts w:ascii="Arial" w:cs="Arial" w:eastAsia="Arial" w:hAnsi="Arial"/>
          <w:sz w:val="18"/>
          <w:szCs w:val="18"/>
          <w:color w:val="auto"/>
        </w:rPr>
        <w:t>. You represent that your service as a member of the Board does not and will not breach any agreement you have with any current or former employer or any other person (including without limitation any nondisclosure or non-competition agreement), and that you will not disclose to the Company or induce the Company to use any confidential or proprietary information or material belonging to any current or previous employer or others.</w:t>
      </w:r>
    </w:p>
    <w:p>
      <w:pPr>
        <w:spacing w:after="0" w:line="186" w:lineRule="exact"/>
        <w:rPr>
          <w:rFonts w:ascii="Arial" w:cs="Arial" w:eastAsia="Arial" w:hAnsi="Arial"/>
          <w:sz w:val="18"/>
          <w:szCs w:val="18"/>
          <w:color w:val="auto"/>
        </w:rPr>
      </w:pPr>
    </w:p>
    <w:p>
      <w:pPr>
        <w:ind w:firstLine="1299"/>
        <w:spacing w:after="0" w:line="275" w:lineRule="auto"/>
        <w:tabs>
          <w:tab w:leader="none" w:pos="2318"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Nothing contained in this letter agreement shall be construed to create an employer/employee, joint venture, partnership, or principal-agent relationship between you and the Company.</w:t>
      </w:r>
    </w:p>
    <w:p>
      <w:pPr>
        <w:spacing w:after="0" w:line="171" w:lineRule="exact"/>
        <w:rPr>
          <w:rFonts w:ascii="Arial" w:cs="Arial" w:eastAsia="Arial" w:hAnsi="Arial"/>
          <w:sz w:val="18"/>
          <w:szCs w:val="18"/>
          <w:color w:val="auto"/>
        </w:rPr>
      </w:pPr>
    </w:p>
    <w:p>
      <w:pPr>
        <w:jc w:val="both"/>
        <w:ind w:firstLine="1299"/>
        <w:spacing w:after="0" w:line="258" w:lineRule="auto"/>
        <w:tabs>
          <w:tab w:leader="none" w:pos="2237"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Governing Law; Consent to Jurisdiction</w:t>
      </w:r>
      <w:r>
        <w:rPr>
          <w:rFonts w:ascii="Arial" w:cs="Arial" w:eastAsia="Arial" w:hAnsi="Arial"/>
          <w:sz w:val="18"/>
          <w:szCs w:val="18"/>
          <w:color w:val="auto"/>
        </w:rPr>
        <w:t>. This letter agreement shall be interpreted according to and governed by the law of the State of Delaware applicable to agreements made and performed within the State of Delaware without reference to its choice of law rules. The parties to this Agreement hereby consent to the jurisdiction of the courts located in New Castle County, Delaware for any proceeding arising out of or relating to this letter agreement.</w:t>
      </w:r>
    </w:p>
    <w:p>
      <w:pPr>
        <w:spacing w:after="0" w:line="186" w:lineRule="exact"/>
        <w:rPr>
          <w:rFonts w:ascii="Arial" w:cs="Arial" w:eastAsia="Arial" w:hAnsi="Arial"/>
          <w:sz w:val="18"/>
          <w:szCs w:val="18"/>
          <w:color w:val="auto"/>
        </w:rPr>
      </w:pPr>
    </w:p>
    <w:p>
      <w:pPr>
        <w:jc w:val="both"/>
        <w:ind w:firstLine="1299"/>
        <w:spacing w:after="0" w:line="262" w:lineRule="auto"/>
        <w:tabs>
          <w:tab w:leader="none" w:pos="2217"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letter agreement and the Indemnification Agreement constitute the entire understanding between the parties with respect to the subject matter hereof and supersedes any and all prior understandings, statements, warranties, representations and agreements, both oral and written, relating hereto.</w:t>
      </w:r>
    </w:p>
    <w:p>
      <w:pPr>
        <w:spacing w:after="0" w:line="183" w:lineRule="exact"/>
        <w:rPr>
          <w:rFonts w:ascii="Arial" w:cs="Arial" w:eastAsia="Arial" w:hAnsi="Arial"/>
          <w:sz w:val="18"/>
          <w:szCs w:val="18"/>
          <w:color w:val="auto"/>
        </w:rPr>
      </w:pPr>
    </w:p>
    <w:p>
      <w:pPr>
        <w:ind w:firstLine="1299"/>
        <w:spacing w:after="0" w:line="275" w:lineRule="auto"/>
        <w:tabs>
          <w:tab w:leader="none" w:pos="217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of this letter agreement is held invalid, illegal, or unenforceable by a court of competent jurisdiction, that term shall be severed and the remaining terms shall continue in full force.</w:t>
      </w:r>
    </w:p>
    <w:p>
      <w:pPr>
        <w:spacing w:after="0" w:line="171" w:lineRule="exact"/>
        <w:rPr>
          <w:rFonts w:ascii="Arial" w:cs="Arial" w:eastAsia="Arial" w:hAnsi="Arial"/>
          <w:sz w:val="18"/>
          <w:szCs w:val="18"/>
          <w:color w:val="auto"/>
        </w:rPr>
      </w:pPr>
    </w:p>
    <w:p>
      <w:pPr>
        <w:ind w:firstLine="1299"/>
        <w:spacing w:after="0" w:line="275" w:lineRule="auto"/>
        <w:tabs>
          <w:tab w:leader="none" w:pos="2183"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 counterparts, including by facsimile signature, each of which shall be deemed an original but all of which taken together shall constitute one and the same instrument.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9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22" w:name="page523"/>
    <w:bookmarkEnd w:id="522"/>
    <w:p>
      <w:pPr>
        <w:ind w:firstLine="1291"/>
        <w:spacing w:after="0" w:line="275" w:lineRule="auto"/>
        <w:rPr>
          <w:sz w:val="20"/>
          <w:szCs w:val="20"/>
          <w:color w:val="auto"/>
        </w:rPr>
      </w:pPr>
      <w:r>
        <w:rPr>
          <w:rFonts w:ascii="Arial" w:cs="Arial" w:eastAsia="Arial" w:hAnsi="Arial"/>
          <w:sz w:val="18"/>
          <w:szCs w:val="18"/>
          <w:color w:val="auto"/>
        </w:rPr>
        <w:t>If you are in agreement with the terms described above, please return a countersigned copy of this letter to me. We look forward to your participation as a member of the Board.</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Osvaldo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142684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Osvaldo Flores, Ph.D.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&amp; 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3"/>
          </w:tcPr>
          <w:p>
            <w:pPr>
              <w:spacing w:after="0"/>
              <w:rPr>
                <w:sz w:val="20"/>
                <w:szCs w:val="20"/>
                <w:color w:val="auto"/>
              </w:rPr>
            </w:pPr>
            <w:r>
              <w:rPr>
                <w:rFonts w:ascii="Arial" w:cs="Arial" w:eastAsia="Arial" w:hAnsi="Arial"/>
                <w:sz w:val="18"/>
                <w:szCs w:val="18"/>
                <w:color w:val="auto"/>
              </w:rPr>
              <w:t>/s/ Cynthia Butitta</w:t>
            </w:r>
          </w:p>
        </w:tc>
        <w:tc>
          <w:tcPr>
            <w:tcW w:w="2240" w:type="dxa"/>
            <w:vAlign w:val="bottom"/>
          </w:tcPr>
          <w:p>
            <w:pPr>
              <w:spacing w:after="0"/>
              <w:rPr>
                <w:sz w:val="20"/>
                <w:szCs w:val="20"/>
                <w:color w:val="auto"/>
              </w:rPr>
            </w:pPr>
            <w:r>
              <w:rPr>
                <w:rFonts w:ascii="Arial" w:cs="Arial" w:eastAsia="Arial" w:hAnsi="Arial"/>
                <w:sz w:val="18"/>
                <w:szCs w:val="18"/>
                <w:color w:val="auto"/>
              </w:rPr>
              <w:t>February 25, 2021</w:t>
            </w:r>
          </w:p>
        </w:tc>
        <w:tc>
          <w:tcPr>
            <w:tcW w:w="33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Cynthia Butitta</w:t>
            </w:r>
          </w:p>
        </w:tc>
        <w:tc>
          <w:tcPr>
            <w:tcW w:w="3380" w:type="dxa"/>
            <w:vAlign w:val="bottom"/>
          </w:tcPr>
          <w:p>
            <w:pPr>
              <w:spacing w:after="0"/>
              <w:rPr>
                <w:sz w:val="19"/>
                <w:szCs w:val="19"/>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spacing w:after="0"/>
              <w:rPr>
                <w:sz w:val="19"/>
                <w:szCs w:val="19"/>
                <w:color w:val="auto"/>
              </w:rPr>
            </w:pPr>
          </w:p>
        </w:tc>
      </w:tr>
      <w:tr>
        <w:trPr>
          <w:trHeight w:val="658"/>
        </w:trPr>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5" w:right="339" w:bottom="1440" w:gutter="0" w:footer="0" w:header="0"/>
        </w:sectPr>
      </w:pPr>
    </w:p>
    <w:bookmarkStart w:id="523" w:name="page524"/>
    <w:bookmarkEnd w:id="523"/>
    <w:p>
      <w:pPr>
        <w:jc w:val="right"/>
        <w:spacing w:after="0"/>
        <w:rPr>
          <w:sz w:val="20"/>
          <w:szCs w:val="20"/>
          <w:color w:val="auto"/>
        </w:rPr>
      </w:pPr>
      <w:r>
        <w:rPr>
          <w:rFonts w:ascii="Arial" w:cs="Arial" w:eastAsia="Arial" w:hAnsi="Arial"/>
          <w:sz w:val="18"/>
          <w:szCs w:val="18"/>
          <w:b w:val="1"/>
          <w:bCs w:val="1"/>
          <w:color w:val="auto"/>
        </w:rPr>
        <w:t>Exhibit 21.1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740" w:type="dxa"/>
            <w:vAlign w:val="bottom"/>
            <w:gridSpan w:val="3"/>
          </w:tcPr>
          <w:p>
            <w:pPr>
              <w:ind w:left="920"/>
              <w:spacing w:after="0"/>
              <w:rPr>
                <w:sz w:val="20"/>
                <w:szCs w:val="20"/>
                <w:color w:val="auto"/>
              </w:rPr>
            </w:pPr>
            <w:r>
              <w:rPr>
                <w:rFonts w:ascii="Arial" w:cs="Arial" w:eastAsia="Arial" w:hAnsi="Arial"/>
                <w:sz w:val="18"/>
                <w:szCs w:val="18"/>
                <w:b w:val="1"/>
                <w:bCs w:val="1"/>
                <w:color w:val="auto"/>
              </w:rPr>
              <w:t>SUBSIDIARIES OF CENTURY THERAPEUTICS, INC.</w:t>
            </w:r>
          </w:p>
        </w:tc>
      </w:tr>
      <w:tr>
        <w:trPr>
          <w:trHeight w:val="430"/>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2920" w:type="dxa"/>
            <w:vAlign w:val="bottom"/>
            <w:gridSpan w:val="2"/>
          </w:tcPr>
          <w:p>
            <w:pPr>
              <w:jc w:val="right"/>
              <w:ind w:right="1200"/>
              <w:spacing w:after="0"/>
              <w:rPr>
                <w:sz w:val="20"/>
                <w:szCs w:val="20"/>
                <w:color w:val="auto"/>
              </w:rPr>
            </w:pPr>
            <w:r>
              <w:rPr>
                <w:rFonts w:ascii="Arial" w:cs="Arial" w:eastAsia="Arial" w:hAnsi="Arial"/>
                <w:sz w:val="18"/>
                <w:szCs w:val="18"/>
                <w:b w:val="1"/>
                <w:bCs w:val="1"/>
                <w:color w:val="auto"/>
                <w:w w:val="87"/>
              </w:rPr>
              <w:t>Ownership percentage</w:t>
            </w:r>
          </w:p>
        </w:tc>
        <w:tc>
          <w:tcPr>
            <w:tcW w:w="5820" w:type="dxa"/>
            <w:vAlign w:val="bottom"/>
          </w:tcPr>
          <w:p>
            <w:pPr>
              <w:spacing w:after="0"/>
              <w:rPr>
                <w:sz w:val="20"/>
                <w:szCs w:val="20"/>
                <w:color w:val="auto"/>
              </w:rPr>
            </w:pPr>
            <w:r>
              <w:rPr>
                <w:rFonts w:ascii="Arial" w:cs="Arial" w:eastAsia="Arial" w:hAnsi="Arial"/>
                <w:sz w:val="18"/>
                <w:szCs w:val="18"/>
                <w:b w:val="1"/>
                <w:bCs w:val="1"/>
                <w:color w:val="auto"/>
              </w:rPr>
              <w:t>State or Country of Incorporation</w:t>
            </w:r>
          </w:p>
        </w:tc>
      </w:tr>
      <w:tr>
        <w:trPr>
          <w:trHeight w:val="194"/>
        </w:trPr>
        <w:tc>
          <w:tcPr>
            <w:tcW w:w="238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Century Therapeutics Canada</w:t>
            </w:r>
          </w:p>
        </w:tc>
        <w:tc>
          <w:tcPr>
            <w:tcW w:w="12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820" w:type="dxa"/>
            <w:vAlign w:val="bottom"/>
            <w:tcBorders>
              <w:top w:val="single" w:sz="8" w:color="auto"/>
            </w:tcBorders>
            <w:shd w:val="clear" w:color="auto" w:fill="CCEEFF"/>
          </w:tcPr>
          <w:p>
            <w:pPr>
              <w:spacing w:after="0"/>
              <w:rPr>
                <w:sz w:val="16"/>
                <w:szCs w:val="16"/>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ULC</w:t>
            </w:r>
          </w:p>
        </w:tc>
        <w:tc>
          <w:tcPr>
            <w:tcW w:w="2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British Columbia, Canada</w:t>
            </w:r>
          </w:p>
        </w:tc>
      </w:tr>
      <w:tr>
        <w:trPr>
          <w:trHeight w:val="673"/>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-716915</wp:posOffset>
            </wp:positionV>
            <wp:extent cx="28194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81940" cy="8255"/>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-716915</wp:posOffset>
            </wp:positionV>
            <wp:extent cx="7683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DB9DAA"/>
    <w:multiLevelType w:val="hybridMultilevel"/>
    <w:lvl w:ilvl="0">
      <w:lvlJc w:val="left"/>
      <w:lvlText w:val="(%1)"/>
      <w:numFmt w:val="decimal"/>
      <w:start w:val="1"/>
    </w:lvl>
  </w:abstractNum>
  <w:abstractNum w:abstractNumId="1">
    <w:nsid w:val="697D2D2"/>
    <w:multiLevelType w:val="hybridMultilevel"/>
    <w:lvl w:ilvl="0">
      <w:lvlJc w:val="left"/>
      <w:lvlText w:val="(%1)"/>
      <w:numFmt w:val="decimal"/>
      <w:start w:val="1"/>
    </w:lvl>
  </w:abstractNum>
  <w:abstractNum w:abstractNumId="2">
    <w:nsid w:val="6D68AB2"/>
    <w:multiLevelType w:val="hybridMultilevel"/>
    <w:lvl w:ilvl="0">
      <w:lvlJc w:val="left"/>
      <w:lvlText w:val="•"/>
      <w:numFmt w:val="bullet"/>
      <w:start w:val="1"/>
    </w:lvl>
  </w:abstractNum>
  <w:abstractNum w:abstractNumId="3">
    <w:nsid w:val="3A966CD0"/>
    <w:multiLevelType w:val="hybridMultilevel"/>
    <w:lvl w:ilvl="0">
      <w:lvlJc w:val="left"/>
      <w:lvlText w:val="•"/>
      <w:numFmt w:val="bullet"/>
      <w:start w:val="1"/>
    </w:lvl>
  </w:abstractNum>
  <w:abstractNum w:abstractNumId="4">
    <w:nsid w:val="63F37E85"/>
    <w:multiLevelType w:val="hybridMultilevel"/>
    <w:lvl w:ilvl="0">
      <w:lvlJc w:val="left"/>
      <w:lvlText w:val="•"/>
      <w:numFmt w:val="bullet"/>
      <w:start w:val="1"/>
    </w:lvl>
  </w:abstractNum>
  <w:abstractNum w:abstractNumId="5">
    <w:nsid w:val="5895F5FA"/>
    <w:multiLevelType w:val="hybridMultilevel"/>
    <w:lvl w:ilvl="0">
      <w:lvlJc w:val="left"/>
      <w:lvlText w:val="•"/>
      <w:numFmt w:val="bullet"/>
      <w:start w:val="1"/>
    </w:lvl>
  </w:abstractNum>
  <w:abstractNum w:abstractNumId="6">
    <w:nsid w:val="38A5D054"/>
    <w:multiLevelType w:val="hybridMultilevel"/>
    <w:lvl w:ilvl="0">
      <w:lvlJc w:val="left"/>
      <w:lvlText w:val="•"/>
      <w:numFmt w:val="bullet"/>
      <w:start w:val="1"/>
    </w:lvl>
  </w:abstractNum>
  <w:abstractNum w:abstractNumId="7">
    <w:nsid w:val="F3F09D8"/>
    <w:multiLevelType w:val="hybridMultilevel"/>
    <w:lvl w:ilvl="0">
      <w:lvlJc w:val="left"/>
      <w:lvlText w:val="•"/>
      <w:numFmt w:val="bullet"/>
      <w:start w:val="1"/>
    </w:lvl>
  </w:abstractNum>
  <w:abstractNum w:abstractNumId="8">
    <w:nsid w:val="4B793735"/>
    <w:multiLevelType w:val="hybridMultilevel"/>
    <w:lvl w:ilvl="0">
      <w:lvlJc w:val="left"/>
      <w:lvlText w:val="$"/>
      <w:numFmt w:val="bullet"/>
      <w:start w:val="1"/>
    </w:lvl>
  </w:abstractNum>
  <w:abstractNum w:abstractNumId="9">
    <w:nsid w:val="4A10B4E8"/>
    <w:multiLevelType w:val="hybridMultilevel"/>
    <w:lvl w:ilvl="0">
      <w:lvlJc w:val="left"/>
      <w:lvlText w:val="•"/>
      <w:numFmt w:val="bullet"/>
      <w:start w:val="1"/>
    </w:lvl>
  </w:abstractNum>
  <w:abstractNum w:abstractNumId="10">
    <w:nsid w:val="43D3BCD4"/>
    <w:multiLevelType w:val="hybridMultilevel"/>
    <w:lvl w:ilvl="0">
      <w:lvlJc w:val="left"/>
      <w:lvlText w:val="•"/>
      <w:numFmt w:val="bullet"/>
      <w:start w:val="1"/>
    </w:lvl>
  </w:abstractNum>
  <w:abstractNum w:abstractNumId="11">
    <w:nsid w:val="4C2A7166"/>
    <w:multiLevelType w:val="hybridMultilevel"/>
    <w:lvl w:ilvl="0">
      <w:lvlJc w:val="left"/>
      <w:lvlText w:val="•"/>
      <w:numFmt w:val="bullet"/>
      <w:start w:val="1"/>
    </w:lvl>
  </w:abstractNum>
  <w:abstractNum w:abstractNumId="12">
    <w:nsid w:val="2E534A82"/>
    <w:multiLevelType w:val="hybridMultilevel"/>
    <w:lvl w:ilvl="0">
      <w:lvlJc w:val="left"/>
      <w:lvlText w:val="•"/>
      <w:numFmt w:val="bullet"/>
      <w:start w:val="1"/>
    </w:lvl>
  </w:abstractNum>
  <w:abstractNum w:abstractNumId="13">
    <w:nsid w:val="26F2D364"/>
    <w:multiLevelType w:val="hybridMultilevel"/>
    <w:lvl w:ilvl="0">
      <w:lvlJc w:val="left"/>
      <w:lvlText w:val="•"/>
      <w:numFmt w:val="bullet"/>
      <w:start w:val="1"/>
    </w:lvl>
  </w:abstractNum>
  <w:abstractNum w:abstractNumId="14">
    <w:nsid w:val="71C1AF98"/>
    <w:multiLevelType w:val="hybridMultilevel"/>
    <w:lvl w:ilvl="0">
      <w:lvlJc w:val="left"/>
      <w:lvlText w:val="(%1)"/>
      <w:numFmt w:val="decimal"/>
      <w:start w:val="1"/>
    </w:lvl>
  </w:abstractNum>
  <w:abstractNum w:abstractNumId="15">
    <w:nsid w:val="3D00B9D9"/>
    <w:multiLevelType w:val="hybridMultilevel"/>
    <w:lvl w:ilvl="0">
      <w:lvlJc w:val="left"/>
      <w:lvlText w:val="."/>
      <w:numFmt w:val="bullet"/>
      <w:start w:val="1"/>
    </w:lvl>
  </w:abstractNum>
  <w:abstractNum w:abstractNumId="16">
    <w:nsid w:val="15BCABA8"/>
    <w:multiLevelType w:val="hybridMultilevel"/>
    <w:lvl w:ilvl="0">
      <w:lvlJc w:val="left"/>
      <w:lvlText w:val="•"/>
      <w:numFmt w:val="bullet"/>
      <w:start w:val="1"/>
    </w:lvl>
  </w:abstractNum>
  <w:abstractNum w:abstractNumId="17">
    <w:nsid w:val="4E0B9A87"/>
    <w:multiLevelType w:val="hybridMultilevel"/>
    <w:lvl w:ilvl="0">
      <w:lvlJc w:val="left"/>
      <w:lvlText w:val="•"/>
      <w:numFmt w:val="bullet"/>
      <w:start w:val="1"/>
    </w:lvl>
  </w:abstractNum>
  <w:abstractNum w:abstractNumId="18">
    <w:nsid w:val="434BAE75"/>
    <w:multiLevelType w:val="hybridMultilevel"/>
    <w:lvl w:ilvl="0">
      <w:lvlJc w:val="left"/>
      <w:lvlText w:val="•"/>
      <w:numFmt w:val="bullet"/>
      <w:start w:val="1"/>
    </w:lvl>
  </w:abstractNum>
  <w:abstractNum w:abstractNumId="19">
    <w:nsid w:val="4F38F265"/>
    <w:multiLevelType w:val="hybridMultilevel"/>
    <w:lvl w:ilvl="0">
      <w:lvlJc w:val="left"/>
      <w:lvlText w:val="•"/>
      <w:numFmt w:val="bullet"/>
      <w:start w:val="1"/>
    </w:lvl>
  </w:abstractNum>
  <w:abstractNum w:abstractNumId="20">
    <w:nsid w:val="4C502870"/>
    <w:multiLevelType w:val="hybridMultilevel"/>
    <w:lvl w:ilvl="0">
      <w:lvlJc w:val="left"/>
      <w:lvlText w:val="•"/>
      <w:numFmt w:val="bullet"/>
      <w:start w:val="1"/>
    </w:lvl>
  </w:abstractNum>
  <w:abstractNum w:abstractNumId="21">
    <w:nsid w:val="1DE8725A"/>
    <w:multiLevelType w:val="hybridMultilevel"/>
    <w:lvl w:ilvl="0">
      <w:lvlJc w:val="left"/>
      <w:lvlText w:val="•"/>
      <w:numFmt w:val="bullet"/>
      <w:start w:val="1"/>
    </w:lvl>
  </w:abstractNum>
  <w:abstractNum w:abstractNumId="22">
    <w:nsid w:val="6A37288A"/>
    <w:multiLevelType w:val="hybridMultilevel"/>
    <w:lvl w:ilvl="0">
      <w:lvlJc w:val="left"/>
      <w:lvlText w:val="•"/>
      <w:numFmt w:val="bullet"/>
      <w:start w:val="1"/>
    </w:lvl>
  </w:abstractNum>
  <w:abstractNum w:abstractNumId="23">
    <w:nsid w:val="8F8B73F"/>
    <w:multiLevelType w:val="hybridMultilevel"/>
    <w:lvl w:ilvl="0">
      <w:lvlJc w:val="left"/>
      <w:lvlText w:val="•"/>
      <w:numFmt w:val="bullet"/>
      <w:start w:val="1"/>
    </w:lvl>
  </w:abstractNum>
  <w:abstractNum w:abstractNumId="24">
    <w:nsid w:val="CA6B462"/>
    <w:multiLevelType w:val="hybridMultilevel"/>
    <w:lvl w:ilvl="0">
      <w:lvlJc w:val="left"/>
      <w:lvlText w:val="•"/>
      <w:numFmt w:val="bullet"/>
      <w:start w:val="1"/>
    </w:lvl>
  </w:abstractNum>
  <w:abstractNum w:abstractNumId="25">
    <w:nsid w:val="763CB680"/>
    <w:multiLevelType w:val="hybridMultilevel"/>
    <w:lvl w:ilvl="0">
      <w:lvlJc w:val="left"/>
      <w:lvlText w:val="•"/>
      <w:numFmt w:val="bullet"/>
      <w:start w:val="1"/>
    </w:lvl>
  </w:abstractNum>
  <w:abstractNum w:abstractNumId="26">
    <w:nsid w:val="15B71329"/>
    <w:multiLevelType w:val="hybridMultilevel"/>
    <w:lvl w:ilvl="0">
      <w:lvlJc w:val="left"/>
      <w:lvlText w:val="•"/>
      <w:numFmt w:val="bullet"/>
      <w:start w:val="1"/>
    </w:lvl>
  </w:abstractNum>
  <w:abstractNum w:abstractNumId="27">
    <w:nsid w:val="3DA97044"/>
    <w:multiLevelType w:val="hybridMultilevel"/>
    <w:lvl w:ilvl="0">
      <w:lvlJc w:val="left"/>
      <w:lvlText w:val="•"/>
      <w:numFmt w:val="bullet"/>
      <w:start w:val="1"/>
    </w:lvl>
  </w:abstractNum>
  <w:abstractNum w:abstractNumId="28">
    <w:nsid w:val="1CDCE2DE"/>
    <w:multiLevelType w:val="hybridMultilevel"/>
    <w:lvl w:ilvl="0">
      <w:lvlJc w:val="left"/>
      <w:lvlText w:val="•"/>
      <w:numFmt w:val="bullet"/>
      <w:start w:val="1"/>
    </w:lvl>
  </w:abstractNum>
  <w:abstractNum w:abstractNumId="29">
    <w:nsid w:val="69D3947C"/>
    <w:multiLevelType w:val="hybridMultilevel"/>
    <w:lvl w:ilvl="0">
      <w:lvlJc w:val="left"/>
      <w:lvlText w:val="•"/>
      <w:numFmt w:val="bullet"/>
      <w:start w:val="1"/>
    </w:lvl>
  </w:abstractNum>
  <w:abstractNum w:abstractNumId="30">
    <w:nsid w:val="2539DFA5"/>
    <w:multiLevelType w:val="hybridMultilevel"/>
    <w:lvl w:ilvl="0">
      <w:lvlJc w:val="left"/>
      <w:lvlText w:val="•"/>
      <w:numFmt w:val="bullet"/>
      <w:start w:val="1"/>
    </w:lvl>
  </w:abstractNum>
  <w:abstractNum w:abstractNumId="31">
    <w:nsid w:val="2DB88089"/>
    <w:multiLevelType w:val="hybridMultilevel"/>
    <w:lvl w:ilvl="0">
      <w:lvlJc w:val="left"/>
      <w:lvlText w:val="•"/>
      <w:numFmt w:val="bullet"/>
      <w:start w:val="1"/>
    </w:lvl>
  </w:abstractNum>
  <w:abstractNum w:abstractNumId="32">
    <w:nsid w:val="706B674E"/>
    <w:multiLevelType w:val="hybridMultilevel"/>
    <w:lvl w:ilvl="0">
      <w:lvlJc w:val="left"/>
      <w:lvlText w:val="•"/>
      <w:numFmt w:val="bullet"/>
      <w:start w:val="1"/>
    </w:lvl>
  </w:abstractNum>
  <w:abstractNum w:abstractNumId="33">
    <w:nsid w:val="2C106A57"/>
    <w:multiLevelType w:val="hybridMultilevel"/>
    <w:lvl w:ilvl="0">
      <w:lvlJc w:val="left"/>
      <w:lvlText w:val="•"/>
      <w:numFmt w:val="bullet"/>
      <w:start w:val="1"/>
    </w:lvl>
  </w:abstractNum>
  <w:abstractNum w:abstractNumId="34">
    <w:nsid w:val="684EED59"/>
    <w:multiLevelType w:val="hybridMultilevel"/>
    <w:lvl w:ilvl="0">
      <w:lvlJc w:val="left"/>
      <w:lvlText w:val="•"/>
      <w:numFmt w:val="bullet"/>
      <w:start w:val="1"/>
    </w:lvl>
  </w:abstractNum>
  <w:abstractNum w:abstractNumId="35">
    <w:nsid w:val="545EE5D3"/>
    <w:multiLevelType w:val="hybridMultilevel"/>
    <w:lvl w:ilvl="0">
      <w:lvlJc w:val="left"/>
      <w:lvlText w:val="•"/>
      <w:numFmt w:val="bullet"/>
      <w:start w:val="1"/>
    </w:lvl>
  </w:abstractNum>
  <w:abstractNum w:abstractNumId="36">
    <w:nsid w:val="4A66051"/>
    <w:multiLevelType w:val="hybridMultilevel"/>
    <w:lvl w:ilvl="0">
      <w:lvlJc w:val="left"/>
      <w:lvlText w:val="•"/>
      <w:numFmt w:val="bullet"/>
      <w:start w:val="1"/>
    </w:lvl>
  </w:abstractNum>
  <w:abstractNum w:abstractNumId="37">
    <w:nsid w:val="20F4BDAD"/>
    <w:multiLevelType w:val="hybridMultilevel"/>
    <w:lvl w:ilvl="0">
      <w:lvlJc w:val="left"/>
      <w:lvlText w:val="•"/>
      <w:numFmt w:val="bullet"/>
      <w:start w:val="1"/>
    </w:lvl>
  </w:abstractNum>
  <w:abstractNum w:abstractNumId="38">
    <w:nsid w:val="639DEFAC"/>
    <w:multiLevelType w:val="hybridMultilevel"/>
    <w:lvl w:ilvl="0">
      <w:lvlJc w:val="left"/>
      <w:lvlText w:val="•"/>
      <w:numFmt w:val="bullet"/>
      <w:start w:val="1"/>
    </w:lvl>
  </w:abstractNum>
  <w:abstractNum w:abstractNumId="39">
    <w:nsid w:val="501F9786"/>
    <w:multiLevelType w:val="hybridMultilevel"/>
    <w:lvl w:ilvl="0">
      <w:lvlJc w:val="left"/>
      <w:lvlText w:val="•"/>
      <w:numFmt w:val="bullet"/>
      <w:start w:val="1"/>
    </w:lvl>
  </w:abstractNum>
  <w:abstractNum w:abstractNumId="40">
    <w:nsid w:val="6B057295"/>
    <w:multiLevelType w:val="hybridMultilevel"/>
    <w:lvl w:ilvl="0">
      <w:lvlJc w:val="left"/>
      <w:lvlText w:val="•"/>
      <w:numFmt w:val="bullet"/>
      <w:start w:val="1"/>
    </w:lvl>
  </w:abstractNum>
  <w:abstractNum w:abstractNumId="41">
    <w:nsid w:val="2771AC80"/>
    <w:multiLevelType w:val="hybridMultilevel"/>
    <w:lvl w:ilvl="0">
      <w:lvlJc w:val="left"/>
      <w:lvlText w:val="•"/>
      <w:numFmt w:val="bullet"/>
      <w:start w:val="1"/>
    </w:lvl>
  </w:abstractNum>
  <w:abstractNum w:abstractNumId="42">
    <w:nsid w:val="1C4A08EC"/>
    <w:multiLevelType w:val="hybridMultilevel"/>
    <w:lvl w:ilvl="0">
      <w:lvlJc w:val="left"/>
      <w:lvlText w:val="•"/>
      <w:numFmt w:val="bullet"/>
      <w:start w:val="1"/>
    </w:lvl>
  </w:abstractNum>
  <w:abstractNum w:abstractNumId="43">
    <w:nsid w:val="1958BD17"/>
    <w:multiLevelType w:val="hybridMultilevel"/>
    <w:lvl w:ilvl="0">
      <w:lvlJc w:val="left"/>
      <w:lvlText w:val="•"/>
      <w:numFmt w:val="bullet"/>
      <w:start w:val="1"/>
    </w:lvl>
  </w:abstractNum>
  <w:abstractNum w:abstractNumId="44">
    <w:nsid w:val="4E647FE4"/>
    <w:multiLevelType w:val="hybridMultilevel"/>
    <w:lvl w:ilvl="0">
      <w:lvlJc w:val="left"/>
      <w:lvlText w:val="•"/>
      <w:numFmt w:val="bullet"/>
      <w:start w:val="1"/>
    </w:lvl>
  </w:abstractNum>
  <w:abstractNum w:abstractNumId="45">
    <w:nsid w:val="E0BB885"/>
    <w:multiLevelType w:val="hybridMultilevel"/>
    <w:lvl w:ilvl="0">
      <w:lvlJc w:val="left"/>
      <w:lvlText w:val="•"/>
      <w:numFmt w:val="bullet"/>
      <w:start w:val="1"/>
    </w:lvl>
  </w:abstractNum>
  <w:abstractNum w:abstractNumId="46">
    <w:nsid w:val="565976F1"/>
    <w:multiLevelType w:val="hybridMultilevel"/>
    <w:lvl w:ilvl="0">
      <w:lvlJc w:val="left"/>
      <w:lvlText w:val="•"/>
      <w:numFmt w:val="bullet"/>
      <w:start w:val="1"/>
    </w:lvl>
  </w:abstractNum>
  <w:abstractNum w:abstractNumId="47">
    <w:nsid w:val="64212B8C"/>
    <w:multiLevelType w:val="hybridMultilevel"/>
    <w:lvl w:ilvl="0">
      <w:lvlJc w:val="left"/>
      <w:lvlText w:val="•"/>
      <w:numFmt w:val="bullet"/>
      <w:start w:val="1"/>
    </w:lvl>
  </w:abstractNum>
  <w:abstractNum w:abstractNumId="48">
    <w:nsid w:val="5C17530C"/>
    <w:multiLevelType w:val="hybridMultilevel"/>
    <w:lvl w:ilvl="0">
      <w:lvlJc w:val="left"/>
      <w:lvlText w:val="•"/>
      <w:numFmt w:val="bullet"/>
      <w:start w:val="1"/>
    </w:lvl>
  </w:abstractNum>
  <w:abstractNum w:abstractNumId="49">
    <w:nsid w:val="19A52566"/>
    <w:multiLevelType w:val="hybridMultilevel"/>
    <w:lvl w:ilvl="0">
      <w:lvlJc w:val="left"/>
      <w:lvlText w:val="•"/>
      <w:numFmt w:val="bullet"/>
      <w:start w:val="1"/>
    </w:lvl>
  </w:abstractNum>
  <w:abstractNum w:abstractNumId="50">
    <w:nsid w:val="335A1DF1"/>
    <w:multiLevelType w:val="hybridMultilevel"/>
    <w:lvl w:ilvl="0">
      <w:lvlJc w:val="left"/>
      <w:lvlText w:val="•"/>
      <w:numFmt w:val="bullet"/>
      <w:start w:val="1"/>
    </w:lvl>
  </w:abstractNum>
  <w:abstractNum w:abstractNumId="51">
    <w:nsid w:val="28677B7C"/>
    <w:multiLevelType w:val="hybridMultilevel"/>
    <w:lvl w:ilvl="0">
      <w:lvlJc w:val="left"/>
      <w:lvlText w:val="•"/>
      <w:numFmt w:val="bullet"/>
      <w:start w:val="1"/>
    </w:lvl>
  </w:abstractNum>
  <w:abstractNum w:abstractNumId="52">
    <w:nsid w:val="378D97C0"/>
    <w:multiLevelType w:val="hybridMultilevel"/>
    <w:lvl w:ilvl="0">
      <w:lvlJc w:val="left"/>
      <w:lvlText w:val="•"/>
      <w:numFmt w:val="bullet"/>
      <w:start w:val="1"/>
    </w:lvl>
  </w:abstractNum>
  <w:abstractNum w:abstractNumId="53">
    <w:nsid w:val="1D91467C"/>
    <w:multiLevelType w:val="hybridMultilevel"/>
    <w:lvl w:ilvl="0">
      <w:lvlJc w:val="left"/>
      <w:lvlText w:val="•"/>
      <w:numFmt w:val="bullet"/>
      <w:start w:val="1"/>
    </w:lvl>
  </w:abstractNum>
  <w:abstractNum w:abstractNumId="54">
    <w:nsid w:val="316032BB"/>
    <w:multiLevelType w:val="hybridMultilevel"/>
    <w:lvl w:ilvl="0">
      <w:lvlJc w:val="left"/>
      <w:lvlText w:val="$"/>
      <w:numFmt w:val="bullet"/>
      <w:start w:val="1"/>
    </w:lvl>
  </w:abstractNum>
  <w:abstractNum w:abstractNumId="55">
    <w:nsid w:val="44344C22"/>
    <w:multiLevelType w:val="hybridMultilevel"/>
    <w:lvl w:ilvl="0">
      <w:lvlJc w:val="left"/>
      <w:lvlText w:val="•"/>
      <w:numFmt w:val="bullet"/>
      <w:start w:val="1"/>
    </w:lvl>
  </w:abstractNum>
  <w:abstractNum w:abstractNumId="56">
    <w:nsid w:val="13CDFCFC"/>
    <w:multiLevelType w:val="hybridMultilevel"/>
    <w:lvl w:ilvl="0">
      <w:lvlJc w:val="left"/>
      <w:lvlText w:val="•"/>
      <w:numFmt w:val="bullet"/>
      <w:start w:val="1"/>
    </w:lvl>
  </w:abstractNum>
  <w:abstractNum w:abstractNumId="57">
    <w:nsid w:val="471745E4"/>
    <w:multiLevelType w:val="hybridMultilevel"/>
    <w:lvl w:ilvl="0">
      <w:lvlJc w:val="left"/>
      <w:lvlText w:val="$"/>
      <w:numFmt w:val="bullet"/>
      <w:start w:val="1"/>
    </w:lvl>
  </w:abstractNum>
  <w:abstractNum w:abstractNumId="58">
    <w:nsid w:val="1DDBC66"/>
    <w:multiLevelType w:val="hybridMultilevel"/>
    <w:lvl w:ilvl="0">
      <w:lvlJc w:val="left"/>
      <w:lvlText w:val="•"/>
      <w:numFmt w:val="bullet"/>
      <w:start w:val="1"/>
    </w:lvl>
  </w:abstractNum>
  <w:abstractNum w:abstractNumId="59">
    <w:nsid w:val="30AADFDA"/>
    <w:multiLevelType w:val="hybridMultilevel"/>
    <w:lvl w:ilvl="0">
      <w:lvlJc w:val="left"/>
      <w:lvlText w:val="$"/>
      <w:numFmt w:val="bullet"/>
      <w:start w:val="1"/>
    </w:lvl>
  </w:abstractNum>
  <w:abstractNum w:abstractNumId="60">
    <w:nsid w:val="30EADA61"/>
    <w:multiLevelType w:val="hybridMultilevel"/>
    <w:lvl w:ilvl="0">
      <w:lvlJc w:val="left"/>
      <w:lvlText w:val="•"/>
      <w:numFmt w:val="bullet"/>
      <w:start w:val="1"/>
    </w:lvl>
  </w:abstractNum>
  <w:abstractNum w:abstractNumId="61">
    <w:nsid w:val="27179C0B"/>
    <w:multiLevelType w:val="hybridMultilevel"/>
    <w:lvl w:ilvl="0">
      <w:lvlJc w:val="left"/>
      <w:lvlText w:val="•"/>
      <w:numFmt w:val="bullet"/>
      <w:start w:val="1"/>
    </w:lvl>
  </w:abstractNum>
  <w:abstractNum w:abstractNumId="62">
    <w:nsid w:val="5E636063"/>
    <w:multiLevelType w:val="hybridMultilevel"/>
    <w:lvl w:ilvl="0">
      <w:lvlJc w:val="left"/>
      <w:lvlText w:val="(%1)"/>
      <w:numFmt w:val="decimal"/>
      <w:start w:val="1"/>
    </w:lvl>
  </w:abstractNum>
  <w:abstractNum w:abstractNumId="63">
    <w:nsid w:val="215641AF"/>
    <w:multiLevelType w:val="hybridMultilevel"/>
    <w:lvl w:ilvl="0">
      <w:lvlJc w:val="left"/>
      <w:lvlText w:val="•"/>
      <w:numFmt w:val="bullet"/>
      <w:start w:val="1"/>
    </w:lvl>
  </w:abstractNum>
  <w:abstractNum w:abstractNumId="64">
    <w:nsid w:val="53280662"/>
    <w:multiLevelType w:val="hybridMultilevel"/>
    <w:lvl w:ilvl="0">
      <w:lvlJc w:val="left"/>
      <w:lvlText w:val="•"/>
      <w:numFmt w:val="bullet"/>
      <w:start w:val="1"/>
    </w:lvl>
  </w:abstractNum>
  <w:abstractNum w:abstractNumId="65">
    <w:nsid w:val="46B24DBC"/>
    <w:multiLevelType w:val="hybridMultilevel"/>
    <w:lvl w:ilvl="0">
      <w:lvlJc w:val="left"/>
      <w:lvlText w:val="•"/>
      <w:numFmt w:val="bullet"/>
      <w:start w:val="1"/>
    </w:lvl>
  </w:abstractNum>
  <w:abstractNum w:abstractNumId="66">
    <w:nsid w:val="75B52783"/>
    <w:multiLevelType w:val="hybridMultilevel"/>
    <w:lvl w:ilvl="0">
      <w:lvlJc w:val="left"/>
      <w:lvlText w:val="(%1)"/>
      <w:numFmt w:val="decimal"/>
      <w:start w:val="1"/>
    </w:lvl>
  </w:abstractNum>
  <w:abstractNum w:abstractNumId="67">
    <w:nsid w:val="57CE66B4"/>
    <w:multiLevelType w:val="hybridMultilevel"/>
    <w:lvl w:ilvl="0">
      <w:lvlJc w:val="left"/>
      <w:lvlText w:val="•"/>
      <w:numFmt w:val="bullet"/>
      <w:start w:val="1"/>
    </w:lvl>
  </w:abstractNum>
  <w:abstractNum w:abstractNumId="68">
    <w:nsid w:val="67A70B69"/>
    <w:multiLevelType w:val="hybridMultilevel"/>
    <w:lvl w:ilvl="0">
      <w:lvlJc w:val="left"/>
      <w:lvlText w:val="(%1)"/>
      <w:numFmt w:val="lowerRoman"/>
      <w:start w:val="4"/>
    </w:lvl>
  </w:abstractNum>
  <w:abstractNum w:abstractNumId="69">
    <w:nsid w:val="5953172F"/>
    <w:multiLevelType w:val="hybridMultilevel"/>
    <w:lvl w:ilvl="0">
      <w:lvlJc w:val="left"/>
      <w:lvlText w:val="•"/>
      <w:numFmt w:val="bullet"/>
      <w:start w:val="1"/>
    </w:lvl>
  </w:abstractNum>
  <w:abstractNum w:abstractNumId="70">
    <w:nsid w:val="27EDFE3A"/>
    <w:multiLevelType w:val="hybridMultilevel"/>
    <w:lvl w:ilvl="0">
      <w:lvlJc w:val="left"/>
      <w:lvlText w:val="•"/>
      <w:numFmt w:val="bullet"/>
      <w:start w:val="1"/>
    </w:lvl>
  </w:abstractNum>
  <w:abstractNum w:abstractNumId="71">
    <w:nsid w:val="52AC7DFF"/>
    <w:multiLevelType w:val="hybridMultilevel"/>
    <w:lvl w:ilvl="0">
      <w:lvlJc w:val="left"/>
      <w:lvlText w:val="•"/>
      <w:numFmt w:val="bullet"/>
      <w:start w:val="1"/>
    </w:lvl>
  </w:abstractNum>
  <w:abstractNum w:abstractNumId="72">
    <w:nsid w:val="C4C3AF"/>
    <w:multiLevelType w:val="hybridMultilevel"/>
    <w:lvl w:ilvl="0">
      <w:lvlJc w:val="left"/>
      <w:lvlText w:val="•"/>
      <w:numFmt w:val="bullet"/>
      <w:start w:val="1"/>
    </w:lvl>
  </w:abstractNum>
  <w:abstractNum w:abstractNumId="73">
    <w:nsid w:val="44380727"/>
    <w:multiLevelType w:val="hybridMultilevel"/>
    <w:lvl w:ilvl="0">
      <w:lvlJc w:val="left"/>
      <w:lvlText w:val="/"/>
      <w:numFmt w:val="bullet"/>
      <w:start w:val="1"/>
    </w:lvl>
  </w:abstractNum>
  <w:abstractNum w:abstractNumId="74">
    <w:nsid w:val="6C053B16"/>
    <w:multiLevelType w:val="hybridMultilevel"/>
    <w:lvl w:ilvl="0">
      <w:lvlJc w:val="left"/>
      <w:lvlText w:val="•"/>
      <w:numFmt w:val="bullet"/>
      <w:start w:val="1"/>
    </w:lvl>
  </w:abstractNum>
  <w:abstractNum w:abstractNumId="75">
    <w:nsid w:val="4F294393"/>
    <w:multiLevelType w:val="hybridMultilevel"/>
    <w:lvl w:ilvl="0">
      <w:lvlJc w:val="left"/>
      <w:lvlText w:val="(%1)"/>
      <w:numFmt w:val="lowerRoman"/>
      <w:start w:val="3"/>
    </w:lvl>
  </w:abstractNum>
  <w:abstractNum w:abstractNumId="76">
    <w:nsid w:val="5243BFAC"/>
    <w:multiLevelType w:val="hybridMultilevel"/>
    <w:lvl w:ilvl="0">
      <w:lvlJc w:val="left"/>
      <w:lvlText w:val="•"/>
      <w:numFmt w:val="bullet"/>
      <w:start w:val="1"/>
    </w:lvl>
  </w:abstractNum>
  <w:abstractNum w:abstractNumId="77">
    <w:nsid w:val="425EB207"/>
    <w:multiLevelType w:val="hybridMultilevel"/>
    <w:lvl w:ilvl="0">
      <w:lvlJc w:val="left"/>
      <w:lvlText w:val="•"/>
      <w:numFmt w:val="bullet"/>
      <w:start w:val="1"/>
    </w:lvl>
  </w:abstractNum>
  <w:abstractNum w:abstractNumId="78">
    <w:nsid w:val="334A6F1F"/>
    <w:multiLevelType w:val="hybridMultilevel"/>
    <w:lvl w:ilvl="0">
      <w:lvlJc w:val="left"/>
      <w:lvlText w:val="•"/>
      <w:numFmt w:val="bullet"/>
      <w:start w:val="1"/>
    </w:lvl>
  </w:abstractNum>
  <w:abstractNum w:abstractNumId="79">
    <w:nsid w:val="2E5B12B8"/>
    <w:multiLevelType w:val="hybridMultilevel"/>
    <w:lvl w:ilvl="0">
      <w:lvlJc w:val="left"/>
      <w:lvlText w:val="•"/>
      <w:numFmt w:val="bullet"/>
      <w:start w:val="1"/>
    </w:lvl>
  </w:abstractNum>
  <w:abstractNum w:abstractNumId="80">
    <w:nsid w:val="5C03D76D"/>
    <w:multiLevelType w:val="hybridMultilevel"/>
    <w:lvl w:ilvl="0">
      <w:lvlJc w:val="left"/>
      <w:lvlText w:val="%1"/>
      <w:numFmt w:val="decimal"/>
      <w:start w:val="50"/>
    </w:lvl>
  </w:abstractNum>
  <w:abstractNum w:abstractNumId="81">
    <w:nsid w:val="66A48D11"/>
    <w:multiLevelType w:val="hybridMultilevel"/>
    <w:lvl w:ilvl="0">
      <w:lvlJc w:val="left"/>
      <w:lvlText w:val="(%1)"/>
      <w:numFmt w:val="decimal"/>
      <w:start w:val="1"/>
    </w:lvl>
  </w:abstractNum>
  <w:abstractNum w:abstractNumId="82">
    <w:nsid w:val="56C28E34"/>
    <w:multiLevelType w:val="hybridMultilevel"/>
    <w:lvl w:ilvl="0">
      <w:lvlJc w:val="left"/>
      <w:lvlText w:val="•"/>
      <w:numFmt w:val="bullet"/>
      <w:start w:val="1"/>
    </w:lvl>
  </w:abstractNum>
  <w:abstractNum w:abstractNumId="83">
    <w:nsid w:val="13916F2D"/>
    <w:multiLevelType w:val="hybridMultilevel"/>
    <w:lvl w:ilvl="0">
      <w:lvlJc w:val="left"/>
      <w:lvlText w:val="•"/>
      <w:numFmt w:val="bullet"/>
      <w:start w:val="1"/>
    </w:lvl>
  </w:abstractNum>
  <w:abstractNum w:abstractNumId="84">
    <w:nsid w:val="435D38D"/>
    <w:multiLevelType w:val="hybridMultilevel"/>
    <w:lvl w:ilvl="0">
      <w:lvlJc w:val="left"/>
      <w:lvlText w:val="•"/>
      <w:numFmt w:val="bullet"/>
      <w:start w:val="1"/>
    </w:lvl>
  </w:abstractNum>
  <w:abstractNum w:abstractNumId="85">
    <w:nsid w:val="822C0EF"/>
    <w:multiLevelType w:val="hybridMultilevel"/>
    <w:lvl w:ilvl="0">
      <w:lvlJc w:val="left"/>
      <w:lvlText w:val="•"/>
      <w:numFmt w:val="bullet"/>
      <w:start w:val="1"/>
    </w:lvl>
  </w:abstractNum>
  <w:abstractNum w:abstractNumId="86">
    <w:nsid w:val="57C5BB4F"/>
    <w:multiLevelType w:val="hybridMultilevel"/>
    <w:lvl w:ilvl="0">
      <w:lvlJc w:val="left"/>
      <w:lvlText w:val="•"/>
      <w:numFmt w:val="bullet"/>
      <w:start w:val="1"/>
    </w:lvl>
  </w:abstractNum>
  <w:abstractNum w:abstractNumId="87">
    <w:nsid w:val="1803D089"/>
    <w:multiLevelType w:val="hybridMultilevel"/>
    <w:lvl w:ilvl="0">
      <w:lvlJc w:val="left"/>
      <w:lvlText w:val="(%1)"/>
      <w:numFmt w:val="decimal"/>
      <w:start w:val="1"/>
    </w:lvl>
  </w:abstractNum>
  <w:abstractNum w:abstractNumId="88">
    <w:nsid w:val="4F3A06D4"/>
    <w:multiLevelType w:val="hybridMultilevel"/>
    <w:lvl w:ilvl="0">
      <w:lvlJc w:val="left"/>
      <w:lvlText w:val="(%1)"/>
      <w:numFmt w:val="lowerRoman"/>
      <w:start w:val="2"/>
    </w:lvl>
  </w:abstractNum>
  <w:abstractNum w:abstractNumId="89">
    <w:nsid w:val="59A377B6"/>
    <w:multiLevelType w:val="hybridMultilevel"/>
    <w:lvl w:ilvl="0">
      <w:lvlJc w:val="left"/>
      <w:lvlText w:val="(%1)"/>
      <w:numFmt w:val="lowerRoman"/>
      <w:start w:val="1"/>
    </w:lvl>
  </w:abstractNum>
  <w:abstractNum w:abstractNumId="90">
    <w:nsid w:val="48AEB063"/>
    <w:multiLevelType w:val="hybridMultilevel"/>
    <w:lvl w:ilvl="0">
      <w:lvlJc w:val="left"/>
      <w:lvlText w:val="(%1)"/>
      <w:numFmt w:val="decimal"/>
      <w:start w:val="1"/>
    </w:lvl>
  </w:abstractNum>
  <w:abstractNum w:abstractNumId="91">
    <w:nsid w:val="24E135"/>
    <w:multiLevelType w:val="hybridMultilevel"/>
    <w:lvl w:ilvl="0">
      <w:lvlJc w:val="left"/>
      <w:lvlText w:val="(%1)"/>
      <w:numFmt w:val="decimal"/>
      <w:start w:val="2"/>
    </w:lvl>
  </w:abstractNum>
  <w:abstractNum w:abstractNumId="92">
    <w:nsid w:val="BB13C1"/>
    <w:multiLevelType w:val="hybridMultilevel"/>
    <w:lvl w:ilvl="0">
      <w:lvlJc w:val="left"/>
      <w:lvlText w:val="•"/>
      <w:numFmt w:val="bullet"/>
      <w:start w:val="1"/>
    </w:lvl>
  </w:abstractNum>
  <w:abstractNum w:abstractNumId="93">
    <w:nsid w:val="271210C7"/>
    <w:multiLevelType w:val="hybridMultilevel"/>
    <w:lvl w:ilvl="0">
      <w:lvlJc w:val="left"/>
      <w:lvlText w:val="(%1)"/>
      <w:numFmt w:val="lowerRoman"/>
      <w:start w:val="1"/>
    </w:lvl>
  </w:abstractNum>
  <w:abstractNum w:abstractNumId="94">
    <w:nsid w:val="217B22E4"/>
    <w:multiLevelType w:val="hybridMultilevel"/>
    <w:lvl w:ilvl="0">
      <w:lvlJc w:val="left"/>
      <w:lvlText w:val="(%1)"/>
      <w:numFmt w:val="lowerRoman"/>
      <w:start w:val="1"/>
    </w:lvl>
  </w:abstractNum>
  <w:abstractNum w:abstractNumId="95">
    <w:nsid w:val="53E31A24"/>
    <w:multiLevelType w:val="hybridMultilevel"/>
    <w:lvl w:ilvl="0">
      <w:lvlJc w:val="left"/>
      <w:lvlText w:val="•"/>
      <w:numFmt w:val="bullet"/>
      <w:start w:val="1"/>
    </w:lvl>
  </w:abstractNum>
  <w:abstractNum w:abstractNumId="96">
    <w:nsid w:val="6DC45E83"/>
    <w:multiLevelType w:val="hybridMultilevel"/>
    <w:lvl w:ilvl="0">
      <w:lvlJc w:val="left"/>
      <w:lvlText w:val="(%1)"/>
      <w:numFmt w:val="decimal"/>
      <w:start w:val="1"/>
    </w:lvl>
  </w:abstractNum>
  <w:abstractNum w:abstractNumId="97">
    <w:nsid w:val="17304A67"/>
    <w:multiLevelType w:val="hybridMultilevel"/>
    <w:lvl w:ilvl="0">
      <w:lvlJc w:val="left"/>
      <w:lvlText w:val="(%1)"/>
      <w:numFmt w:val="decimal"/>
      <w:start w:val="3"/>
    </w:lvl>
  </w:abstractNum>
  <w:abstractNum w:abstractNumId="98">
    <w:nsid w:val="2BB180D8"/>
    <w:multiLevelType w:val="hybridMultilevel"/>
    <w:lvl w:ilvl="0">
      <w:lvlJc w:val="left"/>
      <w:lvlText w:val="(%1)"/>
      <w:numFmt w:val="decimal"/>
      <w:start w:val="5"/>
    </w:lvl>
  </w:abstractNum>
  <w:abstractNum w:abstractNumId="99">
    <w:nsid w:val="556B69ED"/>
    <w:multiLevelType w:val="hybridMultilevel"/>
    <w:lvl w:ilvl="0">
      <w:lvlJc w:val="left"/>
      <w:lvlText w:val="(%1)"/>
      <w:numFmt w:val="decimal"/>
      <w:start w:val="3"/>
    </w:lvl>
  </w:abstractNum>
  <w:abstractNum w:abstractNumId="100">
    <w:nsid w:val="70836196"/>
    <w:multiLevelType w:val="hybridMultilevel"/>
    <w:lvl w:ilvl="0">
      <w:lvlJc w:val="left"/>
      <w:lvlText w:val="(%1)"/>
      <w:numFmt w:val="decimal"/>
      <w:start w:val="2"/>
    </w:lvl>
  </w:abstractNum>
  <w:abstractNum w:abstractNumId="101">
    <w:nsid w:val="539F7F12"/>
    <w:multiLevelType w:val="hybridMultilevel"/>
    <w:lvl w:ilvl="0">
      <w:lvlJc w:val="left"/>
      <w:lvlText w:val="(%1)"/>
      <w:numFmt w:val="lowerRoman"/>
      <w:start w:val="5"/>
    </w:lvl>
  </w:abstractNum>
  <w:abstractNum w:abstractNumId="102">
    <w:nsid w:val="2817E7EC"/>
    <w:multiLevelType w:val="hybridMultilevel"/>
    <w:lvl w:ilvl="0">
      <w:lvlJc w:val="left"/>
      <w:lvlText w:val="(%1)"/>
      <w:numFmt w:val="lowerRoman"/>
      <w:start w:val="2"/>
    </w:lvl>
  </w:abstractNum>
  <w:abstractNum w:abstractNumId="103">
    <w:nsid w:val="71482545"/>
    <w:multiLevelType w:val="hybridMultilevel"/>
    <w:lvl w:ilvl="0">
      <w:lvlJc w:val="left"/>
      <w:lvlText w:val="•"/>
      <w:numFmt w:val="bullet"/>
      <w:start w:val="1"/>
    </w:lvl>
  </w:abstractNum>
  <w:abstractNum w:abstractNumId="104">
    <w:nsid w:val="17D78639"/>
    <w:multiLevelType w:val="hybridMultilevel"/>
    <w:lvl w:ilvl="0">
      <w:lvlJc w:val="left"/>
      <w:lvlText w:val="•"/>
      <w:numFmt w:val="bullet"/>
      <w:start w:val="1"/>
    </w:lvl>
  </w:abstractNum>
  <w:abstractNum w:abstractNumId="105">
    <w:nsid w:val="141D2302"/>
    <w:multiLevelType w:val="hybridMultilevel"/>
    <w:lvl w:ilvl="0">
      <w:lvlJc w:val="left"/>
      <w:lvlText w:val="•"/>
      <w:numFmt w:val="bullet"/>
      <w:start w:val="1"/>
    </w:lvl>
  </w:abstractNum>
  <w:abstractNum w:abstractNumId="106">
    <w:nsid w:val="407168D8"/>
    <w:multiLevelType w:val="hybridMultilevel"/>
    <w:lvl w:ilvl="0">
      <w:lvlJc w:val="left"/>
      <w:lvlText w:val="•"/>
      <w:numFmt w:val="bullet"/>
      <w:start w:val="1"/>
    </w:lvl>
  </w:abstractNum>
  <w:abstractNum w:abstractNumId="107">
    <w:nsid w:val="6A1B45E5"/>
    <w:multiLevelType w:val="hybridMultilevel"/>
    <w:lvl w:ilvl="0">
      <w:lvlJc w:val="left"/>
      <w:lvlText w:val="(%1)"/>
      <w:numFmt w:val="lowerRoman"/>
      <w:start w:val="4"/>
    </w:lvl>
  </w:abstractNum>
  <w:abstractNum w:abstractNumId="108">
    <w:nsid w:val="567BD50A"/>
    <w:multiLevelType w:val="hybridMultilevel"/>
    <w:lvl w:ilvl="0">
      <w:lvlJc w:val="left"/>
      <w:lvlText w:val="(%1)"/>
      <w:numFmt w:val="lowerRoman"/>
      <w:start w:val="1"/>
    </w:lvl>
  </w:abstractNum>
  <w:abstractNum w:abstractNumId="109">
    <w:nsid w:val="73BBD7F8"/>
    <w:multiLevelType w:val="hybridMultilevel"/>
    <w:lvl w:ilvl="0">
      <w:lvlJc w:val="left"/>
      <w:lvlText w:val="(%1)"/>
      <w:numFmt w:val="lowerRoman"/>
      <w:start w:val="11"/>
    </w:lvl>
  </w:abstractNum>
  <w:abstractNum w:abstractNumId="110">
    <w:nsid w:val="1876589D"/>
    <w:multiLevelType w:val="hybridMultilevel"/>
    <w:lvl w:ilvl="0">
      <w:lvlJc w:val="left"/>
      <w:lvlText w:val="(%1)"/>
      <w:numFmt w:val="lowerLetter"/>
      <w:start w:val="4"/>
    </w:lvl>
  </w:abstractNum>
  <w:abstractNum w:abstractNumId="111">
    <w:nsid w:val="327FAC77"/>
    <w:multiLevelType w:val="hybridMultilevel"/>
    <w:lvl w:ilvl="0">
      <w:lvlJc w:val="left"/>
      <w:lvlText w:val="•"/>
      <w:numFmt w:val="bullet"/>
      <w:start w:val="1"/>
    </w:lvl>
  </w:abstractNum>
  <w:abstractNum w:abstractNumId="112">
    <w:nsid w:val="5A606509"/>
    <w:multiLevelType w:val="hybridMultilevel"/>
    <w:lvl w:ilvl="0">
      <w:lvlJc w:val="left"/>
      <w:lvlText w:val="%1)"/>
      <w:numFmt w:val="lowerLetter"/>
      <w:start w:val="1"/>
    </w:lvl>
  </w:abstractNum>
  <w:abstractNum w:abstractNumId="113">
    <w:nsid w:val="6F38E6D1"/>
    <w:multiLevelType w:val="hybridMultilevel"/>
    <w:lvl w:ilvl="0">
      <w:lvlJc w:val="left"/>
      <w:lvlText w:val="%1)"/>
      <w:numFmt w:val="lowerLetter"/>
      <w:start w:val="1"/>
    </w:lvl>
  </w:abstractNum>
  <w:abstractNum w:abstractNumId="114">
    <w:nsid w:val="46111BA5"/>
    <w:multiLevelType w:val="hybridMultilevel"/>
    <w:lvl w:ilvl="0">
      <w:lvlJc w:val="left"/>
      <w:lvlText w:val="(%1)"/>
      <w:numFmt w:val="lowerLetter"/>
      <w:start w:val="4"/>
    </w:lvl>
  </w:abstractNum>
  <w:abstractNum w:abstractNumId="115">
    <w:nsid w:val="5E963896"/>
    <w:multiLevelType w:val="hybridMultilevel"/>
    <w:lvl w:ilvl="0">
      <w:lvlJc w:val="left"/>
      <w:lvlText w:val="(%1)"/>
      <w:numFmt w:val="lowerLetter"/>
      <w:start w:val="1"/>
    </w:lvl>
  </w:abstractNum>
  <w:abstractNum w:abstractNumId="116">
    <w:nsid w:val="775BA7C1"/>
    <w:multiLevelType w:val="hybridMultilevel"/>
    <w:lvl w:ilvl="0">
      <w:lvlJc w:val="left"/>
      <w:lvlText w:val="(%1)"/>
      <w:numFmt w:val="lowerLetter"/>
      <w:start w:val="4"/>
    </w:lvl>
    <w:lvl w:ilvl="1">
      <w:lvlJc w:val="left"/>
      <w:lvlText w:val="(%2)"/>
      <w:numFmt w:val="lowerRoman"/>
      <w:start w:val="1"/>
    </w:lvl>
  </w:abstractNum>
  <w:abstractNum w:abstractNumId="117">
    <w:nsid w:val="1DD6D6F4"/>
    <w:multiLevelType w:val="hybridMultilevel"/>
    <w:lvl w:ilvl="0">
      <w:lvlJc w:val="left"/>
      <w:lvlText w:val="(%1)"/>
      <w:numFmt w:val="lowerRoman"/>
      <w:start w:val="1"/>
    </w:lvl>
  </w:abstractNum>
  <w:abstractNum w:abstractNumId="118">
    <w:nsid w:val="769A091F"/>
    <w:multiLevelType w:val="hybridMultilevel"/>
    <w:lvl w:ilvl="0">
      <w:lvlJc w:val="left"/>
      <w:lvlText w:val="(%1)"/>
      <w:numFmt w:val="lowerLetter"/>
      <w:start w:val="9"/>
    </w:lvl>
  </w:abstractNum>
  <w:abstractNum w:abstractNumId="119">
    <w:nsid w:val="4695AE95"/>
    <w:multiLevelType w:val="hybridMultilevel"/>
    <w:lvl w:ilvl="0">
      <w:lvlJc w:val="left"/>
      <w:lvlText w:val="•"/>
      <w:numFmt w:val="bullet"/>
      <w:start w:val="1"/>
    </w:lvl>
  </w:abstractNum>
  <w:abstractNum w:abstractNumId="120">
    <w:nsid w:val="777A4EAA"/>
    <w:multiLevelType w:val="hybridMultilevel"/>
    <w:lvl w:ilvl="0">
      <w:lvlJc w:val="left"/>
      <w:lvlText w:val="•"/>
      <w:numFmt w:val="bullet"/>
      <w:start w:val="1"/>
    </w:lvl>
  </w:abstractNum>
  <w:abstractNum w:abstractNumId="121">
    <w:nsid w:val="3F48B982"/>
    <w:multiLevelType w:val="hybridMultilevel"/>
    <w:lvl w:ilvl="0">
      <w:lvlJc w:val="left"/>
      <w:lvlText w:val="%1."/>
      <w:numFmt w:val="decimal"/>
      <w:start w:val="1"/>
    </w:lvl>
  </w:abstractNum>
  <w:abstractNum w:abstractNumId="122">
    <w:nsid w:val="46BA8FCA"/>
    <w:multiLevelType w:val="hybridMultilevel"/>
    <w:lvl w:ilvl="0">
      <w:lvlJc w:val="left"/>
      <w:lvlText w:val="%1."/>
      <w:numFmt w:val="decimal"/>
      <w:start w:val="2"/>
    </w:lvl>
    <w:lvl w:ilvl="1">
      <w:lvlJc w:val="left"/>
      <w:lvlText w:val="%2."/>
      <w:numFmt w:val="lowerLetter"/>
      <w:start w:val="1"/>
    </w:lvl>
  </w:abstractNum>
  <w:abstractNum w:abstractNumId="123">
    <w:nsid w:val="7835626C"/>
    <w:multiLevelType w:val="hybridMultilevel"/>
    <w:lvl w:ilvl="0">
      <w:lvlJc w:val="left"/>
      <w:lvlText w:val="†"/>
      <w:numFmt w:val="bullet"/>
      <w:start w:val="1"/>
    </w:lvl>
  </w:abstractNum>
  <w:abstractNum w:abstractNumId="124">
    <w:nsid w:val="665ACA49"/>
    <w:multiLevelType w:val="hybridMultilevel"/>
    <w:lvl w:ilvl="0">
      <w:lvlJc w:val="left"/>
      <w:lvlText w:val="•"/>
      <w:numFmt w:val="bullet"/>
      <w:start w:val="1"/>
    </w:lvl>
  </w:abstractNum>
  <w:abstractNum w:abstractNumId="125">
    <w:nsid w:val="6835B2AE"/>
    <w:multiLevelType w:val="hybridMultilevel"/>
    <w:lvl w:ilvl="0">
      <w:lvlJc w:val="left"/>
      <w:lvlText w:val="*"/>
      <w:numFmt w:val="bullet"/>
      <w:start w:val="1"/>
    </w:lvl>
  </w:abstractNum>
  <w:abstractNum w:abstractNumId="126">
    <w:nsid w:val="4C187C90"/>
    <w:multiLevelType w:val="hybridMultilevel"/>
    <w:lvl w:ilvl="0">
      <w:lvlJc w:val="left"/>
      <w:lvlText w:val="(%1)"/>
      <w:numFmt w:val="lowerLetter"/>
      <w:start w:val="2"/>
    </w:lvl>
  </w:abstractNum>
  <w:abstractNum w:abstractNumId="127">
    <w:nsid w:val="541F28CD"/>
    <w:multiLevelType w:val="hybridMultilevel"/>
    <w:lvl w:ilvl="0">
      <w:lvlJc w:val="left"/>
      <w:lvlText w:val="%1."/>
      <w:numFmt w:val="decimal"/>
      <w:start w:val="1"/>
    </w:lvl>
  </w:abstractNum>
  <w:abstractNum w:abstractNumId="128">
    <w:nsid w:val="7F65FD16"/>
    <w:multiLevelType w:val="hybridMultilevel"/>
    <w:lvl w:ilvl="0">
      <w:lvlJc w:val="left"/>
      <w:lvlText w:val="%1."/>
      <w:numFmt w:val="decimal"/>
      <w:start w:val="1"/>
    </w:lvl>
  </w:abstractNum>
  <w:abstractNum w:abstractNumId="129">
    <w:nsid w:val="77C9FD68"/>
    <w:multiLevelType w:val="hybridMultilevel"/>
    <w:lvl w:ilvl="0">
      <w:lvlJc w:val="left"/>
      <w:lvlText w:val="%1."/>
      <w:numFmt w:val="upperLetter"/>
      <w:start w:val="1"/>
    </w:lvl>
  </w:abstractNum>
  <w:abstractNum w:abstractNumId="130">
    <w:nsid w:val="298A92BA"/>
    <w:multiLevelType w:val="hybridMultilevel"/>
    <w:lvl w:ilvl="0">
      <w:lvlJc w:val="left"/>
      <w:lvlText w:val="%1"/>
      <w:numFmt w:val="upperLetter"/>
      <w:start w:val="1"/>
    </w:lvl>
    <w:lvl w:ilvl="1">
      <w:lvlJc w:val="left"/>
      <w:lvlText w:val="%2."/>
      <w:numFmt w:val="decimal"/>
      <w:start w:val="1"/>
    </w:lvl>
  </w:abstractNum>
  <w:abstractNum w:abstractNumId="131">
    <w:nsid w:val="6FE95EAC"/>
    <w:multiLevelType w:val="hybridMultilevel"/>
    <w:lvl w:ilvl="0">
      <w:lvlJc w:val="left"/>
      <w:lvlText w:val="%1."/>
      <w:numFmt w:val="upperLetter"/>
      <w:start w:val="2"/>
    </w:lvl>
    <w:lvl w:ilvl="1">
      <w:lvlJc w:val="left"/>
      <w:lvlText w:val="%2"/>
      <w:numFmt w:val="decimal"/>
      <w:start w:val="1"/>
    </w:lvl>
  </w:abstractNum>
  <w:abstractNum w:abstractNumId="132">
    <w:nsid w:val="4B697C7A"/>
    <w:multiLevelType w:val="hybridMultilevel"/>
    <w:lvl w:ilvl="0">
      <w:lvlJc w:val="left"/>
      <w:lvlText w:val="%1."/>
      <w:numFmt w:val="decimal"/>
      <w:start w:val="1"/>
    </w:lvl>
  </w:abstractNum>
  <w:abstractNum w:abstractNumId="133">
    <w:nsid w:val="51A27AA6"/>
    <w:multiLevelType w:val="hybridMultilevel"/>
    <w:lvl w:ilvl="0">
      <w:lvlJc w:val="left"/>
      <w:lvlText w:val="%1."/>
      <w:numFmt w:val="decimal"/>
      <w:start w:val="2"/>
    </w:lvl>
  </w:abstractNum>
  <w:abstractNum w:abstractNumId="134">
    <w:nsid w:val="613183F2"/>
    <w:multiLevelType w:val="hybridMultilevel"/>
    <w:lvl w:ilvl="0">
      <w:lvlJc w:val="left"/>
      <w:lvlText w:val="(%1)"/>
      <w:numFmt w:val="lowerLetter"/>
      <w:start w:val="1"/>
    </w:lvl>
    <w:lvl w:ilvl="1">
      <w:lvlJc w:val="left"/>
      <w:lvlText w:val="(%2)"/>
      <w:numFmt w:val="lowerRoman"/>
      <w:start w:val="1"/>
    </w:lvl>
  </w:abstractNum>
  <w:abstractNum w:abstractNumId="135">
    <w:nsid w:val="634102B4"/>
    <w:multiLevelType w:val="hybridMultilevel"/>
    <w:lvl w:ilvl="0">
      <w:lvlJc w:val="left"/>
      <w:lvlText w:val="(%1)"/>
      <w:numFmt w:val="lowerLetter"/>
      <w:start w:val="2"/>
    </w:lvl>
  </w:abstractNum>
  <w:abstractNum w:abstractNumId="136">
    <w:nsid w:val="65BF9DA8"/>
    <w:multiLevelType w:val="hybridMultilevel"/>
    <w:lvl w:ilvl="0">
      <w:lvlJc w:val="left"/>
      <w:lvlText w:val="(%1)"/>
      <w:numFmt w:val="lowerLetter"/>
      <w:start w:val="3"/>
    </w:lvl>
  </w:abstractNum>
  <w:abstractNum w:abstractNumId="137">
    <w:nsid w:val="21A2ECCA"/>
    <w:multiLevelType w:val="hybridMultilevel"/>
    <w:lvl w:ilvl="0">
      <w:lvlJc w:val="left"/>
      <w:lvlText w:val="(%1)"/>
      <w:numFmt w:val="lowerLetter"/>
      <w:start w:val="1"/>
    </w:lvl>
  </w:abstractNum>
  <w:abstractNum w:abstractNumId="138">
    <w:nsid w:val="4D5C4899"/>
    <w:multiLevelType w:val="hybridMultilevel"/>
    <w:lvl w:ilvl="0">
      <w:lvlJc w:val="left"/>
      <w:lvlText w:val="(%1)"/>
      <w:numFmt w:val="lowerLetter"/>
      <w:start w:val="3"/>
    </w:lvl>
    <w:lvl w:ilvl="1">
      <w:lvlJc w:val="left"/>
      <w:lvlText w:val="(%2)"/>
      <w:numFmt w:val="lowerRoman"/>
      <w:start w:val="1"/>
    </w:lvl>
  </w:abstractNum>
  <w:abstractNum w:abstractNumId="139">
    <w:nsid w:val="3C3B72B2"/>
    <w:multiLevelType w:val="hybridMultilevel"/>
    <w:lvl w:ilvl="0">
      <w:lvlJc w:val="left"/>
      <w:lvlText w:val="%1."/>
      <w:numFmt w:val="decimal"/>
      <w:start w:val="3"/>
    </w:lvl>
  </w:abstractNum>
  <w:abstractNum w:abstractNumId="140">
    <w:nsid w:val="155EC4C2"/>
    <w:multiLevelType w:val="hybridMultilevel"/>
    <w:lvl w:ilvl="0">
      <w:lvlJc w:val="left"/>
      <w:lvlText w:val="%1."/>
      <w:numFmt w:val="decimal"/>
      <w:start w:val="4"/>
    </w:lvl>
  </w:abstractNum>
  <w:abstractNum w:abstractNumId="141">
    <w:nsid w:val="65D2A137"/>
    <w:multiLevelType w:val="hybridMultilevel"/>
    <w:lvl w:ilvl="0">
      <w:lvlJc w:val="left"/>
      <w:lvlText w:val="(%1)"/>
      <w:numFmt w:val="lowerLetter"/>
      <w:start w:val="2"/>
    </w:lvl>
  </w:abstractNum>
  <w:abstractNum w:abstractNumId="142">
    <w:nsid w:val="6EBB1F2A"/>
    <w:multiLevelType w:val="hybridMultilevel"/>
    <w:lvl w:ilvl="0">
      <w:lvlJc w:val="left"/>
      <w:lvlText w:val="(%1)"/>
      <w:numFmt w:val="lowerLetter"/>
      <w:start w:val="3"/>
    </w:lvl>
    <w:lvl w:ilvl="1">
      <w:lvlJc w:val="left"/>
      <w:lvlText w:val="(%2)"/>
      <w:numFmt w:val="lowerRoman"/>
      <w:start w:val="1"/>
    </w:lvl>
  </w:abstractNum>
  <w:abstractNum w:abstractNumId="143">
    <w:nsid w:val="6FBF29CB"/>
    <w:multiLevelType w:val="hybridMultilevel"/>
    <w:lvl w:ilvl="0">
      <w:lvlJc w:val="left"/>
      <w:lvlText w:val="(%1)"/>
      <w:numFmt w:val="lowerRoman"/>
      <w:start w:val="5"/>
    </w:lvl>
  </w:abstractNum>
  <w:abstractNum w:abstractNumId="144">
    <w:nsid w:val="550B8808"/>
    <w:multiLevelType w:val="hybridMultilevel"/>
    <w:lvl w:ilvl="0">
      <w:lvlJc w:val="left"/>
      <w:lvlText w:val="(%1)"/>
      <w:numFmt w:val="lowerLetter"/>
      <w:start w:val="1"/>
    </w:lvl>
  </w:abstractNum>
  <w:abstractNum w:abstractNumId="145">
    <w:nsid w:val="34CC3ACF"/>
    <w:multiLevelType w:val="hybridMultilevel"/>
    <w:lvl w:ilvl="0">
      <w:lvlJc w:val="left"/>
      <w:lvlText w:val="(%1)"/>
      <w:numFmt w:val="lowerLetter"/>
      <w:start w:val="4"/>
    </w:lvl>
  </w:abstractNum>
  <w:abstractNum w:abstractNumId="146">
    <w:nsid w:val="4E556261"/>
    <w:multiLevelType w:val="hybridMultilevel"/>
    <w:lvl w:ilvl="0">
      <w:lvlJc w:val="left"/>
      <w:lvlText w:val="(%1)"/>
      <w:numFmt w:val="lowerLetter"/>
      <w:start w:val="1"/>
    </w:lvl>
  </w:abstractNum>
  <w:abstractNum w:abstractNumId="147">
    <w:nsid w:val="4C672FC9"/>
    <w:multiLevelType w:val="hybridMultilevel"/>
    <w:lvl w:ilvl="0">
      <w:lvlJc w:val="left"/>
      <w:lvlText w:val="(%1)"/>
      <w:numFmt w:val="lowerLetter"/>
      <w:start w:val="1"/>
    </w:lvl>
    <w:lvl w:ilvl="1">
      <w:lvlJc w:val="left"/>
      <w:lvlText w:val="(%2)"/>
      <w:numFmt w:val="lowerRoman"/>
      <w:start w:val="1"/>
    </w:lvl>
  </w:abstractNum>
  <w:abstractNum w:abstractNumId="148">
    <w:nsid w:val="52A311C3"/>
    <w:multiLevelType w:val="hybridMultilevel"/>
    <w:lvl w:ilvl="0">
      <w:lvlJc w:val="left"/>
      <w:lvlText w:val="(%1)"/>
      <w:numFmt w:val="lowerLetter"/>
      <w:start w:val="2"/>
    </w:lvl>
    <w:lvl w:ilvl="1">
      <w:lvlJc w:val="left"/>
      <w:lvlText w:val="(%2)"/>
      <w:numFmt w:val="lowerRoman"/>
      <w:start w:val="1"/>
    </w:lvl>
  </w:abstractNum>
  <w:abstractNum w:abstractNumId="149">
    <w:nsid w:val="44EF6B80"/>
    <w:multiLevelType w:val="hybridMultilevel"/>
    <w:lvl w:ilvl="0">
      <w:lvlJc w:val="left"/>
      <w:lvlText w:val="(%1)"/>
      <w:numFmt w:val="lowerLetter"/>
      <w:start w:val="1"/>
    </w:lvl>
  </w:abstractNum>
  <w:abstractNum w:abstractNumId="150">
    <w:nsid w:val="12FCDE5E"/>
    <w:multiLevelType w:val="hybridMultilevel"/>
    <w:lvl w:ilvl="0">
      <w:lvlJc w:val="left"/>
      <w:lvlText w:val="(%1)"/>
      <w:numFmt w:val="lowerLetter"/>
      <w:start w:val="1"/>
    </w:lvl>
  </w:abstractNum>
  <w:abstractNum w:abstractNumId="151">
    <w:nsid w:val="4A1D606E"/>
    <w:multiLevelType w:val="hybridMultilevel"/>
    <w:lvl w:ilvl="0">
      <w:lvlJc w:val="left"/>
      <w:lvlText w:val="%1."/>
      <w:numFmt w:val="decimal"/>
      <w:start w:val="5"/>
    </w:lvl>
  </w:abstractNum>
  <w:abstractNum w:abstractNumId="152">
    <w:nsid w:val="4382503"/>
    <w:multiLevelType w:val="hybridMultilevel"/>
    <w:lvl w:ilvl="0">
      <w:lvlJc w:val="left"/>
      <w:lvlText w:val="%1."/>
      <w:numFmt w:val="decimal"/>
      <w:start w:val="6"/>
    </w:lvl>
  </w:abstractNum>
  <w:abstractNum w:abstractNumId="153">
    <w:nsid w:val="59B76E28"/>
    <w:multiLevelType w:val="hybridMultilevel"/>
    <w:lvl w:ilvl="0">
      <w:lvlJc w:val="left"/>
      <w:lvlText w:val="%1."/>
      <w:numFmt w:val="decimal"/>
      <w:start w:val="8"/>
    </w:lvl>
  </w:abstractNum>
  <w:abstractNum w:abstractNumId="154">
    <w:nsid w:val="4252C2DA"/>
    <w:multiLevelType w:val="hybridMultilevel"/>
    <w:lvl w:ilvl="0">
      <w:lvlJc w:val="left"/>
      <w:lvlText w:val="%1."/>
      <w:numFmt w:val="decimal"/>
      <w:start w:val="1"/>
    </w:lvl>
  </w:abstractNum>
  <w:abstractNum w:abstractNumId="155">
    <w:nsid w:val="6A92EF4C"/>
    <w:multiLevelType w:val="hybridMultilevel"/>
    <w:lvl w:ilvl="0">
      <w:lvlJc w:val="left"/>
      <w:lvlText w:val="%1."/>
      <w:numFmt w:val="decimal"/>
      <w:start w:val="2"/>
    </w:lvl>
  </w:abstractNum>
  <w:abstractNum w:abstractNumId="156">
    <w:nsid w:val="41ED20D7"/>
    <w:multiLevelType w:val="hybridMultilevel"/>
    <w:lvl w:ilvl="0">
      <w:lvlJc w:val="left"/>
      <w:lvlText w:val="%1."/>
      <w:numFmt w:val="decimal"/>
      <w:start w:val="6"/>
    </w:lvl>
  </w:abstractNum>
  <w:abstractNum w:abstractNumId="157">
    <w:nsid w:val="E6B3F6A"/>
    <w:multiLevelType w:val="hybridMultilevel"/>
    <w:lvl w:ilvl="0">
      <w:lvlJc w:val="left"/>
      <w:lvlText w:val="%1."/>
      <w:numFmt w:val="decimal"/>
      <w:start w:val="3"/>
    </w:lvl>
  </w:abstractNum>
  <w:abstractNum w:abstractNumId="158">
    <w:nsid w:val="3EB21819"/>
    <w:multiLevelType w:val="hybridMultilevel"/>
    <w:lvl w:ilvl="0">
      <w:lvlJc w:val="left"/>
      <w:lvlText w:val="%1."/>
      <w:numFmt w:val="decimal"/>
      <w:start w:val="1"/>
    </w:lvl>
    <w:lvl w:ilvl="1">
      <w:lvlJc w:val="left"/>
      <w:lvlText w:val="(%2)"/>
      <w:numFmt w:val="lowerLetter"/>
      <w:start w:val="1"/>
    </w:lvl>
  </w:abstractNum>
  <w:abstractNum w:abstractNumId="159">
    <w:nsid w:val="41531DED"/>
    <w:multiLevelType w:val="hybridMultilevel"/>
    <w:lvl w:ilvl="0">
      <w:lvlJc w:val="left"/>
      <w:lvlText w:val="(%1)"/>
      <w:numFmt w:val="lowerLetter"/>
      <w:start w:val="4"/>
    </w:lvl>
  </w:abstractNum>
  <w:abstractNum w:abstractNumId="160">
    <w:nsid w:val="6353CD2"/>
    <w:multiLevelType w:val="hybridMultilevel"/>
    <w:lvl w:ilvl="0">
      <w:lvlJc w:val="left"/>
      <w:lvlText w:val="%1"/>
      <w:numFmt w:val="decimal"/>
      <w:start w:val="1"/>
    </w:lvl>
    <w:lvl w:ilvl="1">
      <w:lvlJc w:val="left"/>
      <w:lvlText w:val="(%2)"/>
      <w:numFmt w:val="lowerLetter"/>
      <w:start w:val="9"/>
    </w:lvl>
  </w:abstractNum>
  <w:abstractNum w:abstractNumId="161">
    <w:nsid w:val="683CAAD3"/>
    <w:multiLevelType w:val="hybridMultilevel"/>
    <w:lvl w:ilvl="0">
      <w:lvlJc w:val="left"/>
      <w:lvlText w:val="%1."/>
      <w:numFmt w:val="decimal"/>
      <w:start w:val="2"/>
    </w:lvl>
    <w:lvl w:ilvl="1">
      <w:lvlJc w:val="left"/>
      <w:lvlText w:val="(%2)"/>
      <w:numFmt w:val="lowerLetter"/>
      <w:start w:val="1"/>
    </w:lvl>
  </w:abstractNum>
  <w:abstractNum w:abstractNumId="162">
    <w:nsid w:val="313C7C99"/>
    <w:multiLevelType w:val="hybridMultilevel"/>
    <w:lvl w:ilvl="0">
      <w:lvlJc w:val="left"/>
      <w:lvlText w:val="(%1)"/>
      <w:numFmt w:val="lowerLetter"/>
      <w:start w:val="4"/>
    </w:lvl>
  </w:abstractNum>
  <w:abstractNum w:abstractNumId="163">
    <w:nsid w:val="519EB94C"/>
    <w:multiLevelType w:val="hybridMultilevel"/>
    <w:lvl w:ilvl="0">
      <w:lvlJc w:val="left"/>
      <w:lvlText w:val="(%1)"/>
      <w:numFmt w:val="lowerLetter"/>
      <w:start w:val="11"/>
    </w:lvl>
  </w:abstractNum>
  <w:abstractNum w:abstractNumId="164">
    <w:nsid w:val="39DF2579"/>
    <w:multiLevelType w:val="hybridMultilevel"/>
    <w:lvl w:ilvl="0">
      <w:lvlJc w:val="left"/>
      <w:lvlText w:val="%1."/>
      <w:numFmt w:val="decimal"/>
      <w:start w:val="3"/>
    </w:lvl>
    <w:lvl w:ilvl="1">
      <w:lvlJc w:val="left"/>
      <w:lvlText w:val="(%2)"/>
      <w:numFmt w:val="lowerLetter"/>
      <w:start w:val="1"/>
    </w:lvl>
  </w:abstractNum>
  <w:abstractNum w:abstractNumId="165">
    <w:nsid w:val="126E008B"/>
    <w:multiLevelType w:val="hybridMultilevel"/>
    <w:lvl w:ilvl="0">
      <w:lvlJc w:val="left"/>
      <w:lvlText w:val="(%1)"/>
      <w:numFmt w:val="lowerLetter"/>
      <w:start w:val="5"/>
    </w:lvl>
  </w:abstractNum>
  <w:abstractNum w:abstractNumId="166">
    <w:nsid w:val="34DFBC00"/>
    <w:multiLevelType w:val="hybridMultilevel"/>
    <w:lvl w:ilvl="0">
      <w:lvlJc w:val="left"/>
      <w:lvlText w:val="(%1)"/>
      <w:numFmt w:val="lowerLetter"/>
      <w:start w:val="6"/>
    </w:lvl>
  </w:abstractNum>
  <w:abstractNum w:abstractNumId="167">
    <w:nsid w:val="1F9EC322"/>
    <w:multiLevelType w:val="hybridMultilevel"/>
    <w:lvl w:ilvl="0">
      <w:lvlJc w:val="left"/>
      <w:lvlText w:val="(%1)"/>
      <w:numFmt w:val="lowerLetter"/>
      <w:start w:val="8"/>
    </w:lvl>
  </w:abstractNum>
  <w:abstractNum w:abstractNumId="168">
    <w:nsid w:val="3410ED56"/>
    <w:multiLevelType w:val="hybridMultilevel"/>
    <w:lvl w:ilvl="0">
      <w:lvlJc w:val="left"/>
      <w:lvlText w:val="(%1)"/>
      <w:numFmt w:val="lowerLetter"/>
      <w:start w:val="12"/>
    </w:lvl>
  </w:abstractNum>
  <w:abstractNum w:abstractNumId="169">
    <w:nsid w:val="23C049A"/>
    <w:multiLevelType w:val="hybridMultilevel"/>
    <w:lvl w:ilvl="0">
      <w:lvlJc w:val="left"/>
      <w:lvlText w:val="%1"/>
      <w:numFmt w:val="decimal"/>
      <w:start w:val="1"/>
    </w:lvl>
    <w:lvl w:ilvl="1">
      <w:lvlJc w:val="left"/>
      <w:lvlText w:val="(%2)"/>
      <w:numFmt w:val="lowerLetter"/>
      <w:start w:val="13"/>
    </w:lvl>
  </w:abstractNum>
  <w:abstractNum w:abstractNumId="170">
    <w:nsid w:val="5BDA35D4"/>
    <w:multiLevelType w:val="hybridMultilevel"/>
    <w:lvl w:ilvl="0">
      <w:lvlJc w:val="left"/>
      <w:lvlText w:val="%1."/>
      <w:numFmt w:val="decimal"/>
      <w:start w:val="4"/>
    </w:lvl>
    <w:lvl w:ilvl="1">
      <w:lvlJc w:val="left"/>
      <w:lvlText w:val="(%2)"/>
      <w:numFmt w:val="lowerLetter"/>
      <w:start w:val="1"/>
    </w:lvl>
  </w:abstractNum>
  <w:abstractNum w:abstractNumId="171">
    <w:nsid w:val="496FB218"/>
    <w:multiLevelType w:val="hybridMultilevel"/>
    <w:lvl w:ilvl="0">
      <w:lvlJc w:val="left"/>
      <w:lvlText w:val="(%1)"/>
      <w:numFmt w:val="lowerLetter"/>
      <w:start w:val="4"/>
    </w:lvl>
  </w:abstractNum>
  <w:abstractNum w:abstractNumId="172">
    <w:nsid w:val="680EA5D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5"/>
    </w:lvl>
    <w:lvl w:ilvl="4">
      <w:lvlJc w:val="left"/>
      <w:lvlText w:val="%5"/>
      <w:numFmt w:val="lowerLetter"/>
      <w:start w:val="1"/>
    </w:lvl>
  </w:abstractNum>
  <w:abstractNum w:abstractNumId="173">
    <w:nsid w:val="4A9554FE"/>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174">
    <w:nsid w:val="392EDBE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75">
    <w:nsid w:val="3D1A2DD9"/>
    <w:multiLevelType w:val="hybridMultilevel"/>
    <w:lvl w:ilvl="0">
      <w:lvlJc w:val="left"/>
      <w:lvlText w:val="(%1)"/>
      <w:numFmt w:val="lowerRoman"/>
      <w:start w:val="2"/>
    </w:lvl>
  </w:abstractNum>
  <w:abstractNum w:abstractNumId="176">
    <w:nsid w:val="7F618FCD"/>
    <w:multiLevelType w:val="hybridMultilevel"/>
    <w:lvl w:ilvl="0">
      <w:lvlJc w:val="left"/>
      <w:lvlText w:val="%1"/>
      <w:numFmt w:val="lowerLetter"/>
      <w:start w:val="1"/>
    </w:lvl>
    <w:lvl w:ilvl="1">
      <w:lvlJc w:val="left"/>
      <w:lvlText w:val="(%2)"/>
      <w:numFmt w:val="lowerRoman"/>
      <w:start w:val="3"/>
    </w:lvl>
  </w:abstractNum>
  <w:abstractNum w:abstractNumId="177">
    <w:nsid w:val="7843E45"/>
    <w:multiLevelType w:val="hybridMultilevel"/>
    <w:lvl w:ilvl="0">
      <w:lvlJc w:val="left"/>
      <w:lvlText w:val="(%1)"/>
      <w:numFmt w:val="lowerLetter"/>
      <w:start w:val="2"/>
    </w:lvl>
    <w:lvl w:ilvl="1">
      <w:lvlJc w:val="left"/>
      <w:lvlText w:val="%2"/>
      <w:numFmt w:val="lowerRoman"/>
      <w:start w:val="1"/>
    </w:lvl>
  </w:abstractNum>
  <w:abstractNum w:abstractNumId="178">
    <w:nsid w:val="9815DA3"/>
    <w:multiLevelType w:val="hybridMultilevel"/>
    <w:lvl w:ilvl="0">
      <w:lvlJc w:val="left"/>
      <w:lvlText w:val="(%1)"/>
      <w:numFmt w:val="lowerRoman"/>
      <w:start w:val="1"/>
    </w:lvl>
  </w:abstractNum>
  <w:abstractNum w:abstractNumId="179">
    <w:nsid w:val="5204A191"/>
    <w:multiLevelType w:val="hybridMultilevel"/>
    <w:lvl w:ilvl="0">
      <w:lvlJc w:val="left"/>
      <w:lvlText w:val="(%1)"/>
      <w:numFmt w:val="lowerLetter"/>
      <w:start w:val="3"/>
    </w:lvl>
  </w:abstractNum>
  <w:abstractNum w:abstractNumId="180">
    <w:nsid w:val="4C73A9C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1">
    <w:nsid w:val="1C7E3C01"/>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82">
    <w:nsid w:val="1C2201FF"/>
    <w:multiLevelType w:val="hybridMultilevel"/>
    <w:lvl w:ilvl="0">
      <w:lvlJc w:val="left"/>
      <w:lvlText w:val="%1"/>
      <w:numFmt w:val="lowerLetter"/>
      <w:start w:val="1"/>
    </w:lvl>
    <w:lvl w:ilvl="1">
      <w:lvlJc w:val="left"/>
      <w:lvlText w:val="(%2)"/>
      <w:numFmt w:val="lowerLetter"/>
      <w:start w:val="61"/>
    </w:lvl>
  </w:abstractNum>
  <w:abstractNum w:abstractNumId="183">
    <w:nsid w:val="50ABCEC9"/>
    <w:multiLevelType w:val="hybridMultilevel"/>
    <w:lvl w:ilvl="0">
      <w:lvlJc w:val="left"/>
      <w:lvlText w:val="(%1)"/>
      <w:numFmt w:val="lowerLetter"/>
      <w:start w:val="6"/>
    </w:lvl>
    <w:lvl w:ilvl="1">
      <w:lvlJc w:val="left"/>
      <w:lvlText w:val="(%2)"/>
      <w:numFmt w:val="lowerLetter"/>
      <w:start w:val="9"/>
    </w:lvl>
  </w:abstractNum>
  <w:abstractNum w:abstractNumId="184">
    <w:nsid w:val="7635AA2A"/>
    <w:multiLevelType w:val="hybridMultilevel"/>
    <w:lvl w:ilvl="0">
      <w:lvlJc w:val="left"/>
      <w:lvlText w:val="%1"/>
      <w:numFmt w:val="lowerLetter"/>
      <w:start w:val="1"/>
    </w:lvl>
    <w:lvl w:ilvl="1">
      <w:lvlJc w:val="left"/>
      <w:lvlText w:val="(%2)"/>
      <w:numFmt w:val="lowerLetter"/>
      <w:start w:val="35"/>
    </w:lvl>
  </w:abstractNum>
  <w:abstractNum w:abstractNumId="185">
    <w:nsid w:val="5E74C4D9"/>
    <w:multiLevelType w:val="hybridMultilevel"/>
    <w:lvl w:ilvl="0">
      <w:lvlJc w:val="left"/>
      <w:lvlText w:val="(%1)"/>
      <w:numFmt w:val="lowerLetter"/>
      <w:start w:val="7"/>
    </w:lvl>
    <w:lvl w:ilvl="1">
      <w:lvlJc w:val="left"/>
      <w:lvlText w:val="(%2)"/>
      <w:numFmt w:val="lowerLetter"/>
      <w:start w:val="9"/>
    </w:lvl>
  </w:abstractNum>
  <w:abstractNum w:abstractNumId="186">
    <w:nsid w:val="3B3EBE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87">
    <w:nsid w:val="3822CB01"/>
    <w:multiLevelType w:val="hybridMultilevel"/>
    <w:lvl w:ilvl="0">
      <w:lvlJc w:val="left"/>
      <w:lvlText w:val="(%1)"/>
      <w:numFmt w:val="decimal"/>
      <w:start w:val="60"/>
    </w:lvl>
    <w:lvl w:ilvl="1">
      <w:lvlJc w:val="left"/>
      <w:lvlText w:val="(%2)"/>
      <w:numFmt w:val="lowerLetter"/>
      <w:start w:val="7"/>
    </w:lvl>
    <w:lvl w:ilvl="2">
      <w:lvlJc w:val="left"/>
      <w:lvlText w:val="(%3)"/>
      <w:numFmt w:val="lowerLetter"/>
      <w:start w:val="61"/>
    </w:lvl>
  </w:abstractNum>
  <w:abstractNum w:abstractNumId="188">
    <w:nsid w:val="6CE00443"/>
    <w:multiLevelType w:val="hybridMultilevel"/>
    <w:lvl w:ilvl="0">
      <w:lvlJc w:val="left"/>
      <w:lvlText w:val="%1."/>
      <w:numFmt w:val="decimal"/>
      <w:start w:val="6"/>
    </w:lvl>
    <w:lvl w:ilvl="1">
      <w:lvlJc w:val="left"/>
      <w:lvlText w:val="(%2)"/>
      <w:numFmt w:val="lowerLetter"/>
      <w:start w:val="1"/>
    </w:lvl>
  </w:abstractNum>
  <w:abstractNum w:abstractNumId="189">
    <w:nsid w:val="79F0D62F"/>
    <w:multiLevelType w:val="hybridMultilevel"/>
    <w:lvl w:ilvl="0">
      <w:lvlJc w:val="left"/>
      <w:lvlText w:val="%1."/>
      <w:numFmt w:val="decimal"/>
      <w:start w:val="1"/>
    </w:lvl>
  </w:abstractNum>
  <w:abstractNum w:abstractNumId="190">
    <w:nsid w:val="7975E8EE"/>
    <w:multiLevelType w:val="hybridMultilevel"/>
    <w:lvl w:ilvl="0">
      <w:lvlJc w:val="left"/>
      <w:lvlText w:val="%1."/>
      <w:numFmt w:val="decimal"/>
      <w:start w:val="2"/>
    </w:lvl>
    <w:lvl w:ilvl="1">
      <w:lvlJc w:val="left"/>
      <w:lvlText w:val="(%2)"/>
      <w:numFmt w:val="lowerLetter"/>
      <w:start w:val="1"/>
    </w:lvl>
  </w:abstractNum>
  <w:abstractNum w:abstractNumId="191">
    <w:nsid w:val="73154115"/>
    <w:multiLevelType w:val="hybridMultilevel"/>
    <w:lvl w:ilvl="0">
      <w:lvlJc w:val="left"/>
      <w:lvlText w:val="(%1)"/>
      <w:numFmt w:val="lowerLetter"/>
      <w:start w:val="2"/>
    </w:lvl>
  </w:abstractNum>
  <w:abstractNum w:abstractNumId="192">
    <w:nsid w:val="622D8102"/>
    <w:multiLevelType w:val="hybridMultilevel"/>
    <w:lvl w:ilvl="0">
      <w:lvlJc w:val="left"/>
      <w:lvlText w:val="(%1)"/>
      <w:numFmt w:val="lowerLetter"/>
      <w:start w:val="1"/>
    </w:lvl>
  </w:abstractNum>
  <w:abstractNum w:abstractNumId="193">
    <w:nsid w:val="2AB26587"/>
    <w:multiLevelType w:val="hybridMultilevel"/>
    <w:lvl w:ilvl="0">
      <w:lvlJc w:val="left"/>
      <w:lvlText w:val="(%1)"/>
      <w:numFmt w:val="lowerLetter"/>
      <w:start w:val="2"/>
    </w:lvl>
  </w:abstractNum>
  <w:abstractNum w:abstractNumId="194">
    <w:nsid w:val="44B3FA61"/>
    <w:multiLevelType w:val="hybridMultilevel"/>
    <w:lvl w:ilvl="0">
      <w:lvlJc w:val="left"/>
      <w:lvlText w:val="(%1)"/>
      <w:numFmt w:val="lowerLetter"/>
      <w:start w:val="3"/>
    </w:lvl>
  </w:abstractNum>
  <w:abstractNum w:abstractNumId="195">
    <w:nsid w:val="1C0CA67C"/>
    <w:multiLevelType w:val="hybridMultilevel"/>
    <w:lvl w:ilvl="0">
      <w:lvlJc w:val="left"/>
      <w:lvlText w:val="(%1)"/>
      <w:numFmt w:val="lowerLetter"/>
      <w:start w:val="1"/>
    </w:lvl>
  </w:abstractNum>
  <w:abstractNum w:abstractNumId="196">
    <w:nsid w:val="3D206613"/>
    <w:multiLevelType w:val="hybridMultilevel"/>
    <w:lvl w:ilvl="0">
      <w:lvlJc w:val="left"/>
      <w:lvlText w:val="(%1)"/>
      <w:numFmt w:val="lowerLetter"/>
      <w:start w:val="7"/>
    </w:lvl>
  </w:abstractNum>
  <w:abstractNum w:abstractNumId="197">
    <w:nsid w:val="7993B662"/>
    <w:multiLevelType w:val="hybridMultilevel"/>
    <w:lvl w:ilvl="0">
      <w:lvlJc w:val="left"/>
      <w:lvlText w:val="(%1)"/>
      <w:numFmt w:val="lowerLetter"/>
      <w:start w:val="1"/>
    </w:lvl>
  </w:abstractNum>
  <w:abstractNum w:abstractNumId="198">
    <w:nsid w:val="3BAB699E"/>
    <w:multiLevelType w:val="hybridMultilevel"/>
    <w:lvl w:ilvl="0">
      <w:lvlJc w:val="left"/>
      <w:lvlText w:val="(%1)"/>
      <w:numFmt w:val="lowerLetter"/>
      <w:start w:val="3"/>
    </w:lvl>
  </w:abstractNum>
  <w:abstractNum w:abstractNumId="199">
    <w:nsid w:val="71315369"/>
    <w:multiLevelType w:val="hybridMultilevel"/>
    <w:lvl w:ilvl="0">
      <w:lvlJc w:val="left"/>
      <w:lvlText w:val="(%1)"/>
      <w:numFmt w:val="lowerLetter"/>
      <w:start w:val="5"/>
    </w:lvl>
  </w:abstractNum>
  <w:abstractNum w:abstractNumId="200">
    <w:nsid w:val="7BCFBAFC"/>
    <w:multiLevelType w:val="hybridMultilevel"/>
    <w:lvl w:ilvl="0">
      <w:lvlJc w:val="left"/>
      <w:lvlText w:val="(%1)"/>
      <w:numFmt w:val="lowerLetter"/>
      <w:start w:val="1"/>
    </w:lvl>
  </w:abstractNum>
  <w:abstractNum w:abstractNumId="201">
    <w:nsid w:val="17859F72"/>
    <w:multiLevelType w:val="hybridMultilevel"/>
    <w:lvl w:ilvl="0">
      <w:lvlJc w:val="left"/>
      <w:lvlText w:val="(%1)"/>
      <w:numFmt w:val="lowerLetter"/>
      <w:start w:val="1"/>
    </w:lvl>
  </w:abstractNum>
  <w:abstractNum w:abstractNumId="202">
    <w:nsid w:val="3AA10581"/>
    <w:multiLevelType w:val="hybridMultilevel"/>
    <w:lvl w:ilvl="0">
      <w:lvlJc w:val="left"/>
      <w:lvlText w:val="(%1)"/>
      <w:numFmt w:val="lowerLetter"/>
      <w:start w:val="3"/>
    </w:lvl>
  </w:abstractNum>
  <w:abstractNum w:abstractNumId="203">
    <w:nsid w:val="63DE60CD"/>
    <w:multiLevelType w:val="hybridMultilevel"/>
    <w:lvl w:ilvl="0">
      <w:lvlJc w:val="left"/>
      <w:lvlText w:val="%1"/>
      <w:numFmt w:val="decimal"/>
      <w:start w:val="1"/>
    </w:lvl>
    <w:lvl w:ilvl="1">
      <w:lvlJc w:val="left"/>
      <w:lvlText w:val="(%2)"/>
      <w:numFmt w:val="lowerLetter"/>
      <w:start w:val="1"/>
    </w:lvl>
  </w:abstractNum>
  <w:abstractNum w:abstractNumId="204">
    <w:nsid w:val="621AF471"/>
    <w:multiLevelType w:val="hybridMultilevel"/>
    <w:lvl w:ilvl="0">
      <w:lvlJc w:val="left"/>
      <w:lvlText w:val="%1."/>
      <w:numFmt w:val="decimal"/>
      <w:start w:val="3"/>
    </w:lvl>
    <w:lvl w:ilvl="1">
      <w:lvlJc w:val="left"/>
      <w:lvlText w:val="%2"/>
      <w:numFmt w:val="lowerLetter"/>
      <w:start w:val="1"/>
    </w:lvl>
  </w:abstractNum>
  <w:abstractNum w:abstractNumId="205">
    <w:nsid w:val="73CFE165"/>
    <w:multiLevelType w:val="hybridMultilevel"/>
    <w:lvl w:ilvl="0">
      <w:lvlJc w:val="left"/>
      <w:lvlText w:val="(%1)"/>
      <w:numFmt w:val="lowerLetter"/>
      <w:start w:val="1"/>
    </w:lvl>
  </w:abstractNum>
  <w:abstractNum w:abstractNumId="206">
    <w:nsid w:val="20F88EA6"/>
    <w:multiLevelType w:val="hybridMultilevel"/>
    <w:lvl w:ilvl="0">
      <w:lvlJc w:val="left"/>
      <w:lvlText w:val="(%1)"/>
      <w:numFmt w:val="lowerRoman"/>
      <w:start w:val="2"/>
    </w:lvl>
  </w:abstractNum>
  <w:abstractNum w:abstractNumId="207">
    <w:nsid w:val="617C843E"/>
    <w:multiLevelType w:val="hybridMultilevel"/>
    <w:lvl w:ilvl="0">
      <w:lvlJc w:val="left"/>
      <w:lvlText w:val="%1."/>
      <w:numFmt w:val="decimal"/>
      <w:start w:val="4"/>
    </w:lvl>
  </w:abstractNum>
  <w:abstractNum w:abstractNumId="208">
    <w:nsid w:val="7B541FAB"/>
    <w:multiLevelType w:val="hybridMultilevel"/>
    <w:lvl w:ilvl="0">
      <w:lvlJc w:val="left"/>
      <w:lvlText w:val="(%1)"/>
      <w:numFmt w:val="lowerLetter"/>
      <w:start w:val="1"/>
    </w:lvl>
    <w:lvl w:ilvl="1">
      <w:lvlJc w:val="left"/>
      <w:lvlText w:val="(%2)"/>
      <w:numFmt w:val="lowerRoman"/>
      <w:start w:val="1"/>
    </w:lvl>
  </w:abstractNum>
  <w:abstractNum w:abstractNumId="209">
    <w:nsid w:val="2A79EC49"/>
    <w:multiLevelType w:val="hybridMultilevel"/>
    <w:lvl w:ilvl="0">
      <w:lvlJc w:val="left"/>
      <w:lvlText w:val="%1"/>
      <w:numFmt w:val="lowerLetter"/>
      <w:start w:val="1"/>
    </w:lvl>
    <w:lvl w:ilvl="1">
      <w:lvlJc w:val="left"/>
      <w:lvlText w:val="(%2)"/>
      <w:numFmt w:val="lowerLetter"/>
      <w:start w:val="22"/>
    </w:lvl>
  </w:abstractNum>
  <w:abstractNum w:abstractNumId="210">
    <w:nsid w:val="338125CF"/>
    <w:multiLevelType w:val="hybridMultilevel"/>
    <w:lvl w:ilvl="0">
      <w:lvlJc w:val="left"/>
      <w:lvlText w:val="(%1)"/>
      <w:numFmt w:val="lowerLetter"/>
      <w:start w:val="2"/>
    </w:lvl>
    <w:lvl w:ilvl="1">
      <w:lvlJc w:val="left"/>
      <w:lvlText w:val="%2"/>
      <w:numFmt w:val="lowerLetter"/>
      <w:start w:val="1"/>
    </w:lvl>
  </w:abstractNum>
  <w:abstractNum w:abstractNumId="211">
    <w:nsid w:val="47C7C971"/>
    <w:multiLevelType w:val="hybridMultilevel"/>
    <w:lvl w:ilvl="0">
      <w:lvlJc w:val="left"/>
      <w:lvlText w:val="(%1)"/>
      <w:numFmt w:val="lowerLetter"/>
      <w:start w:val="3"/>
    </w:lvl>
  </w:abstractNum>
  <w:abstractNum w:abstractNumId="212">
    <w:nsid w:val="46F8284B"/>
    <w:multiLevelType w:val="hybridMultilevel"/>
    <w:lvl w:ilvl="0">
      <w:lvlJc w:val="left"/>
      <w:lvlText w:val="(%1)"/>
      <w:numFmt w:val="lowerLetter"/>
      <w:start w:val="4"/>
    </w:lvl>
  </w:abstractNum>
  <w:abstractNum w:abstractNumId="213">
    <w:nsid w:val="4FA327CE"/>
    <w:multiLevelType w:val="hybridMultilevel"/>
    <w:lvl w:ilvl="0">
      <w:lvlJc w:val="left"/>
      <w:lvlText w:val="(%1)"/>
      <w:numFmt w:val="lowerLetter"/>
      <w:start w:val="1"/>
    </w:lvl>
  </w:abstractNum>
  <w:abstractNum w:abstractNumId="214">
    <w:nsid w:val="1873983A"/>
    <w:multiLevelType w:val="hybridMultilevel"/>
    <w:lvl w:ilvl="0">
      <w:lvlJc w:val="left"/>
      <w:lvlText w:val="(%1)"/>
      <w:numFmt w:val="lowerLetter"/>
      <w:start w:val="5"/>
    </w:lvl>
  </w:abstractNum>
  <w:abstractNum w:abstractNumId="215">
    <w:nsid w:val="3D2DD275"/>
    <w:multiLevelType w:val="hybridMultilevel"/>
    <w:lvl w:ilvl="0">
      <w:lvlJc w:val="left"/>
      <w:lvlText w:val="(%1)"/>
      <w:numFmt w:val="decimal"/>
      <w:start w:val="1"/>
    </w:lvl>
  </w:abstractNum>
  <w:abstractNum w:abstractNumId="216">
    <w:nsid w:val="2E17ECA7"/>
    <w:multiLevelType w:val="hybridMultilevel"/>
    <w:lvl w:ilvl="0">
      <w:lvlJc w:val="left"/>
      <w:lvlText w:val="%1."/>
      <w:numFmt w:val="decimal"/>
      <w:start w:val="5"/>
    </w:lvl>
  </w:abstractNum>
  <w:abstractNum w:abstractNumId="217">
    <w:nsid w:val="53B2564F"/>
    <w:multiLevelType w:val="hybridMultilevel"/>
    <w:lvl w:ilvl="0">
      <w:lvlJc w:val="left"/>
      <w:lvlText w:val="%1"/>
      <w:numFmt w:val="decimal"/>
      <w:start w:val="1"/>
    </w:lvl>
    <w:lvl w:ilvl="1">
      <w:lvlJc w:val="left"/>
      <w:lvlText w:val="(%2)"/>
      <w:numFmt w:val="lowerLetter"/>
      <w:start w:val="1"/>
    </w:lvl>
  </w:abstractNum>
  <w:abstractNum w:abstractNumId="218">
    <w:nsid w:val="75509D76"/>
    <w:multiLevelType w:val="hybridMultilevel"/>
    <w:lvl w:ilvl="0">
      <w:lvlJc w:val="left"/>
      <w:lvlText w:val="%1."/>
      <w:numFmt w:val="decimal"/>
      <w:start w:val="6"/>
    </w:lvl>
    <w:lvl w:ilvl="1">
      <w:lvlJc w:val="left"/>
      <w:lvlText w:val="%2"/>
      <w:numFmt w:val="lowerLetter"/>
      <w:start w:val="1"/>
    </w:lvl>
  </w:abstractNum>
  <w:abstractNum w:abstractNumId="219">
    <w:nsid w:val="1AF7F0EA"/>
    <w:multiLevelType w:val="hybridMultilevel"/>
    <w:lvl w:ilvl="0">
      <w:lvlJc w:val="left"/>
      <w:lvlText w:val="(%1)"/>
      <w:numFmt w:val="lowerRoman"/>
      <w:start w:val="10"/>
    </w:lvl>
  </w:abstractNum>
  <w:abstractNum w:abstractNumId="220">
    <w:nsid w:val="4DA32C7E"/>
    <w:multiLevelType w:val="hybridMultilevel"/>
    <w:lvl w:ilvl="0">
      <w:lvlJc w:val="left"/>
      <w:lvlText w:val="(%1)"/>
      <w:numFmt w:val="lowerLetter"/>
      <w:start w:val="1"/>
    </w:lvl>
  </w:abstractNum>
  <w:abstractNum w:abstractNumId="221">
    <w:nsid w:val="6EC68664"/>
    <w:multiLevelType w:val="hybridMultilevel"/>
    <w:lvl w:ilvl="0">
      <w:lvlJc w:val="left"/>
      <w:lvlText w:val="(%1)"/>
      <w:numFmt w:val="lowerLetter"/>
      <w:start w:val="1"/>
    </w:lvl>
  </w:abstractNum>
  <w:abstractNum w:abstractNumId="222">
    <w:nsid w:val="E0D31FF"/>
    <w:multiLevelType w:val="hybridMultilevel"/>
    <w:lvl w:ilvl="0">
      <w:lvlJc w:val="left"/>
      <w:lvlText w:val="%1"/>
      <w:numFmt w:val="upperLetter"/>
      <w:start w:val="1"/>
    </w:lvl>
    <w:lvl w:ilvl="1">
      <w:lvlJc w:val="left"/>
      <w:lvlText w:val="(%2)"/>
      <w:numFmt w:val="lowerLetter"/>
      <w:start w:val="1"/>
    </w:lvl>
  </w:abstractNum>
  <w:abstractNum w:abstractNumId="223">
    <w:nsid w:val="2FD0AD81"/>
    <w:multiLevelType w:val="hybridMultilevel"/>
    <w:lvl w:ilvl="0">
      <w:lvlJc w:val="left"/>
      <w:lvlText w:val="(%1)"/>
      <w:numFmt w:val="lowerRoman"/>
      <w:start w:val="1"/>
    </w:lvl>
    <w:lvl w:ilvl="1">
      <w:lvlJc w:val="left"/>
      <w:lvlText w:val="(%2)"/>
      <w:numFmt w:val="upperLetter"/>
      <w:start w:val="1"/>
    </w:lvl>
  </w:abstractNum>
  <w:abstractNum w:abstractNumId="224">
    <w:nsid w:val="1978EBEB"/>
    <w:multiLevelType w:val="hybridMultilevel"/>
    <w:lvl w:ilvl="0">
      <w:lvlJc w:val="left"/>
      <w:lvlText w:val="(%1)"/>
      <w:numFmt w:val="lowerLetter"/>
      <w:start w:val="3"/>
    </w:lvl>
  </w:abstractNum>
  <w:abstractNum w:abstractNumId="225">
    <w:nsid w:val="52C12C61"/>
    <w:multiLevelType w:val="hybridMultilevel"/>
    <w:lvl w:ilvl="0">
      <w:lvlJc w:val="left"/>
      <w:lvlText w:val="(%1)"/>
      <w:numFmt w:val="lowerLetter"/>
      <w:start w:val="1"/>
    </w:lvl>
  </w:abstractNum>
  <w:abstractNum w:abstractNumId="226">
    <w:nsid w:val="4BDD53FD"/>
    <w:multiLevelType w:val="hybridMultilevel"/>
    <w:lvl w:ilvl="0">
      <w:lvlJc w:val="left"/>
      <w:lvlText w:val="(%1)"/>
      <w:numFmt w:val="lowerLetter"/>
      <w:start w:val="2"/>
    </w:lvl>
    <w:lvl w:ilvl="1">
      <w:lvlJc w:val="left"/>
      <w:lvlText w:val="(%2)"/>
      <w:numFmt w:val="lowerRoman"/>
      <w:start w:val="1"/>
    </w:lvl>
  </w:abstractNum>
  <w:abstractNum w:abstractNumId="227">
    <w:nsid w:val="569951FE"/>
    <w:multiLevelType w:val="hybridMultilevel"/>
    <w:lvl w:ilvl="0">
      <w:lvlJc w:val="left"/>
      <w:lvlText w:val="(%1)"/>
      <w:numFmt w:val="lowerLetter"/>
      <w:start w:val="6"/>
    </w:lvl>
  </w:abstractNum>
  <w:abstractNum w:abstractNumId="228">
    <w:nsid w:val="4C54E2C3"/>
    <w:multiLevelType w:val="hybridMultilevel"/>
    <w:lvl w:ilvl="0">
      <w:lvlJc w:val="left"/>
      <w:lvlText w:val="(%1)"/>
      <w:numFmt w:val="lowerLetter"/>
      <w:start w:val="7"/>
    </w:lvl>
  </w:abstractNum>
  <w:abstractNum w:abstractNumId="229">
    <w:nsid w:val="788BD9B"/>
    <w:multiLevelType w:val="hybridMultilevel"/>
    <w:lvl w:ilvl="0">
      <w:lvlJc w:val="left"/>
      <w:lvlText w:val="(%1)"/>
      <w:numFmt w:val="lowerLetter"/>
      <w:start w:val="1"/>
    </w:lvl>
  </w:abstractNum>
  <w:abstractNum w:abstractNumId="230">
    <w:nsid w:val="47CAA567"/>
    <w:multiLevelType w:val="hybridMultilevel"/>
    <w:lvl w:ilvl="0">
      <w:lvlJc w:val="left"/>
      <w:lvlText w:val="(%1)"/>
      <w:numFmt w:val="lowerLetter"/>
      <w:start w:val="2"/>
    </w:lvl>
    <w:lvl w:ilvl="1">
      <w:lvlJc w:val="left"/>
      <w:lvlText w:val="(%2)"/>
      <w:numFmt w:val="lowerRoman"/>
      <w:start w:val="1"/>
    </w:lvl>
  </w:abstractNum>
  <w:abstractNum w:abstractNumId="231">
    <w:nsid w:val="48249DBF"/>
    <w:multiLevelType w:val="hybridMultilevel"/>
    <w:lvl w:ilvl="0">
      <w:lvlJc w:val="left"/>
      <w:lvlText w:val="(%1)"/>
      <w:numFmt w:val="lowerLetter"/>
      <w:start w:val="6"/>
    </w:lvl>
  </w:abstractNum>
  <w:abstractNum w:abstractNumId="232">
    <w:nsid w:val="1F0E5D0D"/>
    <w:multiLevelType w:val="hybridMultilevel"/>
    <w:lvl w:ilvl="0">
      <w:lvlJc w:val="left"/>
      <w:lvlText w:val="(%1)"/>
      <w:numFmt w:val="lowerLetter"/>
      <w:start w:val="1"/>
    </w:lvl>
  </w:abstractNum>
  <w:abstractNum w:abstractNumId="233">
    <w:nsid w:val="26BAAE9"/>
    <w:multiLevelType w:val="hybridMultilevel"/>
    <w:lvl w:ilvl="0">
      <w:lvlJc w:val="left"/>
      <w:lvlText w:val="(%1)"/>
      <w:numFmt w:val="lowerLetter"/>
      <w:start w:val="4"/>
    </w:lvl>
  </w:abstractNum>
  <w:abstractNum w:abstractNumId="234">
    <w:nsid w:val="2C02FE8C"/>
    <w:multiLevelType w:val="hybridMultilevel"/>
    <w:lvl w:ilvl="0">
      <w:lvlJc w:val="left"/>
      <w:lvlText w:val="(%1)"/>
      <w:numFmt w:val="lowerLetter"/>
      <w:start w:val="1"/>
    </w:lvl>
  </w:abstractNum>
  <w:abstractNum w:abstractNumId="235">
    <w:nsid w:val="129517E"/>
    <w:multiLevelType w:val="hybridMultilevel"/>
    <w:lvl w:ilvl="0">
      <w:lvlJc w:val="left"/>
      <w:lvlText w:val="(%1)"/>
      <w:numFmt w:val="lowerLetter"/>
      <w:start w:val="2"/>
    </w:lvl>
  </w:abstractNum>
  <w:abstractNum w:abstractNumId="236">
    <w:nsid w:val="763B8C4E"/>
    <w:multiLevelType w:val="hybridMultilevel"/>
    <w:lvl w:ilvl="0">
      <w:lvlJc w:val="left"/>
      <w:lvlText w:val="(%1)"/>
      <w:numFmt w:val="lowerLetter"/>
      <w:start w:val="4"/>
    </w:lvl>
  </w:abstractNum>
  <w:abstractNum w:abstractNumId="237">
    <w:nsid w:val="4CFB8D32"/>
    <w:multiLevelType w:val="hybridMultilevel"/>
    <w:lvl w:ilvl="0">
      <w:lvlJc w:val="left"/>
      <w:lvlText w:val="(%1)"/>
      <w:numFmt w:val="lowerLetter"/>
      <w:start w:val="1"/>
    </w:lvl>
  </w:abstractNum>
  <w:abstractNum w:abstractNumId="238">
    <w:nsid w:val="62A5D5BD"/>
    <w:multiLevelType w:val="hybridMultilevel"/>
    <w:lvl w:ilvl="0">
      <w:lvlJc w:val="left"/>
      <w:lvlText w:val="(%1)"/>
      <w:numFmt w:val="lowerLetter"/>
      <w:start w:val="2"/>
    </w:lvl>
  </w:abstractNum>
  <w:abstractNum w:abstractNumId="239">
    <w:nsid w:val="718FABF9"/>
    <w:multiLevelType w:val="hybridMultilevel"/>
    <w:lvl w:ilvl="0">
      <w:lvlJc w:val="left"/>
      <w:lvlText w:val="(%1)"/>
      <w:numFmt w:val="lowerRoman"/>
      <w:start w:val="1"/>
    </w:lvl>
  </w:abstractNum>
  <w:abstractNum w:abstractNumId="240">
    <w:nsid w:val="7775797C"/>
    <w:multiLevelType w:val="hybridMultilevel"/>
    <w:lvl w:ilvl="0">
      <w:lvlJc w:val="left"/>
      <w:lvlText w:val="(%1)"/>
      <w:numFmt w:val="lowerLetter"/>
      <w:start w:val="8"/>
    </w:lvl>
  </w:abstractNum>
  <w:abstractNum w:abstractNumId="241">
    <w:nsid w:val="1626FB8C"/>
    <w:multiLevelType w:val="hybridMultilevel"/>
    <w:lvl w:ilvl="0">
      <w:lvlJc w:val="left"/>
      <w:lvlText w:val="(%1)"/>
      <w:numFmt w:val="lowerLetter"/>
      <w:start w:val="9"/>
    </w:lvl>
  </w:abstractNum>
  <w:abstractNum w:abstractNumId="242">
    <w:nsid w:val="3957756A"/>
    <w:multiLevelType w:val="hybridMultilevel"/>
    <w:lvl w:ilvl="0">
      <w:lvlJc w:val="left"/>
      <w:lvlText w:val="(%1)"/>
      <w:numFmt w:val="lowerLetter"/>
      <w:start w:val="16"/>
    </w:lvl>
  </w:abstractNum>
  <w:abstractNum w:abstractNumId="243">
    <w:nsid w:val="3E6DA1C7"/>
    <w:multiLevelType w:val="hybridMultilevel"/>
    <w:lvl w:ilvl="0">
      <w:lvlJc w:val="left"/>
      <w:lvlText w:val="(%1)"/>
      <w:numFmt w:val="decimal"/>
      <w:start w:val="1"/>
    </w:lvl>
  </w:abstractNum>
  <w:abstractNum w:abstractNumId="244">
    <w:nsid w:val="65CA235B"/>
    <w:multiLevelType w:val="hybridMultilevel"/>
    <w:lvl w:ilvl="0">
      <w:lvlJc w:val="left"/>
      <w:lvlText w:val="%1."/>
      <w:numFmt w:val="decimal"/>
      <w:start w:val="1"/>
    </w:lvl>
    <w:lvl w:ilvl="1">
      <w:lvlJc w:val="left"/>
      <w:lvlText w:val="(%2)"/>
      <w:numFmt w:val="lowerLetter"/>
      <w:start w:val="1"/>
    </w:lvl>
  </w:abstractNum>
  <w:abstractNum w:abstractNumId="245">
    <w:nsid w:val="51CB0DA4"/>
    <w:multiLevelType w:val="hybridMultilevel"/>
    <w:lvl w:ilvl="0">
      <w:lvlJc w:val="left"/>
      <w:lvlText w:val="(%1)"/>
      <w:numFmt w:val="lowerLetter"/>
      <w:start w:val="3"/>
    </w:lvl>
  </w:abstractNum>
  <w:abstractNum w:abstractNumId="246">
    <w:nsid w:val="7B9B743C"/>
    <w:multiLevelType w:val="hybridMultilevel"/>
    <w:lvl w:ilvl="0">
      <w:lvlJc w:val="left"/>
      <w:lvlText w:val="%1."/>
      <w:numFmt w:val="decimal"/>
      <w:start w:val="2"/>
    </w:lvl>
  </w:abstractNum>
  <w:abstractNum w:abstractNumId="247">
    <w:nsid w:val="13E21002"/>
    <w:multiLevelType w:val="hybridMultilevel"/>
    <w:lvl w:ilvl="0">
      <w:lvlJc w:val="left"/>
      <w:lvlText w:val="1"/>
      <w:numFmt w:val="bullet"/>
      <w:start w:val="1"/>
    </w:lvl>
  </w:abstractNum>
  <w:abstractNum w:abstractNumId="248">
    <w:nsid w:val="257D63F4"/>
    <w:multiLevelType w:val="hybridMultilevel"/>
    <w:lvl w:ilvl="0">
      <w:lvlJc w:val="left"/>
      <w:lvlText w:val="%1."/>
      <w:numFmt w:val="decimal"/>
      <w:start w:val="3"/>
    </w:lvl>
    <w:lvl w:ilvl="1">
      <w:lvlJc w:val="left"/>
      <w:lvlText w:val="(%2)"/>
      <w:numFmt w:val="lowerLetter"/>
      <w:start w:val="1"/>
    </w:lvl>
  </w:abstractNum>
  <w:abstractNum w:abstractNumId="249">
    <w:nsid w:val="70EC11B2"/>
    <w:multiLevelType w:val="hybridMultilevel"/>
    <w:lvl w:ilvl="0">
      <w:lvlJc w:val="left"/>
      <w:lvlText w:val="%1"/>
      <w:numFmt w:val="decimal"/>
      <w:start w:val="1"/>
    </w:lvl>
    <w:lvl w:ilvl="1">
      <w:lvlJc w:val="left"/>
      <w:lvlText w:val="(%2)"/>
      <w:numFmt w:val="lowerLetter"/>
      <w:start w:val="4"/>
    </w:lvl>
  </w:abstractNum>
  <w:abstractNum w:abstractNumId="250">
    <w:nsid w:val="2EDA00ED"/>
    <w:multiLevelType w:val="hybridMultilevel"/>
    <w:lvl w:ilvl="0">
      <w:lvlJc w:val="left"/>
      <w:lvlText w:val="%1."/>
      <w:numFmt w:val="decimal"/>
      <w:start w:val="4"/>
    </w:lvl>
    <w:lvl w:ilvl="1">
      <w:lvlJc w:val="left"/>
      <w:lvlText w:val="(%2)"/>
      <w:numFmt w:val="lowerLetter"/>
      <w:start w:val="1"/>
    </w:lvl>
  </w:abstractNum>
  <w:abstractNum w:abstractNumId="251">
    <w:nsid w:val="73209072"/>
    <w:multiLevelType w:val="hybridMultilevel"/>
    <w:lvl w:ilvl="0">
      <w:lvlJc w:val="left"/>
      <w:lvlText w:val="(%1)"/>
      <w:numFmt w:val="lowerLetter"/>
      <w:start w:val="2"/>
    </w:lvl>
  </w:abstractNum>
  <w:abstractNum w:abstractNumId="252">
    <w:nsid w:val="5FB29816"/>
    <w:multiLevelType w:val="hybridMultilevel"/>
    <w:lvl w:ilvl="0">
      <w:lvlJc w:val="left"/>
      <w:lvlText w:val="(%1)"/>
      <w:numFmt w:val="lowerLetter"/>
      <w:start w:val="5"/>
    </w:lvl>
  </w:abstractNum>
  <w:abstractNum w:abstractNumId="253">
    <w:nsid w:val="3CE732EC"/>
    <w:multiLevelType w:val="hybridMultilevel"/>
    <w:lvl w:ilvl="0">
      <w:lvlJc w:val="left"/>
      <w:lvlText w:val="%1"/>
      <w:numFmt w:val="decimal"/>
      <w:start w:val="1"/>
    </w:lvl>
    <w:lvl w:ilvl="1">
      <w:lvlJc w:val="left"/>
      <w:lvlText w:val="(%2)"/>
      <w:numFmt w:val="lowerLetter"/>
      <w:start w:val="8"/>
    </w:lvl>
  </w:abstractNum>
  <w:abstractNum w:abstractNumId="254">
    <w:nsid w:val="22F13DF3"/>
    <w:multiLevelType w:val="hybridMultilevel"/>
    <w:lvl w:ilvl="0">
      <w:lvlJc w:val="left"/>
      <w:lvlText w:val="%1."/>
      <w:numFmt w:val="decimal"/>
      <w:start w:val="7"/>
    </w:lvl>
    <w:lvl w:ilvl="1">
      <w:lvlJc w:val="left"/>
      <w:lvlText w:val="(%2)"/>
      <w:numFmt w:val="lowerLetter"/>
      <w:start w:val="1"/>
    </w:lvl>
  </w:abstractNum>
  <w:abstractNum w:abstractNumId="255">
    <w:nsid w:val="792B8401"/>
    <w:multiLevelType w:val="hybridMultilevel"/>
    <w:lvl w:ilvl="0">
      <w:lvlJc w:val="left"/>
      <w:lvlText w:val="%1"/>
      <w:numFmt w:val="decimal"/>
      <w:start w:val="1"/>
    </w:lvl>
    <w:lvl w:ilvl="1">
      <w:lvlJc w:val="left"/>
      <w:lvlText w:val="(%2)"/>
      <w:numFmt w:val="lowerLetter"/>
      <w:start w:val="3"/>
    </w:lvl>
  </w:abstractNum>
  <w:abstractNum w:abstractNumId="256">
    <w:nsid w:val="FA85F4D"/>
    <w:multiLevelType w:val="hybridMultilevel"/>
    <w:lvl w:ilvl="0">
      <w:lvlJc w:val="left"/>
      <w:lvlText w:val="%1."/>
      <w:numFmt w:val="decimal"/>
      <w:start w:val="8"/>
    </w:lvl>
    <w:lvl w:ilvl="1">
      <w:lvlJc w:val="left"/>
      <w:lvlText w:val="(%2)"/>
      <w:numFmt w:val="lowerLetter"/>
      <w:start w:val="1"/>
    </w:lvl>
  </w:abstractNum>
  <w:abstractNum w:abstractNumId="257">
    <w:nsid w:val="6ECE91F0"/>
    <w:multiLevelType w:val="hybridMultilevel"/>
    <w:lvl w:ilvl="0">
      <w:lvlJc w:val="left"/>
      <w:lvlText w:val="(%1)"/>
      <w:numFmt w:val="lowerLetter"/>
      <w:start w:val="2"/>
    </w:lvl>
  </w:abstractNum>
  <w:abstractNum w:abstractNumId="258">
    <w:nsid w:val="4FC4D600"/>
    <w:multiLevelType w:val="hybridMultilevel"/>
    <w:lvl w:ilvl="0">
      <w:lvlJc w:val="left"/>
      <w:lvlText w:val="2"/>
      <w:numFmt w:val="bullet"/>
      <w:start w:val="1"/>
    </w:lvl>
  </w:abstractNum>
  <w:abstractNum w:abstractNumId="259">
    <w:nsid w:val="5BFD4210"/>
    <w:multiLevelType w:val="hybridMultilevel"/>
    <w:lvl w:ilvl="0">
      <w:lvlJc w:val="left"/>
      <w:lvlText w:val="%1"/>
      <w:numFmt w:val="decimal"/>
      <w:start w:val="1"/>
    </w:lvl>
    <w:lvl w:ilvl="1">
      <w:lvlJc w:val="left"/>
      <w:lvlText w:val="(%2)"/>
      <w:numFmt w:val="lowerLetter"/>
      <w:start w:val="5"/>
    </w:lvl>
  </w:abstractNum>
  <w:abstractNum w:abstractNumId="260">
    <w:nsid w:val="76574F8B"/>
    <w:multiLevelType w:val="hybridMultilevel"/>
    <w:lvl w:ilvl="0">
      <w:lvlJc w:val="left"/>
      <w:lvlText w:val="%1."/>
      <w:numFmt w:val="decimal"/>
      <w:start w:val="9"/>
    </w:lvl>
    <w:lvl w:ilvl="1">
      <w:lvlJc w:val="left"/>
      <w:lvlText w:val="(%2)"/>
      <w:numFmt w:val="lowerLetter"/>
      <w:start w:val="1"/>
    </w:lvl>
  </w:abstractNum>
  <w:abstractNum w:abstractNumId="261">
    <w:nsid w:val="178F7B67"/>
    <w:multiLevelType w:val="hybridMultilevel"/>
    <w:lvl w:ilvl="0">
      <w:lvlJc w:val="left"/>
      <w:lvlText w:val="%1."/>
      <w:numFmt w:val="decimal"/>
      <w:start w:val="11"/>
    </w:lvl>
    <w:lvl w:ilvl="1">
      <w:lvlJc w:val="left"/>
      <w:lvlText w:val="(%2)"/>
      <w:numFmt w:val="lowerLetter"/>
      <w:start w:val="1"/>
    </w:lvl>
  </w:abstractNum>
  <w:abstractNum w:abstractNumId="262">
    <w:nsid w:val="2421DFCF"/>
    <w:multiLevelType w:val="hybridMultilevel"/>
    <w:lvl w:ilvl="0">
      <w:lvlJc w:val="left"/>
      <w:lvlText w:val="%1"/>
      <w:numFmt w:val="decimal"/>
      <w:start w:val="1"/>
    </w:lvl>
    <w:lvl w:ilvl="1">
      <w:lvlJc w:val="left"/>
      <w:lvlText w:val="(%2)"/>
      <w:numFmt w:val="lowerLetter"/>
      <w:start w:val="5"/>
    </w:lvl>
  </w:abstractNum>
  <w:abstractNum w:abstractNumId="263">
    <w:nsid w:val="1565AC99"/>
    <w:multiLevelType w:val="hybridMultilevel"/>
    <w:lvl w:ilvl="0">
      <w:lvlJc w:val="left"/>
      <w:lvlText w:val="%1."/>
      <w:numFmt w:val="decimal"/>
      <w:start w:val="14"/>
    </w:lvl>
    <w:lvl w:ilvl="1">
      <w:lvlJc w:val="left"/>
      <w:lvlText w:val="%2"/>
      <w:numFmt w:val="lowerLetter"/>
      <w:start w:val="1"/>
    </w:lvl>
  </w:abstractNum>
  <w:abstractNum w:abstractNumId="264">
    <w:nsid w:val="19FB2650"/>
    <w:multiLevelType w:val="hybridMultilevel"/>
    <w:lvl w:ilvl="0">
      <w:lvlJc w:val="left"/>
      <w:lvlText w:val="%1."/>
      <w:numFmt w:val="decimal"/>
      <w:start w:val="16"/>
    </w:lvl>
    <w:lvl w:ilvl="1">
      <w:lvlJc w:val="left"/>
      <w:lvlText w:val="(%2)"/>
      <w:numFmt w:val="lowerLetter"/>
      <w:start w:val="1"/>
    </w:lvl>
  </w:abstractNum>
  <w:abstractNum w:abstractNumId="265">
    <w:nsid w:val="5024DE5B"/>
    <w:multiLevelType w:val="hybridMultilevel"/>
    <w:lvl w:ilvl="0">
      <w:lvlJc w:val="left"/>
      <w:lvlText w:val="%1."/>
      <w:numFmt w:val="decimal"/>
      <w:start w:val="18"/>
    </w:lvl>
  </w:abstractNum>
  <w:abstractNum w:abstractNumId="266">
    <w:nsid w:val="168EFE17"/>
    <w:multiLevelType w:val="hybridMultilevel"/>
    <w:lvl w:ilvl="0">
      <w:lvlJc w:val="left"/>
      <w:lvlText w:val="(%1)"/>
      <w:numFmt w:val="lowerLetter"/>
      <w:start w:val="1"/>
    </w:lvl>
  </w:abstractNum>
  <w:abstractNum w:abstractNumId="267">
    <w:nsid w:val="1036B29F"/>
    <w:multiLevelType w:val="hybridMultilevel"/>
    <w:lvl w:ilvl="0">
      <w:lvlJc w:val="left"/>
      <w:lvlText w:val="(%1)"/>
      <w:numFmt w:val="lowerRoman"/>
      <w:start w:val="1"/>
    </w:lvl>
  </w:abstractNum>
  <w:abstractNum w:abstractNumId="268">
    <w:nsid w:val="1D206B8E"/>
    <w:multiLevelType w:val="hybridMultilevel"/>
    <w:lvl w:ilvl="0">
      <w:lvlJc w:val="left"/>
      <w:lvlText w:val="(%1)"/>
      <w:numFmt w:val="lowerLetter"/>
      <w:start w:val="3"/>
    </w:lvl>
  </w:abstractNum>
  <w:abstractNum w:abstractNumId="269">
    <w:nsid w:val="7934D3D4"/>
    <w:multiLevelType w:val="hybridMultilevel"/>
    <w:lvl w:ilvl="0">
      <w:lvlJc w:val="left"/>
      <w:lvlText w:val="(%1)"/>
      <w:numFmt w:val="lowerLetter"/>
      <w:start w:val="5"/>
    </w:lvl>
  </w:abstractNum>
  <w:abstractNum w:abstractNumId="270">
    <w:nsid w:val="1C65E98"/>
    <w:multiLevelType w:val="hybridMultilevel"/>
    <w:lvl w:ilvl="0">
      <w:lvlJc w:val="left"/>
      <w:lvlText w:val="(%1)"/>
      <w:numFmt w:val="lowerLetter"/>
      <w:start w:val="1"/>
    </w:lvl>
  </w:abstractNum>
  <w:abstractNum w:abstractNumId="271">
    <w:nsid w:val="1495E50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72">
    <w:nsid w:val="F5BCF61"/>
    <w:multiLevelType w:val="hybridMultilevel"/>
    <w:lvl w:ilvl="0">
      <w:lvlJc w:val="left"/>
      <w:lvlText w:val="(%1)"/>
      <w:numFmt w:val="upperLetter"/>
      <w:start w:val="2"/>
    </w:lvl>
  </w:abstractNum>
  <w:abstractNum w:abstractNumId="273">
    <w:nsid w:val="3B1DD403"/>
    <w:multiLevelType w:val="hybridMultilevel"/>
    <w:lvl w:ilvl="0">
      <w:lvlJc w:val="left"/>
      <w:lvlText w:val="(%1)"/>
      <w:numFmt w:val="lowerLetter"/>
      <w:start w:val="1"/>
    </w:lvl>
    <w:lvl w:ilvl="1">
      <w:lvlJc w:val="left"/>
      <w:lvlText w:val="(%2)"/>
      <w:numFmt w:val="lowerLetter"/>
      <w:start w:val="9"/>
    </w:lvl>
  </w:abstractNum>
  <w:abstractNum w:abstractNumId="274">
    <w:nsid w:val="530386D1"/>
    <w:multiLevelType w:val="hybridMultilevel"/>
    <w:lvl w:ilvl="0">
      <w:lvlJc w:val="left"/>
      <w:lvlText w:val="(%1)"/>
      <w:numFmt w:val="lowerRoman"/>
      <w:start w:val="2"/>
    </w:lvl>
    <w:lvl w:ilvl="1">
      <w:lvlJc w:val="left"/>
      <w:lvlText w:val="(%2)"/>
      <w:numFmt w:val="upperLetter"/>
      <w:start w:val="1"/>
    </w:lvl>
  </w:abstractNum>
  <w:abstractNum w:abstractNumId="275">
    <w:nsid w:val="7525F2BC"/>
    <w:multiLevelType w:val="hybridMultilevel"/>
    <w:lvl w:ilvl="0">
      <w:lvlJc w:val="left"/>
      <w:lvlText w:val="(%1)"/>
      <w:numFmt w:val="upperLetter"/>
      <w:start w:val="5"/>
    </w:lvl>
  </w:abstractNum>
  <w:abstractNum w:abstractNumId="276">
    <w:nsid w:val="CE8E1A7"/>
    <w:multiLevelType w:val="hybridMultilevel"/>
    <w:lvl w:ilvl="0">
      <w:lvlJc w:val="left"/>
      <w:lvlText w:val="(%1)"/>
      <w:numFmt w:val="lowerLetter"/>
      <w:start w:val="2"/>
    </w:lvl>
  </w:abstractNum>
  <w:abstractNum w:abstractNumId="277">
    <w:nsid w:val="4E9EFB0D"/>
    <w:multiLevelType w:val="hybridMultilevel"/>
    <w:lvl w:ilvl="0">
      <w:lvlJc w:val="left"/>
      <w:lvlText w:val="(%1)"/>
      <w:numFmt w:val="lowerLetter"/>
      <w:start w:val="1"/>
    </w:lvl>
  </w:abstractNum>
  <w:abstractNum w:abstractNumId="278">
    <w:nsid w:val="90802BE"/>
    <w:multiLevelType w:val="hybridMultilevel"/>
    <w:lvl w:ilvl="0">
      <w:lvlJc w:val="left"/>
      <w:lvlText w:val="(%1)"/>
      <w:numFmt w:val="lowerLetter"/>
      <w:start w:val="4"/>
    </w:lvl>
  </w:abstractNum>
  <w:abstractNum w:abstractNumId="279">
    <w:nsid w:val="3266459B"/>
    <w:multiLevelType w:val="hybridMultilevel"/>
    <w:lvl w:ilvl="0">
      <w:lvlJc w:val="left"/>
      <w:lvlText w:val="(%1)"/>
      <w:numFmt w:val="lowerLetter"/>
      <w:start w:val="1"/>
    </w:lvl>
  </w:abstractNum>
  <w:abstractNum w:abstractNumId="280">
    <w:nsid w:val="3F8B0CBF"/>
    <w:multiLevelType w:val="hybridMultilevel"/>
    <w:lvl w:ilvl="0">
      <w:lvlJc w:val="left"/>
      <w:lvlText w:val="(%1)"/>
      <w:numFmt w:val="lowerLetter"/>
      <w:start w:val="1"/>
    </w:lvl>
    <w:lvl w:ilvl="1">
      <w:lvlJc w:val="left"/>
      <w:lvlText w:val="(%2)"/>
      <w:numFmt w:val="lowerRoman"/>
      <w:start w:val="1"/>
    </w:lvl>
  </w:abstractNum>
  <w:abstractNum w:abstractNumId="281">
    <w:nsid w:val="37E203AB"/>
    <w:multiLevelType w:val="hybridMultilevel"/>
    <w:lvl w:ilvl="0">
      <w:lvlJc w:val="left"/>
      <w:lvlText w:val="%1"/>
      <w:numFmt w:val="lowerLetter"/>
      <w:start w:val="1"/>
    </w:lvl>
    <w:lvl w:ilvl="1">
      <w:lvlJc w:val="left"/>
      <w:lvlText w:val="(%2)"/>
      <w:numFmt w:val="upperLetter"/>
      <w:start w:val="1"/>
    </w:lvl>
  </w:abstractNum>
  <w:abstractNum w:abstractNumId="282">
    <w:nsid w:val="2586D60E"/>
    <w:multiLevelType w:val="hybridMultilevel"/>
    <w:lvl w:ilvl="0">
      <w:lvlJc w:val="left"/>
      <w:lvlText w:val="(%1)"/>
      <w:numFmt w:val="lowerLetter"/>
      <w:start w:val="2"/>
    </w:lvl>
    <w:lvl w:ilvl="1">
      <w:lvlJc w:val="left"/>
      <w:lvlText w:val="%2"/>
      <w:numFmt w:val="upperLetter"/>
      <w:start w:val="1"/>
    </w:lvl>
  </w:abstractNum>
  <w:abstractNum w:abstractNumId="283">
    <w:nsid w:val="1F3DA4D5"/>
    <w:multiLevelType w:val="hybridMultilevel"/>
    <w:lvl w:ilvl="0">
      <w:lvlJc w:val="left"/>
      <w:lvlText w:val="(%1)"/>
      <w:numFmt w:val="lowerLetter"/>
      <w:start w:val="3"/>
    </w:lvl>
    <w:lvl w:ilvl="1">
      <w:lvlJc w:val="left"/>
      <w:lvlText w:val="(%2)"/>
      <w:numFmt w:val="lowerRoman"/>
      <w:start w:val="1"/>
    </w:lvl>
  </w:abstractNum>
  <w:abstractNum w:abstractNumId="284">
    <w:nsid w:val="74C93698"/>
    <w:multiLevelType w:val="hybridMultilevel"/>
    <w:lvl w:ilvl="0">
      <w:lvlJc w:val="left"/>
      <w:lvlText w:val="%1"/>
      <w:numFmt w:val="lowerLetter"/>
      <w:start w:val="1"/>
    </w:lvl>
    <w:lvl w:ilvl="1">
      <w:lvlJc w:val="left"/>
      <w:lvlText w:val="(%2)"/>
      <w:numFmt w:val="lowerLetter"/>
      <w:start w:val="35"/>
    </w:lvl>
  </w:abstractNum>
  <w:abstractNum w:abstractNumId="285">
    <w:nsid w:val="48781401"/>
    <w:multiLevelType w:val="hybridMultilevel"/>
    <w:lvl w:ilvl="0">
      <w:lvlJc w:val="left"/>
      <w:lvlText w:val="(%1)"/>
      <w:numFmt w:val="lowerLetter"/>
      <w:start w:val="6"/>
    </w:lvl>
    <w:lvl w:ilvl="1">
      <w:lvlJc w:val="left"/>
      <w:lvlText w:val="%2"/>
      <w:numFmt w:val="lowerLetter"/>
      <w:start w:val="1"/>
    </w:lvl>
  </w:abstractNum>
  <w:abstractNum w:abstractNumId="286">
    <w:nsid w:val="186928D6"/>
    <w:multiLevelType w:val="hybridMultilevel"/>
    <w:lvl w:ilvl="0">
      <w:lvlJc w:val="left"/>
      <w:lvlText w:val="(%1)"/>
      <w:numFmt w:val="lowerLetter"/>
      <w:start w:val="1"/>
    </w:lvl>
  </w:abstractNum>
  <w:abstractNum w:abstractNumId="287">
    <w:nsid w:val="47195E5"/>
    <w:multiLevelType w:val="hybridMultilevel"/>
    <w:lvl w:ilvl="0">
      <w:lvlJc w:val="left"/>
      <w:lvlText w:val="(%1)"/>
      <w:numFmt w:val="lowerLetter"/>
      <w:start w:val="2"/>
    </w:lvl>
  </w:abstractNum>
  <w:abstractNum w:abstractNumId="288">
    <w:nsid w:val="3746A5F2"/>
    <w:multiLevelType w:val="hybridMultilevel"/>
    <w:lvl w:ilvl="0">
      <w:lvlJc w:val="left"/>
      <w:lvlText w:val="(%1)"/>
      <w:numFmt w:val="lowerLetter"/>
      <w:start w:val="1"/>
    </w:lvl>
  </w:abstractNum>
  <w:abstractNum w:abstractNumId="289">
    <w:nsid w:val="682DFED6"/>
    <w:multiLevelType w:val="hybridMultilevel"/>
    <w:lvl w:ilvl="0">
      <w:lvlJc w:val="left"/>
      <w:lvlText w:val="(%1)"/>
      <w:numFmt w:val="lowerLetter"/>
      <w:start w:val="7"/>
    </w:lvl>
  </w:abstractNum>
  <w:abstractNum w:abstractNumId="290">
    <w:nsid w:val="606ED7F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1">
    <w:nsid w:val="2D9DF5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92">
    <w:nsid w:val="7FBD7A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3">
    <w:nsid w:val="490B7C5"/>
    <w:multiLevelType w:val="hybridMultilevel"/>
    <w:lvl w:ilvl="0">
      <w:lvlJc w:val="left"/>
      <w:lvlText w:val="%1"/>
      <w:numFmt w:val="decimal"/>
      <w:start w:val="1"/>
    </w:lvl>
    <w:lvl w:ilvl="1">
      <w:lvlJc w:val="left"/>
      <w:lvlText w:val="(%2)"/>
      <w:numFmt w:val="lowerLetter"/>
      <w:start w:val="4"/>
    </w:lvl>
  </w:abstractNum>
  <w:abstractNum w:abstractNumId="294">
    <w:nsid w:val="4303A216"/>
    <w:multiLevelType w:val="hybridMultilevel"/>
    <w:lvl w:ilvl="0">
      <w:lvlJc w:val="left"/>
      <w:lvlText w:val="%1."/>
      <w:numFmt w:val="decimal"/>
      <w:start w:val="7"/>
    </w:lvl>
    <w:lvl w:ilvl="1">
      <w:lvlJc w:val="left"/>
      <w:lvlText w:val="(%2)"/>
      <w:numFmt w:val="lowerLetter"/>
      <w:start w:val="1"/>
    </w:lvl>
  </w:abstractNum>
  <w:abstractNum w:abstractNumId="295">
    <w:nsid w:val="19B8A08E"/>
    <w:multiLevelType w:val="hybridMultilevel"/>
    <w:lvl w:ilvl="0">
      <w:lvlJc w:val="left"/>
      <w:lvlText w:val="(%1)"/>
      <w:numFmt w:val="lowerLetter"/>
      <w:start w:val="2"/>
    </w:lvl>
  </w:abstractNum>
  <w:abstractNum w:abstractNumId="296">
    <w:nsid w:val="54B59621"/>
    <w:multiLevelType w:val="hybridMultilevel"/>
    <w:lvl w:ilvl="0">
      <w:lvlJc w:val="left"/>
      <w:lvlText w:val="%1."/>
      <w:numFmt w:val="decimal"/>
      <w:start w:val="8"/>
    </w:lvl>
  </w:abstractNum>
  <w:abstractNum w:abstractNumId="297">
    <w:nsid w:val="5992A0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8">
    <w:nsid w:val="29EF532D"/>
    <w:multiLevelType w:val="hybridMultilevel"/>
    <w:lvl w:ilvl="0">
      <w:lvlJc w:val="left"/>
      <w:lvlText w:val="%1."/>
      <w:numFmt w:val="decimal"/>
      <w:start w:val="2"/>
    </w:lvl>
    <w:lvl w:ilvl="1">
      <w:lvlJc w:val="left"/>
      <w:lvlText w:val="(%2)"/>
      <w:numFmt w:val="lowerLetter"/>
      <w:start w:val="1"/>
    </w:lvl>
  </w:abstractNum>
  <w:abstractNum w:abstractNumId="299">
    <w:nsid w:val="71D601AF"/>
    <w:multiLevelType w:val="hybridMultilevel"/>
    <w:lvl w:ilvl="0">
      <w:lvlJc w:val="left"/>
      <w:lvlText w:val="(%1)"/>
      <w:numFmt w:val="lowerLetter"/>
      <w:start w:val="3"/>
    </w:lvl>
  </w:abstractNum>
  <w:abstractNum w:abstractNumId="300">
    <w:nsid w:val="52C77402"/>
    <w:multiLevelType w:val="hybridMultilevel"/>
    <w:lvl w:ilvl="0">
      <w:lvlJc w:val="left"/>
      <w:lvlText w:val="%1."/>
      <w:numFmt w:val="decimal"/>
      <w:start w:val="7"/>
    </w:lvl>
    <w:lvl w:ilvl="1">
      <w:lvlJc w:val="left"/>
      <w:lvlText w:val="(%2)"/>
      <w:numFmt w:val="lowerLetter"/>
      <w:start w:val="1"/>
    </w:lvl>
  </w:abstractNum>
  <w:abstractNum w:abstractNumId="301">
    <w:nsid w:val="2BB5B1C6"/>
    <w:multiLevelType w:val="hybridMultilevel"/>
    <w:lvl w:ilvl="0">
      <w:lvlJc w:val="left"/>
      <w:lvlText w:val="%1."/>
      <w:numFmt w:val="decimal"/>
      <w:start w:val="8"/>
    </w:lvl>
  </w:abstractNum>
  <w:abstractNum w:abstractNumId="302">
    <w:nsid w:val="66BE6B9"/>
    <w:multiLevelType w:val="hybridMultilevel"/>
    <w:lvl w:ilvl="0">
      <w:lvlJc w:val="left"/>
      <w:lvlText w:val="(%1)"/>
      <w:numFmt w:val="lowerRoman"/>
      <w:start w:val="1"/>
    </w:lvl>
  </w:abstractNum>
  <w:abstractNum w:abstractNumId="303">
    <w:nsid w:val="62234363"/>
    <w:multiLevelType w:val="hybridMultilevel"/>
    <w:lvl w:ilvl="0">
      <w:lvlJc w:val="left"/>
      <w:lvlText w:val="(%1)"/>
      <w:numFmt w:val="lowerRoman"/>
      <w:start w:val="6"/>
    </w:lvl>
  </w:abstractNum>
  <w:abstractNum w:abstractNumId="304">
    <w:nsid w:val="66D385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5">
    <w:nsid w:val="596F6D8A"/>
    <w:multiLevelType w:val="hybridMultilevel"/>
    <w:lvl w:ilvl="0">
      <w:lvlJc w:val="left"/>
      <w:lvlText w:val="%1"/>
      <w:numFmt w:val="decimal"/>
      <w:start w:val="1"/>
    </w:lvl>
    <w:lvl w:ilvl="1">
      <w:lvlJc w:val="left"/>
      <w:lvlText w:val="(%2)"/>
      <w:numFmt w:val="lowerLetter"/>
      <w:start w:val="4"/>
    </w:lvl>
  </w:abstractNum>
  <w:abstractNum w:abstractNumId="306">
    <w:nsid w:val="5749361F"/>
    <w:multiLevelType w:val="hybridMultilevel"/>
    <w:lvl w:ilvl="0">
      <w:lvlJc w:val="left"/>
      <w:lvlText w:val="%1."/>
      <w:numFmt w:val="decimal"/>
      <w:start w:val="2"/>
    </w:lvl>
    <w:lvl w:ilvl="1">
      <w:lvlJc w:val="left"/>
      <w:lvlText w:val="(%2)"/>
      <w:numFmt w:val="lowerLetter"/>
      <w:start w:val="1"/>
    </w:lvl>
  </w:abstractNum>
  <w:abstractNum w:abstractNumId="307">
    <w:nsid w:val="73BC6770"/>
    <w:multiLevelType w:val="hybridMultilevel"/>
    <w:lvl w:ilvl="0">
      <w:lvlJc w:val="left"/>
      <w:lvlText w:val="%1."/>
      <w:numFmt w:val="decimal"/>
      <w:start w:val="5"/>
    </w:lvl>
    <w:lvl w:ilvl="1">
      <w:lvlJc w:val="left"/>
      <w:lvlText w:val="(%2)"/>
      <w:numFmt w:val="lowerLetter"/>
      <w:start w:val="1"/>
    </w:lvl>
  </w:abstractNum>
  <w:abstractNum w:abstractNumId="308">
    <w:nsid w:val="280E6897"/>
    <w:multiLevelType w:val="hybridMultilevel"/>
    <w:lvl w:ilvl="0">
      <w:lvlJc w:val="left"/>
      <w:lvlText w:val="%1"/>
      <w:numFmt w:val="decimal"/>
      <w:start w:val="1"/>
    </w:lvl>
    <w:lvl w:ilvl="1">
      <w:lvlJc w:val="left"/>
      <w:lvlText w:val="(%2)"/>
      <w:numFmt w:val="lowerLetter"/>
      <w:start w:val="8"/>
    </w:lvl>
  </w:abstractNum>
  <w:abstractNum w:abstractNumId="309">
    <w:nsid w:val="605138DE"/>
    <w:multiLevelType w:val="hybridMultilevel"/>
    <w:lvl w:ilvl="0">
      <w:lvlJc w:val="left"/>
      <w:lvlText w:val="%1."/>
      <w:numFmt w:val="decimal"/>
      <w:start w:val="7"/>
    </w:lvl>
    <w:lvl w:ilvl="1">
      <w:lvlJc w:val="left"/>
      <w:lvlText w:val="(%2)"/>
      <w:numFmt w:val="lowerLetter"/>
      <w:start w:val="1"/>
    </w:lvl>
  </w:abstractNum>
  <w:abstractNum w:abstractNumId="310">
    <w:nsid w:val="2622AD0C"/>
    <w:multiLevelType w:val="hybridMultilevel"/>
    <w:lvl w:ilvl="0">
      <w:lvlJc w:val="left"/>
      <w:lvlText w:val="%1"/>
      <w:numFmt w:val="decimal"/>
      <w:start w:val="1"/>
    </w:lvl>
    <w:lvl w:ilvl="1">
      <w:lvlJc w:val="left"/>
      <w:lvlText w:val="(%2)"/>
      <w:numFmt w:val="lowerLetter"/>
      <w:start w:val="4"/>
    </w:lvl>
  </w:abstractNum>
  <w:abstractNum w:abstractNumId="311">
    <w:nsid w:val="67997556"/>
    <w:multiLevelType w:val="hybridMultilevel"/>
    <w:lvl w:ilvl="0">
      <w:lvlJc w:val="left"/>
      <w:lvlText w:val="%1."/>
      <w:numFmt w:val="decimal"/>
      <w:start w:val="8"/>
    </w:lvl>
    <w:lvl w:ilvl="1">
      <w:lvlJc w:val="left"/>
      <w:lvlText w:val="%2"/>
      <w:numFmt w:val="lowerLetter"/>
      <w:start w:val="1"/>
    </w:lvl>
  </w:abstractNum>
  <w:abstractNum w:abstractNumId="312">
    <w:nsid w:val="18333C89"/>
    <w:multiLevelType w:val="hybridMultilevel"/>
    <w:lvl w:ilvl="0">
      <w:lvlJc w:val="left"/>
      <w:lvlText w:val="(%1)"/>
      <w:numFmt w:val="lowerRoman"/>
      <w:start w:val="1"/>
    </w:lvl>
  </w:abstractNum>
  <w:abstractNum w:abstractNumId="313">
    <w:nsid w:val="4BA9831A"/>
    <w:multiLevelType w:val="hybridMultilevel"/>
    <w:lvl w:ilvl="0">
      <w:lvlJc w:val="left"/>
      <w:lvlText w:val="(%1)"/>
      <w:numFmt w:val="lowerRoman"/>
      <w:start w:val="6"/>
    </w:lvl>
  </w:abstractNum>
  <w:abstractNum w:abstractNumId="314">
    <w:nsid w:val="6D71A2B"/>
    <w:multiLevelType w:val="hybridMultilevel"/>
    <w:lvl w:ilvl="0">
      <w:lvlJc w:val="left"/>
      <w:lvlText w:val="%1."/>
      <w:numFmt w:val="upperLetter"/>
      <w:start w:val="1"/>
    </w:lvl>
  </w:abstractNum>
  <w:abstractNum w:abstractNumId="315">
    <w:nsid w:val="CFC7321"/>
    <w:multiLevelType w:val="hybridMultilevel"/>
    <w:lvl w:ilvl="0">
      <w:lvlJc w:val="left"/>
      <w:lvlText w:val="(%1)"/>
      <w:numFmt w:val="lowerLetter"/>
      <w:start w:val="2"/>
    </w:lvl>
  </w:abstractNum>
  <w:abstractNum w:abstractNumId="316">
    <w:nsid w:val="1421971B"/>
    <w:multiLevelType w:val="hybridMultilevel"/>
    <w:lvl w:ilvl="0">
      <w:lvlJc w:val="left"/>
      <w:lvlText w:val="(%1)"/>
      <w:numFmt w:val="lowerRoman"/>
      <w:start w:val="2"/>
    </w:lvl>
  </w:abstractNum>
  <w:abstractNum w:abstractNumId="317">
    <w:nsid w:val="1F404301"/>
    <w:multiLevelType w:val="hybridMultilevel"/>
    <w:lvl w:ilvl="0">
      <w:lvlJc w:val="left"/>
      <w:lvlText w:val="(%1)"/>
      <w:numFmt w:val="lowerLetter"/>
      <w:start w:val="1"/>
    </w:lvl>
  </w:abstractNum>
  <w:abstractNum w:abstractNumId="318">
    <w:nsid w:val="116E0907"/>
    <w:multiLevelType w:val="hybridMultilevel"/>
    <w:lvl w:ilvl="0">
      <w:lvlJc w:val="left"/>
      <w:lvlText w:val="(%1)"/>
      <w:numFmt w:val="lowerLetter"/>
      <w:start w:val="3"/>
    </w:lvl>
  </w:abstractNum>
  <w:abstractNum w:abstractNumId="319">
    <w:nsid w:val="4B683D0D"/>
    <w:multiLevelType w:val="hybridMultilevel"/>
    <w:lvl w:ilvl="0">
      <w:lvlJc w:val="left"/>
      <w:lvlText w:val="(%1)"/>
      <w:numFmt w:val="lowerLetter"/>
      <w:start w:val="6"/>
    </w:lvl>
  </w:abstractNum>
  <w:abstractNum w:abstractNumId="320">
    <w:nsid w:val="76E41D8"/>
    <w:multiLevelType w:val="hybridMultilevel"/>
    <w:lvl w:ilvl="0">
      <w:lvlJc w:val="left"/>
      <w:lvlText w:val="(%1)"/>
      <w:numFmt w:val="lowerRoman"/>
      <w:start w:val="1"/>
    </w:lvl>
  </w:abstractNum>
  <w:abstractNum w:abstractNumId="321">
    <w:nsid w:val="71DCE0FD"/>
    <w:multiLevelType w:val="hybridMultilevel"/>
    <w:lvl w:ilvl="0">
      <w:lvlJc w:val="left"/>
      <w:lvlText w:val="(%1)"/>
      <w:numFmt w:val="lowerRoman"/>
      <w:start w:val="2"/>
    </w:lvl>
    <w:lvl w:ilvl="1">
      <w:lvlJc w:val="left"/>
      <w:lvlText w:val="(%2)"/>
      <w:numFmt w:val="lowerRoman"/>
      <w:start w:val="3"/>
    </w:lvl>
  </w:abstractNum>
  <w:abstractNum w:abstractNumId="322">
    <w:nsid w:val="7906328B"/>
    <w:multiLevelType w:val="hybridMultilevel"/>
    <w:lvl w:ilvl="0">
      <w:lvlJc w:val="left"/>
      <w:lvlText w:val="(%1)"/>
      <w:numFmt w:val="lowerRoman"/>
      <w:start w:val="5"/>
    </w:lvl>
    <w:lvl w:ilvl="1">
      <w:lvlJc w:val="left"/>
      <w:lvlText w:val="(%2)"/>
      <w:numFmt w:val="lowerRoman"/>
      <w:start w:val="7"/>
    </w:lvl>
  </w:abstractNum>
  <w:abstractNum w:abstractNumId="323">
    <w:nsid w:val="72BBC16"/>
    <w:multiLevelType w:val="hybridMultilevel"/>
    <w:lvl w:ilvl="0">
      <w:lvlJc w:val="left"/>
      <w:lvlText w:val="(%1)"/>
      <w:numFmt w:val="lowerRoman"/>
      <w:start w:val="9"/>
    </w:lvl>
  </w:abstractNum>
  <w:abstractNum w:abstractNumId="324">
    <w:nsid w:val="766D98C2"/>
    <w:multiLevelType w:val="hybridMultilevel"/>
    <w:lvl w:ilvl="0">
      <w:lvlJc w:val="left"/>
      <w:lvlText w:val="(%1)"/>
      <w:numFmt w:val="lowerRoman"/>
      <w:start w:val="1"/>
    </w:lvl>
    <w:lvl w:ilvl="1">
      <w:lvlJc w:val="left"/>
      <w:lvlText w:val="(%2)"/>
      <w:numFmt w:val="lowerRoman"/>
      <w:start w:val="2"/>
    </w:lvl>
  </w:abstractNum>
  <w:abstractNum w:abstractNumId="325">
    <w:nsid w:val="3C09D4A1"/>
    <w:multiLevelType w:val="hybridMultilevel"/>
    <w:lvl w:ilvl="0">
      <w:lvlJc w:val="left"/>
      <w:lvlText w:val="(%1)"/>
      <w:numFmt w:val="lowerRoman"/>
      <w:start w:val="4"/>
    </w:lvl>
  </w:abstractNum>
  <w:abstractNum w:abstractNumId="326">
    <w:nsid w:val="20E45CA4"/>
    <w:multiLevelType w:val="hybridMultilevel"/>
    <w:lvl w:ilvl="0">
      <w:lvlJc w:val="left"/>
      <w:lvlText w:val="(%1)"/>
      <w:numFmt w:val="lowerRoman"/>
      <w:start w:val="5"/>
    </w:lvl>
  </w:abstractNum>
  <w:abstractNum w:abstractNumId="327">
    <w:nsid w:val="4B232EE3"/>
    <w:multiLevelType w:val="hybridMultilevel"/>
    <w:lvl w:ilvl="0">
      <w:lvlJc w:val="left"/>
      <w:lvlText w:val="%1"/>
      <w:numFmt w:val="lowerRoman"/>
      <w:start w:val="1"/>
    </w:lvl>
    <w:lvl w:ilvl="1">
      <w:lvlJc w:val="left"/>
      <w:lvlText w:val="(%2)"/>
      <w:numFmt w:val="lowerRoman"/>
      <w:start w:val="6"/>
    </w:lvl>
  </w:abstractNum>
  <w:abstractNum w:abstractNumId="328">
    <w:nsid w:val="159C74CF"/>
    <w:multiLevelType w:val="hybridMultilevel"/>
    <w:lvl w:ilvl="0">
      <w:lvlJc w:val="left"/>
      <w:lvlText w:val="(%1)"/>
      <w:numFmt w:val="lowerRoman"/>
      <w:start w:val="12"/>
    </w:lvl>
    <w:lvl w:ilvl="1">
      <w:lvlJc w:val="left"/>
      <w:lvlText w:val="(%2)"/>
      <w:numFmt w:val="lowerRoman"/>
      <w:start w:val="13"/>
    </w:lvl>
  </w:abstractNum>
  <w:abstractNum w:abstractNumId="329">
    <w:nsid w:val="4AD3AFD2"/>
    <w:multiLevelType w:val="hybridMultilevel"/>
    <w:lvl w:ilvl="0">
      <w:lvlJc w:val="left"/>
      <w:lvlText w:val="(%1)"/>
      <w:numFmt w:val="lowerRoman"/>
      <w:start w:val="1"/>
    </w:lvl>
    <w:lvl w:ilvl="1">
      <w:lvlJc w:val="left"/>
      <w:lvlText w:val="(%2)"/>
      <w:numFmt w:val="lowerRoman"/>
      <w:start w:val="3"/>
    </w:lvl>
  </w:abstractNum>
  <w:abstractNum w:abstractNumId="330">
    <w:nsid w:val="3CF93092"/>
    <w:multiLevelType w:val="hybridMultilevel"/>
    <w:lvl w:ilvl="0">
      <w:lvlJc w:val="left"/>
      <w:lvlText w:val="%1"/>
      <w:numFmt w:val="lowerRoman"/>
      <w:start w:val="1"/>
    </w:lvl>
    <w:lvl w:ilvl="1">
      <w:lvlJc w:val="left"/>
      <w:lvlText w:val="(%2)"/>
      <w:numFmt w:val="lowerRoman"/>
      <w:start w:val="4"/>
    </w:lvl>
  </w:abstractNum>
  <w:abstractNum w:abstractNumId="331">
    <w:nsid w:val="6863E8D2"/>
    <w:multiLevelType w:val="hybridMultilevel"/>
    <w:lvl w:ilvl="0">
      <w:lvlJc w:val="left"/>
      <w:lvlText w:val="(%1)"/>
      <w:numFmt w:val="lowerRoman"/>
      <w:start w:val="8"/>
    </w:lvl>
    <w:lvl w:ilvl="1">
      <w:lvlJc w:val="left"/>
      <w:lvlText w:val="(%2)"/>
      <w:numFmt w:val="lowerRoman"/>
      <w:start w:val="9"/>
    </w:lvl>
  </w:abstractNum>
  <w:abstractNum w:abstractNumId="332">
    <w:nsid w:val="76896198"/>
    <w:multiLevelType w:val="hybridMultilevel"/>
    <w:lvl w:ilvl="0">
      <w:lvlJc w:val="left"/>
      <w:lvlText w:val="(%1)"/>
      <w:numFmt w:val="lowerRoman"/>
      <w:start w:val="13"/>
    </w:lvl>
  </w:abstractNum>
  <w:abstractNum w:abstractNumId="333">
    <w:nsid w:val="4365174B"/>
    <w:multiLevelType w:val="hybridMultilevel"/>
    <w:lvl w:ilvl="0">
      <w:lvlJc w:val="left"/>
      <w:lvlText w:val="(%1)"/>
      <w:numFmt w:val="lowerRoman"/>
      <w:start w:val="1"/>
    </w:lvl>
    <w:lvl w:ilvl="1">
      <w:lvlJc w:val="left"/>
      <w:lvlText w:val="(%2)"/>
      <w:numFmt w:val="lowerRoman"/>
      <w:start w:val="2"/>
    </w:lvl>
  </w:abstractNum>
  <w:abstractNum w:abstractNumId="334">
    <w:nsid w:val="4A872C35"/>
    <w:multiLevelType w:val="hybridMultilevel"/>
    <w:lvl w:ilvl="0">
      <w:lvlJc w:val="left"/>
      <w:lvlText w:val="(%1)"/>
      <w:numFmt w:val="lowerRoman"/>
      <w:start w:val="6"/>
    </w:lvl>
  </w:abstractNum>
  <w:abstractNum w:abstractNumId="335">
    <w:nsid w:val="5D5CE761"/>
    <w:multiLevelType w:val="hybridMultilevel"/>
    <w:lvl w:ilvl="0">
      <w:lvlJc w:val="left"/>
      <w:lvlText w:val="(%1)"/>
      <w:numFmt w:val="lowerLetter"/>
      <w:start w:val="2"/>
    </w:lvl>
  </w:abstractNum>
  <w:abstractNum w:abstractNumId="336">
    <w:nsid w:val="1CD484D5"/>
    <w:multiLevelType w:val="hybridMultilevel"/>
    <w:lvl w:ilvl="0">
      <w:lvlJc w:val="left"/>
      <w:lvlText w:val="%1"/>
      <w:numFmt w:val="lowerLetter"/>
      <w:start w:val="1"/>
    </w:lvl>
    <w:lvl w:ilvl="1">
      <w:lvlJc w:val="left"/>
      <w:lvlText w:val="(%2)"/>
      <w:numFmt w:val="lowerLetter"/>
      <w:start w:val="1"/>
    </w:lvl>
  </w:abstractNum>
  <w:abstractNum w:abstractNumId="337">
    <w:nsid w:val="21D06255"/>
    <w:multiLevelType w:val="hybridMultilevel"/>
    <w:lvl w:ilvl="0">
      <w:lvlJc w:val="left"/>
      <w:lvlText w:val="(%1)"/>
      <w:numFmt w:val="lowerLetter"/>
      <w:start w:val="9"/>
    </w:lvl>
    <w:lvl w:ilvl="1">
      <w:lvlJc w:val="left"/>
      <w:lvlText w:val="%2"/>
      <w:numFmt w:val="lowerLetter"/>
      <w:start w:val="1"/>
    </w:lvl>
  </w:abstractNum>
  <w:abstractNum w:abstractNumId="338">
    <w:nsid w:val="51194ED1"/>
    <w:multiLevelType w:val="hybridMultilevel"/>
    <w:lvl w:ilvl="0">
      <w:lvlJc w:val="left"/>
      <w:lvlText w:val="%1"/>
      <w:numFmt w:val="lowerLetter"/>
      <w:start w:val="1"/>
    </w:lvl>
    <w:lvl w:ilvl="1">
      <w:lvlJc w:val="left"/>
      <w:lvlText w:val="(%2)"/>
      <w:numFmt w:val="lowerLetter"/>
      <w:start w:val="2"/>
    </w:lvl>
  </w:abstractNum>
  <w:abstractNum w:abstractNumId="339">
    <w:nsid w:val="44E2ED6C"/>
    <w:multiLevelType w:val="hybridMultilevel"/>
    <w:lvl w:ilvl="0">
      <w:lvlJc w:val="left"/>
      <w:lvlText w:val="(%1)"/>
      <w:numFmt w:val="lowerLetter"/>
      <w:start w:val="9"/>
    </w:lvl>
    <w:lvl w:ilvl="1">
      <w:lvlJc w:val="left"/>
      <w:lvlText w:val="%2"/>
      <w:numFmt w:val="lowerLetter"/>
      <w:start w:val="1"/>
    </w:lvl>
  </w:abstractNum>
  <w:abstractNum w:abstractNumId="340">
    <w:nsid w:val="2219B33"/>
    <w:multiLevelType w:val="hybridMultilevel"/>
    <w:lvl w:ilvl="0">
      <w:lvlJc w:val="left"/>
      <w:lvlText w:val="(%1)"/>
      <w:numFmt w:val="lowerLetter"/>
      <w:start w:val="1"/>
    </w:lvl>
  </w:abstractNum>
  <w:abstractNum w:abstractNumId="341">
    <w:nsid w:val="773BFBDD"/>
    <w:multiLevelType w:val="hybridMultilevel"/>
    <w:lvl w:ilvl="0">
      <w:lvlJc w:val="left"/>
      <w:lvlText w:val="(%1)"/>
      <w:numFmt w:val="lowerLetter"/>
      <w:start w:val="3"/>
    </w:lvl>
  </w:abstractNum>
  <w:abstractNum w:abstractNumId="342">
    <w:nsid w:val="2C7C62C2"/>
    <w:multiLevelType w:val="hybridMultilevel"/>
    <w:lvl w:ilvl="0">
      <w:lvlJc w:val="left"/>
      <w:lvlText w:val="(%1)"/>
      <w:numFmt w:val="lowerLetter"/>
      <w:start w:val="1"/>
    </w:lvl>
  </w:abstractNum>
  <w:abstractNum w:abstractNumId="343">
    <w:nsid w:val="1A54D7BC"/>
    <w:multiLevelType w:val="hybridMultilevel"/>
    <w:lvl w:ilvl="0">
      <w:lvlJc w:val="left"/>
      <w:lvlText w:val="(%1)"/>
      <w:numFmt w:val="lowerLetter"/>
      <w:start w:val="4"/>
    </w:lvl>
  </w:abstractNum>
  <w:abstractNum w:abstractNumId="344">
    <w:nsid w:val="42E57EF7"/>
    <w:multiLevelType w:val="hybridMultilevel"/>
    <w:lvl w:ilvl="0">
      <w:lvlJc w:val="left"/>
      <w:lvlText w:val="(%1)"/>
      <w:numFmt w:val="lowerLetter"/>
      <w:start w:val="1"/>
    </w:lvl>
  </w:abstractNum>
  <w:abstractNum w:abstractNumId="345">
    <w:nsid w:val="33537CED"/>
    <w:multiLevelType w:val="hybridMultilevel"/>
    <w:lvl w:ilvl="0">
      <w:lvlJc w:val="left"/>
      <w:lvlText w:val="(%1)"/>
      <w:numFmt w:val="lowerLetter"/>
      <w:start w:val="1"/>
    </w:lvl>
  </w:abstractNum>
  <w:abstractNum w:abstractNumId="346">
    <w:nsid w:val="27514ADE"/>
    <w:multiLevelType w:val="hybridMultilevel"/>
    <w:lvl w:ilvl="0">
      <w:lvlJc w:val="left"/>
      <w:lvlText w:val="(%1)"/>
      <w:numFmt w:val="lowerLetter"/>
      <w:start w:val="3"/>
    </w:lvl>
  </w:abstractNum>
  <w:abstractNum w:abstractNumId="347">
    <w:nsid w:val="57071613"/>
    <w:multiLevelType w:val="hybridMultilevel"/>
    <w:lvl w:ilvl="0">
      <w:lvlJc w:val="left"/>
      <w:lvlText w:val="(%1)"/>
      <w:numFmt w:val="lowerLetter"/>
      <w:start w:val="1"/>
    </w:lvl>
  </w:abstractNum>
  <w:abstractNum w:abstractNumId="348">
    <w:nsid w:val="5293BFEF"/>
    <w:multiLevelType w:val="hybridMultilevel"/>
    <w:lvl w:ilvl="0">
      <w:lvlJc w:val="left"/>
      <w:lvlText w:val="(%1)"/>
      <w:numFmt w:val="lowerLetter"/>
      <w:start w:val="6"/>
    </w:lvl>
  </w:abstractNum>
  <w:abstractNum w:abstractNumId="349">
    <w:nsid w:val="38BF53E5"/>
    <w:multiLevelType w:val="hybridMultilevel"/>
    <w:lvl w:ilvl="0">
      <w:lvlJc w:val="left"/>
      <w:lvlText w:val="(%1)"/>
      <w:numFmt w:val="lowerLetter"/>
      <w:start w:val="8"/>
    </w:lvl>
  </w:abstractNum>
  <w:abstractNum w:abstractNumId="350">
    <w:nsid w:val="226F5320"/>
    <w:multiLevelType w:val="hybridMultilevel"/>
    <w:lvl w:ilvl="0">
      <w:lvlJc w:val="left"/>
      <w:lvlText w:val="(%1)"/>
      <w:numFmt w:val="lowerLetter"/>
      <w:start w:val="2"/>
    </w:lvl>
  </w:abstractNum>
  <w:abstractNum w:abstractNumId="351">
    <w:nsid w:val="5A0201C7"/>
    <w:multiLevelType w:val="hybridMultilevel"/>
    <w:lvl w:ilvl="0">
      <w:lvlJc w:val="left"/>
      <w:lvlText w:val="(%1)"/>
      <w:numFmt w:val="lowerLetter"/>
      <w:start w:val="25"/>
    </w:lvl>
  </w:abstractNum>
  <w:abstractNum w:abstractNumId="352">
    <w:nsid w:val="2A9C34E2"/>
    <w:multiLevelType w:val="hybridMultilevel"/>
    <w:lvl w:ilvl="0">
      <w:lvlJc w:val="left"/>
      <w:lvlText w:val="(%1)"/>
      <w:numFmt w:val="lowerRoman"/>
      <w:start w:val="1"/>
    </w:lvl>
  </w:abstractNum>
  <w:abstractNum w:abstractNumId="353">
    <w:nsid w:val="1B7585AB"/>
    <w:multiLevelType w:val="hybridMultilevel"/>
    <w:lvl w:ilvl="0">
      <w:lvlJc w:val="left"/>
      <w:lvlText w:val="(%1)"/>
      <w:numFmt w:val="lowerLetter"/>
      <w:start w:val="2"/>
    </w:lvl>
  </w:abstractNum>
  <w:abstractNum w:abstractNumId="354">
    <w:nsid w:val="612DBDDD"/>
    <w:multiLevelType w:val="hybridMultilevel"/>
    <w:lvl w:ilvl="0">
      <w:lvlJc w:val="left"/>
      <w:lvlText w:val="(%1)"/>
      <w:numFmt w:val="lowerLetter"/>
      <w:start w:val="1"/>
    </w:lvl>
  </w:abstractNum>
  <w:abstractNum w:abstractNumId="355">
    <w:nsid w:val="2109CDA4"/>
    <w:multiLevelType w:val="hybridMultilevel"/>
    <w:lvl w:ilvl="0">
      <w:lvlJc w:val="left"/>
      <w:lvlText w:val="(%1)"/>
      <w:numFmt w:val="lowerLetter"/>
      <w:start w:val="2"/>
    </w:lvl>
  </w:abstractNum>
  <w:abstractNum w:abstractNumId="356">
    <w:nsid w:val="577F5A4D"/>
    <w:multiLevelType w:val="hybridMultilevel"/>
    <w:lvl w:ilvl="0">
      <w:lvlJc w:val="left"/>
      <w:lvlText w:val="(%1)"/>
      <w:numFmt w:val="lowerLetter"/>
      <w:start w:val="3"/>
    </w:lvl>
  </w:abstractNum>
  <w:abstractNum w:abstractNumId="357">
    <w:nsid w:val="2121A81"/>
    <w:multiLevelType w:val="hybridMultilevel"/>
    <w:lvl w:ilvl="0">
      <w:lvlJc w:val="left"/>
      <w:lvlText w:val="(%1)"/>
      <w:numFmt w:val="lowerLetter"/>
      <w:start w:val="1"/>
    </w:lvl>
  </w:abstractNum>
  <w:abstractNum w:abstractNumId="358">
    <w:nsid w:val="6C2CFC88"/>
    <w:multiLevelType w:val="hybridMultilevel"/>
    <w:lvl w:ilvl="0">
      <w:lvlJc w:val="left"/>
      <w:lvlText w:val="(%1)"/>
      <w:numFmt w:val="lowerLetter"/>
      <w:start w:val="1"/>
    </w:lvl>
  </w:abstractNum>
  <w:abstractNum w:abstractNumId="359">
    <w:nsid w:val="6D1BCF1C"/>
    <w:multiLevelType w:val="hybridMultilevel"/>
    <w:lvl w:ilvl="0">
      <w:lvlJc w:val="left"/>
      <w:lvlText w:val="(%1)"/>
      <w:numFmt w:val="lowerLetter"/>
      <w:start w:val="3"/>
    </w:lvl>
  </w:abstractNum>
  <w:abstractNum w:abstractNumId="360">
    <w:nsid w:val="4CE5CA53"/>
    <w:multiLevelType w:val="hybridMultilevel"/>
    <w:lvl w:ilvl="0">
      <w:lvlJc w:val="left"/>
      <w:lvlText w:val="%1."/>
      <w:numFmt w:val="decimal"/>
      <w:start w:val="1"/>
    </w:lvl>
    <w:lvl w:ilvl="1">
      <w:lvlJc w:val="left"/>
      <w:lvlText w:val="%2."/>
      <w:numFmt w:val="lowerLetter"/>
      <w:start w:val="1"/>
    </w:lvl>
  </w:abstractNum>
  <w:abstractNum w:abstractNumId="361">
    <w:nsid w:val="29262D1A"/>
    <w:multiLevelType w:val="hybridMultilevel"/>
    <w:lvl w:ilvl="0">
      <w:lvlJc w:val="left"/>
      <w:lvlText w:val="%1"/>
      <w:numFmt w:val="decimal"/>
      <w:start w:val="1"/>
    </w:lvl>
    <w:lvl w:ilvl="1">
      <w:lvlJc w:val="left"/>
      <w:lvlText w:val="%2."/>
      <w:numFmt w:val="lowerLetter"/>
      <w:start w:val="8"/>
    </w:lvl>
  </w:abstractNum>
  <w:abstractNum w:abstractNumId="362">
    <w:nsid w:val="557FB7EE"/>
    <w:multiLevelType w:val="hybridMultilevel"/>
    <w:lvl w:ilvl="0">
      <w:lvlJc w:val="left"/>
      <w:lvlText w:val="%1."/>
      <w:numFmt w:val="decimal"/>
      <w:start w:val="2"/>
    </w:lvl>
    <w:lvl w:ilvl="1">
      <w:lvlJc w:val="left"/>
      <w:lvlText w:val="%2"/>
      <w:numFmt w:val="lowerLetter"/>
      <w:start w:val="1"/>
    </w:lvl>
  </w:abstractNum>
  <w:abstractNum w:abstractNumId="363">
    <w:nsid w:val="436F2BE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364">
    <w:nsid w:val="6C8B44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365">
    <w:nsid w:val="2006E4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366">
    <w:nsid w:val="20CC134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367">
    <w:nsid w:val="95FC93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8">
    <w:nsid w:val="41D74679"/>
    <w:multiLevelType w:val="hybridMultilevel"/>
    <w:lvl w:ilvl="0">
      <w:lvlJc w:val="left"/>
      <w:lvlText w:val="%1."/>
      <w:numFmt w:val="decimal"/>
      <w:start w:val="8"/>
    </w:lvl>
  </w:abstractNum>
  <w:abstractNum w:abstractNumId="369">
    <w:nsid w:val="71E5621E"/>
    <w:multiLevelType w:val="hybridMultilevel"/>
    <w:lvl w:ilvl="0">
      <w:lvlJc w:val="left"/>
      <w:lvlText w:val="(%1)"/>
      <w:numFmt w:val="lowerLetter"/>
      <w:start w:val="1"/>
    </w:lvl>
  </w:abstractNum>
  <w:abstractNum w:abstractNumId="370">
    <w:nsid w:val="4E42B6A8"/>
    <w:multiLevelType w:val="hybridMultilevel"/>
    <w:lvl w:ilvl="0">
      <w:lvlJc w:val="left"/>
      <w:lvlText w:val="(%1)"/>
      <w:numFmt w:val="lowerLetter"/>
      <w:start w:val="4"/>
    </w:lvl>
    <w:lvl w:ilvl="1">
      <w:lvlJc w:val="left"/>
      <w:lvlText w:val="(%2)"/>
      <w:numFmt w:val="lowerRoman"/>
      <w:start w:val="1"/>
    </w:lvl>
  </w:abstractNum>
  <w:abstractNum w:abstractNumId="371">
    <w:nsid w:val="43F8E1AC"/>
    <w:multiLevelType w:val="hybridMultilevel"/>
    <w:lvl w:ilvl="0">
      <w:lvlJc w:val="left"/>
      <w:lvlText w:val="(%1)"/>
      <w:numFmt w:val="lowerLetter"/>
      <w:start w:val="5"/>
    </w:lvl>
  </w:abstractNum>
  <w:abstractNum w:abstractNumId="372">
    <w:nsid w:val="69215DFB"/>
    <w:multiLevelType w:val="hybridMultilevel"/>
    <w:lvl w:ilvl="0">
      <w:lvlJc w:val="left"/>
      <w:lvlText w:val="(%1)"/>
      <w:numFmt w:val="lowerLetter"/>
      <w:start w:val="1"/>
    </w:lvl>
  </w:abstractNum>
  <w:abstractNum w:abstractNumId="373">
    <w:nsid w:val="7ABF196A"/>
    <w:multiLevelType w:val="hybridMultilevel"/>
    <w:lvl w:ilvl="0">
      <w:lvlJc w:val="left"/>
      <w:lvlText w:val="(%1)"/>
      <w:numFmt w:val="lowerLetter"/>
      <w:start w:val="2"/>
    </w:lvl>
  </w:abstractNum>
  <w:abstractNum w:abstractNumId="374">
    <w:nsid w:val="5E4DB968"/>
    <w:multiLevelType w:val="hybridMultilevel"/>
    <w:lvl w:ilvl="0">
      <w:lvlJc w:val="left"/>
      <w:lvlText w:val="%1."/>
      <w:numFmt w:val="lowerLetter"/>
      <w:start w:val="1"/>
    </w:lvl>
  </w:abstractNum>
  <w:abstractNum w:abstractNumId="375">
    <w:nsid w:val="2C06DCF3"/>
    <w:multiLevelType w:val="hybridMultilevel"/>
    <w:lvl w:ilvl="0">
      <w:lvlJc w:val="left"/>
      <w:lvlText w:val="%1."/>
      <w:numFmt w:val="decimal"/>
      <w:start w:val="2"/>
    </w:lvl>
  </w:abstractNum>
  <w:abstractNum w:abstractNumId="376">
    <w:nsid w:val="2E129658"/>
    <w:multiLevelType w:val="hybridMultilevel"/>
    <w:lvl w:ilvl="0">
      <w:lvlJc w:val="left"/>
      <w:lvlText w:val="(%1)"/>
      <w:numFmt w:val="lowerLetter"/>
      <w:start w:val="1"/>
    </w:lvl>
  </w:abstractNum>
  <w:abstractNum w:abstractNumId="377">
    <w:nsid w:val="59F0446"/>
    <w:multiLevelType w:val="hybridMultilevel"/>
    <w:lvl w:ilvl="0">
      <w:lvlJc w:val="left"/>
      <w:lvlText w:val="*"/>
      <w:numFmt w:val="bullet"/>
      <w:start w:val="1"/>
    </w:lvl>
  </w:abstractNum>
  <w:abstractNum w:abstractNumId="378">
    <w:nsid w:val="30DF306"/>
    <w:multiLevelType w:val="hybridMultilevel"/>
    <w:lvl w:ilvl="0">
      <w:lvlJc w:val="left"/>
      <w:lvlText w:val="%1."/>
      <w:numFmt w:val="upperLetter"/>
      <w:start w:val="1"/>
    </w:lvl>
  </w:abstractNum>
  <w:abstractNum w:abstractNumId="379">
    <w:nsid w:val="A65647"/>
    <w:multiLevelType w:val="hybridMultilevel"/>
    <w:lvl w:ilvl="0">
      <w:lvlJc w:val="left"/>
      <w:lvlText w:val="%1."/>
      <w:numFmt w:val="decimal"/>
      <w:start w:val="1"/>
    </w:lvl>
    <w:lvl w:ilvl="1">
      <w:lvlJc w:val="left"/>
      <w:lvlText w:val="(%2)"/>
      <w:numFmt w:val="lowerLetter"/>
      <w:start w:val="2"/>
    </w:lvl>
  </w:abstractNum>
  <w:abstractNum w:abstractNumId="380">
    <w:nsid w:val="3E5E582B"/>
    <w:multiLevelType w:val="hybridMultilevel"/>
    <w:lvl w:ilvl="0">
      <w:lvlJc w:val="left"/>
      <w:lvlText w:val="5"/>
      <w:numFmt w:val="bullet"/>
      <w:start w:val="1"/>
    </w:lvl>
  </w:abstractNum>
  <w:abstractNum w:abstractNumId="381">
    <w:nsid w:val="257D4626"/>
    <w:multiLevelType w:val="hybridMultilevel"/>
    <w:lvl w:ilvl="0">
      <w:lvlJc w:val="left"/>
      <w:lvlText w:val="(%1)"/>
      <w:numFmt w:val="lowerRoman"/>
      <w:start w:val="3"/>
    </w:lvl>
  </w:abstractNum>
  <w:abstractNum w:abstractNumId="382">
    <w:nsid w:val="5AA8580E"/>
    <w:multiLevelType w:val="hybridMultilevel"/>
    <w:lvl w:ilvl="0">
      <w:lvlJc w:val="left"/>
      <w:lvlText w:val="(%1)"/>
      <w:numFmt w:val="lowerRoman"/>
      <w:start w:val="3"/>
    </w:lvl>
  </w:abstractNum>
  <w:abstractNum w:abstractNumId="383">
    <w:nsid w:val="68FA8D0D"/>
    <w:multiLevelType w:val="hybridMultilevel"/>
    <w:lvl w:ilvl="0">
      <w:lvlJc w:val="left"/>
      <w:lvlText w:val="(%1)"/>
      <w:numFmt w:val="lowerRoman"/>
      <w:start w:val="3"/>
    </w:lvl>
  </w:abstractNum>
  <w:abstractNum w:abstractNumId="384">
    <w:nsid w:val="40F2CBD2"/>
    <w:multiLevelType w:val="hybridMultilevel"/>
    <w:lvl w:ilvl="0">
      <w:lvlJc w:val="left"/>
      <w:lvlText w:val="%1."/>
      <w:numFmt w:val="decimal"/>
      <w:start w:val="1"/>
    </w:lvl>
    <w:lvl w:ilvl="1">
      <w:lvlJc w:val="left"/>
      <w:lvlText w:val="(%2)"/>
      <w:numFmt w:val="lowerLetter"/>
      <w:start w:val="1"/>
    </w:lvl>
  </w:abstractNum>
  <w:abstractNum w:abstractNumId="385">
    <w:nsid w:val="3BD615EB"/>
    <w:multiLevelType w:val="hybridMultilevel"/>
    <w:lvl w:ilvl="0">
      <w:lvlJc w:val="left"/>
      <w:lvlText w:val="%1"/>
      <w:numFmt w:val="decimal"/>
      <w:start w:val="1"/>
    </w:lvl>
    <w:lvl w:ilvl="1">
      <w:lvlJc w:val="left"/>
      <w:lvlText w:val="(%2)"/>
      <w:numFmt w:val="lowerLetter"/>
      <w:start w:val="2"/>
    </w:lvl>
  </w:abstractNum>
  <w:abstractNum w:abstractNumId="386">
    <w:nsid w:val="A045AB2"/>
    <w:multiLevelType w:val="hybridMultilevel"/>
    <w:lvl w:ilvl="0">
      <w:lvlJc w:val="left"/>
      <w:lvlText w:val="%1."/>
      <w:numFmt w:val="decimal"/>
      <w:start w:val="5"/>
    </w:lvl>
    <w:lvl w:ilvl="1">
      <w:lvlJc w:val="left"/>
      <w:lvlText w:val="%2"/>
      <w:numFmt w:val="lowerLetter"/>
      <w:start w:val="1"/>
    </w:lvl>
  </w:abstractNum>
  <w:abstractNum w:abstractNumId="387">
    <w:nsid w:val="1872261F"/>
    <w:multiLevelType w:val="hybridMultilevel"/>
    <w:lvl w:ilvl="0">
      <w:lvlJc w:val="left"/>
      <w:lvlText w:val="%1."/>
      <w:numFmt w:val="decimal"/>
      <w:start w:val="8"/>
    </w:lvl>
  </w:abstractNum>
  <w:abstractNum w:abstractNumId="388">
    <w:nsid w:val="3DE8306C"/>
    <w:multiLevelType w:val="hybridMultilevel"/>
    <w:lvl w:ilvl="0">
      <w:lvlJc w:val="left"/>
      <w:lvlText w:val="%1."/>
      <w:numFmt w:val="decimal"/>
      <w:start w:val="1"/>
    </w:lvl>
  </w:abstractNum>
  <w:abstractNum w:abstractNumId="389">
    <w:nsid w:val="7631573A"/>
    <w:multiLevelType w:val="hybridMultilevel"/>
    <w:lvl w:ilvl="0">
      <w:lvlJc w:val="left"/>
      <w:lvlText w:val="(%1)"/>
      <w:numFmt w:val="lowerLetter"/>
      <w:start w:val="1"/>
    </w:lvl>
  </w:abstractNum>
  <w:abstractNum w:abstractNumId="390">
    <w:nsid w:val="58DF53B"/>
    <w:multiLevelType w:val="hybridMultilevel"/>
    <w:lvl w:ilvl="0">
      <w:lvlJc w:val="left"/>
      <w:lvlText w:val="%1"/>
      <w:numFmt w:val="decimal"/>
      <w:start w:val="1"/>
    </w:lvl>
    <w:lvl w:ilvl="1">
      <w:lvlJc w:val="left"/>
      <w:lvlText w:val="(%2)"/>
      <w:numFmt w:val="lowerLetter"/>
      <w:start w:val="2"/>
    </w:lvl>
  </w:abstractNum>
  <w:abstractNum w:abstractNumId="391">
    <w:nsid w:val="ACDFAC0"/>
    <w:multiLevelType w:val="hybridMultilevel"/>
    <w:lvl w:ilvl="0">
      <w:lvlJc w:val="left"/>
      <w:lvlText w:val="%1."/>
      <w:numFmt w:val="decimal"/>
      <w:start w:val="5"/>
    </w:lvl>
    <w:lvl w:ilvl="1">
      <w:lvlJc w:val="left"/>
      <w:lvlText w:val="%2"/>
      <w:numFmt w:val="lowerLetter"/>
      <w:start w:val="1"/>
    </w:lvl>
  </w:abstractNum>
  <w:abstractNum w:abstractNumId="392">
    <w:nsid w:val="1F57845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2021-05-31T00:13:25Z</dcterms:created>
  <dcterms:modified xsi:type="dcterms:W3CDTF">2021-05-31T00:13:25Z</dcterms:modified>
</cp:coreProperties>
</file>