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3" w:lineRule="exact"/>
        <w:rPr>
          <w:sz w:val="24"/>
          <w:szCs w:val="24"/>
          <w:color w:val="auto"/>
        </w:rPr>
      </w:pPr>
    </w:p>
    <w:p>
      <w:pPr>
        <w:ind w:left="2720"/>
        <w:spacing w:after="0"/>
        <w:rPr>
          <w:sz w:val="20"/>
          <w:szCs w:val="20"/>
          <w:color w:val="auto"/>
        </w:rPr>
      </w:pPr>
      <w:r>
        <w:rPr>
          <w:rFonts w:ascii="Arial" w:cs="Arial" w:eastAsia="Arial" w:hAnsi="Arial"/>
          <w:sz w:val="15"/>
          <w:szCs w:val="15"/>
          <w:b w:val="1"/>
          <w:bCs w:val="1"/>
          <w:color w:val="auto"/>
        </w:rPr>
        <w:t>As filed with the Securities and Exchange Commission on May 15, 2024</w:t>
      </w:r>
    </w:p>
    <w:p>
      <w:pPr>
        <w:jc w:val="right"/>
        <w:spacing w:after="0" w:line="219" w:lineRule="auto"/>
        <w:rPr>
          <w:sz w:val="20"/>
          <w:szCs w:val="20"/>
          <w:color w:val="auto"/>
        </w:rPr>
      </w:pPr>
      <w:r>
        <w:rPr>
          <w:rFonts w:ascii="Arial" w:cs="Arial" w:eastAsia="Arial" w:hAnsi="Arial"/>
          <w:sz w:val="15"/>
          <w:szCs w:val="15"/>
          <w:b w:val="1"/>
          <w:bCs w:val="1"/>
          <w:color w:val="auto"/>
        </w:rPr>
        <w:t>Registration No. 333-          ​</w:t>
      </w:r>
    </w:p>
    <w:p>
      <w:pPr>
        <w:ind w:left="480"/>
        <w:spacing w:after="0" w:line="221"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wp:posOffset>
            </wp:positionH>
            <wp:positionV relativeFrom="paragraph">
              <wp:posOffset>1905</wp:posOffset>
            </wp:positionV>
            <wp:extent cx="6073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3140" cy="1714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35560</wp:posOffset>
            </wp:positionV>
            <wp:extent cx="6073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3140" cy="8255"/>
                    </a:xfrm>
                    <a:prstGeom prst="rect">
                      <a:avLst/>
                    </a:prstGeom>
                    <a:noFill/>
                  </pic:spPr>
                </pic:pic>
              </a:graphicData>
            </a:graphic>
          </wp:anchor>
        </w:drawing>
      </w:r>
    </w:p>
    <w:p>
      <w:pPr>
        <w:spacing w:after="0" w:line="108" w:lineRule="exact"/>
        <w:rPr>
          <w:sz w:val="24"/>
          <w:szCs w:val="24"/>
          <w:color w:val="auto"/>
        </w:rPr>
      </w:pPr>
    </w:p>
    <w:p>
      <w:pPr>
        <w:jc w:val="center"/>
        <w:ind w:right="-359"/>
        <w:spacing w:after="0"/>
        <w:rPr>
          <w:sz w:val="20"/>
          <w:szCs w:val="20"/>
          <w:color w:val="auto"/>
        </w:rPr>
      </w:pPr>
      <w:r>
        <w:rPr>
          <w:rFonts w:ascii="Arial" w:cs="Arial" w:eastAsia="Arial" w:hAnsi="Arial"/>
          <w:sz w:val="28"/>
          <w:szCs w:val="28"/>
          <w:b w:val="1"/>
          <w:bCs w:val="1"/>
          <w:color w:val="auto"/>
        </w:rPr>
        <w:t>UNITED STATES</w:t>
      </w:r>
    </w:p>
    <w:p>
      <w:pPr>
        <w:jc w:val="center"/>
        <w:ind w:right="-439"/>
        <w:spacing w:after="0" w:line="237"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60960</wp:posOffset>
            </wp:positionV>
            <wp:extent cx="1347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37" w:lineRule="exact"/>
        <w:rPr>
          <w:sz w:val="24"/>
          <w:szCs w:val="24"/>
          <w:color w:val="auto"/>
        </w:rPr>
      </w:pPr>
    </w:p>
    <w:p>
      <w:pPr>
        <w:jc w:val="center"/>
        <w:ind w:right="-439"/>
        <w:spacing w:after="0"/>
        <w:rPr>
          <w:sz w:val="20"/>
          <w:szCs w:val="20"/>
          <w:color w:val="auto"/>
        </w:rPr>
      </w:pPr>
      <w:r>
        <w:rPr>
          <w:rFonts w:ascii="Arial" w:cs="Arial" w:eastAsia="Arial" w:hAnsi="Arial"/>
          <w:sz w:val="28"/>
          <w:szCs w:val="28"/>
          <w:b w:val="1"/>
          <w:bCs w:val="1"/>
          <w:color w:val="auto"/>
        </w:rPr>
        <w:t>FORM S-3</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REGISTRATION STATEMENT</w:t>
      </w:r>
    </w:p>
    <w:p>
      <w:pPr>
        <w:jc w:val="center"/>
        <w:ind w:right="-399"/>
        <w:spacing w:after="0" w:line="221" w:lineRule="auto"/>
        <w:rPr>
          <w:sz w:val="20"/>
          <w:szCs w:val="20"/>
          <w:color w:val="auto"/>
        </w:rPr>
      </w:pPr>
      <w:r>
        <w:rPr>
          <w:rFonts w:ascii="Arial" w:cs="Arial" w:eastAsia="Arial" w:hAnsi="Arial"/>
          <w:sz w:val="15"/>
          <w:szCs w:val="15"/>
          <w:b w:val="1"/>
          <w:bCs w:val="1"/>
          <w:i w:val="1"/>
          <w:iCs w:val="1"/>
          <w:color w:val="auto"/>
        </w:rPr>
        <w:t>UNDER</w:t>
      </w:r>
    </w:p>
    <w:p>
      <w:pPr>
        <w:jc w:val="center"/>
        <w:ind w:right="-4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60960</wp:posOffset>
            </wp:positionV>
            <wp:extent cx="1347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28"/>
          <w:szCs w:val="28"/>
          <w:b w:val="1"/>
          <w:bCs w:val="1"/>
          <w:color w:val="auto"/>
        </w:rPr>
        <w:t>Century Therapeutics, Inc.</w:t>
      </w:r>
    </w:p>
    <w:p>
      <w:pPr>
        <w:ind w:left="3660"/>
        <w:spacing w:after="0"/>
        <w:rPr>
          <w:sz w:val="20"/>
          <w:szCs w:val="20"/>
          <w:color w:val="auto"/>
        </w:rPr>
      </w:pPr>
      <w:r>
        <w:rPr>
          <w:rFonts w:ascii="Arial" w:cs="Arial" w:eastAsia="Arial" w:hAnsi="Arial"/>
          <w:sz w:val="14"/>
          <w:szCs w:val="14"/>
          <w:color w:val="auto"/>
        </w:rPr>
        <w:t>(Exact name of Registrant as specified in its charter)</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59055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06" w:lineRule="exact"/>
        <w:rPr>
          <w:sz w:val="24"/>
          <w:szCs w:val="24"/>
          <w:color w:val="auto"/>
        </w:rPr>
      </w:pPr>
    </w:p>
    <w:tbl>
      <w:tblPr>
        <w:tblLayout w:type="fixed"/>
        <w:tblInd w:w="480" w:type="dxa"/>
        <w:tblCellMar>
          <w:top w:w="0" w:type="dxa"/>
          <w:left w:w="0" w:type="dxa"/>
          <w:bottom w:w="0" w:type="dxa"/>
          <w:right w:w="0" w:type="dxa"/>
        </w:tblCellMar>
      </w:tblPr>
      <w:tr>
        <w:trPr>
          <w:trHeight w:val="184"/>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2240" w:type="dxa"/>
            <w:vAlign w:val="bottom"/>
          </w:tcPr>
          <w:p>
            <w:pPr>
              <w:ind w:left="740"/>
              <w:spacing w:after="0"/>
              <w:rPr>
                <w:sz w:val="20"/>
                <w:szCs w:val="20"/>
                <w:color w:val="auto"/>
              </w:rPr>
            </w:pPr>
            <w:r>
              <w:rPr>
                <w:rFonts w:ascii="Arial" w:cs="Arial" w:eastAsia="Arial" w:hAnsi="Arial"/>
                <w:sz w:val="16"/>
                <w:szCs w:val="16"/>
                <w:b w:val="1"/>
                <w:bCs w:val="1"/>
                <w:color w:val="auto"/>
              </w:rPr>
              <w:t>Delaware</w:t>
            </w:r>
          </w:p>
        </w:tc>
        <w:tc>
          <w:tcPr>
            <w:tcW w:w="700" w:type="dxa"/>
            <w:vAlign w:val="bottom"/>
          </w:tcPr>
          <w:p>
            <w:pPr>
              <w:ind w:left="220"/>
              <w:spacing w:after="0"/>
              <w:rPr>
                <w:sz w:val="20"/>
                <w:szCs w:val="20"/>
                <w:color w:val="auto"/>
              </w:rPr>
            </w:pPr>
            <w:r>
              <w:rPr>
                <w:rFonts w:ascii="Arial" w:cs="Arial" w:eastAsia="Arial" w:hAnsi="Arial"/>
                <w:sz w:val="14"/>
                <w:szCs w:val="14"/>
                <w:color w:val="auto"/>
              </w:rPr>
              <w:t>​ ​</w:t>
            </w:r>
          </w:p>
        </w:tc>
        <w:tc>
          <w:tcPr>
            <w:tcW w:w="3200" w:type="dxa"/>
            <w:vAlign w:val="bottom"/>
          </w:tcPr>
          <w:p>
            <w:pPr>
              <w:jc w:val="center"/>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 ​</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8"/>
              </w:rPr>
              <w:t>84-2040295</w:t>
            </w:r>
          </w:p>
        </w:tc>
        <w:tc>
          <w:tcPr>
            <w:tcW w:w="4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142"/>
        </w:trPr>
        <w:tc>
          <w:tcPr>
            <w:tcW w:w="240" w:type="dxa"/>
            <w:vAlign w:val="bottom"/>
          </w:tcPr>
          <w:p>
            <w:pPr>
              <w:spacing w:after="0"/>
              <w:rPr>
                <w:sz w:val="12"/>
                <w:szCs w:val="12"/>
                <w:color w:val="auto"/>
              </w:rPr>
            </w:pPr>
          </w:p>
        </w:tc>
        <w:tc>
          <w:tcPr>
            <w:tcW w:w="2240" w:type="dxa"/>
            <w:vAlign w:val="bottom"/>
          </w:tcPr>
          <w:p>
            <w:pPr>
              <w:ind w:left="200"/>
              <w:spacing w:after="0" w:line="142" w:lineRule="exact"/>
              <w:rPr>
                <w:sz w:val="20"/>
                <w:szCs w:val="20"/>
                <w:color w:val="auto"/>
              </w:rPr>
            </w:pPr>
            <w:r>
              <w:rPr>
                <w:rFonts w:ascii="Arial" w:cs="Arial" w:eastAsia="Arial" w:hAnsi="Arial"/>
                <w:sz w:val="14"/>
                <w:szCs w:val="14"/>
                <w:color w:val="auto"/>
              </w:rPr>
              <w:t>(State or other jurisdiction of</w:t>
            </w:r>
          </w:p>
        </w:tc>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4"/>
                <w:szCs w:val="14"/>
                <w:color w:val="auto"/>
                <w:w w:val="99"/>
              </w:rPr>
              <w:t>(I.R.S. Employer</w:t>
            </w:r>
          </w:p>
        </w:tc>
        <w:tc>
          <w:tcPr>
            <w:tcW w:w="440" w:type="dxa"/>
            <w:vAlign w:val="bottom"/>
          </w:tcPr>
          <w:p>
            <w:pPr>
              <w:spacing w:after="0"/>
              <w:rPr>
                <w:sz w:val="12"/>
                <w:szCs w:val="12"/>
                <w:color w:val="auto"/>
              </w:rPr>
            </w:pPr>
          </w:p>
        </w:tc>
      </w:tr>
      <w:tr>
        <w:trPr>
          <w:trHeight w:val="185"/>
        </w:trPr>
        <w:tc>
          <w:tcPr>
            <w:tcW w:w="240" w:type="dxa"/>
            <w:vAlign w:val="bottom"/>
          </w:tcPr>
          <w:p>
            <w:pPr>
              <w:spacing w:after="0"/>
              <w:rPr>
                <w:sz w:val="16"/>
                <w:szCs w:val="16"/>
                <w:color w:val="auto"/>
              </w:rPr>
            </w:pPr>
          </w:p>
        </w:tc>
        <w:tc>
          <w:tcPr>
            <w:tcW w:w="2240" w:type="dxa"/>
            <w:vAlign w:val="bottom"/>
          </w:tcPr>
          <w:p>
            <w:pPr>
              <w:ind w:left="180"/>
              <w:spacing w:after="0"/>
              <w:rPr>
                <w:sz w:val="20"/>
                <w:szCs w:val="20"/>
                <w:color w:val="auto"/>
              </w:rPr>
            </w:pPr>
            <w:r>
              <w:rPr>
                <w:rFonts w:ascii="Arial" w:cs="Arial" w:eastAsia="Arial" w:hAnsi="Arial"/>
                <w:sz w:val="14"/>
                <w:szCs w:val="14"/>
                <w:color w:val="auto"/>
              </w:rPr>
              <w:t>incorporation or organization)</w:t>
            </w: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c>
          <w:tcPr>
            <w:tcW w:w="440" w:type="dxa"/>
            <w:vAlign w:val="bottom"/>
          </w:tcPr>
          <w:p>
            <w:pPr>
              <w:spacing w:after="0"/>
              <w:rPr>
                <w:sz w:val="16"/>
                <w:szCs w:val="16"/>
                <w:color w:val="auto"/>
              </w:rPr>
            </w:pPr>
          </w:p>
        </w:tc>
      </w:tr>
      <w:tr>
        <w:trPr>
          <w:trHeight w:val="213"/>
        </w:trPr>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2240" w:type="dxa"/>
            <w:vAlign w:val="bottom"/>
          </w:tcPr>
          <w:p>
            <w:pPr>
              <w:ind w:left="10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3200" w:type="dxa"/>
            <w:vAlign w:val="bottom"/>
          </w:tcPr>
          <w:p>
            <w:pPr>
              <w:jc w:val="center"/>
              <w:spacing w:after="0"/>
              <w:rPr>
                <w:sz w:val="20"/>
                <w:szCs w:val="20"/>
                <w:color w:val="auto"/>
              </w:rPr>
            </w:pPr>
            <w:r>
              <w:rPr>
                <w:rFonts w:ascii="Arial" w:cs="Arial" w:eastAsia="Arial" w:hAnsi="Arial"/>
                <w:sz w:val="16"/>
                <w:szCs w:val="16"/>
                <w:b w:val="1"/>
                <w:bCs w:val="1"/>
                <w:color w:val="auto"/>
                <w:w w:val="98"/>
              </w:rPr>
              <w:t>25 North 38th Street, 11th Floor</w:t>
            </w:r>
          </w:p>
        </w:tc>
        <w:tc>
          <w:tcPr>
            <w:tcW w:w="90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r>
      <w:tr>
        <w:trPr>
          <w:trHeight w:val="159"/>
        </w:trPr>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Philadelphia, Pennsylvania 19104</w:t>
            </w:r>
          </w:p>
        </w:tc>
        <w:tc>
          <w:tcPr>
            <w:tcW w:w="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18"/>
        </w:trPr>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0" w:type="dxa"/>
            <w:vAlign w:val="bottom"/>
          </w:tcPr>
          <w:p>
            <w:pPr>
              <w:jc w:val="right"/>
              <w:ind w:right="1003"/>
              <w:spacing w:after="0"/>
              <w:rPr>
                <w:sz w:val="20"/>
                <w:szCs w:val="20"/>
                <w:color w:val="auto"/>
              </w:rPr>
            </w:pPr>
            <w:r>
              <w:rPr>
                <w:rFonts w:ascii="Arial" w:cs="Arial" w:eastAsia="Arial" w:hAnsi="Arial"/>
                <w:sz w:val="16"/>
                <w:szCs w:val="16"/>
                <w:b w:val="1"/>
                <w:bCs w:val="1"/>
                <w:color w:val="auto"/>
              </w:rPr>
              <w:t>(267) 817-5790</w:t>
            </w:r>
          </w:p>
        </w:tc>
        <w:tc>
          <w:tcPr>
            <w:tcW w:w="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80645</wp:posOffset>
            </wp:positionV>
            <wp:extent cx="134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Brent Pfeiffenberger, Pharm.D.</w:t>
      </w:r>
    </w:p>
    <w:p>
      <w:pPr>
        <w:jc w:val="center"/>
        <w:ind w:right="-399"/>
        <w:spacing w:after="0" w:line="222"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399"/>
        <w:spacing w:after="0" w:line="221" w:lineRule="auto"/>
        <w:rPr>
          <w:sz w:val="20"/>
          <w:szCs w:val="20"/>
          <w:color w:val="auto"/>
        </w:rPr>
      </w:pPr>
      <w:r>
        <w:rPr>
          <w:rFonts w:ascii="Arial" w:cs="Arial" w:eastAsia="Arial" w:hAnsi="Arial"/>
          <w:sz w:val="15"/>
          <w:szCs w:val="15"/>
          <w:b w:val="1"/>
          <w:bCs w:val="1"/>
          <w:color w:val="auto"/>
        </w:rPr>
        <w:t>Century Therapeutics, Inc.</w:t>
      </w:r>
    </w:p>
    <w:p>
      <w:pPr>
        <w:jc w:val="center"/>
        <w:ind w:right="-399"/>
        <w:spacing w:after="0" w:line="222" w:lineRule="auto"/>
        <w:rPr>
          <w:sz w:val="20"/>
          <w:szCs w:val="20"/>
          <w:color w:val="auto"/>
        </w:rPr>
      </w:pPr>
      <w:r>
        <w:rPr>
          <w:rFonts w:ascii="Arial" w:cs="Arial" w:eastAsia="Arial" w:hAnsi="Arial"/>
          <w:sz w:val="15"/>
          <w:szCs w:val="15"/>
          <w:b w:val="1"/>
          <w:bCs w:val="1"/>
          <w:color w:val="auto"/>
        </w:rPr>
        <w:t>25 North 38th Street, 11th Floor</w:t>
      </w:r>
    </w:p>
    <w:p>
      <w:pPr>
        <w:jc w:val="center"/>
        <w:ind w:right="-399"/>
        <w:spacing w:after="0" w:line="221" w:lineRule="auto"/>
        <w:rPr>
          <w:sz w:val="20"/>
          <w:szCs w:val="20"/>
          <w:color w:val="auto"/>
        </w:rPr>
      </w:pPr>
      <w:r>
        <w:rPr>
          <w:rFonts w:ascii="Arial" w:cs="Arial" w:eastAsia="Arial" w:hAnsi="Arial"/>
          <w:sz w:val="15"/>
          <w:szCs w:val="15"/>
          <w:b w:val="1"/>
          <w:bCs w:val="1"/>
          <w:color w:val="auto"/>
        </w:rPr>
        <w:t>Philadelphia, Pennsylvania 19104</w:t>
      </w:r>
    </w:p>
    <w:p>
      <w:pPr>
        <w:jc w:val="center"/>
        <w:ind w:right="-439"/>
        <w:spacing w:after="0" w:line="206" w:lineRule="auto"/>
        <w:rPr>
          <w:sz w:val="20"/>
          <w:szCs w:val="20"/>
          <w:color w:val="auto"/>
        </w:rPr>
      </w:pPr>
      <w:r>
        <w:rPr>
          <w:rFonts w:ascii="Arial" w:cs="Arial" w:eastAsia="Arial" w:hAnsi="Arial"/>
          <w:sz w:val="15"/>
          <w:szCs w:val="15"/>
          <w:b w:val="1"/>
          <w:bCs w:val="1"/>
          <w:color w:val="auto"/>
        </w:rPr>
        <w:t>(267) 817-5790</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67945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62"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i w:val="1"/>
          <w:iCs w:val="1"/>
          <w:color w:val="auto"/>
        </w:rPr>
        <w:t>Copies to:</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5"/>
          <w:szCs w:val="15"/>
          <w:b w:val="1"/>
          <w:bCs w:val="1"/>
          <w:color w:val="auto"/>
        </w:rPr>
        <w:t>Rachael M. Bushey, Esq.</w:t>
      </w:r>
    </w:p>
    <w:p>
      <w:pPr>
        <w:ind w:left="4420"/>
        <w:spacing w:after="0" w:line="222" w:lineRule="auto"/>
        <w:rPr>
          <w:sz w:val="20"/>
          <w:szCs w:val="20"/>
          <w:color w:val="auto"/>
        </w:rPr>
      </w:pPr>
      <w:r>
        <w:rPr>
          <w:rFonts w:ascii="Arial" w:cs="Arial" w:eastAsia="Arial" w:hAnsi="Arial"/>
          <w:sz w:val="15"/>
          <w:szCs w:val="15"/>
          <w:b w:val="1"/>
          <w:bCs w:val="1"/>
          <w:color w:val="auto"/>
        </w:rPr>
        <w:t>Jennifer L. Porter, Esq.</w:t>
      </w:r>
    </w:p>
    <w:p>
      <w:pPr>
        <w:ind w:left="4640"/>
        <w:spacing w:after="0" w:line="221" w:lineRule="auto"/>
        <w:rPr>
          <w:sz w:val="20"/>
          <w:szCs w:val="20"/>
          <w:color w:val="auto"/>
        </w:rPr>
      </w:pPr>
      <w:r>
        <w:rPr>
          <w:rFonts w:ascii="Arial" w:cs="Arial" w:eastAsia="Arial" w:hAnsi="Arial"/>
          <w:sz w:val="15"/>
          <w:szCs w:val="15"/>
          <w:b w:val="1"/>
          <w:bCs w:val="1"/>
          <w:color w:val="auto"/>
        </w:rPr>
        <w:t>Justin Platt, Esq.</w:t>
      </w:r>
    </w:p>
    <w:p>
      <w:pPr>
        <w:ind w:left="4480"/>
        <w:spacing w:after="0" w:line="222" w:lineRule="auto"/>
        <w:rPr>
          <w:sz w:val="20"/>
          <w:szCs w:val="20"/>
          <w:color w:val="auto"/>
        </w:rPr>
      </w:pPr>
      <w:r>
        <w:rPr>
          <w:rFonts w:ascii="Arial" w:cs="Arial" w:eastAsia="Arial" w:hAnsi="Arial"/>
          <w:sz w:val="15"/>
          <w:szCs w:val="15"/>
          <w:b w:val="1"/>
          <w:bCs w:val="1"/>
          <w:color w:val="auto"/>
        </w:rPr>
        <w:t>Goodwin Procter LLP</w:t>
      </w:r>
    </w:p>
    <w:p>
      <w:pPr>
        <w:ind w:left="4160"/>
        <w:spacing w:after="0" w:line="221" w:lineRule="auto"/>
        <w:rPr>
          <w:sz w:val="20"/>
          <w:szCs w:val="20"/>
          <w:color w:val="auto"/>
        </w:rPr>
      </w:pPr>
      <w:r>
        <w:rPr>
          <w:rFonts w:ascii="Arial" w:cs="Arial" w:eastAsia="Arial" w:hAnsi="Arial"/>
          <w:sz w:val="15"/>
          <w:szCs w:val="15"/>
          <w:b w:val="1"/>
          <w:bCs w:val="1"/>
          <w:color w:val="auto"/>
        </w:rPr>
        <w:t>2005 Market Street, 32nd Floor</w:t>
      </w:r>
    </w:p>
    <w:p>
      <w:pPr>
        <w:ind w:left="4440"/>
        <w:spacing w:after="0" w:line="222" w:lineRule="auto"/>
        <w:rPr>
          <w:sz w:val="20"/>
          <w:szCs w:val="20"/>
          <w:color w:val="auto"/>
        </w:rPr>
      </w:pPr>
      <w:r>
        <w:rPr>
          <w:rFonts w:ascii="Arial" w:cs="Arial" w:eastAsia="Arial" w:hAnsi="Arial"/>
          <w:sz w:val="15"/>
          <w:szCs w:val="15"/>
          <w:b w:val="1"/>
          <w:bCs w:val="1"/>
          <w:color w:val="auto"/>
        </w:rPr>
        <w:t>Philadelphia, PA 19103</w:t>
      </w:r>
    </w:p>
    <w:p>
      <w:pPr>
        <w:ind w:left="4760"/>
        <w:spacing w:after="0"/>
        <w:rPr>
          <w:sz w:val="20"/>
          <w:szCs w:val="20"/>
          <w:color w:val="auto"/>
        </w:rPr>
      </w:pPr>
      <w:r>
        <w:rPr>
          <w:rFonts w:ascii="Arial" w:cs="Arial" w:eastAsia="Arial" w:hAnsi="Arial"/>
          <w:sz w:val="15"/>
          <w:szCs w:val="15"/>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60960</wp:posOffset>
            </wp:positionV>
            <wp:extent cx="1347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78"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 Statement.</w:t>
      </w:r>
    </w:p>
    <w:p>
      <w:pPr>
        <w:spacing w:after="0" w:line="91" w:lineRule="exact"/>
        <w:rPr>
          <w:sz w:val="24"/>
          <w:szCs w:val="24"/>
          <w:color w:val="auto"/>
        </w:rPr>
      </w:pPr>
    </w:p>
    <w:p>
      <w:pPr>
        <w:ind w:left="480" w:right="660"/>
        <w:spacing w:after="0" w:line="189"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ind w:left="480" w:right="140"/>
        <w:spacing w:after="0" w:line="189"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480" w:right="160"/>
        <w:spacing w:after="0" w:line="18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left="480" w:right="60"/>
        <w:spacing w:after="0" w:line="189"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ind w:left="480" w:right="120"/>
        <w:spacing w:after="0" w:line="189"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480" w:right="140"/>
        <w:spacing w:after="0" w:line="189"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480" w:right="40"/>
        <w:spacing w:after="0" w:line="23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8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gridSpan w:val="2"/>
          </w:tcPr>
          <w:p>
            <w:pPr>
              <w:ind w:left="2220"/>
              <w:spacing w:after="0"/>
              <w:rPr>
                <w:sz w:val="20"/>
                <w:szCs w:val="20"/>
                <w:color w:val="auto"/>
              </w:rPr>
            </w:pPr>
            <w:r>
              <w:rPr>
                <w:rFonts w:ascii="Arial" w:cs="Arial" w:eastAsia="Arial" w:hAnsi="Arial"/>
                <w:sz w:val="16"/>
                <w:szCs w:val="16"/>
                <w:color w:val="auto"/>
              </w:rPr>
              <w:t>​ ​ Accelerated filer</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24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400" w:type="dxa"/>
            <w:vAlign w:val="bottom"/>
          </w:tcPr>
          <w:p>
            <w:pPr>
              <w:ind w:left="2220"/>
              <w:spacing w:after="0" w:line="159" w:lineRule="exact"/>
              <w:rPr>
                <w:sz w:val="20"/>
                <w:szCs w:val="20"/>
                <w:color w:val="auto"/>
              </w:rPr>
            </w:pPr>
            <w:r>
              <w:rPr>
                <w:rFonts w:ascii="Arial" w:cs="Arial" w:eastAsia="Arial" w:hAnsi="Arial"/>
                <w:sz w:val="16"/>
                <w:szCs w:val="16"/>
                <w:color w:val="auto"/>
              </w:rPr>
              <w:t>​ ​</w:t>
            </w:r>
          </w:p>
        </w:tc>
        <w:tc>
          <w:tcPr>
            <w:tcW w:w="2020" w:type="dxa"/>
            <w:vAlign w:val="bottom"/>
            <w:vMerge w:val="restart"/>
          </w:tcPr>
          <w:p>
            <w:pPr>
              <w:ind w:left="40"/>
              <w:spacing w:after="0"/>
              <w:rPr>
                <w:sz w:val="20"/>
                <w:szCs w:val="20"/>
                <w:color w:val="auto"/>
              </w:rPr>
            </w:pPr>
            <w:r>
              <w:rPr>
                <w:rFonts w:ascii="Arial" w:cs="Arial" w:eastAsia="Arial" w:hAnsi="Arial"/>
                <w:sz w:val="16"/>
                <w:szCs w:val="16"/>
                <w:color w:val="auto"/>
              </w:rPr>
              <w:t>Smaller reporting company</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60" w:type="dxa"/>
            <w:vAlign w:val="bottom"/>
          </w:tcPr>
          <w:p>
            <w:pPr>
              <w:jc w:val="right"/>
              <w:spacing w:after="0" w:line="15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line="27" w:lineRule="exact"/>
              <w:rPr>
                <w:sz w:val="20"/>
                <w:szCs w:val="20"/>
                <w:color w:val="auto"/>
              </w:rPr>
            </w:pPr>
            <w:r>
              <w:rPr>
                <w:rFonts w:ascii="Arial" w:cs="Arial" w:eastAsia="Arial" w:hAnsi="Arial"/>
                <w:sz w:val="3"/>
                <w:szCs w:val="3"/>
                <w:color w:val="auto"/>
              </w:rPr>
              <w:t>Non-accelerated filer</w:t>
            </w:r>
          </w:p>
        </w:tc>
        <w:tc>
          <w:tcPr>
            <w:tcW w:w="2480" w:type="dxa"/>
            <w:vAlign w:val="bottom"/>
            <w:vMerge w:val="continue"/>
          </w:tcPr>
          <w:p>
            <w:pPr>
              <w:spacing w:after="0"/>
              <w:rPr>
                <w:sz w:val="2"/>
                <w:szCs w:val="2"/>
                <w:color w:val="auto"/>
              </w:rPr>
            </w:pPr>
          </w:p>
        </w:tc>
        <w:tc>
          <w:tcPr>
            <w:tcW w:w="240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1660" w:type="dxa"/>
            <w:vAlign w:val="bottom"/>
          </w:tcPr>
          <w:p>
            <w:pPr>
              <w:spacing w:after="0"/>
              <w:rPr>
                <w:sz w:val="20"/>
                <w:szCs w:val="20"/>
                <w:color w:val="auto"/>
              </w:rPr>
            </w:pPr>
            <w:r>
              <w:rPr>
                <w:rFonts w:ascii="Arial" w:cs="Arial" w:eastAsia="Arial" w:hAnsi="Arial"/>
                <w:sz w:val="16"/>
                <w:szCs w:val="16"/>
                <w:color w:val="auto"/>
              </w:rPr>
              <w:t>​</w:t>
            </w:r>
          </w:p>
        </w:tc>
        <w:tc>
          <w:tcPr>
            <w:tcW w:w="2480" w:type="dxa"/>
            <w:vAlign w:val="bottom"/>
          </w:tcPr>
          <w:p>
            <w:pPr>
              <w:spacing w:after="0"/>
              <w:rPr>
                <w:sz w:val="23"/>
                <w:szCs w:val="23"/>
                <w:color w:val="auto"/>
              </w:rPr>
            </w:pPr>
          </w:p>
        </w:tc>
        <w:tc>
          <w:tcPr>
            <w:tcW w:w="4420" w:type="dxa"/>
            <w:vAlign w:val="bottom"/>
            <w:gridSpan w:val="2"/>
          </w:tcPr>
          <w:p>
            <w:pPr>
              <w:ind w:left="2220"/>
              <w:spacing w:after="0"/>
              <w:rPr>
                <w:sz w:val="20"/>
                <w:szCs w:val="20"/>
                <w:color w:val="auto"/>
              </w:rPr>
            </w:pPr>
            <w:r>
              <w:rPr>
                <w:rFonts w:ascii="Arial" w:cs="Arial" w:eastAsia="Arial" w:hAnsi="Arial"/>
                <w:sz w:val="16"/>
                <w:szCs w:val="16"/>
                <w:color w:val="auto"/>
              </w:rPr>
              <w:t>​ ​ Emerging growth company</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480" w:right="260"/>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41275</wp:posOffset>
            </wp:positionV>
            <wp:extent cx="134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21" w:lineRule="exact"/>
        <w:rPr>
          <w:sz w:val="24"/>
          <w:szCs w:val="24"/>
          <w:color w:val="auto"/>
        </w:rPr>
      </w:pPr>
    </w:p>
    <w:p>
      <w:pPr>
        <w:ind w:left="480" w:right="100"/>
        <w:spacing w:after="0" w:line="237"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wp:posOffset>
            </wp:positionH>
            <wp:positionV relativeFrom="paragraph">
              <wp:posOffset>24765</wp:posOffset>
            </wp:positionV>
            <wp:extent cx="607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3140" cy="8255"/>
                    </a:xfrm>
                    <a:prstGeom prst="rect">
                      <a:avLst/>
                    </a:prstGeom>
                    <a:noFill/>
                  </pic:spPr>
                </pic:pic>
              </a:graphicData>
            </a:graphic>
          </wp:anchor>
        </w:drawing>
      </w:r>
    </w:p>
    <w:p>
      <w:pPr>
        <w:sectPr>
          <w:pgSz w:w="11900" w:h="16838" w:orient="portrait"/>
          <w:cols w:equalWidth="0" w:num="1">
            <w:col w:w="10100"/>
          </w:cols>
          <w:pgMar w:left="680" w:top="202" w:right="1119"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880" w:type="dxa"/>
        <w:tblCellMar>
          <w:top w:w="0" w:type="dxa"/>
          <w:left w:w="0" w:type="dxa"/>
          <w:bottom w:w="0" w:type="dxa"/>
          <w:right w:w="0" w:type="dxa"/>
        </w:tblCellMar>
      </w:tblPr>
      <w:tr>
        <w:trPr>
          <w:trHeight w:val="165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is not permitted.</w:t>
            </w:r>
          </w:p>
        </w:tc>
      </w:tr>
      <w:tr>
        <w:trPr>
          <w:trHeight w:val="409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may not be sold until 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buy these securities in any jurisdiction where the offer or sale</w:t>
            </w:r>
          </w:p>
        </w:tc>
      </w:tr>
      <w:tr>
        <w:trPr>
          <w:trHeight w:val="258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and may be changed. These securities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offer to sell nor does it seek an offer to</w:t>
            </w:r>
          </w:p>
        </w:tc>
      </w:tr>
      <w:tr>
        <w:trPr>
          <w:trHeight w:val="63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2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The information in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080" w:type="dxa"/>
            <w:vAlign w:val="bottom"/>
          </w:tcPr>
          <w:p>
            <w:pPr>
              <w:spacing w:after="0"/>
              <w:rPr>
                <w:sz w:val="20"/>
                <w:szCs w:val="20"/>
                <w:color w:val="auto"/>
              </w:rPr>
            </w:pPr>
            <w:r>
              <w:rPr>
                <w:rFonts w:ascii="Arial" w:cs="Arial" w:eastAsia="Arial" w:hAnsi="Arial"/>
                <w:sz w:val="18"/>
                <w:szCs w:val="18"/>
                <w:b w:val="1"/>
                <w:bCs w:val="1"/>
                <w:color w:val="F45269"/>
              </w:rPr>
              <w:t>PROSPECTUS</w:t>
            </w:r>
          </w:p>
        </w:tc>
        <w:tc>
          <w:tcPr>
            <w:tcW w:w="4980" w:type="dxa"/>
            <w:vAlign w:val="bottom"/>
          </w:tcPr>
          <w:p>
            <w:pPr>
              <w:ind w:left="1880"/>
              <w:spacing w:after="0"/>
              <w:rPr>
                <w:sz w:val="20"/>
                <w:szCs w:val="20"/>
                <w:color w:val="auto"/>
              </w:rPr>
            </w:pPr>
            <w:r>
              <w:rPr>
                <w:rFonts w:ascii="Arial" w:cs="Arial" w:eastAsia="Arial" w:hAnsi="Arial"/>
                <w:sz w:val="18"/>
                <w:szCs w:val="18"/>
                <w:b w:val="1"/>
                <w:bCs w:val="1"/>
                <w:color w:val="F45269"/>
                <w:w w:val="97"/>
              </w:rPr>
              <w:t>Subject to Completion, May 15, 2024.</w:t>
            </w:r>
          </w:p>
        </w:tc>
      </w:tr>
      <w:tr>
        <w:trPr>
          <w:trHeight w:val="96"/>
        </w:trPr>
        <w:tc>
          <w:tcPr>
            <w:tcW w:w="3080" w:type="dxa"/>
            <w:vAlign w:val="bottom"/>
          </w:tcPr>
          <w:p>
            <w:pPr>
              <w:spacing w:after="0"/>
              <w:rPr>
                <w:sz w:val="20"/>
                <w:szCs w:val="20"/>
                <w:color w:val="auto"/>
              </w:rPr>
            </w:pPr>
            <w:r>
              <w:rPr>
                <w:rFonts w:ascii="Arial" w:cs="Arial" w:eastAsia="Arial" w:hAnsi="Arial"/>
                <w:sz w:val="5"/>
                <w:szCs w:val="5"/>
                <w:color w:val="auto"/>
              </w:rPr>
              <w:t>​</w:t>
            </w:r>
          </w:p>
        </w:tc>
        <w:tc>
          <w:tcPr>
            <w:tcW w:w="49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512127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21275" cy="336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175260</wp:posOffset>
            </wp:positionV>
            <wp:extent cx="2720975" cy="732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20975"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15,873,011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177165</wp:posOffset>
            </wp:positionV>
            <wp:extent cx="134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99"/>
        <w:spacing w:after="0" w:line="254" w:lineRule="auto"/>
        <w:rPr>
          <w:sz w:val="20"/>
          <w:szCs w:val="20"/>
          <w:color w:val="auto"/>
        </w:rPr>
      </w:pPr>
      <w:r>
        <w:rPr>
          <w:rFonts w:ascii="Arial" w:cs="Arial" w:eastAsia="Arial" w:hAnsi="Arial"/>
          <w:sz w:val="17"/>
          <w:szCs w:val="17"/>
          <w:color w:val="auto"/>
        </w:rPr>
        <w:t>This prospectus relates to the offer and resale from time to time by the selling stockholders identified in this prospectus, or collectively the selling stockholders, of up to 15,873,011 shares of our common stock,</w:t>
      </w:r>
    </w:p>
    <w:p>
      <w:pPr>
        <w:ind w:right="179"/>
        <w:spacing w:after="0" w:line="236" w:lineRule="auto"/>
        <w:rPr>
          <w:sz w:val="20"/>
          <w:szCs w:val="20"/>
          <w:color w:val="auto"/>
        </w:rPr>
      </w:pPr>
      <w:r>
        <w:rPr>
          <w:rFonts w:ascii="Arial" w:cs="Arial" w:eastAsia="Arial" w:hAnsi="Arial"/>
          <w:sz w:val="17"/>
          <w:szCs w:val="17"/>
          <w:color w:val="auto"/>
        </w:rPr>
        <w:t>par value $0.0001 per share, or the common stock. The shares offered by the selling stockholders consist of 15,873,011 shares that were issued in a private placement, or the Private Placement, pursuant</w:t>
      </w:r>
    </w:p>
    <w:p>
      <w:pPr>
        <w:ind w:right="219"/>
        <w:spacing w:after="0" w:line="241" w:lineRule="auto"/>
        <w:rPr>
          <w:sz w:val="20"/>
          <w:szCs w:val="20"/>
          <w:color w:val="auto"/>
        </w:rPr>
      </w:pPr>
      <w:r>
        <w:rPr>
          <w:rFonts w:ascii="Arial" w:cs="Arial" w:eastAsia="Arial" w:hAnsi="Arial"/>
          <w:sz w:val="18"/>
          <w:szCs w:val="18"/>
          <w:color w:val="auto"/>
        </w:rPr>
        <w:t>to a securities purchase agreement, dated April 11, 2024, by and among the Company and the investors listed therein, or the Securities Purchase Agreement.</w:t>
      </w:r>
    </w:p>
    <w:p>
      <w:pPr>
        <w:spacing w:after="0" w:line="139" w:lineRule="exact"/>
        <w:rPr>
          <w:sz w:val="20"/>
          <w:szCs w:val="20"/>
          <w:color w:val="auto"/>
        </w:rPr>
      </w:pPr>
    </w:p>
    <w:p>
      <w:pPr>
        <w:ind w:right="339"/>
        <w:spacing w:after="0" w:line="245" w:lineRule="auto"/>
        <w:rPr>
          <w:sz w:val="20"/>
          <w:szCs w:val="20"/>
          <w:color w:val="auto"/>
        </w:rPr>
      </w:pPr>
      <w:r>
        <w:rPr>
          <w:rFonts w:ascii="Arial" w:cs="Arial" w:eastAsia="Arial" w:hAnsi="Arial"/>
          <w:sz w:val="17"/>
          <w:szCs w:val="17"/>
          <w:color w:val="auto"/>
        </w:rPr>
        <w:t>The shares of common stock described in this prospectus or in any supplement to this prospectus may be sold from time to time pursuant to this prospectus by the selling stockholders in ordinary brokerage</w:t>
      </w:r>
    </w:p>
    <w:p>
      <w:pPr>
        <w:spacing w:after="0" w:line="232" w:lineRule="auto"/>
        <w:rPr>
          <w:sz w:val="20"/>
          <w:szCs w:val="20"/>
          <w:color w:val="auto"/>
        </w:rPr>
      </w:pPr>
      <w:r>
        <w:rPr>
          <w:rFonts w:ascii="Arial" w:cs="Arial" w:eastAsia="Arial" w:hAnsi="Arial"/>
          <w:sz w:val="18"/>
          <w:szCs w:val="18"/>
          <w:color w:val="auto"/>
        </w:rPr>
        <w:t>transactions, in transactions in which brokers solicit purchases, in negotiated transactions, or in a</w:t>
      </w:r>
    </w:p>
    <w:p>
      <w:pPr>
        <w:ind w:right="339"/>
        <w:spacing w:after="0" w:line="236" w:lineRule="auto"/>
        <w:rPr>
          <w:sz w:val="20"/>
          <w:szCs w:val="20"/>
          <w:color w:val="auto"/>
        </w:rPr>
      </w:pPr>
      <w:r>
        <w:rPr>
          <w:rFonts w:ascii="Arial" w:cs="Arial" w:eastAsia="Arial" w:hAnsi="Arial"/>
          <w:sz w:val="17"/>
          <w:szCs w:val="17"/>
          <w:color w:val="auto"/>
        </w:rPr>
        <w:t>combination of such methods of sale, at market prices prevailing at the time of sale, at prices related to such prevailing market prices, at fixed prices or prices subject to change, or at negotiated prices. See</w:t>
      </w:r>
    </w:p>
    <w:p>
      <w:pPr>
        <w:spacing w:after="0"/>
        <w:rPr>
          <w:sz w:val="20"/>
          <w:szCs w:val="20"/>
          <w:color w:val="auto"/>
        </w:rPr>
      </w:pPr>
      <w:r>
        <w:rPr>
          <w:rFonts w:ascii="Arial" w:cs="Arial" w:eastAsia="Arial" w:hAnsi="Arial"/>
          <w:sz w:val="17"/>
          <w:szCs w:val="17"/>
          <w:color w:val="auto"/>
        </w:rPr>
        <w:t>“Plan of Distribution” for more information about how the selling stockholders may sell or dispose of their</w:t>
      </w:r>
    </w:p>
    <w:p>
      <w:pPr>
        <w:spacing w:after="0" w:line="4" w:lineRule="exact"/>
        <w:rPr>
          <w:sz w:val="20"/>
          <w:szCs w:val="20"/>
          <w:color w:val="auto"/>
        </w:rPr>
      </w:pPr>
    </w:p>
    <w:p>
      <w:pPr>
        <w:ind w:right="319"/>
        <w:spacing w:after="0" w:line="232" w:lineRule="auto"/>
        <w:rPr>
          <w:sz w:val="20"/>
          <w:szCs w:val="20"/>
          <w:color w:val="auto"/>
        </w:rPr>
      </w:pPr>
      <w:r>
        <w:rPr>
          <w:rFonts w:ascii="Arial" w:cs="Arial" w:eastAsia="Arial" w:hAnsi="Arial"/>
          <w:sz w:val="18"/>
          <w:szCs w:val="18"/>
          <w:color w:val="auto"/>
        </w:rPr>
        <w:t>shares of common stock. We cannot predict when or in what amounts the selling stockholders may sell any of the shares offered by this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are not selling any shares of our common stock, and we will not receive any of the proceeds from the</w:t>
      </w:r>
    </w:p>
    <w:p>
      <w:pPr>
        <w:spacing w:after="0" w:line="20" w:lineRule="exact"/>
        <w:rPr>
          <w:sz w:val="20"/>
          <w:szCs w:val="20"/>
          <w:color w:val="auto"/>
        </w:rPr>
      </w:pPr>
    </w:p>
    <w:p>
      <w:pPr>
        <w:ind w:right="719"/>
        <w:spacing w:after="0" w:line="232" w:lineRule="auto"/>
        <w:rPr>
          <w:sz w:val="20"/>
          <w:szCs w:val="20"/>
          <w:color w:val="auto"/>
        </w:rPr>
      </w:pPr>
      <w:r>
        <w:rPr>
          <w:rFonts w:ascii="Arial" w:cs="Arial" w:eastAsia="Arial" w:hAnsi="Arial"/>
          <w:sz w:val="18"/>
          <w:szCs w:val="18"/>
          <w:color w:val="auto"/>
        </w:rPr>
        <w:t>sale of shares by the selling stockholders. The selling stockholders will pay all brokerage fees and commissions and similar sale-related expenses.</w:t>
      </w:r>
    </w:p>
    <w:p>
      <w:pPr>
        <w:spacing w:after="0" w:line="141" w:lineRule="exact"/>
        <w:rPr>
          <w:sz w:val="20"/>
          <w:szCs w:val="20"/>
          <w:color w:val="auto"/>
        </w:rPr>
      </w:pPr>
    </w:p>
    <w:p>
      <w:pPr>
        <w:ind w:right="339"/>
        <w:spacing w:after="0" w:line="259" w:lineRule="auto"/>
        <w:rPr>
          <w:sz w:val="20"/>
          <w:szCs w:val="20"/>
          <w:color w:val="auto"/>
        </w:rPr>
      </w:pPr>
      <w:r>
        <w:rPr>
          <w:rFonts w:ascii="Arial" w:cs="Arial" w:eastAsia="Arial" w:hAnsi="Arial"/>
          <w:sz w:val="18"/>
          <w:szCs w:val="18"/>
          <w:color w:val="auto"/>
        </w:rPr>
        <w:t>Our common stock is listed on the Nasdaq Global Select Market, or Nasdaq, under the symbol “IPSC.” On May 13, 2024, the closing price of our common stock on Nasdaq was $3.0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215265</wp:posOffset>
            </wp:positionV>
            <wp:extent cx="134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an emerging growth company and a smaller reporting company as defined under federal</w:t>
      </w:r>
    </w:p>
    <w:p>
      <w:pPr>
        <w:spacing w:after="0" w:line="22" w:lineRule="exact"/>
        <w:rPr>
          <w:sz w:val="20"/>
          <w:szCs w:val="20"/>
          <w:color w:val="auto"/>
        </w:rPr>
      </w:pPr>
    </w:p>
    <w:p>
      <w:pPr>
        <w:ind w:right="939"/>
        <w:spacing w:after="0" w:line="238" w:lineRule="auto"/>
        <w:rPr>
          <w:sz w:val="20"/>
          <w:szCs w:val="20"/>
          <w:color w:val="auto"/>
        </w:rPr>
      </w:pPr>
      <w:r>
        <w:rPr>
          <w:rFonts w:ascii="Arial" w:cs="Arial" w:eastAsia="Arial" w:hAnsi="Arial"/>
          <w:sz w:val="18"/>
          <w:szCs w:val="18"/>
          <w:b w:val="1"/>
          <w:bCs w:val="1"/>
          <w:color w:val="auto"/>
        </w:rPr>
        <w:t>securities laws and, as such, may elect to comply with certain reduced public company reporting requirements for future filings.</w:t>
      </w:r>
    </w:p>
    <w:p>
      <w:pPr>
        <w:spacing w:after="0" w:line="102" w:lineRule="exact"/>
        <w:rPr>
          <w:sz w:val="20"/>
          <w:szCs w:val="20"/>
          <w:color w:val="auto"/>
        </w:rPr>
      </w:pPr>
    </w:p>
    <w:p>
      <w:pPr>
        <w:ind w:right="459"/>
        <w:spacing w:after="0" w:line="233" w:lineRule="auto"/>
        <w:rPr>
          <w:sz w:val="20"/>
          <w:szCs w:val="20"/>
          <w:color w:val="auto"/>
        </w:rPr>
      </w:pPr>
      <w:r>
        <w:rPr>
          <w:rFonts w:ascii="Arial" w:cs="Arial" w:eastAsia="Arial" w:hAnsi="Arial"/>
          <w:sz w:val="18"/>
          <w:szCs w:val="18"/>
          <w:b w:val="1"/>
          <w:bCs w:val="1"/>
          <w:color w:val="auto"/>
        </w:rPr>
        <w:t xml:space="preserve">INVESTING IN OUR SECURITIES INVOLVES RISKS. SEE THE “RISK FACTORS” ON PAGE </w:t>
      </w:r>
      <w:r>
        <w:rPr>
          <w:rFonts w:ascii="Arial" w:cs="Arial" w:eastAsia="Arial" w:hAnsi="Arial"/>
          <w:sz w:val="18"/>
          <w:szCs w:val="18"/>
          <w:b w:val="1"/>
          <w:bCs w:val="1"/>
          <w:u w:val="single" w:color="auto"/>
          <w:color w:val="0000EE"/>
        </w:rPr>
        <w:t>7</w:t>
      </w:r>
      <w:r>
        <w:rPr>
          <w:rFonts w:ascii="Arial" w:cs="Arial" w:eastAsia="Arial" w:hAnsi="Arial"/>
          <w:sz w:val="18"/>
          <w:szCs w:val="18"/>
          <w:b w:val="1"/>
          <w:bCs w:val="1"/>
          <w:color w:val="auto"/>
        </w:rPr>
        <w:t xml:space="preserve"> OF THIS PROSPECTUS AND ANY SIMILAR SECTION CONTAINED IN ANY APPLICABLE</w:t>
      </w:r>
    </w:p>
    <w:p>
      <w:pPr>
        <w:spacing w:after="0" w:line="231" w:lineRule="auto"/>
        <w:rPr>
          <w:sz w:val="20"/>
          <w:szCs w:val="20"/>
          <w:color w:val="auto"/>
        </w:rPr>
      </w:pPr>
      <w:r>
        <w:rPr>
          <w:rFonts w:ascii="Arial" w:cs="Arial" w:eastAsia="Arial" w:hAnsi="Arial"/>
          <w:sz w:val="18"/>
          <w:szCs w:val="18"/>
          <w:b w:val="1"/>
          <w:bCs w:val="1"/>
          <w:color w:val="auto"/>
        </w:rPr>
        <w:t>PROSPECTUS SUPPLEMENT OR IN ANY DOCUMENTS INCORPORATED BY REFERENCE</w:t>
      </w:r>
    </w:p>
    <w:p>
      <w:pPr>
        <w:spacing w:after="0" w:line="1" w:lineRule="exact"/>
        <w:rPr>
          <w:sz w:val="20"/>
          <w:szCs w:val="20"/>
          <w:color w:val="auto"/>
        </w:rPr>
      </w:pPr>
    </w:p>
    <w:p>
      <w:pPr>
        <w:ind w:right="319"/>
        <w:spacing w:after="0" w:line="238" w:lineRule="auto"/>
        <w:rPr>
          <w:sz w:val="20"/>
          <w:szCs w:val="20"/>
          <w:color w:val="auto"/>
        </w:rPr>
      </w:pPr>
      <w:r>
        <w:rPr>
          <w:rFonts w:ascii="Arial" w:cs="Arial" w:eastAsia="Arial" w:hAnsi="Arial"/>
          <w:sz w:val="18"/>
          <w:szCs w:val="18"/>
          <w:b w:val="1"/>
          <w:bCs w:val="1"/>
          <w:color w:val="auto"/>
        </w:rPr>
        <w:t>HEREIN AND THEREIN CONCERNING FACTORS YOU SHOULD CONSIDER BEFORE INVESTING IN OUR SECURITIES.</w:t>
      </w:r>
    </w:p>
    <w:p>
      <w:pPr>
        <w:spacing w:after="0" w:line="102" w:lineRule="exact"/>
        <w:rPr>
          <w:sz w:val="20"/>
          <w:szCs w:val="20"/>
          <w:color w:val="auto"/>
        </w:rPr>
      </w:pPr>
    </w:p>
    <w:p>
      <w:pPr>
        <w:ind w:right="379"/>
        <w:spacing w:after="0" w:line="24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w:t>
      </w:r>
    </w:p>
    <w:p>
      <w:pPr>
        <w:spacing w:after="0"/>
        <w:rPr>
          <w:sz w:val="20"/>
          <w:szCs w:val="20"/>
          <w:color w:val="auto"/>
        </w:rPr>
      </w:pPr>
      <w:r>
        <w:rPr>
          <w:rFonts w:ascii="Arial" w:cs="Arial" w:eastAsia="Arial" w:hAnsi="Arial"/>
          <w:sz w:val="18"/>
          <w:szCs w:val="18"/>
          <w:b w:val="1"/>
          <w:bCs w:val="1"/>
          <w:color w:val="auto"/>
        </w:rPr>
        <w: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231140</wp:posOffset>
            </wp:positionV>
            <wp:extent cx="134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250190</wp:posOffset>
            </wp:positionV>
            <wp:extent cx="6679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79565" cy="42545"/>
                    </a:xfrm>
                    <a:prstGeom prst="rect">
                      <a:avLst/>
                    </a:prstGeom>
                    <a:noFill/>
                  </pic:spPr>
                </pic:pic>
              </a:graphicData>
            </a:graphic>
          </wp:anchor>
        </w:drawing>
      </w:r>
    </w:p>
    <w:p>
      <w:pPr>
        <w:sectPr>
          <w:pgSz w:w="11900" w:h="16838" w:orient="portrait"/>
          <w:cols w:equalWidth="0" w:num="2">
            <w:col w:w="1180" w:space="380"/>
            <w:col w:w="8219"/>
          </w:cols>
          <w:pgMar w:left="680" w:top="100"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2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6"/>
        </w:trPr>
        <w:tc>
          <w:tcPr>
            <w:tcW w:w="20" w:type="dxa"/>
            <w:vAlign w:val="bottom"/>
            <w:tcBorders>
              <w:bottom w:val="single" w:sz="8" w:color="0000EE"/>
            </w:tcBorders>
            <w:vMerge w:val="continue"/>
          </w:tcPr>
          <w:p>
            <w:pPr>
              <w:spacing w:after="0"/>
              <w:rPr>
                <w:sz w:val="14"/>
                <w:szCs w:val="14"/>
                <w:color w:val="auto"/>
              </w:rPr>
            </w:pPr>
          </w:p>
        </w:tc>
        <w:tc>
          <w:tcPr>
            <w:tcW w:w="2280" w:type="dxa"/>
            <w:vAlign w:val="bottom"/>
            <w:tcBorders>
              <w:bottom w:val="single" w:sz="8" w:color="0000EE"/>
            </w:tcBorders>
            <w:gridSpan w:val="8"/>
            <w:shd w:val="clear" w:color="auto" w:fill="CCEEFF"/>
          </w:tcPr>
          <w:p>
            <w:pPr>
              <w:spacing w:after="0" w:line="139"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EE"/>
              </w:rPr>
              <w:t>ABOUT THIS PROSPECTUS</w:t>
            </w:r>
          </w:p>
        </w:tc>
        <w:tc>
          <w:tcPr>
            <w:tcW w:w="4400" w:type="dxa"/>
            <w:vAlign w:val="bottom"/>
            <w:tcBorders>
              <w:bottom w:val="single" w:sz="8" w:color="CCEEFF"/>
            </w:tcBorders>
            <w:gridSpan w:val="5"/>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ind w:left="940"/>
              <w:spacing w:after="0" w:line="139"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0000EE"/>
            </w:tcBorders>
            <w:shd w:val="clear" w:color="auto" w:fill="CCEEFF"/>
          </w:tcPr>
          <w:p>
            <w:pPr>
              <w:jc w:val="right"/>
              <w:spacing w:after="0" w:line="139" w:lineRule="exact"/>
              <w:rPr>
                <w:sz w:val="20"/>
                <w:szCs w:val="20"/>
                <w:color w:val="auto"/>
              </w:rPr>
            </w:pPr>
            <w:r>
              <w:rPr>
                <w:rFonts w:ascii="Arial" w:cs="Arial" w:eastAsia="Arial" w:hAnsi="Arial"/>
                <w:sz w:val="15"/>
                <w:szCs w:val="15"/>
                <w:color w:val="0000EE"/>
                <w:w w:val="95"/>
              </w:rPr>
              <w:t>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700" w:type="dxa"/>
            <w:vAlign w:val="bottom"/>
            <w:gridSpan w:val="14"/>
          </w:tcPr>
          <w:p>
            <w:pPr>
              <w:spacing w:after="0" w:line="199" w:lineRule="exact"/>
              <w:rPr>
                <w:sz w:val="20"/>
                <w:szCs w:val="20"/>
                <w:color w:val="auto"/>
              </w:rPr>
            </w:pPr>
            <w:r>
              <w:rPr>
                <w:rFonts w:ascii="Arial" w:cs="Arial" w:eastAsia="Arial" w:hAnsi="Arial"/>
                <w:sz w:val="18"/>
                <w:szCs w:val="18"/>
                <w:color w:val="0000EE"/>
              </w:rPr>
              <w:t>CAUTIONARY NOTE REGARDING FORWARD-LOOKING STATEMENTS</w:t>
            </w:r>
          </w:p>
        </w:tc>
        <w:tc>
          <w:tcPr>
            <w:tcW w:w="1160" w:type="dxa"/>
            <w:vAlign w:val="bottom"/>
            <w:vMerge w:val="restart"/>
          </w:tcPr>
          <w:p>
            <w:pPr>
              <w:ind w:left="940"/>
              <w:spacing w:after="0" w:line="20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line="199" w:lineRule="exact"/>
              <w:rPr>
                <w:sz w:val="20"/>
                <w:szCs w:val="20"/>
                <w:color w:val="auto"/>
              </w:rPr>
            </w:pPr>
            <w:r>
              <w:rPr>
                <w:rFonts w:ascii="Arial" w:cs="Arial" w:eastAsia="Arial" w:hAnsi="Arial"/>
                <w:sz w:val="18"/>
                <w:szCs w:val="18"/>
                <w:color w:val="0000EE"/>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6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0000EE"/>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90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1500" w:type="dxa"/>
            <w:vAlign w:val="bottom"/>
            <w:tcBorders>
              <w:bottom w:val="single" w:sz="8" w:color="CCEEFF"/>
            </w:tcBorders>
            <w:gridSpan w:val="2"/>
            <w:shd w:val="clear" w:color="auto" w:fill="CCEEFF"/>
          </w:tcPr>
          <w:p>
            <w:pPr>
              <w:spacing w:after="0"/>
              <w:rPr>
                <w:sz w:val="2"/>
                <w:szCs w:val="2"/>
                <w:color w:val="auto"/>
              </w:rPr>
            </w:pPr>
          </w:p>
        </w:tc>
        <w:tc>
          <w:tcPr>
            <w:tcW w:w="1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line="7" w:lineRule="exact"/>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2"/>
        </w:trPr>
        <w:tc>
          <w:tcPr>
            <w:tcW w:w="6700" w:type="dxa"/>
            <w:vAlign w:val="bottom"/>
            <w:gridSpan w:val="14"/>
          </w:tcPr>
          <w:p>
            <w:pPr>
              <w:spacing w:after="0"/>
              <w:rPr>
                <w:sz w:val="20"/>
                <w:szCs w:val="20"/>
                <w:color w:val="auto"/>
              </w:rPr>
            </w:pPr>
            <w:r>
              <w:rPr>
                <w:rFonts w:ascii="Arial" w:cs="Arial" w:eastAsia="Arial" w:hAnsi="Arial"/>
                <w:sz w:val="18"/>
                <w:szCs w:val="18"/>
                <w:color w:val="0000EE"/>
              </w:rPr>
              <w:t>RISK FACTORS</w:t>
            </w:r>
          </w:p>
        </w:tc>
        <w:tc>
          <w:tcPr>
            <w:tcW w:w="1160" w:type="dxa"/>
            <w:vAlign w:val="bottom"/>
            <w:vMerge w:val="restart"/>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rPr>
                <w:sz w:val="20"/>
                <w:szCs w:val="20"/>
                <w:color w:val="auto"/>
              </w:rPr>
            </w:pPr>
            <w:r>
              <w:rPr>
                <w:rFonts w:ascii="Arial" w:cs="Arial" w:eastAsia="Arial" w:hAnsi="Arial"/>
                <w:sz w:val="18"/>
                <w:szCs w:val="18"/>
                <w:color w:val="0000EE"/>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66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1500" w:type="dxa"/>
            <w:vAlign w:val="bottom"/>
            <w:tcBorders>
              <w:bottom w:val="single" w:sz="8" w:color="CCEEFF"/>
            </w:tcBorders>
            <w:gridSpan w:val="2"/>
            <w:shd w:val="clear" w:color="auto" w:fill="CCEEFF"/>
          </w:tcPr>
          <w:p>
            <w:pPr>
              <w:spacing w:after="0"/>
              <w:rPr>
                <w:sz w:val="2"/>
                <w:szCs w:val="2"/>
                <w:color w:val="auto"/>
              </w:rPr>
            </w:pPr>
          </w:p>
        </w:tc>
        <w:tc>
          <w:tcPr>
            <w:tcW w:w="1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line="7" w:lineRule="exact"/>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2"/>
        </w:trPr>
        <w:tc>
          <w:tcPr>
            <w:tcW w:w="6700" w:type="dxa"/>
            <w:vAlign w:val="bottom"/>
            <w:gridSpan w:val="14"/>
          </w:tcPr>
          <w:p>
            <w:pPr>
              <w:spacing w:after="0"/>
              <w:rPr>
                <w:sz w:val="20"/>
                <w:szCs w:val="20"/>
                <w:color w:val="auto"/>
              </w:rPr>
            </w:pPr>
            <w:r>
              <w:rPr>
                <w:rFonts w:ascii="Arial" w:cs="Arial" w:eastAsia="Arial" w:hAnsi="Arial"/>
                <w:sz w:val="18"/>
                <w:szCs w:val="18"/>
                <w:color w:val="0000EE"/>
              </w:rPr>
              <w:t>SELLING STOCKHOLDERS</w:t>
            </w:r>
          </w:p>
        </w:tc>
        <w:tc>
          <w:tcPr>
            <w:tcW w:w="1160" w:type="dxa"/>
            <w:vAlign w:val="bottom"/>
            <w:vMerge w:val="restart"/>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rPr>
                <w:sz w:val="20"/>
                <w:szCs w:val="20"/>
                <w:color w:val="auto"/>
              </w:rPr>
            </w:pPr>
            <w:r>
              <w:rPr>
                <w:rFonts w:ascii="Arial" w:cs="Arial" w:eastAsia="Arial" w:hAnsi="Arial"/>
                <w:sz w:val="18"/>
                <w:szCs w:val="18"/>
                <w:color w:val="0000EE"/>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0000EE"/>
                <w:w w:val="8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200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6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1500" w:type="dxa"/>
            <w:vAlign w:val="bottom"/>
            <w:tcBorders>
              <w:bottom w:val="single" w:sz="8" w:color="CCEEFF"/>
            </w:tcBorders>
            <w:gridSpan w:val="2"/>
            <w:shd w:val="clear" w:color="auto" w:fill="CCEEFF"/>
          </w:tcPr>
          <w:p>
            <w:pPr>
              <w:spacing w:after="0"/>
              <w:rPr>
                <w:sz w:val="2"/>
                <w:szCs w:val="2"/>
                <w:color w:val="auto"/>
              </w:rPr>
            </w:pPr>
          </w:p>
        </w:tc>
        <w:tc>
          <w:tcPr>
            <w:tcW w:w="1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line="7" w:lineRule="exact"/>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2"/>
        </w:trPr>
        <w:tc>
          <w:tcPr>
            <w:tcW w:w="6700" w:type="dxa"/>
            <w:vAlign w:val="bottom"/>
            <w:gridSpan w:val="14"/>
          </w:tcPr>
          <w:p>
            <w:pPr>
              <w:spacing w:after="0"/>
              <w:rPr>
                <w:sz w:val="20"/>
                <w:szCs w:val="20"/>
                <w:color w:val="auto"/>
              </w:rPr>
            </w:pPr>
            <w:r>
              <w:rPr>
                <w:rFonts w:ascii="Arial" w:cs="Arial" w:eastAsia="Arial" w:hAnsi="Arial"/>
                <w:sz w:val="18"/>
                <w:szCs w:val="18"/>
                <w:color w:val="0000EE"/>
              </w:rPr>
              <w:t>DESCRIPTION OF CAPITAL STOCK</w:t>
            </w:r>
          </w:p>
        </w:tc>
        <w:tc>
          <w:tcPr>
            <w:tcW w:w="1160" w:type="dxa"/>
            <w:vAlign w:val="bottom"/>
            <w:vMerge w:val="restart"/>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rPr>
                <w:sz w:val="20"/>
                <w:szCs w:val="20"/>
                <w:color w:val="auto"/>
              </w:rPr>
            </w:pPr>
            <w:r>
              <w:rPr>
                <w:rFonts w:ascii="Arial" w:cs="Arial" w:eastAsia="Arial" w:hAnsi="Arial"/>
                <w:sz w:val="18"/>
                <w:szCs w:val="18"/>
                <w:color w:val="0000EE"/>
                <w:w w:val="8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0000EE"/>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400" w:type="dxa"/>
            <w:vAlign w:val="bottom"/>
            <w:tcBorders>
              <w:bottom w:val="single" w:sz="8" w:color="CCEEFF"/>
            </w:tcBorders>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360" w:type="dxa"/>
            <w:vAlign w:val="bottom"/>
            <w:tcBorders>
              <w:bottom w:val="single" w:sz="8" w:color="CCEEFF"/>
            </w:tcBorders>
            <w:gridSpan w:val="7"/>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1500" w:type="dxa"/>
            <w:vAlign w:val="bottom"/>
            <w:tcBorders>
              <w:bottom w:val="single" w:sz="8" w:color="CCEEFF"/>
            </w:tcBorders>
            <w:gridSpan w:val="2"/>
            <w:shd w:val="clear" w:color="auto" w:fill="CCEEFF"/>
          </w:tcPr>
          <w:p>
            <w:pPr>
              <w:spacing w:after="0"/>
              <w:rPr>
                <w:sz w:val="2"/>
                <w:szCs w:val="2"/>
                <w:color w:val="auto"/>
              </w:rPr>
            </w:pPr>
          </w:p>
        </w:tc>
        <w:tc>
          <w:tcPr>
            <w:tcW w:w="1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line="7" w:lineRule="exact"/>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2"/>
        </w:trPr>
        <w:tc>
          <w:tcPr>
            <w:tcW w:w="6700" w:type="dxa"/>
            <w:vAlign w:val="bottom"/>
            <w:gridSpan w:val="14"/>
          </w:tcPr>
          <w:p>
            <w:pPr>
              <w:spacing w:after="0"/>
              <w:rPr>
                <w:sz w:val="20"/>
                <w:szCs w:val="20"/>
                <w:color w:val="auto"/>
              </w:rPr>
            </w:pPr>
            <w:r>
              <w:rPr>
                <w:rFonts w:ascii="Arial" w:cs="Arial" w:eastAsia="Arial" w:hAnsi="Arial"/>
                <w:sz w:val="18"/>
                <w:szCs w:val="18"/>
                <w:color w:val="0000EE"/>
              </w:rPr>
              <w:t>EXPERTS</w:t>
            </w:r>
          </w:p>
        </w:tc>
        <w:tc>
          <w:tcPr>
            <w:tcW w:w="1160" w:type="dxa"/>
            <w:vAlign w:val="bottom"/>
            <w:vMerge w:val="restart"/>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rPr>
                <w:sz w:val="20"/>
                <w:szCs w:val="20"/>
                <w:color w:val="auto"/>
              </w:rPr>
            </w:pPr>
            <w:r>
              <w:rPr>
                <w:rFonts w:ascii="Arial" w:cs="Arial" w:eastAsia="Arial" w:hAnsi="Arial"/>
                <w:sz w:val="18"/>
                <w:szCs w:val="18"/>
                <w:color w:val="0000EE"/>
                <w:w w:val="8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980" w:type="dxa"/>
            <w:vAlign w:val="bottom"/>
            <w:gridSpan w:val="9"/>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0000EE"/>
                <w:w w:val="8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3760" w:type="dxa"/>
            <w:vAlign w:val="bottom"/>
            <w:tcBorders>
              <w:bottom w:val="single" w:sz="8" w:color="CCEEFF"/>
            </w:tcBorders>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20" w:type="dxa"/>
            <w:vAlign w:val="bottom"/>
            <w:tcBorders>
              <w:bottom w:val="single" w:sz="8" w:color="CCEEFF"/>
            </w:tcBorders>
            <w:shd w:val="clear" w:color="auto" w:fill="CCEEFF"/>
          </w:tcPr>
          <w:p>
            <w:pPr>
              <w:spacing w:after="0"/>
              <w:rPr>
                <w:sz w:val="2"/>
                <w:szCs w:val="2"/>
                <w:color w:val="auto"/>
              </w:rPr>
            </w:pPr>
          </w:p>
        </w:tc>
        <w:tc>
          <w:tcPr>
            <w:tcW w:w="1500" w:type="dxa"/>
            <w:vAlign w:val="bottom"/>
            <w:tcBorders>
              <w:bottom w:val="single" w:sz="8" w:color="CCEEFF"/>
            </w:tcBorders>
            <w:gridSpan w:val="2"/>
            <w:shd w:val="clear" w:color="auto" w:fill="CCEEFF"/>
          </w:tcPr>
          <w:p>
            <w:pPr>
              <w:spacing w:after="0"/>
              <w:rPr>
                <w:sz w:val="2"/>
                <w:szCs w:val="2"/>
                <w:color w:val="auto"/>
              </w:rPr>
            </w:pPr>
          </w:p>
        </w:tc>
        <w:tc>
          <w:tcPr>
            <w:tcW w:w="1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line="7" w:lineRule="exact"/>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2"/>
        </w:trPr>
        <w:tc>
          <w:tcPr>
            <w:tcW w:w="6700" w:type="dxa"/>
            <w:vAlign w:val="bottom"/>
            <w:gridSpan w:val="14"/>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160" w:type="dxa"/>
            <w:vAlign w:val="bottom"/>
            <w:vMerge w:val="restart"/>
          </w:tcPr>
          <w:p>
            <w:pPr>
              <w:ind w:left="9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20" w:type="dxa"/>
            <w:vAlign w:val="bottom"/>
            <w:gridSpan w:val="3"/>
          </w:tcPr>
          <w:p>
            <w:pPr>
              <w:jc w:val="right"/>
              <w:ind w:right="14"/>
              <w:spacing w:after="0"/>
              <w:rPr>
                <w:sz w:val="20"/>
                <w:szCs w:val="20"/>
                <w:color w:val="auto"/>
              </w:rPr>
            </w:pPr>
            <w:r>
              <w:rPr>
                <w:rFonts w:ascii="Arial" w:cs="Arial" w:eastAsia="Arial" w:hAnsi="Arial"/>
                <w:sz w:val="18"/>
                <w:szCs w:val="18"/>
                <w:color w:val="0000EE"/>
                <w:w w:val="8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500" w:type="dxa"/>
            <w:vAlign w:val="bottom"/>
            <w:gridSpan w:val="2"/>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5690235</wp:posOffset>
            </wp:positionV>
            <wp:extent cx="6704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ABOUT THIS PROSPECTUS</w:t>
      </w:r>
    </w:p>
    <w:p>
      <w:pPr>
        <w:spacing w:after="0" w:line="326" w:lineRule="exact"/>
        <w:rPr>
          <w:sz w:val="20"/>
          <w:szCs w:val="20"/>
          <w:color w:val="auto"/>
        </w:rPr>
      </w:pPr>
    </w:p>
    <w:p>
      <w:pPr>
        <w:ind w:left="1240" w:right="579"/>
        <w:spacing w:after="0"/>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pursuant to which the selling stockholders named herein may, from time to time, offer and sell or otherwise dispose of the shares of our common stock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p>
    <w:p>
      <w:pPr>
        <w:spacing w:after="0" w:line="61" w:lineRule="exact"/>
        <w:rPr>
          <w:sz w:val="20"/>
          <w:szCs w:val="20"/>
          <w:color w:val="auto"/>
        </w:rPr>
      </w:pPr>
    </w:p>
    <w:p>
      <w:pPr>
        <w:ind w:left="1240" w:right="499"/>
        <w:spacing w:after="0"/>
        <w:rPr>
          <w:sz w:val="20"/>
          <w:szCs w:val="20"/>
          <w:color w:val="auto"/>
        </w:rPr>
      </w:pPr>
      <w:r>
        <w:rPr>
          <w:rFonts w:ascii="Arial" w:cs="Arial" w:eastAsia="Arial" w:hAnsi="Arial"/>
          <w:sz w:val="18"/>
          <w:szCs w:val="18"/>
          <w:color w:val="auto"/>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p>
    <w:p>
      <w:pPr>
        <w:spacing w:after="0" w:line="61" w:lineRule="exact"/>
        <w:rPr>
          <w:sz w:val="20"/>
          <w:szCs w:val="20"/>
          <w:color w:val="auto"/>
        </w:rPr>
      </w:pPr>
    </w:p>
    <w:p>
      <w:pPr>
        <w:ind w:left="1240" w:right="479"/>
        <w:spacing w:after="0" w:line="238" w:lineRule="auto"/>
        <w:rPr>
          <w:sz w:val="20"/>
          <w:szCs w:val="20"/>
          <w:color w:val="auto"/>
        </w:rPr>
      </w:pPr>
      <w:r>
        <w:rPr>
          <w:rFonts w:ascii="Arial" w:cs="Arial" w:eastAsia="Arial" w:hAnsi="Arial"/>
          <w:sz w:val="18"/>
          <w:szCs w:val="18"/>
          <w:color w:val="auto"/>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p>
    <w:p>
      <w:pPr>
        <w:spacing w:after="0" w:line="64" w:lineRule="exact"/>
        <w:rPr>
          <w:sz w:val="20"/>
          <w:szCs w:val="20"/>
          <w:color w:val="auto"/>
        </w:rPr>
      </w:pPr>
    </w:p>
    <w:p>
      <w:pPr>
        <w:ind w:left="1240" w:right="479"/>
        <w:spacing w:after="0" w:line="253"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55" w:lineRule="exact"/>
        <w:rPr>
          <w:sz w:val="20"/>
          <w:szCs w:val="20"/>
          <w:color w:val="auto"/>
        </w:rPr>
      </w:pPr>
    </w:p>
    <w:p>
      <w:pPr>
        <w:ind w:left="1240" w:right="479"/>
        <w:spacing w:after="0" w:line="245" w:lineRule="auto"/>
        <w:rPr>
          <w:sz w:val="20"/>
          <w:szCs w:val="20"/>
          <w:color w:val="auto"/>
        </w:rPr>
      </w:pPr>
      <w:r>
        <w:rPr>
          <w:rFonts w:ascii="Arial" w:cs="Arial" w:eastAsia="Arial" w:hAnsi="Arial"/>
          <w:sz w:val="18"/>
          <w:szCs w:val="18"/>
          <w:color w:val="auto"/>
        </w:rPr>
        <w:t>Unless otherwise indicated or the context otherwise requires, when we refer to “Century,” “we,” “our,” “us” and the “Company” in this prospectus, we mean Century Therapeutics, Inc., and its wholly owned subsidiaries unless otherwise specified. When we refer to “you,” we mean the potential holders of the applicable series of securities.</w:t>
      </w:r>
    </w:p>
    <w:p>
      <w:pPr>
        <w:spacing w:after="0" w:line="57" w:lineRule="exact"/>
        <w:rPr>
          <w:sz w:val="20"/>
          <w:szCs w:val="20"/>
          <w:color w:val="auto"/>
        </w:rPr>
      </w:pPr>
    </w:p>
    <w:p>
      <w:pPr>
        <w:ind w:left="1240" w:right="499"/>
        <w:spacing w:after="0" w:line="257" w:lineRule="auto"/>
        <w:rPr>
          <w:sz w:val="20"/>
          <w:szCs w:val="20"/>
          <w:color w:val="auto"/>
        </w:rPr>
      </w:pPr>
      <w:r>
        <w:rPr>
          <w:rFonts w:ascii="Arial" w:cs="Arial" w:eastAsia="Arial" w:hAnsi="Arial"/>
          <w:sz w:val="17"/>
          <w:szCs w:val="17"/>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26" w:lineRule="exact"/>
        <w:rPr>
          <w:sz w:val="20"/>
          <w:szCs w:val="20"/>
          <w:color w:val="auto"/>
        </w:rPr>
      </w:pPr>
    </w:p>
    <w:p>
      <w:pPr>
        <w:ind w:left="1240" w:right="559"/>
        <w:spacing w:after="0" w:line="237" w:lineRule="auto"/>
        <w:rPr>
          <w:sz w:val="20"/>
          <w:szCs w:val="20"/>
          <w:color w:val="auto"/>
        </w:rPr>
      </w:pPr>
      <w:r>
        <w:rPr>
          <w:rFonts w:ascii="Arial" w:cs="Arial" w:eastAsia="Arial" w:hAnsi="Arial"/>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including those regarding our strategy, future operations, future financial position, future revenues, projected costs, prospects, plans and objectives of management,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 looking statements, although not all forward 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 Forward-looking statements include, but are not limited to, statements concerning:</w:t>
      </w:r>
    </w:p>
    <w:p>
      <w:pPr>
        <w:spacing w:after="0" w:line="19" w:lineRule="exact"/>
        <w:rPr>
          <w:sz w:val="20"/>
          <w:szCs w:val="20"/>
          <w:color w:val="auto"/>
        </w:rPr>
      </w:pPr>
    </w:p>
    <w:p>
      <w:pPr>
        <w:ind w:left="1580" w:right="879" w:hanging="348"/>
        <w:spacing w:after="0" w:line="261"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ind w:left="1580" w:right="719" w:hanging="348"/>
        <w:spacing w:after="0" w:line="260"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3" w:lineRule="exact"/>
        <w:rPr>
          <w:rFonts w:ascii="Arial" w:cs="Arial" w:eastAsia="Arial" w:hAnsi="Arial"/>
          <w:sz w:val="18"/>
          <w:szCs w:val="18"/>
          <w:color w:val="auto"/>
        </w:rPr>
      </w:pPr>
    </w:p>
    <w:p>
      <w:pPr>
        <w:ind w:left="1580" w:right="859" w:hanging="348"/>
        <w:spacing w:after="0" w:line="261"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ind w:left="1580" w:right="699" w:hanging="348"/>
        <w:spacing w:after="0" w:line="269"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ind w:left="1580" w:hanging="34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31" w:lineRule="exact"/>
        <w:rPr>
          <w:rFonts w:ascii="Arial" w:cs="Arial" w:eastAsia="Arial" w:hAnsi="Arial"/>
          <w:sz w:val="18"/>
          <w:szCs w:val="18"/>
          <w:color w:val="auto"/>
        </w:rPr>
      </w:pPr>
    </w:p>
    <w:p>
      <w:pPr>
        <w:ind w:left="1580" w:right="919" w:hanging="348"/>
        <w:spacing w:after="0" w:line="256"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or iNK cells, and iPSC-derived T cells, or iT cells, and the challenges we will face due to the novel nature of such technology;</w:t>
      </w:r>
    </w:p>
    <w:p>
      <w:pPr>
        <w:ind w:left="1580" w:hanging="34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5" w:lineRule="exact"/>
        <w:rPr>
          <w:rFonts w:ascii="Arial" w:cs="Arial" w:eastAsia="Arial" w:hAnsi="Arial"/>
          <w:sz w:val="18"/>
          <w:szCs w:val="18"/>
          <w:color w:val="auto"/>
        </w:rPr>
      </w:pPr>
    </w:p>
    <w:p>
      <w:pPr>
        <w:jc w:val="both"/>
        <w:ind w:left="1580" w:right="579" w:hanging="348"/>
        <w:spacing w:after="0" w:line="256"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ind w:left="1580" w:right="739" w:hanging="348"/>
        <w:spacing w:after="0" w:line="261"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ind w:left="1580" w:right="699" w:hanging="348"/>
        <w:spacing w:after="0" w:line="285" w:lineRule="auto"/>
        <w:tabs>
          <w:tab w:leader="none" w:pos="1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timing of future investigational new drug, or IND, applications and the likelihood of, and our ability to obtain and maintain, regulatory clearance of IND applications for our product candidates;</w:t>
      </w:r>
    </w:p>
    <w:p>
      <w:pPr>
        <w:ind w:left="1580" w:right="1159" w:hanging="348"/>
        <w:spacing w:after="0" w:line="261"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ind w:left="1580" w:right="579" w:hanging="348"/>
        <w:spacing w:after="0" w:line="260"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3" w:lineRule="exact"/>
        <w:rPr>
          <w:rFonts w:ascii="Arial" w:cs="Arial" w:eastAsia="Arial" w:hAnsi="Arial"/>
          <w:sz w:val="18"/>
          <w:szCs w:val="18"/>
          <w:color w:val="auto"/>
        </w:rPr>
      </w:pPr>
    </w:p>
    <w:p>
      <w:pPr>
        <w:ind w:left="1580" w:right="499" w:hanging="348"/>
        <w:spacing w:after="0" w:line="276" w:lineRule="auto"/>
        <w:tabs>
          <w:tab w:leader="none" w:pos="1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reliance on the maintenance of our collaborative relationship with Bristol-Myers Squibb Company, or Bristol-Myers Squibb, in connection with the furtherance of our collaboration programs;</w:t>
      </w:r>
    </w:p>
    <w:p>
      <w:pPr>
        <w:spacing w:after="0" w:line="1" w:lineRule="exact"/>
        <w:rPr>
          <w:rFonts w:ascii="Arial" w:cs="Arial" w:eastAsia="Arial" w:hAnsi="Arial"/>
          <w:sz w:val="17"/>
          <w:szCs w:val="17"/>
          <w:color w:val="auto"/>
        </w:rPr>
      </w:pPr>
    </w:p>
    <w:p>
      <w:pPr>
        <w:ind w:left="1580" w:right="899" w:hanging="348"/>
        <w:spacing w:after="0" w:line="269"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with the operations of Clade Therapeutics, Inc. following the acquisition and achieve the anticipated benefits of the acquisition;</w:t>
      </w:r>
    </w:p>
    <w:p>
      <w:pPr>
        <w:ind w:left="1580" w:right="579" w:hanging="348"/>
        <w:spacing w:after="0" w:line="256"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ind w:left="1580" w:right="1519" w:hanging="348"/>
        <w:spacing w:after="0" w:line="275" w:lineRule="auto"/>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right="639" w:hanging="348"/>
        <w:spacing w:after="0" w:line="269"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ind w:left="1580" w:right="699" w:hanging="348"/>
        <w:spacing w:after="0" w:line="269"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ind w:left="1580" w:right="499" w:hanging="348"/>
        <w:spacing w:after="0" w:line="261"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ind w:left="1580" w:right="659" w:hanging="348"/>
        <w:spacing w:after="0" w:line="269"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ind w:left="1580" w:hanging="348"/>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45" w:lineRule="exact"/>
        <w:rPr>
          <w:rFonts w:ascii="Arial" w:cs="Arial" w:eastAsia="Arial" w:hAnsi="Arial"/>
          <w:sz w:val="18"/>
          <w:szCs w:val="18"/>
          <w:color w:val="auto"/>
        </w:rPr>
      </w:pPr>
    </w:p>
    <w:p>
      <w:pPr>
        <w:ind w:left="1580" w:right="519" w:hanging="348"/>
        <w:spacing w:after="0" w:line="253"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2" w:lineRule="exact"/>
        <w:rPr>
          <w:rFonts w:ascii="Arial" w:cs="Arial" w:eastAsia="Arial" w:hAnsi="Arial"/>
          <w:sz w:val="18"/>
          <w:szCs w:val="18"/>
          <w:color w:val="auto"/>
        </w:rPr>
      </w:pPr>
    </w:p>
    <w:p>
      <w:pPr>
        <w:ind w:left="1580" w:right="1159" w:hanging="348"/>
        <w:spacing w:after="0" w:line="269"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ind w:left="1580" w:right="1039" w:hanging="348"/>
        <w:spacing w:after="0" w:line="285" w:lineRule="auto"/>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jc w:val="both"/>
        <w:ind w:left="1580" w:right="639" w:hanging="348"/>
        <w:spacing w:after="0" w:line="256"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w:t>
      </w:r>
    </w:p>
    <w:p>
      <w:pPr>
        <w:ind w:left="1580" w:hanging="348"/>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45" w:lineRule="exact"/>
        <w:rPr>
          <w:rFonts w:ascii="Arial" w:cs="Arial" w:eastAsia="Arial" w:hAnsi="Arial"/>
          <w:sz w:val="18"/>
          <w:szCs w:val="18"/>
          <w:color w:val="auto"/>
        </w:rPr>
      </w:pPr>
    </w:p>
    <w:p>
      <w:pPr>
        <w:ind w:left="1580" w:right="499" w:hanging="348"/>
        <w:spacing w:after="0" w:line="255"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2023, as such risk factors may be amended, supplemented or superseded from time to time by our subsequent periodic reports we file with the SEC.</w:t>
      </w:r>
    </w:p>
    <w:p>
      <w:pPr>
        <w:spacing w:after="0" w:line="115" w:lineRule="exact"/>
        <w:rPr>
          <w:sz w:val="20"/>
          <w:szCs w:val="20"/>
          <w:color w:val="auto"/>
        </w:rPr>
      </w:pPr>
    </w:p>
    <w:p>
      <w:pPr>
        <w:ind w:left="1240" w:right="479"/>
        <w:spacing w:after="0" w:line="24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10" w:lineRule="exact"/>
        <w:rPr>
          <w:sz w:val="20"/>
          <w:szCs w:val="20"/>
          <w:color w:val="auto"/>
        </w:rPr>
      </w:pPr>
    </w:p>
    <w:p>
      <w:pPr>
        <w:ind w:left="1240" w:right="959"/>
        <w:spacing w:after="0" w:line="255"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ABOUT THE COMPANY</w:t>
      </w:r>
    </w:p>
    <w:p>
      <w:pPr>
        <w:spacing w:after="0" w:line="326" w:lineRule="exact"/>
        <w:rPr>
          <w:sz w:val="20"/>
          <w:szCs w:val="20"/>
          <w:color w:val="auto"/>
        </w:rPr>
      </w:pPr>
    </w:p>
    <w:p>
      <w:pPr>
        <w:ind w:left="1240" w:right="559"/>
        <w:spacing w:after="0" w:line="239"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Company</w:t>
      </w:r>
    </w:p>
    <w:p>
      <w:pPr>
        <w:spacing w:after="0" w:line="74" w:lineRule="exact"/>
        <w:rPr>
          <w:sz w:val="20"/>
          <w:szCs w:val="20"/>
          <w:color w:val="auto"/>
        </w:rPr>
      </w:pPr>
    </w:p>
    <w:p>
      <w:pPr>
        <w:ind w:left="1240" w:right="499"/>
        <w:spacing w:after="0" w:line="245"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4" w:lineRule="exact"/>
        <w:rPr>
          <w:sz w:val="20"/>
          <w:szCs w:val="20"/>
          <w:color w:val="auto"/>
        </w:rPr>
      </w:pPr>
    </w:p>
    <w:p>
      <w:pPr>
        <w:ind w:left="1580" w:right="639" w:hanging="348"/>
        <w:spacing w:after="0" w:line="261"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ind w:left="1580" w:right="839" w:hanging="348"/>
        <w:spacing w:after="0" w:line="256"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ind w:left="1580" w:right="1039" w:hanging="348"/>
        <w:spacing w:after="0" w:line="269"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ind w:left="1580" w:right="659" w:hanging="348"/>
        <w:spacing w:after="0" w:line="261"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proprietary Allo-Evasion™ technology intended to prevent rejection of our cell products by the host immune system; and</w:t>
      </w:r>
    </w:p>
    <w:p>
      <w:pPr>
        <w:ind w:left="1580" w:hanging="348"/>
        <w:spacing w:after="0"/>
        <w:tabs>
          <w:tab w:leader="none" w:pos="1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Cutting edge manufacturing capabilities intended to minimize product development and supply risk.</w:t>
      </w:r>
    </w:p>
    <w:p>
      <w:pPr>
        <w:spacing w:after="0" w:line="163" w:lineRule="exact"/>
        <w:rPr>
          <w:sz w:val="20"/>
          <w:szCs w:val="20"/>
          <w:color w:val="auto"/>
        </w:rPr>
      </w:pPr>
    </w:p>
    <w:p>
      <w:pPr>
        <w:ind w:left="1240" w:right="559"/>
        <w:spacing w:after="0" w:line="254" w:lineRule="auto"/>
        <w:rPr>
          <w:sz w:val="20"/>
          <w:szCs w:val="20"/>
          <w:color w:val="auto"/>
        </w:rPr>
      </w:pPr>
      <w:r>
        <w:rPr>
          <w:rFonts w:ascii="Arial" w:cs="Arial" w:eastAsia="Arial" w:hAnsi="Arial"/>
          <w:sz w:val="17"/>
          <w:szCs w:val="17"/>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iNK cells and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whose members collectively have decades of experience in cell therapy and drug development, manufacturing, and commercialization.</w:t>
      </w:r>
    </w:p>
    <w:p>
      <w:pPr>
        <w:spacing w:after="0" w:line="104" w:lineRule="exact"/>
        <w:rPr>
          <w:sz w:val="20"/>
          <w:szCs w:val="20"/>
          <w:color w:val="auto"/>
        </w:rPr>
      </w:pPr>
    </w:p>
    <w:p>
      <w:pPr>
        <w:ind w:left="1240" w:right="499"/>
        <w:spacing w:after="0" w:line="252" w:lineRule="auto"/>
        <w:rPr>
          <w:sz w:val="20"/>
          <w:szCs w:val="20"/>
          <w:color w:val="auto"/>
        </w:rPr>
      </w:pPr>
      <w:r>
        <w:rPr>
          <w:rFonts w:ascii="Arial" w:cs="Arial" w:eastAsia="Arial" w:hAnsi="Arial"/>
          <w:sz w:val="17"/>
          <w:szCs w:val="17"/>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40" w:right="479"/>
        <w:spacing w:after="0" w:line="274" w:lineRule="auto"/>
        <w:rPr>
          <w:sz w:val="20"/>
          <w:szCs w:val="20"/>
          <w:color w:val="auto"/>
        </w:rPr>
      </w:pPr>
      <w:r>
        <w:rPr>
          <w:rFonts w:ascii="Arial" w:cs="Arial" w:eastAsia="Arial" w:hAnsi="Arial"/>
          <w:sz w:val="17"/>
          <w:szCs w:val="17"/>
          <w:color w:val="auto"/>
        </w:rPr>
        <w:t>of technologies that bring together a preeminent iPSC-derived allogeneic cell therapy platform with highly advanced cell engineering and manufacturing capabilities. We believe this unique combination puts us in a position to change the oncology and autoimmune and inflammatory treatment paradigm and market.</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Private Placement</w:t>
      </w:r>
    </w:p>
    <w:p>
      <w:pPr>
        <w:spacing w:after="0" w:line="87" w:lineRule="exact"/>
        <w:rPr>
          <w:sz w:val="20"/>
          <w:szCs w:val="20"/>
          <w:color w:val="auto"/>
        </w:rPr>
      </w:pPr>
    </w:p>
    <w:p>
      <w:pPr>
        <w:ind w:left="1240" w:right="499"/>
        <w:spacing w:after="0" w:line="239" w:lineRule="auto"/>
        <w:rPr>
          <w:sz w:val="20"/>
          <w:szCs w:val="20"/>
          <w:color w:val="auto"/>
        </w:rPr>
      </w:pPr>
      <w:r>
        <w:rPr>
          <w:rFonts w:ascii="Arial" w:cs="Arial" w:eastAsia="Arial" w:hAnsi="Arial"/>
          <w:sz w:val="18"/>
          <w:szCs w:val="18"/>
          <w:color w:val="auto"/>
        </w:rPr>
        <w:t>On April 11, 2024, we entered into the Securities Purchase Agreement with the selling stockholders, pursuant to which we agreed to issue and sell to the selling stockholders in a private placement an aggregate of 15,873,011 shares of common stock at a price of $3.78 per share, or the Private Placement Shares. The aggregate gross proceeds for the sale of the shares of common stock was approximately $60 million, and after deducting certain of our expenses, the net proceeds received by us in the Private Placement was $56.7 million.</w:t>
      </w:r>
    </w:p>
    <w:p>
      <w:pPr>
        <w:spacing w:after="0" w:line="116" w:lineRule="exact"/>
        <w:rPr>
          <w:sz w:val="20"/>
          <w:szCs w:val="20"/>
          <w:color w:val="auto"/>
        </w:rPr>
      </w:pPr>
    </w:p>
    <w:p>
      <w:pPr>
        <w:ind w:left="1240" w:right="519"/>
        <w:spacing w:after="0" w:line="242" w:lineRule="auto"/>
        <w:rPr>
          <w:sz w:val="20"/>
          <w:szCs w:val="20"/>
          <w:color w:val="auto"/>
        </w:rPr>
      </w:pPr>
      <w:r>
        <w:rPr>
          <w:rFonts w:ascii="Arial" w:cs="Arial" w:eastAsia="Arial" w:hAnsi="Arial"/>
          <w:sz w:val="18"/>
          <w:szCs w:val="18"/>
          <w:color w:val="auto"/>
        </w:rPr>
        <w:t>Concurrently with the execution of the Securities Purchase Agreement, we entered into a registration rights agreement, or the Registration Rights Agreement with the selling stockholders, pursuant to which we agreed to register for resale the Private Placement Shares no later than 30 days following the closing of the Private Placement. We agreed to use commercially reasonable efforts to have the registration statement declared effective as soon as practicable after the filing. This prospectus is part of that registration statement.</w:t>
      </w:r>
    </w:p>
    <w:p>
      <w:pPr>
        <w:spacing w:after="0" w:line="114" w:lineRule="exact"/>
        <w:rPr>
          <w:sz w:val="20"/>
          <w:szCs w:val="20"/>
          <w:color w:val="auto"/>
        </w:rPr>
      </w:pPr>
    </w:p>
    <w:p>
      <w:pPr>
        <w:ind w:left="1240" w:right="739"/>
        <w:spacing w:after="0" w:line="259" w:lineRule="auto"/>
        <w:rPr>
          <w:sz w:val="20"/>
          <w:szCs w:val="20"/>
          <w:color w:val="auto"/>
        </w:rPr>
      </w:pPr>
      <w:r>
        <w:rPr>
          <w:rFonts w:ascii="Arial" w:cs="Arial" w:eastAsia="Arial" w:hAnsi="Arial"/>
          <w:sz w:val="17"/>
          <w:szCs w:val="17"/>
          <w:color w:val="auto"/>
        </w:rPr>
        <w:t>Under the Registration Rights Agreement, we also agreed to maintain the effectiveness of the registration statement until the earliest to occur of: (i) April 15, 2029, and (ii) the date that all Private Placement Shares covered by the registration statement are sold or are able to be sold by the holders thereof by relying on Rule 144 under the Securities Act of 1933, as amended, or the Securities Act, without any restriction, including volume limitation. We have agreed to be responsible for all fees and expenses incurred in connection with the registration of the Private Placement Shares.</w:t>
      </w:r>
    </w:p>
    <w:p>
      <w:pPr>
        <w:spacing w:after="0" w:line="101" w:lineRule="exact"/>
        <w:rPr>
          <w:sz w:val="20"/>
          <w:szCs w:val="20"/>
          <w:color w:val="auto"/>
        </w:rPr>
      </w:pPr>
    </w:p>
    <w:p>
      <w:pPr>
        <w:ind w:left="1240" w:right="539"/>
        <w:spacing w:after="0" w:line="252" w:lineRule="auto"/>
        <w:rPr>
          <w:sz w:val="20"/>
          <w:szCs w:val="20"/>
          <w:color w:val="auto"/>
        </w:rPr>
      </w:pPr>
      <w:r>
        <w:rPr>
          <w:rFonts w:ascii="Arial" w:cs="Arial" w:eastAsia="Arial" w:hAnsi="Arial"/>
          <w:sz w:val="17"/>
          <w:szCs w:val="17"/>
          <w:color w:val="auto"/>
        </w:rPr>
        <w:t>The description of the Securities Purchase Agreement and the Registration Rights Agreement are not complete and are qualified in their entirety by reference to the Securities Purchase Agreement and the Registration Rights Agreement, each of which have been filed as exhibits to our Current Report on Form 8-K filed on April 11, 2024. See “Where You Can Find More Information” and “Information Incorporated by Reference.” The representations, warranties and covenants made by us in such agreements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Information</w:t>
      </w:r>
    </w:p>
    <w:p>
      <w:pPr>
        <w:spacing w:after="0" w:line="74" w:lineRule="exact"/>
        <w:rPr>
          <w:sz w:val="20"/>
          <w:szCs w:val="20"/>
          <w:color w:val="auto"/>
        </w:rPr>
      </w:pPr>
    </w:p>
    <w:p>
      <w:pPr>
        <w:ind w:left="1240" w:right="479"/>
        <w:spacing w:after="0" w:line="242" w:lineRule="auto"/>
        <w:rPr>
          <w:sz w:val="20"/>
          <w:szCs w:val="20"/>
          <w:color w:val="auto"/>
        </w:rPr>
      </w:pPr>
      <w:r>
        <w:rPr>
          <w:rFonts w:ascii="Arial" w:cs="Arial" w:eastAsia="Arial" w:hAnsi="Arial"/>
          <w:sz w:val="18"/>
          <w:szCs w:val="18"/>
          <w:color w:val="auto"/>
        </w:rPr>
        <w:t>Our primary executive offices are located at 25 North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4" w:lineRule="exact"/>
        <w:rPr>
          <w:sz w:val="20"/>
          <w:szCs w:val="20"/>
          <w:color w:val="auto"/>
        </w:rPr>
      </w:pPr>
    </w:p>
    <w:p>
      <w:pPr>
        <w:ind w:left="1240" w:right="479"/>
        <w:spacing w:after="0" w:line="26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w:t>
      </w:r>
    </w:p>
    <w:p>
      <w:pPr>
        <w:ind w:left="1240" w:right="699" w:hanging="8"/>
        <w:spacing w:after="0" w:line="237"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116" w:lineRule="exact"/>
        <w:rPr>
          <w:sz w:val="20"/>
          <w:szCs w:val="20"/>
          <w:color w:val="auto"/>
        </w:rPr>
      </w:pPr>
    </w:p>
    <w:p>
      <w:pPr>
        <w:ind w:left="1240" w:right="519"/>
        <w:spacing w:after="0" w:line="305" w:lineRule="auto"/>
        <w:rPr>
          <w:sz w:val="20"/>
          <w:szCs w:val="20"/>
          <w:color w:val="auto"/>
        </w:rPr>
      </w:pPr>
      <w:r>
        <w:rPr>
          <w:rFonts w:ascii="Arial" w:cs="Arial" w:eastAsia="Arial" w:hAnsi="Arial"/>
          <w:sz w:val="17"/>
          <w:szCs w:val="17"/>
          <w:color w:val="auto"/>
        </w:rPr>
        <w:t>For as long as we remain an “emerging growth company,” we may take advantage of certain exemptions from various reporting requirements that are applicable to public companies that are not “emerging</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right="599"/>
        <w:spacing w:after="0" w:line="250" w:lineRule="auto"/>
        <w:rPr>
          <w:sz w:val="20"/>
          <w:szCs w:val="20"/>
          <w:color w:val="auto"/>
        </w:rPr>
      </w:pPr>
      <w:r>
        <w:rPr>
          <w:rFonts w:ascii="Arial" w:cs="Arial" w:eastAsia="Arial" w:hAnsi="Arial"/>
          <w:sz w:val="18"/>
          <w:szCs w:val="18"/>
          <w:color w:val="auto"/>
        </w:rPr>
        <w:t>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22" w:lineRule="exact"/>
        <w:rPr>
          <w:sz w:val="20"/>
          <w:szCs w:val="20"/>
          <w:color w:val="auto"/>
        </w:rPr>
      </w:pPr>
    </w:p>
    <w:p>
      <w:pPr>
        <w:ind w:left="1240" w:right="719"/>
        <w:spacing w:after="0" w:line="275"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99" w:lineRule="exact"/>
        <w:rPr>
          <w:sz w:val="20"/>
          <w:szCs w:val="20"/>
          <w:color w:val="auto"/>
        </w:rPr>
      </w:pPr>
    </w:p>
    <w:p>
      <w:pPr>
        <w:ind w:left="1240" w:right="539"/>
        <w:spacing w:after="0" w:line="249"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 FACTORS</w:t>
      </w:r>
    </w:p>
    <w:p>
      <w:pPr>
        <w:spacing w:after="0" w:line="326" w:lineRule="exact"/>
        <w:rPr>
          <w:sz w:val="20"/>
          <w:szCs w:val="20"/>
          <w:color w:val="auto"/>
        </w:rPr>
      </w:pPr>
    </w:p>
    <w:p>
      <w:pPr>
        <w:ind w:left="1240" w:right="579"/>
        <w:spacing w:after="0" w:line="266" w:lineRule="auto"/>
        <w:rPr>
          <w:rFonts w:ascii="Arial" w:cs="Arial" w:eastAsia="Arial" w:hAnsi="Arial"/>
          <w:sz w:val="17"/>
          <w:szCs w:val="17"/>
          <w:color w:val="0000EE"/>
        </w:rPr>
      </w:pPr>
      <w:r>
        <w:rPr>
          <w:rFonts w:ascii="Arial" w:cs="Arial" w:eastAsia="Arial" w:hAnsi="Arial"/>
          <w:sz w:val="17"/>
          <w:szCs w:val="17"/>
          <w:color w:val="auto"/>
        </w:rPr>
        <w:t xml:space="preserve">Investing in our common stock involves a high degree of risk. Before making a decision to invest in our common stock, in addition to the other information contained in this prospectus, in any accompanying prospectus supplement or incorporated by reference herein or therein, you should carefully consider the </w:t>
      </w:r>
      <w:hyperlink r:id="rId31">
        <w:r>
          <w:rPr>
            <w:rFonts w:ascii="Arial" w:cs="Arial" w:eastAsia="Arial" w:hAnsi="Arial"/>
            <w:sz w:val="17"/>
            <w:szCs w:val="17"/>
            <w:color w:val="auto"/>
          </w:rPr>
          <w:t xml:space="preserve">risks set forth below and the risks described under “Risk Factors” contained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31">
        <w:r>
          <w:rPr>
            <w:rFonts w:ascii="Arial" w:cs="Arial" w:eastAsia="Arial" w:hAnsi="Arial"/>
            <w:sz w:val="17"/>
            <w:szCs w:val="17"/>
            <w:u w:val="single" w:color="auto"/>
            <w:color w:val="0000EE"/>
          </w:rPr>
          <w:t>Form 10-K for the year ended December 31, 2023</w:t>
        </w:r>
        <w:r>
          <w:rPr>
            <w:rFonts w:ascii="Arial" w:cs="Arial" w:eastAsia="Arial" w:hAnsi="Arial"/>
            <w:sz w:val="17"/>
            <w:szCs w:val="17"/>
            <w:color w:val="000000"/>
          </w:rPr>
          <w:t xml:space="preserve">, and our subsequent Quarterly Reports, as well </w:t>
        </w:r>
      </w:hyperlink>
      <w:r>
        <w:rPr>
          <w:rFonts w:ascii="Arial" w:cs="Arial" w:eastAsia="Arial" w:hAnsi="Arial"/>
          <w:sz w:val="17"/>
          <w:szCs w:val="17"/>
          <w:color w:val="0000EE"/>
        </w:rPr>
        <w:t xml:space="preserve">as </w:t>
      </w:r>
      <w:r>
        <w:rPr>
          <w:rFonts w:ascii="Arial" w:cs="Arial" w:eastAsia="Arial" w:hAnsi="Arial"/>
          <w:sz w:val="17"/>
          <w:szCs w:val="17"/>
          <w:color w:val="000000"/>
        </w:rPr>
        <w:t>any amendments thereto, which are incorporated by reference into this prospectus in their entirety, together with other information in this prospectus and any applicable prospectus supplement, the documents incorporated by reference, and any free writing prospectus that we may authorize for use in connection with a specific offering. See the section titled “Where You Can Find More Information.”</w:t>
      </w:r>
    </w:p>
    <w:p>
      <w:pPr>
        <w:spacing w:after="0" w:line="40" w:lineRule="exact"/>
        <w:rPr>
          <w:sz w:val="20"/>
          <w:szCs w:val="20"/>
          <w:color w:val="auto"/>
        </w:rPr>
      </w:pPr>
    </w:p>
    <w:p>
      <w:pPr>
        <w:ind w:left="1240" w:right="679"/>
        <w:spacing w:after="0" w:line="263" w:lineRule="auto"/>
        <w:rPr>
          <w:sz w:val="20"/>
          <w:szCs w:val="20"/>
          <w:color w:val="auto"/>
        </w:rPr>
      </w:pPr>
      <w:r>
        <w:rPr>
          <w:rFonts w:ascii="Arial" w:cs="Arial" w:eastAsia="Arial" w:hAnsi="Arial"/>
          <w:sz w:val="18"/>
          <w:szCs w:val="18"/>
          <w:b w:val="1"/>
          <w:bCs w:val="1"/>
          <w:i w:val="1"/>
          <w:iCs w:val="1"/>
          <w:color w:val="auto"/>
        </w:rPr>
        <w:t>Future sales of our common stock by the Selling Stockholders could cause our stock price to decline.</w:t>
      </w:r>
    </w:p>
    <w:p>
      <w:pPr>
        <w:spacing w:after="0" w:line="1" w:lineRule="exact"/>
        <w:rPr>
          <w:sz w:val="20"/>
          <w:szCs w:val="20"/>
          <w:color w:val="auto"/>
        </w:rPr>
      </w:pPr>
    </w:p>
    <w:p>
      <w:pPr>
        <w:ind w:left="1240" w:right="639"/>
        <w:spacing w:after="0" w:line="252" w:lineRule="auto"/>
        <w:rPr>
          <w:sz w:val="20"/>
          <w:szCs w:val="20"/>
          <w:color w:val="auto"/>
        </w:rPr>
      </w:pPr>
      <w:r>
        <w:rPr>
          <w:rFonts w:ascii="Arial" w:cs="Arial" w:eastAsia="Arial" w:hAnsi="Arial"/>
          <w:sz w:val="18"/>
          <w:szCs w:val="18"/>
          <w:color w:val="auto"/>
        </w:rPr>
        <w:t>Sales of a substantial number of shares of our common stock by the selling stockholders in the public market, or the perception that these sales might occur, could depress the market price of our common stock and could impair our ability to raise capital through the sale of additional equity securities or other securities convertible into or exchangeable for equity securities, regardless of whether there is any relationship between such sales and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USE OF PROCEEDS</w:t>
      </w:r>
    </w:p>
    <w:p>
      <w:pPr>
        <w:spacing w:after="0" w:line="326" w:lineRule="exact"/>
        <w:rPr>
          <w:sz w:val="20"/>
          <w:szCs w:val="20"/>
          <w:color w:val="auto"/>
        </w:rPr>
      </w:pPr>
    </w:p>
    <w:p>
      <w:pPr>
        <w:ind w:left="1240" w:right="499"/>
        <w:spacing w:after="0" w:line="255" w:lineRule="auto"/>
        <w:rPr>
          <w:sz w:val="20"/>
          <w:szCs w:val="20"/>
          <w:color w:val="auto"/>
        </w:rPr>
      </w:pPr>
      <w:r>
        <w:rPr>
          <w:rFonts w:ascii="Arial" w:cs="Arial" w:eastAsia="Arial" w:hAnsi="Arial"/>
          <w:sz w:val="18"/>
          <w:szCs w:val="18"/>
          <w:color w:val="auto"/>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w:t>
      </w:r>
    </w:p>
    <w:p>
      <w:pPr>
        <w:spacing w:after="0" w:line="115" w:lineRule="exact"/>
        <w:rPr>
          <w:sz w:val="20"/>
          <w:szCs w:val="20"/>
          <w:color w:val="auto"/>
        </w:rPr>
      </w:pPr>
    </w:p>
    <w:p>
      <w:pPr>
        <w:ind w:left="1240" w:right="519"/>
        <w:spacing w:after="0" w:line="249" w:lineRule="auto"/>
        <w:rPr>
          <w:sz w:val="20"/>
          <w:szCs w:val="20"/>
          <w:color w:val="auto"/>
        </w:rPr>
      </w:pPr>
      <w:r>
        <w:rPr>
          <w:rFonts w:ascii="Arial" w:cs="Arial" w:eastAsia="Arial" w:hAnsi="Arial"/>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filing and printing fees, fees and expenses of our counsel and our independent registered public accountants, and costs associated with clearing the shares for sale under applicable state securities laws and listing fees, but excluding discounts, commissions, fees of underwriters, selling brokers, dealer managers or similar securities industry professionals with respect to the shares being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326" w:lineRule="exact"/>
        <w:rPr>
          <w:sz w:val="20"/>
          <w:szCs w:val="20"/>
          <w:color w:val="auto"/>
        </w:rPr>
      </w:pPr>
    </w:p>
    <w:p>
      <w:pPr>
        <w:ind w:left="1240" w:right="1260"/>
        <w:spacing w:after="0" w:line="250" w:lineRule="auto"/>
        <w:rPr>
          <w:sz w:val="20"/>
          <w:szCs w:val="20"/>
          <w:color w:val="auto"/>
        </w:rPr>
      </w:pPr>
      <w:r>
        <w:rPr>
          <w:rFonts w:ascii="Arial" w:cs="Arial" w:eastAsia="Arial" w:hAnsi="Arial"/>
          <w:sz w:val="18"/>
          <w:szCs w:val="18"/>
          <w:color w:val="auto"/>
        </w:rPr>
        <w:t>This prospectus relates to the sale or other disposition of up to 15,873,011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which are collectively referred to herein as the selling stockholders. These shares consist of 15,873,011 shares that were issued to certain of the selling stockholders in the Private Placement. See “About the Company—The Private Placement”.</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table below sets forth information as of the date of this prospectus, to our knowledge, the selling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stockholders and other information regarding the beneficial ownership (as determined under</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Section 13(d) of the Exchange Act and the rules and regulations thereunder) of the shares of common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stock held by the selling stockholders. The second column lists the number of shares of common stock</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beneficially owned by the selling stockholders, as of May 7, 2024. The third column lists the maximum</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number of shares of common stock that may be sold or otherwise disposed of by the selling stockholders</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pursuant to the registration statement of which this prospectus forms a part. The selling stockholders</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may sell or otherwise dispose of some, all or none of their shares. Pursuant to Rules 13d-3 and 13d-5 of</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Exchange Act, beneficial ownership includes any shares of our common stock as to which a</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stockholder has sole or shared voting power or investment power, and also any shares of our common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stock which the stockholder has the right to acquire within 60 days of May 7, 2024. The percent of</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beneficial ownership for the selling stockholders is based on 83,176,749 shares of our common stock</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outstanding as of May 7, 2024. Except as described below, to our knowledge, none of the selling</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stockholders have been an officer or director of ours or of our affiliates within the past three years or had</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any material relationship with us or our affiliates within the past three years. Our knowledge is based 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information provided by the selling stockholders in investor questionnaires in connection with the Private</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Placement, as well as information obtained from relevant Schedule 13D and 13G filings.</w:t>
      </w:r>
    </w:p>
    <w:p>
      <w:pPr>
        <w:spacing w:after="0" w:line="135" w:lineRule="exact"/>
        <w:rPr>
          <w:sz w:val="20"/>
          <w:szCs w:val="20"/>
          <w:color w:val="auto"/>
        </w:rPr>
      </w:pPr>
    </w:p>
    <w:p>
      <w:pPr>
        <w:ind w:left="1240" w:right="1360"/>
        <w:spacing w:after="0" w:line="271" w:lineRule="auto"/>
        <w:rPr>
          <w:sz w:val="20"/>
          <w:szCs w:val="20"/>
          <w:color w:val="auto"/>
        </w:rPr>
      </w:pPr>
      <w:r>
        <w:rPr>
          <w:rFonts w:ascii="Arial" w:cs="Arial" w:eastAsia="Arial" w:hAnsi="Arial"/>
          <w:sz w:val="17"/>
          <w:szCs w:val="17"/>
          <w:color w:val="auto"/>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p>
    <w:p>
      <w:pPr>
        <w:spacing w:after="0" w:line="90" w:lineRule="exact"/>
        <w:rPr>
          <w:sz w:val="20"/>
          <w:szCs w:val="20"/>
          <w:color w:val="auto"/>
        </w:rPr>
      </w:pPr>
    </w:p>
    <w:p>
      <w:pPr>
        <w:ind w:left="1240" w:right="1480"/>
        <w:spacing w:after="0" w:line="260"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rPr>
              <w:t>Number of Shares of</w:t>
            </w:r>
          </w:p>
        </w:tc>
        <w:tc>
          <w:tcPr>
            <w:tcW w:w="1340" w:type="dxa"/>
            <w:vAlign w:val="bottom"/>
          </w:tcPr>
          <w:p>
            <w:pPr>
              <w:jc w:val="center"/>
              <w:ind w:right="39"/>
              <w:spacing w:after="0"/>
              <w:rPr>
                <w:sz w:val="20"/>
                <w:szCs w:val="20"/>
                <w:color w:val="auto"/>
              </w:rPr>
            </w:pPr>
            <w:r>
              <w:rPr>
                <w:rFonts w:ascii="Arial" w:cs="Arial" w:eastAsia="Arial" w:hAnsi="Arial"/>
                <w:sz w:val="14"/>
                <w:szCs w:val="14"/>
                <w:b w:val="1"/>
                <w:bCs w:val="1"/>
                <w:color w:val="auto"/>
              </w:rPr>
              <w:t>Maximum Number</w:t>
            </w:r>
          </w:p>
        </w:tc>
        <w:tc>
          <w:tcPr>
            <w:tcW w:w="120" w:type="dxa"/>
            <w:vAlign w:val="bottom"/>
          </w:tcPr>
          <w:p>
            <w:pPr>
              <w:spacing w:after="0"/>
              <w:rPr>
                <w:sz w:val="14"/>
                <w:szCs w:val="14"/>
                <w:color w:val="auto"/>
              </w:rPr>
            </w:pPr>
          </w:p>
        </w:tc>
        <w:tc>
          <w:tcPr>
            <w:tcW w:w="2680" w:type="dxa"/>
            <w:vAlign w:val="bottom"/>
            <w:gridSpan w:val="7"/>
            <w:vMerge w:val="restart"/>
          </w:tcPr>
          <w:p>
            <w:pPr>
              <w:jc w:val="center"/>
              <w:ind w:right="1209"/>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53"/>
        </w:trPr>
        <w:tc>
          <w:tcPr>
            <w:tcW w:w="1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gridSpan w:val="7"/>
            <w:vMerge w:val="continue"/>
          </w:tcPr>
          <w:p>
            <w:pPr>
              <w:spacing w:after="0"/>
              <w:rPr>
                <w:sz w:val="4"/>
                <w:szCs w:val="4"/>
                <w:color w:val="auto"/>
              </w:rPr>
            </w:pPr>
          </w:p>
        </w:tc>
        <w:tc>
          <w:tcPr>
            <w:tcW w:w="1340" w:type="dxa"/>
            <w:vAlign w:val="bottom"/>
            <w:vMerge w:val="restart"/>
          </w:tcPr>
          <w:p>
            <w:pPr>
              <w:jc w:val="center"/>
              <w:ind w:right="39"/>
              <w:spacing w:after="0" w:line="159" w:lineRule="exact"/>
              <w:rPr>
                <w:sz w:val="20"/>
                <w:szCs w:val="20"/>
                <w:color w:val="auto"/>
              </w:rPr>
            </w:pPr>
            <w:r>
              <w:rPr>
                <w:rFonts w:ascii="Arial" w:cs="Arial" w:eastAsia="Arial" w:hAnsi="Arial"/>
                <w:sz w:val="14"/>
                <w:szCs w:val="14"/>
                <w:b w:val="1"/>
                <w:bCs w:val="1"/>
                <w:color w:val="auto"/>
              </w:rPr>
              <w:t>of Shares of</w:t>
            </w:r>
          </w:p>
        </w:tc>
        <w:tc>
          <w:tcPr>
            <w:tcW w:w="120" w:type="dxa"/>
            <w:vAlign w:val="bottom"/>
          </w:tcPr>
          <w:p>
            <w:pPr>
              <w:spacing w:after="0"/>
              <w:rPr>
                <w:sz w:val="4"/>
                <w:szCs w:val="4"/>
                <w:color w:val="auto"/>
              </w:rPr>
            </w:pPr>
          </w:p>
        </w:tc>
        <w:tc>
          <w:tcPr>
            <w:tcW w:w="26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6"/>
            <w:vMerge w:val="restart"/>
          </w:tcPr>
          <w:p>
            <w:pPr>
              <w:jc w:val="center"/>
              <w:ind w:right="300"/>
              <w:spacing w:after="0" w:line="159" w:lineRule="exact"/>
              <w:rPr>
                <w:sz w:val="20"/>
                <w:szCs w:val="20"/>
                <w:color w:val="auto"/>
              </w:rPr>
            </w:pPr>
            <w:r>
              <w:rPr>
                <w:rFonts w:ascii="Arial" w:cs="Arial" w:eastAsia="Arial" w:hAnsi="Arial"/>
                <w:sz w:val="14"/>
                <w:szCs w:val="14"/>
                <w:b w:val="1"/>
                <w:bCs w:val="1"/>
                <w:color w:val="auto"/>
              </w:rPr>
              <w:t>Common Stock</w:t>
            </w: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jc w:val="center"/>
              <w:spacing w:after="0" w:line="15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1340" w:type="dxa"/>
            <w:vAlign w:val="bottom"/>
            <w:vMerge w:val="restart"/>
          </w:tcPr>
          <w:p>
            <w:pPr>
              <w:jc w:val="center"/>
              <w:ind w:right="19"/>
              <w:spacing w:after="0" w:line="159" w:lineRule="exact"/>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left="166"/>
              <w:spacing w:after="0" w:line="159" w:lineRule="exact"/>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left="164"/>
              <w:spacing w:after="0" w:line="159" w:lineRule="exact"/>
              <w:rPr>
                <w:sz w:val="20"/>
                <w:szCs w:val="20"/>
                <w:color w:val="auto"/>
              </w:rPr>
            </w:pPr>
            <w:r>
              <w:rPr>
                <w:rFonts w:ascii="Arial" w:cs="Arial" w:eastAsia="Arial" w:hAnsi="Arial"/>
                <w:sz w:val="14"/>
                <w:szCs w:val="14"/>
                <w:b w:val="1"/>
                <w:bCs w:val="1"/>
                <w:color w:val="auto"/>
              </w:rPr>
              <w:t>Owned</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vMerge w:val="restart"/>
          </w:tcPr>
          <w:p>
            <w:pPr>
              <w:jc w:val="center"/>
              <w:ind w:right="39"/>
              <w:spacing w:after="0" w:line="142" w:lineRule="exact"/>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4"/>
            <w:vMerge w:val="restart"/>
          </w:tcPr>
          <w:p>
            <w:pPr>
              <w:jc w:val="center"/>
              <w:ind w:right="12"/>
              <w:spacing w:after="0"/>
              <w:rPr>
                <w:sz w:val="20"/>
                <w:szCs w:val="20"/>
                <w:color w:val="auto"/>
              </w:rPr>
            </w:pPr>
            <w:r>
              <w:rPr>
                <w:rFonts w:ascii="Arial" w:cs="Arial" w:eastAsia="Arial" w:hAnsi="Arial"/>
                <w:sz w:val="14"/>
                <w:szCs w:val="14"/>
                <w:b w:val="1"/>
                <w:bCs w:val="1"/>
                <w:color w:val="auto"/>
                <w:w w:val="99"/>
              </w:rPr>
              <w:t>Prior to Offering</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9"/>
              </w:rPr>
              <w:t>After Offering(1)</w:t>
            </w: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620" w:type="dxa"/>
            <w:vAlign w:val="bottom"/>
            <w:gridSpan w:val="3"/>
            <w:vMerge w:val="restart"/>
          </w:tcPr>
          <w:p>
            <w:pPr>
              <w:ind w:left="12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4"/>
            <w:vMerge w:val="continue"/>
          </w:tcPr>
          <w:p>
            <w:pPr>
              <w:spacing w:after="0"/>
              <w:rPr>
                <w:sz w:val="9"/>
                <w:szCs w:val="9"/>
                <w:color w:val="auto"/>
              </w:rPr>
            </w:pPr>
          </w:p>
        </w:tc>
        <w:tc>
          <w:tcPr>
            <w:tcW w:w="1500" w:type="dxa"/>
            <w:vAlign w:val="bottom"/>
            <w:gridSpan w:val="3"/>
            <w:vMerge w:val="restart"/>
          </w:tcPr>
          <w:p>
            <w:pPr>
              <w:ind w:left="20"/>
              <w:spacing w:after="0" w:line="163" w:lineRule="exact"/>
              <w:rPr>
                <w:sz w:val="20"/>
                <w:szCs w:val="20"/>
                <w:color w:val="auto"/>
              </w:rPr>
            </w:pPr>
            <w:r>
              <w:rPr>
                <w:rFonts w:ascii="Arial" w:cs="Arial" w:eastAsia="Arial" w:hAnsi="Arial"/>
                <w:sz w:val="18"/>
                <w:szCs w:val="18"/>
                <w:b w:val="1"/>
                <w:bCs w:val="1"/>
                <w:color w:val="auto"/>
                <w:vertAlign w:val="superscript"/>
              </w:rPr>
              <w:t>​</w:t>
            </w:r>
            <w:r>
              <w:rPr>
                <w:rFonts w:ascii="Arial" w:cs="Arial" w:eastAsia="Arial" w:hAnsi="Arial"/>
                <w:sz w:val="11"/>
                <w:szCs w:val="11"/>
                <w:b w:val="1"/>
                <w:bCs w:val="1"/>
                <w:color w:val="auto"/>
              </w:rPr>
              <w:t xml:space="preserve"> to be Sold Pursuant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20" w:type="dxa"/>
            <w:vAlign w:val="bottom"/>
            <w:vMerge w:val="restart"/>
          </w:tcPr>
          <w:p>
            <w:pPr>
              <w:jc w:val="right"/>
              <w:ind w:right="11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7"/>
        </w:trPr>
        <w:tc>
          <w:tcPr>
            <w:tcW w:w="4620" w:type="dxa"/>
            <w:vAlign w:val="bottom"/>
            <w:gridSpan w:val="3"/>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4620" w:type="dxa"/>
            <w:vAlign w:val="bottom"/>
            <w:gridSpan w:val="3"/>
          </w:tcPr>
          <w:p>
            <w:pPr>
              <w:ind w:left="1240"/>
              <w:spacing w:after="0"/>
              <w:rPr>
                <w:sz w:val="20"/>
                <w:szCs w:val="20"/>
                <w:color w:val="auto"/>
              </w:rPr>
            </w:pPr>
            <w:r>
              <w:rPr>
                <w:rFonts w:ascii="Arial" w:cs="Arial" w:eastAsia="Arial" w:hAnsi="Arial"/>
                <w:sz w:val="14"/>
                <w:szCs w:val="14"/>
                <w:b w:val="1"/>
                <w:bCs w:val="1"/>
                <w:color w:val="auto"/>
              </w:rPr>
              <w:t>Name of Selling Stockholder</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2880" w:type="dxa"/>
            <w:vAlign w:val="bottom"/>
            <w:gridSpan w:val="7"/>
          </w:tcPr>
          <w:p>
            <w:pPr>
              <w:ind w:left="40"/>
              <w:spacing w:after="0" w:line="162" w:lineRule="exact"/>
              <w:rPr>
                <w:sz w:val="20"/>
                <w:szCs w:val="20"/>
                <w:color w:val="auto"/>
              </w:rPr>
            </w:pPr>
            <w:r>
              <w:rPr>
                <w:rFonts w:ascii="Arial" w:cs="Arial" w:eastAsia="Arial" w:hAnsi="Arial"/>
                <w:sz w:val="11"/>
                <w:szCs w:val="11"/>
                <w:b w:val="1"/>
                <w:bCs w:val="1"/>
                <w:color w:val="auto"/>
              </w:rPr>
              <w:t xml:space="preserve">Number  </w:t>
            </w:r>
            <w:r>
              <w:rPr>
                <w:rFonts w:ascii="Arial" w:cs="Arial" w:eastAsia="Arial" w:hAnsi="Arial"/>
                <w:sz w:val="18"/>
                <w:szCs w:val="18"/>
                <w:b w:val="1"/>
                <w:bCs w:val="1"/>
                <w:color w:val="auto"/>
                <w:vertAlign w:val="subscript"/>
              </w:rPr>
              <w:t>​ ​</w:t>
            </w:r>
            <w:r>
              <w:rPr>
                <w:rFonts w:ascii="Arial" w:cs="Arial" w:eastAsia="Arial" w:hAnsi="Arial"/>
                <w:sz w:val="11"/>
                <w:szCs w:val="11"/>
                <w:b w:val="1"/>
                <w:bCs w:val="1"/>
                <w:color w:val="auto"/>
              </w:rPr>
              <w:t xml:space="preserve">Percent </w:t>
            </w: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xml:space="preserve"> to this Prospectus</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 ​</w:t>
            </w:r>
          </w:p>
        </w:tc>
        <w:tc>
          <w:tcPr>
            <w:tcW w:w="2600" w:type="dxa"/>
            <w:vAlign w:val="bottom"/>
            <w:gridSpan w:val="6"/>
          </w:tcPr>
          <w:p>
            <w:pPr>
              <w:jc w:val="right"/>
              <w:ind w:right="1109"/>
              <w:spacing w:after="0" w:line="162" w:lineRule="exact"/>
              <w:rPr>
                <w:sz w:val="20"/>
                <w:szCs w:val="20"/>
                <w:color w:val="auto"/>
              </w:rPr>
            </w:pPr>
            <w:r>
              <w:rPr>
                <w:rFonts w:ascii="Arial" w:cs="Arial" w:eastAsia="Arial" w:hAnsi="Arial"/>
                <w:sz w:val="11"/>
                <w:szCs w:val="11"/>
                <w:b w:val="1"/>
                <w:bCs w:val="1"/>
                <w:color w:val="auto"/>
              </w:rPr>
              <w:t xml:space="preserve">Number  </w:t>
            </w:r>
            <w:r>
              <w:rPr>
                <w:rFonts w:ascii="Arial" w:cs="Arial" w:eastAsia="Arial" w:hAnsi="Arial"/>
                <w:sz w:val="18"/>
                <w:szCs w:val="18"/>
                <w:b w:val="1"/>
                <w:bCs w:val="1"/>
                <w:color w:val="auto"/>
                <w:vertAlign w:val="subscript"/>
              </w:rPr>
              <w:t>​ ​</w:t>
            </w:r>
            <w:r>
              <w:rPr>
                <w:rFonts w:ascii="Arial" w:cs="Arial" w:eastAsia="Arial" w:hAnsi="Arial"/>
                <w:sz w:val="11"/>
                <w:szCs w:val="11"/>
                <w:b w:val="1"/>
                <w:bCs w:val="1"/>
                <w:color w:val="auto"/>
              </w:rPr>
              <w:t>Percent</w:t>
            </w:r>
            <w:r>
              <w:rPr>
                <w:rFonts w:ascii="Arial" w:cs="Arial" w:eastAsia="Arial" w:hAnsi="Arial"/>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w w:val="97"/>
              </w:rPr>
              <w:t>Bain Capital Life Sciences Opportunities III,</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Pr>
          <w:p>
            <w:pPr>
              <w:spacing w:after="0"/>
              <w:rPr>
                <w:sz w:val="17"/>
                <w:szCs w:val="17"/>
                <w:color w:val="auto"/>
              </w:rPr>
            </w:pPr>
          </w:p>
        </w:tc>
        <w:tc>
          <w:tcPr>
            <w:tcW w:w="3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LP(2)</w:t>
            </w:r>
          </w:p>
        </w:tc>
        <w:tc>
          <w:tcPr>
            <w:tcW w:w="122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5,410,361​​​</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6.5​​​%</w:t>
            </w:r>
          </w:p>
        </w:tc>
        <w:tc>
          <w:tcPr>
            <w:tcW w:w="154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5,291,005​​​</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119,356​​​</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1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20" w:type="dxa"/>
            <w:vAlign w:val="bottom"/>
            <w:gridSpan w:val="3"/>
          </w:tcPr>
          <w:p>
            <w:pPr>
              <w:ind w:left="1240"/>
              <w:spacing w:after="0"/>
              <w:rPr>
                <w:sz w:val="20"/>
                <w:szCs w:val="20"/>
                <w:color w:val="auto"/>
              </w:rPr>
            </w:pPr>
            <w:r>
              <w:rPr>
                <w:rFonts w:ascii="Arial" w:cs="Arial" w:eastAsia="Arial" w:hAnsi="Arial"/>
                <w:sz w:val="18"/>
                <w:szCs w:val="18"/>
                <w:color w:val="auto"/>
              </w:rPr>
              <w:t>Adage Capital Partners LP(3)</w:t>
            </w:r>
          </w:p>
        </w:tc>
        <w:tc>
          <w:tcPr>
            <w:tcW w:w="122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1,322,751​​​</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1.6​​​%</w:t>
            </w:r>
          </w:p>
        </w:tc>
        <w:tc>
          <w:tcPr>
            <w:tcW w:w="154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1,322,751​​​</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1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24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Entities affiliated with Casdin 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LLC(4)</w:t>
            </w:r>
          </w:p>
        </w:tc>
        <w:tc>
          <w:tcPr>
            <w:tcW w:w="122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5,190,506​​​</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6.2​​​%</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1,984,126​​​</w:t>
            </w:r>
            <w:r>
              <w:rPr>
                <w:rFonts w:ascii="Arial" w:cs="Arial" w:eastAsia="Arial" w:hAnsi="Arial"/>
                <w:sz w:val="18"/>
                <w:szCs w:val="18"/>
                <w:b w:val="1"/>
                <w:bCs w:val="1"/>
                <w:color w:val="auto"/>
              </w:rPr>
              <w:t>​</w:t>
            </w:r>
            <w:r>
              <w:rPr>
                <w:rFonts w:ascii="Arial" w:cs="Arial" w:eastAsia="Arial" w:hAnsi="Arial"/>
                <w:sz w:val="18"/>
                <w:szCs w:val="18"/>
                <w:color w:val="auto"/>
              </w:rPr>
              <w:t>3,215,380​​​</w:t>
            </w: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4620" w:type="dxa"/>
            <w:vAlign w:val="bottom"/>
            <w:gridSpan w:val="3"/>
          </w:tcPr>
          <w:p>
            <w:pPr>
              <w:ind w:left="1240"/>
              <w:spacing w:after="0"/>
              <w:rPr>
                <w:sz w:val="20"/>
                <w:szCs w:val="20"/>
                <w:color w:val="auto"/>
              </w:rPr>
            </w:pPr>
            <w:r>
              <w:rPr>
                <w:rFonts w:ascii="Arial" w:cs="Arial" w:eastAsia="Arial" w:hAnsi="Arial"/>
                <w:sz w:val="18"/>
                <w:szCs w:val="18"/>
                <w:color w:val="auto"/>
              </w:rPr>
              <w:t>Entities affiliated with Venrock Healthcare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Capital Partners EG, L.P.,(5)</w:t>
            </w:r>
          </w:p>
        </w:tc>
        <w:tc>
          <w:tcPr>
            <w:tcW w:w="122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5,389,259​​​</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6.5​​​%</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1,984,126​​​</w:t>
            </w:r>
            <w:r>
              <w:rPr>
                <w:rFonts w:ascii="Arial" w:cs="Arial" w:eastAsia="Arial" w:hAnsi="Arial"/>
                <w:sz w:val="18"/>
                <w:szCs w:val="18"/>
                <w:b w:val="1"/>
                <w:bCs w:val="1"/>
                <w:color w:val="auto"/>
              </w:rPr>
              <w:t>​</w:t>
            </w:r>
            <w:r>
              <w:rPr>
                <w:rFonts w:ascii="Arial" w:cs="Arial" w:eastAsia="Arial" w:hAnsi="Arial"/>
                <w:sz w:val="18"/>
                <w:szCs w:val="18"/>
                <w:color w:val="auto"/>
              </w:rPr>
              <w:t>3,405,133​​​</w:t>
            </w: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124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Entities affiliated with Boxer 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LLC(6)</w:t>
            </w:r>
          </w:p>
        </w:tc>
        <w:tc>
          <w:tcPr>
            <w:tcW w:w="122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5,080,177​​​</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6.1​​​%</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3,174,603​​​</w:t>
            </w:r>
            <w:r>
              <w:rPr>
                <w:rFonts w:ascii="Arial" w:cs="Arial" w:eastAsia="Arial" w:hAnsi="Arial"/>
                <w:sz w:val="18"/>
                <w:szCs w:val="18"/>
                <w:b w:val="1"/>
                <w:bCs w:val="1"/>
                <w:color w:val="auto"/>
              </w:rPr>
              <w:t>​</w:t>
            </w:r>
            <w:r>
              <w:rPr>
                <w:rFonts w:ascii="Arial" w:cs="Arial" w:eastAsia="Arial" w:hAnsi="Arial"/>
                <w:sz w:val="18"/>
                <w:szCs w:val="18"/>
                <w:color w:val="auto"/>
              </w:rPr>
              <w:t>1,905,574​​​</w:t>
            </w: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4620" w:type="dxa"/>
            <w:vAlign w:val="bottom"/>
            <w:gridSpan w:val="3"/>
          </w:tcPr>
          <w:p>
            <w:pPr>
              <w:ind w:left="1240"/>
              <w:spacing w:after="0"/>
              <w:rPr>
                <w:sz w:val="20"/>
                <w:szCs w:val="20"/>
                <w:color w:val="auto"/>
              </w:rPr>
            </w:pPr>
            <w:r>
              <w:rPr>
                <w:rFonts w:ascii="Arial" w:cs="Arial" w:eastAsia="Arial" w:hAnsi="Arial"/>
                <w:sz w:val="18"/>
                <w:szCs w:val="18"/>
                <w:color w:val="auto"/>
              </w:rPr>
              <w:t>Entities affiliated with Superstring 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Master Fund LP(7)</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925,925​​​</w:t>
            </w:r>
          </w:p>
        </w:tc>
        <w:tc>
          <w:tcPr>
            <w:tcW w:w="5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1.1​​​%</w:t>
            </w:r>
          </w:p>
        </w:tc>
        <w:tc>
          <w:tcPr>
            <w:tcW w:w="1540" w:type="dxa"/>
            <w:vAlign w:val="bottom"/>
            <w:gridSpan w:val="3"/>
          </w:tcPr>
          <w:p>
            <w:pPr>
              <w:ind w:left="5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925,925​​​</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1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7"/>
        </w:trPr>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86"/>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-1852295</wp:posOffset>
            </wp:positionV>
            <wp:extent cx="5121275" cy="303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121275" cy="303530"/>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-1245870</wp:posOffset>
            </wp:positionV>
            <wp:extent cx="5121275" cy="303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121275" cy="303530"/>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-2298700</wp:posOffset>
            </wp:positionV>
            <wp:extent cx="5121275"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21275" cy="294640"/>
                    </a:xfrm>
                    <a:prstGeom prst="rect">
                      <a:avLst/>
                    </a:prstGeom>
                    <a:noFill/>
                  </pic:spPr>
                </pic:pic>
              </a:graphicData>
            </a:graphic>
          </wp:anchor>
        </w:drawing>
        <w:drawing>
          <wp:anchor simplePos="0" relativeHeight="251657728" behindDoc="1" locked="0" layoutInCell="0" allowOverlap="1">
            <wp:simplePos x="0" y="0"/>
            <wp:positionH relativeFrom="column">
              <wp:posOffset>6661150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520"/>
          </w:cols>
          <w:pgMar w:left="680" w:top="95" w:right="6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180" w:type="dxa"/>
            <w:vAlign w:val="bottom"/>
          </w:tcPr>
          <w:p>
            <w:pPr>
              <w:spacing w:after="0"/>
              <w:rPr>
                <w:sz w:val="14"/>
                <w:szCs w:val="14"/>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rPr>
              <w:t>Maximum Number</w:t>
            </w:r>
          </w:p>
        </w:tc>
        <w:tc>
          <w:tcPr>
            <w:tcW w:w="140" w:type="dxa"/>
            <w:vAlign w:val="bottom"/>
          </w:tcPr>
          <w:p>
            <w:pPr>
              <w:spacing w:after="0"/>
              <w:rPr>
                <w:sz w:val="14"/>
                <w:szCs w:val="14"/>
                <w:color w:val="auto"/>
              </w:rPr>
            </w:pPr>
          </w:p>
        </w:tc>
        <w:tc>
          <w:tcPr>
            <w:tcW w:w="14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restart"/>
          </w:tcPr>
          <w:p>
            <w:pPr>
              <w:jc w:val="center"/>
              <w:ind w:right="28"/>
              <w:spacing w:after="0" w:line="159" w:lineRule="exact"/>
              <w:rPr>
                <w:sz w:val="20"/>
                <w:szCs w:val="20"/>
                <w:color w:val="auto"/>
              </w:rPr>
            </w:pPr>
            <w:r>
              <w:rPr>
                <w:rFonts w:ascii="Arial" w:cs="Arial" w:eastAsia="Arial" w:hAnsi="Arial"/>
                <w:sz w:val="14"/>
                <w:szCs w:val="14"/>
                <w:b w:val="1"/>
                <w:bCs w:val="1"/>
                <w:color w:val="auto"/>
                <w:w w:val="98"/>
              </w:rPr>
              <w:t>of Shares of</w:t>
            </w:r>
          </w:p>
        </w:tc>
        <w:tc>
          <w:tcPr>
            <w:tcW w:w="14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9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4"/>
            <w:vMerge w:val="restart"/>
          </w:tcPr>
          <w:p>
            <w:pPr>
              <w:jc w:val="center"/>
              <w:spacing w:after="0" w:line="15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jc w:val="center"/>
              <w:spacing w:after="0" w:line="15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restart"/>
          </w:tcPr>
          <w:p>
            <w:pPr>
              <w:jc w:val="center"/>
              <w:ind w:right="28"/>
              <w:spacing w:after="0" w:line="159" w:lineRule="exact"/>
              <w:rPr>
                <w:sz w:val="20"/>
                <w:szCs w:val="20"/>
                <w:color w:val="auto"/>
              </w:rPr>
            </w:pPr>
            <w:r>
              <w:rPr>
                <w:rFonts w:ascii="Arial" w:cs="Arial" w:eastAsia="Arial" w:hAnsi="Arial"/>
                <w:sz w:val="14"/>
                <w:szCs w:val="14"/>
                <w:b w:val="1"/>
                <w:bCs w:val="1"/>
                <w:color w:val="auto"/>
                <w:w w:val="98"/>
              </w:rPr>
              <w:t>Common</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9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vMerge w:val="restart"/>
          </w:tcPr>
          <w:p>
            <w:pPr>
              <w:jc w:val="center"/>
              <w:ind w:left="244"/>
              <w:spacing w:after="0" w:line="159" w:lineRule="exact"/>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left="166"/>
              <w:spacing w:after="0" w:line="159" w:lineRule="exact"/>
              <w:rPr>
                <w:sz w:val="20"/>
                <w:szCs w:val="20"/>
                <w:color w:val="auto"/>
              </w:rPr>
            </w:pPr>
            <w:r>
              <w:rPr>
                <w:rFonts w:ascii="Arial" w:cs="Arial" w:eastAsia="Arial" w:hAnsi="Arial"/>
                <w:sz w:val="14"/>
                <w:szCs w:val="14"/>
                <w:b w:val="1"/>
                <w:bCs w:val="1"/>
                <w:color w:val="auto"/>
              </w:rPr>
              <w:t>Owned</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restart"/>
          </w:tcPr>
          <w:p>
            <w:pPr>
              <w:jc w:val="center"/>
              <w:ind w:right="8"/>
              <w:spacing w:after="0" w:line="142"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9"/>
              </w:rPr>
              <w:t>Prior to Offering</w:t>
            </w:r>
          </w:p>
        </w:tc>
        <w:tc>
          <w:tcPr>
            <w:tcW w:w="1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9"/>
              </w:rPr>
              <w:t>After Offering(1)</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gridSpan w:val="4"/>
            <w:vMerge w:val="continue"/>
          </w:tcPr>
          <w:p>
            <w:pPr>
              <w:spacing w:after="0"/>
              <w:rPr>
                <w:sz w:val="9"/>
                <w:szCs w:val="9"/>
                <w:color w:val="auto"/>
              </w:rPr>
            </w:pPr>
          </w:p>
        </w:tc>
        <w:tc>
          <w:tcPr>
            <w:tcW w:w="1520" w:type="dxa"/>
            <w:vAlign w:val="bottom"/>
            <w:gridSpan w:val="2"/>
            <w:vMerge w:val="restart"/>
          </w:tcPr>
          <w:p>
            <w:pPr>
              <w:jc w:val="center"/>
              <w:spacing w:after="0" w:line="164" w:lineRule="exact"/>
              <w:rPr>
                <w:sz w:val="20"/>
                <w:szCs w:val="20"/>
                <w:color w:val="auto"/>
              </w:rPr>
            </w:pPr>
            <w:r>
              <w:rPr>
                <w:rFonts w:ascii="Arial" w:cs="Arial" w:eastAsia="Arial" w:hAnsi="Arial"/>
                <w:sz w:val="18"/>
                <w:szCs w:val="18"/>
                <w:b w:val="1"/>
                <w:bCs w:val="1"/>
                <w:color w:val="auto"/>
                <w:vertAlign w:val="superscript"/>
              </w:rPr>
              <w:t>​</w:t>
            </w:r>
            <w:r>
              <w:rPr>
                <w:rFonts w:ascii="Arial" w:cs="Arial" w:eastAsia="Arial" w:hAnsi="Arial"/>
                <w:sz w:val="11"/>
                <w:szCs w:val="11"/>
                <w:b w:val="1"/>
                <w:bCs w:val="1"/>
                <w:color w:val="auto"/>
              </w:rPr>
              <w:t xml:space="preserve"> to be Sold Pursuant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7"/>
        </w:trPr>
        <w:tc>
          <w:tcPr>
            <w:tcW w:w="32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4"/>
                <w:szCs w:val="14"/>
                <w:b w:val="1"/>
                <w:bCs w:val="1"/>
                <w:color w:val="auto"/>
                <w:w w:val="99"/>
              </w:rPr>
              <w:t>Name of Selling Stockholder</w:t>
            </w:r>
          </w:p>
        </w:tc>
        <w:tc>
          <w:tcPr>
            <w:tcW w:w="1360" w:type="dxa"/>
            <w:vAlign w:val="bottom"/>
          </w:tcPr>
          <w:p>
            <w:pPr>
              <w:spacing w:after="0"/>
              <w:rPr>
                <w:sz w:val="16"/>
                <w:szCs w:val="16"/>
                <w:color w:val="auto"/>
              </w:rPr>
            </w:pPr>
          </w:p>
        </w:tc>
        <w:tc>
          <w:tcPr>
            <w:tcW w:w="22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180" w:type="dxa"/>
            <w:vAlign w:val="bottom"/>
            <w:gridSpan w:val="5"/>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Percent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 this Prospectus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6"/>
                <w:szCs w:val="16"/>
                <w:color w:val="auto"/>
              </w:rPr>
            </w:pPr>
          </w:p>
        </w:tc>
        <w:tc>
          <w:tcPr>
            <w:tcW w:w="720" w:type="dxa"/>
            <w:vAlign w:val="bottom"/>
          </w:tcPr>
          <w:p>
            <w:pPr>
              <w:jc w:val="right"/>
              <w:ind w:right="66"/>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5"/>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Percent</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7"/>
        </w:trPr>
        <w:tc>
          <w:tcPr>
            <w:tcW w:w="1900" w:type="dxa"/>
            <w:vAlign w:val="bottom"/>
            <w:shd w:val="clear" w:color="auto" w:fill="000000"/>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9"/>
              </w:rPr>
              <w:t>Octagon Investments Master Fund LP(8)</w:t>
            </w: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1,333,650</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1.6%</w:t>
            </w:r>
          </w:p>
        </w:tc>
        <w:tc>
          <w:tcPr>
            <w:tcW w:w="1340" w:type="dxa"/>
            <w:vAlign w:val="bottom"/>
            <w:shd w:val="clear" w:color="auto" w:fill="CCEEFF"/>
          </w:tcPr>
          <w:p>
            <w:pPr>
              <w:ind w:left="580"/>
              <w:spacing w:after="0" w:line="199" w:lineRule="exact"/>
              <w:rPr>
                <w:sz w:val="20"/>
                <w:szCs w:val="20"/>
                <w:color w:val="auto"/>
              </w:rPr>
            </w:pPr>
            <w:r>
              <w:rPr>
                <w:rFonts w:ascii="Arial" w:cs="Arial" w:eastAsia="Arial" w:hAnsi="Arial"/>
                <w:sz w:val="18"/>
                <w:szCs w:val="18"/>
                <w:color w:val="auto"/>
              </w:rPr>
              <w:t>​ 793,650</w:t>
            </w: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540,000</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9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020" w:type="dxa"/>
            <w:vAlign w:val="bottom"/>
            <w:tcBorders>
              <w:right w:val="single" w:sz="8" w:color="CCEEFF"/>
            </w:tcBorders>
            <w:gridSpan w:val="2"/>
            <w:shd w:val="clear" w:color="auto" w:fill="CCEEFF"/>
          </w:tcPr>
          <w:p>
            <w:pPr>
              <w:ind w:left="120"/>
              <w:spacing w:after="0" w:line="53"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ind w:left="120"/>
              <w:spacing w:after="0" w:line="53" w:lineRule="exact"/>
              <w:rPr>
                <w:sz w:val="20"/>
                <w:szCs w:val="20"/>
                <w:color w:val="auto"/>
              </w:rPr>
            </w:pPr>
            <w:r>
              <w:rPr>
                <w:rFonts w:ascii="Arial" w:cs="Arial" w:eastAsia="Arial" w:hAnsi="Arial"/>
                <w:sz w:val="6"/>
                <w:szCs w:val="6"/>
                <w:color w:val="auto"/>
              </w:rPr>
              <w:t>​</w:t>
            </w:r>
          </w:p>
        </w:tc>
        <w:tc>
          <w:tcPr>
            <w:tcW w:w="180" w:type="dxa"/>
            <w:vAlign w:val="bottom"/>
            <w:tcBorders>
              <w:right w:val="single" w:sz="8" w:color="CCEEFF"/>
            </w:tcBorders>
            <w:shd w:val="clear" w:color="auto" w:fill="CCEEFF"/>
          </w:tcPr>
          <w:p>
            <w:pPr>
              <w:jc w:val="right"/>
              <w:spacing w:after="0" w:line="53" w:lineRule="exact"/>
              <w:rPr>
                <w:sz w:val="20"/>
                <w:szCs w:val="20"/>
                <w:color w:val="auto"/>
              </w:rPr>
            </w:pPr>
            <w:r>
              <w:rPr>
                <w:rFonts w:ascii="Arial" w:cs="Arial" w:eastAsia="Arial" w:hAnsi="Arial"/>
                <w:sz w:val="6"/>
                <w:szCs w:val="6"/>
                <w:color w:val="auto"/>
              </w:rPr>
              <w:t>​​​</w:t>
            </w:r>
          </w:p>
        </w:tc>
        <w:tc>
          <w:tcPr>
            <w:tcW w:w="1340" w:type="dxa"/>
            <w:vAlign w:val="bottom"/>
            <w:shd w:val="clear" w:color="auto" w:fill="CCEEFF"/>
          </w:tcPr>
          <w:p>
            <w:pPr>
              <w:jc w:val="center"/>
              <w:ind w:right="128"/>
              <w:spacing w:after="0" w:line="53" w:lineRule="exact"/>
              <w:rPr>
                <w:sz w:val="20"/>
                <w:szCs w:val="20"/>
                <w:color w:val="auto"/>
              </w:rPr>
            </w:pPr>
            <w:r>
              <w:rPr>
                <w:rFonts w:ascii="Arial" w:cs="Arial" w:eastAsia="Arial" w:hAnsi="Arial"/>
                <w:sz w:val="6"/>
                <w:szCs w:val="6"/>
                <w:color w:val="auto"/>
              </w:rPr>
              <w:t>​</w:t>
            </w:r>
          </w:p>
        </w:tc>
        <w:tc>
          <w:tcPr>
            <w:tcW w:w="220" w:type="dxa"/>
            <w:vAlign w:val="bottom"/>
            <w:gridSpan w:val="2"/>
            <w:vMerge w:val="continue"/>
            <w:shd w:val="clear" w:color="auto" w:fill="CCEEFF"/>
          </w:tcPr>
          <w:p>
            <w:pPr>
              <w:spacing w:after="0"/>
              <w:rPr>
                <w:sz w:val="4"/>
                <w:szCs w:val="4"/>
                <w:color w:val="auto"/>
              </w:rPr>
            </w:pPr>
          </w:p>
        </w:tc>
        <w:tc>
          <w:tcPr>
            <w:tcW w:w="72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Entities affiliated with DAFNA Capital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Management LLC(9)</w:t>
            </w:r>
          </w:p>
        </w:tc>
        <w:tc>
          <w:tcPr>
            <w:tcW w:w="22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9"/>
              </w:rPr>
              <w:t>1,704,232</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w:t>
            </w:r>
          </w:p>
        </w:tc>
        <w:tc>
          <w:tcPr>
            <w:tcW w:w="1340" w:type="dxa"/>
            <w:vAlign w:val="bottom"/>
          </w:tcPr>
          <w:p>
            <w:pPr>
              <w:ind w:left="580"/>
              <w:spacing w:after="0" w:line="176" w:lineRule="exact"/>
              <w:rPr>
                <w:sz w:val="20"/>
                <w:szCs w:val="20"/>
                <w:color w:val="auto"/>
              </w:rPr>
            </w:pPr>
            <w:r>
              <w:rPr>
                <w:rFonts w:ascii="Arial" w:cs="Arial" w:eastAsia="Arial" w:hAnsi="Arial"/>
                <w:sz w:val="18"/>
                <w:szCs w:val="18"/>
                <w:color w:val="auto"/>
              </w:rPr>
              <w:t>​ 396,825</w:t>
            </w:r>
          </w:p>
        </w:tc>
        <w:tc>
          <w:tcPr>
            <w:tcW w:w="140" w:type="dxa"/>
            <w:vAlign w:val="bottom"/>
          </w:tcPr>
          <w:p>
            <w:pPr>
              <w:spacing w:after="0"/>
              <w:rPr>
                <w:sz w:val="15"/>
                <w:szCs w:val="15"/>
                <w:color w:val="auto"/>
              </w:rPr>
            </w:pPr>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7"/>
              </w:rPr>
              <w:t>1,307,407</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3"/>
        </w:trPr>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vMerge w:val="continue"/>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128"/>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-568325</wp:posOffset>
            </wp:positionV>
            <wp:extent cx="419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-568325</wp:posOffset>
            </wp:positionV>
            <wp:extent cx="419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46355</wp:posOffset>
            </wp:positionV>
            <wp:extent cx="134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82" w:lineRule="exact"/>
        <w:rPr>
          <w:sz w:val="20"/>
          <w:szCs w:val="20"/>
          <w:color w:val="auto"/>
        </w:rPr>
      </w:pPr>
    </w:p>
    <w:p>
      <w:pPr>
        <w:ind w:left="1580" w:hanging="348"/>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2" w:lineRule="exact"/>
        <w:rPr>
          <w:sz w:val="20"/>
          <w:szCs w:val="20"/>
          <w:color w:val="auto"/>
        </w:rPr>
      </w:pPr>
    </w:p>
    <w:p>
      <w:pPr>
        <w:ind w:left="1580" w:hanging="348"/>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sale of all shares offered pursuant to this prospectus.</w:t>
      </w:r>
    </w:p>
    <w:p>
      <w:pPr>
        <w:spacing w:after="0" w:line="71" w:lineRule="exact"/>
        <w:rPr>
          <w:rFonts w:ascii="Arial" w:cs="Arial" w:eastAsia="Arial" w:hAnsi="Arial"/>
          <w:sz w:val="18"/>
          <w:szCs w:val="18"/>
          <w:color w:val="auto"/>
        </w:rPr>
      </w:pPr>
    </w:p>
    <w:p>
      <w:pPr>
        <w:ind w:left="1580" w:right="479" w:hanging="348"/>
        <w:spacing w:after="0" w:line="249"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of Common Stock Owned Prior to Offering includes 5,291,005 shares of common stock purchased in the Private Placement by Bain Capital Life Sciences Opportunities III, LP. Bain Capital Life Sciences Investors, LLC, or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Bain Capital Life Sciences Opportunities III, LP may be deemed to share voting and dispositive power with respect to the securities held by Bain Capital Life Sciences Opportunities III, LP. The address of BCLSI is 200 Clarendon Street, Boston, MA 02116.</w:t>
      </w:r>
    </w:p>
    <w:p>
      <w:pPr>
        <w:spacing w:after="0" w:line="43" w:lineRule="exact"/>
        <w:rPr>
          <w:rFonts w:ascii="Arial" w:cs="Arial" w:eastAsia="Arial" w:hAnsi="Arial"/>
          <w:sz w:val="18"/>
          <w:szCs w:val="18"/>
          <w:color w:val="auto"/>
        </w:rPr>
      </w:pPr>
    </w:p>
    <w:p>
      <w:pPr>
        <w:ind w:left="1580" w:right="579" w:hanging="348"/>
        <w:spacing w:after="0" w:line="238"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1,322,751 shares of common stock were purchased in the Private Placement. Bob Atchinson and Phillip Gross are the managing members of Adage Capital Advisors, L.L.C., which is the managing member of Adage Capital Partners GP, L.L.C., which is the general partner of Adage Capital Partners, LP, and each such person or entity, as the case may be, 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 The address for Adage Capital Partners LP is 200 Clarendon 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Boston, MA 02116.</w:t>
      </w:r>
    </w:p>
    <w:p>
      <w:pPr>
        <w:spacing w:after="0" w:line="51" w:lineRule="exact"/>
        <w:rPr>
          <w:rFonts w:ascii="Arial" w:cs="Arial" w:eastAsia="Arial" w:hAnsi="Arial"/>
          <w:sz w:val="18"/>
          <w:szCs w:val="18"/>
          <w:color w:val="auto"/>
        </w:rPr>
      </w:pPr>
    </w:p>
    <w:p>
      <w:pPr>
        <w:ind w:left="1580" w:hanging="348"/>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1,984,126 shares of common stock purchased in the Private Placement and</w:t>
      </w:r>
    </w:p>
    <w:p>
      <w:pPr>
        <w:spacing w:after="0" w:line="21" w:lineRule="exact"/>
        <w:rPr>
          <w:rFonts w:ascii="Arial" w:cs="Arial" w:eastAsia="Arial" w:hAnsi="Arial"/>
          <w:sz w:val="18"/>
          <w:szCs w:val="18"/>
          <w:color w:val="auto"/>
        </w:rPr>
      </w:pPr>
    </w:p>
    <w:p>
      <w:pPr>
        <w:ind w:left="1580" w:right="539" w:firstLine="5"/>
        <w:spacing w:after="0" w:line="260" w:lineRule="auto"/>
        <w:tabs>
          <w:tab w:leader="none" w:pos="1781" w:val="left"/>
        </w:tabs>
        <w:numPr>
          <w:ilvl w:val="1"/>
          <w:numId w:val="6"/>
        </w:numPr>
        <w:rPr>
          <w:rFonts w:ascii="Arial" w:cs="Arial" w:eastAsia="Arial" w:hAnsi="Arial"/>
          <w:sz w:val="17"/>
          <w:szCs w:val="17"/>
          <w:color w:val="auto"/>
        </w:rPr>
      </w:pPr>
      <w:r>
        <w:rPr>
          <w:rFonts w:ascii="Arial" w:cs="Arial" w:eastAsia="Arial" w:hAnsi="Arial"/>
          <w:sz w:val="17"/>
          <w:szCs w:val="17"/>
          <w:color w:val="auto"/>
        </w:rPr>
        <w:t>1,978,190 shares of common stock held by Casdin Partners Master Fund, L.P. (the Master Fund) and (ii) 1,228,190 shares held by Casdin Private Growth Equity Fund, L.P. (Growth Equity) prior to the Private Placement. The securities held by the Master Fund may be deemed to be indirectly beneficially owned by (i) Casdin Capital, LLC, the investment adviser to the Master Fund (Casdin),</w:t>
      </w:r>
    </w:p>
    <w:p>
      <w:pPr>
        <w:spacing w:after="0" w:line="1" w:lineRule="exact"/>
        <w:rPr>
          <w:rFonts w:ascii="Arial" w:cs="Arial" w:eastAsia="Arial" w:hAnsi="Arial"/>
          <w:sz w:val="17"/>
          <w:szCs w:val="17"/>
          <w:color w:val="auto"/>
        </w:rPr>
      </w:pPr>
    </w:p>
    <w:p>
      <w:pPr>
        <w:ind w:left="1580" w:right="519" w:firstLine="5"/>
        <w:spacing w:after="0" w:line="264" w:lineRule="auto"/>
        <w:tabs>
          <w:tab w:leader="none" w:pos="1819" w:val="left"/>
        </w:tabs>
        <w:numPr>
          <w:ilvl w:val="1"/>
          <w:numId w:val="6"/>
        </w:numPr>
        <w:rPr>
          <w:rFonts w:ascii="Arial" w:cs="Arial" w:eastAsia="Arial" w:hAnsi="Arial"/>
          <w:sz w:val="17"/>
          <w:szCs w:val="17"/>
          <w:color w:val="auto"/>
        </w:rPr>
      </w:pPr>
      <w:r>
        <w:rPr>
          <w:rFonts w:ascii="Arial" w:cs="Arial" w:eastAsia="Arial" w:hAnsi="Arial"/>
          <w:sz w:val="17"/>
          <w:szCs w:val="17"/>
          <w:color w:val="auto"/>
        </w:rPr>
        <w:t>Casdin Partners GP, LLC, the general partner of the Master Fund (the GP), and (iii) Eli Casdin, the managing member of Casdin and the GP. The securities owned by Growth Equity may be deemed to be indirectly beneficially owned by (i) Casdin Private Growth Equity Fund GP, LLC (Growth Equity GP), the general partner of Growth Equity, (ii) Casdin, the investment advisor to Growth Equity, and (iii) Eli Casdin, the managing member of Growth Equity GP. Eli Casdin and each entity disclaims beneficial ownership in the securities reported except to the extent of its pecuniary interest. Eli Casdin served as a director of the Company from February 2021 until October 2022. The address for the Master Fund is 1350 Sixth Avenue, Suite 2600, New York, NY 10019.</w:t>
      </w:r>
    </w:p>
    <w:p>
      <w:pPr>
        <w:spacing w:after="0" w:line="28" w:lineRule="exact"/>
        <w:rPr>
          <w:rFonts w:ascii="Arial" w:cs="Arial" w:eastAsia="Arial" w:hAnsi="Arial"/>
          <w:sz w:val="17"/>
          <w:szCs w:val="17"/>
          <w:color w:val="auto"/>
        </w:rPr>
      </w:pPr>
    </w:p>
    <w:p>
      <w:pPr>
        <w:ind w:left="1580" w:right="499" w:hanging="348"/>
        <w:spacing w:after="0" w:line="265" w:lineRule="auto"/>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(i)(a) 1,508,531 shares of common stock purchased by Venrock Healthcare Capital Partners EG, L.P., or VHCP EG, (b) 432,341 shares of common stock purchase by Venrock Healthcare Capital Partners III, L.P., or VHCP III, and (c) 43,254 shares of common stock purchased by VHCP Co-Investment Holdings III, LLC, or VHCP Co-Invest III, in the Private Placement; and (ii)</w:t>
      </w:r>
    </w:p>
    <w:p>
      <w:pPr>
        <w:spacing w:after="0" w:line="1" w:lineRule="exact"/>
        <w:rPr>
          <w:rFonts w:ascii="Arial" w:cs="Arial" w:eastAsia="Arial" w:hAnsi="Arial"/>
          <w:sz w:val="17"/>
          <w:szCs w:val="17"/>
          <w:color w:val="auto"/>
        </w:rPr>
      </w:pPr>
    </w:p>
    <w:p>
      <w:pPr>
        <w:ind w:left="1580" w:right="479"/>
        <w:spacing w:after="0" w:line="247" w:lineRule="auto"/>
        <w:rPr>
          <w:rFonts w:ascii="Arial" w:cs="Arial" w:eastAsia="Arial" w:hAnsi="Arial"/>
          <w:sz w:val="17"/>
          <w:szCs w:val="17"/>
          <w:color w:val="auto"/>
        </w:rPr>
      </w:pPr>
      <w:r>
        <w:rPr>
          <w:rFonts w:ascii="Arial" w:cs="Arial" w:eastAsia="Arial" w:hAnsi="Arial"/>
          <w:sz w:val="18"/>
          <w:szCs w:val="18"/>
          <w:color w:val="auto"/>
        </w:rPr>
        <w:t>(a) 2,585,369 shares of common stock held by VHCP EG, (b) 745,209 shares of common stock held by VHCP III and (c) 74,555 shares of common stock held by VHCP Co-Invest prior to the Private Placement. VHCP Management III, LLC, or VHCPM, is the sole general partner of VHCP III and the sole manager of VHCP Co-Invest III. VHCP Management EG, LLC, or VHCPM EG, is the sole general partner of VHCP EG. Dr. Bong Koh and Nimish Shah are the voting members of VHCPM and VHCPM EG. The address of each of these persons and entities is 7 Bryant Park, 23rd Floor, New York, NY 10018.</w:t>
      </w: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right="479" w:hanging="348"/>
        <w:spacing w:after="0" w:line="263" w:lineRule="auto"/>
        <w:tabs>
          <w:tab w:leader="none" w:pos="1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(i) 3,174,603 shares of common stock purchased by Boxer Capital, LLC (Boxer Capital) in the Private Placement, (ii) 1,727,000 shares of common stock held by Boxer Capital prior to the Private Placement, and (iii) 178,574 shares of common stock held by MVA Investors, LLC (MVA Investors) based on a Schedule 13G filed with the SEC on April 22, 2024. Boxer Asset Management Inc. (Boxer Asset Management) is the managing member of Boxer Capital. Joseph C. Lewis is the sole indirect owner of Boxer Asset Management. Boxer Capital, Boxer Asset Management and Mr. Lewis have shared powers to vote (or direct the vote) and/or to dispose (or direct the disposition) of the common stock held by Boxer Capital. Boxer Asset Management and Mr. Lewis disclaim beneficial ownership over the shares held by Boxer Capital except to the extent of their pecuniary interest therein. Aaron Davis is a member and Chief Executive Officer of MVA Investors. MVA Investors and Mr. Davis have shared powers to vote (or direct the vote) and/or to dispose (or direct the disposition) of the shares held by MVA Investors. Mr. Davis disclaims beneficial ownership over the shares held by MVA Investors except to the extent of his pecuniary interest therein. The principal address for Boxer Capital, MVA Investors and Mr. Davis is 12860 El Camino Real, Suite 300, San Diego, CA 92130. The principal address for Boxer Asset Management and Mr. Lewis is Cay House, EP Taylor Drive N7776, Lyford Cay, New Providence, Bahamas.</w:t>
      </w:r>
    </w:p>
    <w:p>
      <w:pPr>
        <w:spacing w:after="0" w:line="48" w:lineRule="exact"/>
        <w:rPr>
          <w:rFonts w:ascii="Arial" w:cs="Arial" w:eastAsia="Arial" w:hAnsi="Arial"/>
          <w:sz w:val="17"/>
          <w:szCs w:val="17"/>
          <w:color w:val="auto"/>
        </w:rPr>
      </w:pPr>
    </w:p>
    <w:p>
      <w:pPr>
        <w:ind w:left="1580" w:right="559" w:hanging="348"/>
        <w:spacing w:after="0" w:line="249" w:lineRule="auto"/>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(i) 462,963 shares of common stock purchased by Superstring Capital Master Fund LP, or Superstring Capital, and (ii) 462,962 shares of common stock purchased by Superstring Private Opportunities Fund I LP, or Superstring Private, in the Private Placement. The sole general partner of each of Superstring Capital and Superstring Private is Superstring Capital Fund GP LLC. The manager of each of Superstring Capital and Superstring Private is Ting Guo. This individual may be deemed to have voting and investment power of the securities held by Superstring Capital and Superstring Private. Ting Guo will disclaim beneficial ownership of such securities, except to the extent of his pecuniary interest therein. The address of each of Superstring Capital and Superstring Private is 150 E 52nd St, Suite 5004, New York, NY 10022.</w:t>
      </w:r>
    </w:p>
    <w:p>
      <w:pPr>
        <w:spacing w:after="0" w:line="43" w:lineRule="exact"/>
        <w:rPr>
          <w:rFonts w:ascii="Arial" w:cs="Arial" w:eastAsia="Arial" w:hAnsi="Arial"/>
          <w:sz w:val="18"/>
          <w:szCs w:val="18"/>
          <w:color w:val="auto"/>
        </w:rPr>
      </w:pPr>
    </w:p>
    <w:p>
      <w:pPr>
        <w:ind w:left="1580" w:hanging="348"/>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(i) 793,650 shares of common stock purchased in the Private Placement and</w:t>
      </w:r>
    </w:p>
    <w:p>
      <w:pPr>
        <w:spacing w:after="0" w:line="21" w:lineRule="exact"/>
        <w:rPr>
          <w:rFonts w:ascii="Arial" w:cs="Arial" w:eastAsia="Arial" w:hAnsi="Arial"/>
          <w:sz w:val="18"/>
          <w:szCs w:val="18"/>
          <w:color w:val="auto"/>
        </w:rPr>
      </w:pPr>
    </w:p>
    <w:p>
      <w:pPr>
        <w:ind w:left="1580" w:right="499"/>
        <w:spacing w:after="0" w:line="247" w:lineRule="auto"/>
        <w:rPr>
          <w:rFonts w:ascii="Arial" w:cs="Arial" w:eastAsia="Arial" w:hAnsi="Arial"/>
          <w:sz w:val="18"/>
          <w:szCs w:val="18"/>
          <w:color w:val="auto"/>
        </w:rPr>
      </w:pPr>
      <w:r>
        <w:rPr>
          <w:rFonts w:ascii="Arial" w:cs="Arial" w:eastAsia="Arial" w:hAnsi="Arial"/>
          <w:sz w:val="18"/>
          <w:szCs w:val="18"/>
          <w:color w:val="auto"/>
        </w:rPr>
        <w:t>(ii) 540,000 shares of common stock held prior to the Private Placement. Octagon Capital Advisors LP is the investment manager of Octagon Investments Master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Each of Dr. Jia and Octagon Capital Advisors LP disclaims beneficial ownership of the shares held by Octagon Investments Master Fund LP, except to the extent of his or its pecuniary interest therein, if any. The address for each of Dr. Jia, Octagon Capital Advisors LP and Octagon Investments Master Fund LP is 654 Madison Avenue, 21st Floor, New York, NY 10065.</w:t>
      </w:r>
    </w:p>
    <w:p>
      <w:pPr>
        <w:spacing w:after="0" w:line="43" w:lineRule="exact"/>
        <w:rPr>
          <w:rFonts w:ascii="Arial" w:cs="Arial" w:eastAsia="Arial" w:hAnsi="Arial"/>
          <w:sz w:val="18"/>
          <w:szCs w:val="18"/>
          <w:color w:val="auto"/>
        </w:rPr>
      </w:pPr>
    </w:p>
    <w:p>
      <w:pPr>
        <w:ind w:left="1580" w:right="499" w:hanging="348"/>
        <w:spacing w:after="0" w:line="264" w:lineRule="auto"/>
        <w:tabs>
          <w:tab w:leader="none" w:pos="1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(i)(a) 285,714 shares of common stock purchased by DAFNA LifeScience LP in the Private Placement and (b) 111,111 shares of common stock purchased by DAFNA LifeScience Select LP in the Private Placement; and (ii)(a) 980,100 shares of common stock held by DAFNA LifeScience LP prior to the Private Placement and (b) 327,307 shares of common stock held by DAFNA LifeScience Select LP prior to the Private Placement. DAFNA Capital Management LLC is the sole general partner of 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Ghodsian disclaim beneficial ownership of such shares, except to the extent of his or her pecuniary interest therein. The address for the entities and individuals herein is 10990 Wilshire Blvd, Suite 1400, Los Angeles, CA 90024.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PLAN OF DISTRIBUTION</w:t>
      </w:r>
    </w:p>
    <w:p>
      <w:pPr>
        <w:spacing w:after="0" w:line="326" w:lineRule="exact"/>
        <w:rPr>
          <w:sz w:val="20"/>
          <w:szCs w:val="20"/>
          <w:color w:val="auto"/>
        </w:rPr>
      </w:pPr>
    </w:p>
    <w:p>
      <w:pPr>
        <w:ind w:left="1240" w:right="639"/>
        <w:spacing w:after="0" w:line="267" w:lineRule="auto"/>
        <w:rPr>
          <w:sz w:val="20"/>
          <w:szCs w:val="20"/>
          <w:color w:val="auto"/>
        </w:rPr>
      </w:pPr>
      <w:r>
        <w:rPr>
          <w:rFonts w:ascii="Arial" w:cs="Arial" w:eastAsia="Arial" w:hAnsi="Arial"/>
          <w:sz w:val="17"/>
          <w:szCs w:val="17"/>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04" w:lineRule="exact"/>
        <w:rPr>
          <w:sz w:val="20"/>
          <w:szCs w:val="20"/>
          <w:color w:val="auto"/>
        </w:rPr>
      </w:pPr>
    </w:p>
    <w:p>
      <w:pPr>
        <w:ind w:left="1240" w:right="519"/>
        <w:spacing w:after="0" w:line="269" w:lineRule="auto"/>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58" w:lineRule="exact"/>
        <w:rPr>
          <w:rFonts w:ascii="Arial" w:cs="Arial" w:eastAsia="Arial" w:hAnsi="Arial"/>
          <w:sz w:val="18"/>
          <w:szCs w:val="18"/>
          <w:color w:val="auto"/>
        </w:rPr>
      </w:pPr>
    </w:p>
    <w:p>
      <w:pPr>
        <w:ind w:left="1580" w:right="519" w:hanging="348"/>
        <w:spacing w:after="0" w:line="275"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58"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58"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58"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 sales and settlement of short sales;</w:t>
      </w:r>
    </w:p>
    <w:p>
      <w:pPr>
        <w:spacing w:after="0" w:line="58" w:lineRule="exact"/>
        <w:rPr>
          <w:rFonts w:ascii="Arial" w:cs="Arial" w:eastAsia="Arial" w:hAnsi="Arial"/>
          <w:sz w:val="18"/>
          <w:szCs w:val="18"/>
          <w:color w:val="auto"/>
        </w:rPr>
      </w:pPr>
    </w:p>
    <w:p>
      <w:pPr>
        <w:ind w:left="1580" w:right="1019" w:hanging="348"/>
        <w:spacing w:after="0" w:line="275"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3" w:lineRule="exact"/>
        <w:rPr>
          <w:rFonts w:ascii="Arial" w:cs="Arial" w:eastAsia="Arial" w:hAnsi="Arial"/>
          <w:sz w:val="18"/>
          <w:szCs w:val="18"/>
          <w:color w:val="auto"/>
        </w:rPr>
      </w:pPr>
    </w:p>
    <w:p>
      <w:pPr>
        <w:ind w:left="1580" w:right="599" w:hanging="348"/>
        <w:spacing w:after="0" w:line="275"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3"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58" w:lineRule="exact"/>
        <w:rPr>
          <w:rFonts w:ascii="Arial" w:cs="Arial" w:eastAsia="Arial" w:hAnsi="Arial"/>
          <w:sz w:val="18"/>
          <w:szCs w:val="18"/>
          <w:color w:val="auto"/>
        </w:rPr>
      </w:pPr>
    </w:p>
    <w:p>
      <w:pPr>
        <w:ind w:left="1580" w:hanging="34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138" w:lineRule="exact"/>
        <w:rPr>
          <w:sz w:val="20"/>
          <w:szCs w:val="20"/>
          <w:color w:val="auto"/>
        </w:rPr>
      </w:pPr>
    </w:p>
    <w:p>
      <w:pPr>
        <w:ind w:left="1240" w:right="499"/>
        <w:spacing w:after="0" w:line="249"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or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23" w:lineRule="exact"/>
        <w:rPr>
          <w:sz w:val="20"/>
          <w:szCs w:val="20"/>
          <w:color w:val="auto"/>
        </w:rPr>
      </w:pPr>
    </w:p>
    <w:p>
      <w:pPr>
        <w:ind w:left="1240" w:right="619"/>
        <w:spacing w:after="0" w:line="249"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21" w:lineRule="exact"/>
        <w:rPr>
          <w:sz w:val="20"/>
          <w:szCs w:val="20"/>
          <w:color w:val="auto"/>
        </w:rPr>
      </w:pPr>
    </w:p>
    <w:p>
      <w:pPr>
        <w:ind w:left="1240" w:right="499"/>
        <w:spacing w:after="0" w:line="253"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35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right="899"/>
        <w:spacing w:after="0" w:line="260"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10" w:lineRule="exact"/>
        <w:rPr>
          <w:sz w:val="20"/>
          <w:szCs w:val="20"/>
          <w:color w:val="auto"/>
        </w:rPr>
      </w:pPr>
    </w:p>
    <w:p>
      <w:pPr>
        <w:ind w:left="1240" w:right="519"/>
        <w:spacing w:after="0" w:line="251"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deemed “underwriters” within the meaning of Section 2(11) of the Securities Act will be subject to the prospectus delivery requirements of the Securities Act.</w:t>
      </w:r>
    </w:p>
    <w:p>
      <w:pPr>
        <w:spacing w:after="0" w:line="121" w:lineRule="exact"/>
        <w:rPr>
          <w:sz w:val="20"/>
          <w:szCs w:val="20"/>
          <w:color w:val="auto"/>
        </w:rPr>
      </w:pPr>
    </w:p>
    <w:p>
      <w:pPr>
        <w:ind w:left="1240" w:right="499"/>
        <w:spacing w:after="0" w:line="253"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03" w:lineRule="exact"/>
        <w:rPr>
          <w:sz w:val="20"/>
          <w:szCs w:val="20"/>
          <w:color w:val="auto"/>
        </w:rPr>
      </w:pPr>
    </w:p>
    <w:p>
      <w:pPr>
        <w:ind w:left="1240" w:right="639"/>
        <w:spacing w:after="0" w:line="255"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15" w:lineRule="exact"/>
        <w:rPr>
          <w:sz w:val="20"/>
          <w:szCs w:val="20"/>
          <w:color w:val="auto"/>
        </w:rPr>
      </w:pPr>
    </w:p>
    <w:p>
      <w:pPr>
        <w:ind w:left="1240" w:right="579"/>
        <w:spacing w:after="0" w:line="268"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04" w:lineRule="exact"/>
        <w:rPr>
          <w:sz w:val="20"/>
          <w:szCs w:val="20"/>
          <w:color w:val="auto"/>
        </w:rPr>
      </w:pPr>
    </w:p>
    <w:p>
      <w:pPr>
        <w:ind w:left="1240" w:right="859"/>
        <w:spacing w:after="0" w:line="260"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97" w:lineRule="exact"/>
        <w:rPr>
          <w:sz w:val="20"/>
          <w:szCs w:val="20"/>
          <w:color w:val="auto"/>
        </w:rPr>
      </w:pPr>
    </w:p>
    <w:p>
      <w:pPr>
        <w:ind w:left="1240" w:right="559"/>
        <w:spacing w:after="0" w:line="253"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DESCRIPTION OF CAPITAL STOCK</w:t>
      </w:r>
    </w:p>
    <w:p>
      <w:pPr>
        <w:spacing w:after="0" w:line="326" w:lineRule="exact"/>
        <w:rPr>
          <w:sz w:val="20"/>
          <w:szCs w:val="20"/>
          <w:color w:val="auto"/>
        </w:rPr>
      </w:pPr>
    </w:p>
    <w:p>
      <w:pPr>
        <w:ind w:left="1240" w:right="499"/>
        <w:spacing w:after="0" w:line="250"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as amended from time to time, and second amended and restated bylaws, as amended from time to time, copies of which are incorporated by reference as exhibits to the registration statement of which this prospectus is a part.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Common Stock</w:t>
      </w:r>
    </w:p>
    <w:p>
      <w:pPr>
        <w:spacing w:after="0" w:line="87" w:lineRule="exact"/>
        <w:rPr>
          <w:sz w:val="20"/>
          <w:szCs w:val="20"/>
          <w:color w:val="auto"/>
        </w:rPr>
      </w:pPr>
    </w:p>
    <w:p>
      <w:pPr>
        <w:ind w:left="1240" w:right="659"/>
        <w:spacing w:after="0" w:line="255" w:lineRule="auto"/>
        <w:rPr>
          <w:sz w:val="20"/>
          <w:szCs w:val="20"/>
          <w:color w:val="auto"/>
        </w:rPr>
      </w:pPr>
      <w:r>
        <w:rPr>
          <w:rFonts w:ascii="Arial" w:cs="Arial" w:eastAsia="Arial" w:hAnsi="Arial"/>
          <w:sz w:val="18"/>
          <w:szCs w:val="18"/>
          <w:color w:val="auto"/>
        </w:rPr>
        <w:t>Under our second amended and restated certificate of incorporation, or the Certificate of Incorporation, our authorized capital stock consists of 300,000,000 shares of common stock, par value $0.0001 per share, and 10,000,000 shares of preferred stock, par value $0.0001 per share. As of May 7, 2024, we had 83,176,749 shares of common stock outstanding.</w:t>
      </w:r>
    </w:p>
    <w:p>
      <w:pPr>
        <w:spacing w:after="0" w:line="102" w:lineRule="exact"/>
        <w:rPr>
          <w:sz w:val="20"/>
          <w:szCs w:val="20"/>
          <w:color w:val="auto"/>
        </w:rPr>
      </w:pPr>
    </w:p>
    <w:p>
      <w:pPr>
        <w:ind w:left="1240" w:right="499"/>
        <w:spacing w:after="0" w:line="250"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second amended and restated bylaws, or the Bylaws, procedures for our stockholder meetings, the classified board, director liability, and exclusive forum for proceedings.</w:t>
      </w:r>
    </w:p>
    <w:p>
      <w:pPr>
        <w:spacing w:after="0" w:line="119" w:lineRule="exact"/>
        <w:rPr>
          <w:sz w:val="20"/>
          <w:szCs w:val="20"/>
          <w:color w:val="auto"/>
        </w:rPr>
      </w:pPr>
    </w:p>
    <w:p>
      <w:pPr>
        <w:ind w:left="1240" w:right="739"/>
        <w:spacing w:after="0" w:line="260"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110" w:lineRule="exact"/>
        <w:rPr>
          <w:sz w:val="20"/>
          <w:szCs w:val="20"/>
          <w:color w:val="auto"/>
        </w:rPr>
      </w:pPr>
    </w:p>
    <w:p>
      <w:pPr>
        <w:ind w:left="1240" w:right="859"/>
        <w:spacing w:after="0" w:line="275"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In the event of our liquidation, dissolution or winding up, holders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86" w:lineRule="exact"/>
        <w:rPr>
          <w:sz w:val="20"/>
          <w:szCs w:val="20"/>
          <w:color w:val="auto"/>
        </w:rPr>
      </w:pPr>
    </w:p>
    <w:p>
      <w:pPr>
        <w:ind w:left="1240" w:right="559"/>
        <w:spacing w:after="0" w:line="253"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16"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1" w:lineRule="exact"/>
        <w:rPr>
          <w:sz w:val="20"/>
          <w:szCs w:val="20"/>
          <w:color w:val="auto"/>
        </w:rPr>
      </w:pPr>
    </w:p>
    <w:p>
      <w:pPr>
        <w:ind w:left="1240" w:right="699"/>
        <w:spacing w:after="0" w:line="275"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Preferred Stock</w:t>
      </w:r>
    </w:p>
    <w:p>
      <w:pPr>
        <w:spacing w:after="0" w:line="74" w:lineRule="exact"/>
        <w:rPr>
          <w:sz w:val="20"/>
          <w:szCs w:val="20"/>
          <w:color w:val="auto"/>
        </w:rPr>
      </w:pPr>
    </w:p>
    <w:p>
      <w:pPr>
        <w:ind w:left="1240" w:right="499"/>
        <w:spacing w:after="0" w:line="249"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pacing w:after="0" w:line="36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right="499"/>
        <w:spacing w:after="0" w:line="241" w:lineRule="auto"/>
        <w:rPr>
          <w:sz w:val="20"/>
          <w:szCs w:val="20"/>
          <w:color w:val="auto"/>
        </w:rPr>
      </w:pPr>
      <w:r>
        <w:rPr>
          <w:rFonts w:ascii="Arial" w:cs="Arial" w:eastAsia="Arial" w:hAnsi="Arial"/>
          <w:sz w:val="18"/>
          <w:szCs w:val="18"/>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As of May 7, 2024, we had no shares of preferred stock outstanding.</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74" w:lineRule="exact"/>
        <w:rPr>
          <w:sz w:val="20"/>
          <w:szCs w:val="20"/>
          <w:color w:val="auto"/>
        </w:rPr>
      </w:pPr>
    </w:p>
    <w:p>
      <w:pPr>
        <w:ind w:left="1240" w:right="559"/>
        <w:spacing w:after="0" w:line="259" w:lineRule="auto"/>
        <w:rPr>
          <w:sz w:val="20"/>
          <w:szCs w:val="20"/>
          <w:color w:val="auto"/>
        </w:rPr>
      </w:pPr>
      <w:r>
        <w:rPr>
          <w:rFonts w:ascii="Arial" w:cs="Arial" w:eastAsia="Arial" w:hAnsi="Arial"/>
          <w:sz w:val="17"/>
          <w:szCs w:val="17"/>
          <w:color w:val="auto"/>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1" w:lineRule="exact"/>
        <w:rPr>
          <w:sz w:val="20"/>
          <w:szCs w:val="20"/>
          <w:color w:val="auto"/>
        </w:rPr>
      </w:pPr>
    </w:p>
    <w:p>
      <w:pPr>
        <w:ind w:left="1240" w:right="579"/>
        <w:spacing w:after="0" w:line="239"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6" w:lineRule="exact"/>
        <w:rPr>
          <w:sz w:val="20"/>
          <w:szCs w:val="20"/>
          <w:color w:val="auto"/>
        </w:rPr>
      </w:pPr>
    </w:p>
    <w:p>
      <w:pPr>
        <w:ind w:left="1240"/>
        <w:spacing w:after="0"/>
        <w:tabs>
          <w:tab w:leader="none" w:pos="5640" w:val="left"/>
        </w:tabs>
        <w:rPr>
          <w:sz w:val="20"/>
          <w:szCs w:val="20"/>
          <w:color w:val="auto"/>
        </w:rPr>
      </w:pPr>
      <w:r>
        <w:rPr>
          <w:rFonts w:ascii="Arial" w:cs="Arial" w:eastAsia="Arial" w:hAnsi="Arial"/>
          <w:sz w:val="18"/>
          <w:szCs w:val="18"/>
          <w:i w:val="1"/>
          <w:iCs w:val="1"/>
          <w:color w:val="auto"/>
        </w:rPr>
        <w:t>Section 203 of the Delaware General Corporation Law</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are subject to Section 203 of the Delaware</w:t>
      </w:r>
    </w:p>
    <w:p>
      <w:pPr>
        <w:spacing w:after="0" w:line="21" w:lineRule="exact"/>
        <w:rPr>
          <w:sz w:val="20"/>
          <w:szCs w:val="20"/>
          <w:color w:val="auto"/>
        </w:rPr>
      </w:pPr>
    </w:p>
    <w:p>
      <w:pPr>
        <w:ind w:left="1240" w:right="479"/>
        <w:spacing w:after="0" w:line="251" w:lineRule="auto"/>
        <w:rPr>
          <w:sz w:val="20"/>
          <w:szCs w:val="20"/>
          <w:color w:val="auto"/>
        </w:rPr>
      </w:pPr>
      <w:r>
        <w:rPr>
          <w:rFonts w:ascii="Arial" w:cs="Arial" w:eastAsia="Arial" w:hAnsi="Arial"/>
          <w:sz w:val="17"/>
          <w:szCs w:val="17"/>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10" w:lineRule="exact"/>
        <w:rPr>
          <w:sz w:val="20"/>
          <w:szCs w:val="20"/>
          <w:color w:val="auto"/>
        </w:rPr>
      </w:pPr>
    </w:p>
    <w:p>
      <w:pPr>
        <w:ind w:left="1240" w:right="579"/>
        <w:spacing w:after="0" w:line="245"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10" w:lineRule="exact"/>
        <w:rPr>
          <w:sz w:val="20"/>
          <w:szCs w:val="20"/>
          <w:color w:val="auto"/>
        </w:rPr>
      </w:pPr>
    </w:p>
    <w:p>
      <w:pPr>
        <w:ind w:left="1240" w:right="559"/>
        <w:spacing w:after="0" w:line="264"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ability to authorize undesignated preferred stock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5" w:lineRule="exact"/>
        <w:rPr>
          <w:sz w:val="20"/>
          <w:szCs w:val="20"/>
          <w:color w:val="auto"/>
        </w:rPr>
      </w:pPr>
    </w:p>
    <w:p>
      <w:pPr>
        <w:ind w:left="1240" w:right="579"/>
        <w:spacing w:after="0" w:line="264" w:lineRule="auto"/>
        <w:rPr>
          <w:sz w:val="20"/>
          <w:szCs w:val="20"/>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Our Certificate of Incorporation provides that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voting stock, voting</w:t>
      </w:r>
    </w:p>
    <w:p>
      <w:pPr>
        <w:spacing w:after="0" w:line="1" w:lineRule="exact"/>
        <w:rPr>
          <w:sz w:val="20"/>
          <w:szCs w:val="20"/>
          <w:color w:val="auto"/>
        </w:rPr>
      </w:pPr>
    </w:p>
    <w:p>
      <w:pPr>
        <w:ind w:left="1240" w:right="619"/>
        <w:spacing w:after="0" w:line="247" w:lineRule="auto"/>
        <w:rPr>
          <w:sz w:val="20"/>
          <w:szCs w:val="20"/>
          <w:color w:val="auto"/>
        </w:rPr>
      </w:pPr>
      <w:r>
        <w:rPr>
          <w:rFonts w:ascii="Arial" w:cs="Arial" w:eastAsia="Arial" w:hAnsi="Arial"/>
          <w:sz w:val="17"/>
          <w:szCs w:val="17"/>
          <w:color w:val="auto"/>
        </w:rPr>
        <w:t>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or repeal our Bylaws unless such action is recommended by our board of directors at an annual or special meeting of stockholders, which would then require the affirmative vote of a majority</w:t>
      </w:r>
    </w:p>
    <w:p>
      <w:pPr>
        <w:spacing w:after="0" w:line="3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of the voting power of all of the then outstanding shares of voting stock, voting as a single class.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Additionally, our Bylaws may be amended by a simple majority vote of our board of directors.</w:t>
      </w:r>
    </w:p>
    <w:p>
      <w:pPr>
        <w:spacing w:after="0" w:line="135" w:lineRule="exact"/>
        <w:rPr>
          <w:sz w:val="20"/>
          <w:szCs w:val="20"/>
          <w:color w:val="auto"/>
        </w:rPr>
      </w:pPr>
    </w:p>
    <w:p>
      <w:pPr>
        <w:ind w:left="1240" w:right="579"/>
        <w:spacing w:after="0" w:line="253"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6" w:lineRule="exact"/>
        <w:rPr>
          <w:sz w:val="20"/>
          <w:szCs w:val="20"/>
          <w:color w:val="auto"/>
        </w:rPr>
      </w:pPr>
    </w:p>
    <w:p>
      <w:pPr>
        <w:ind w:left="1240" w:right="499"/>
        <w:spacing w:after="0" w:line="248"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Certificate of Incorporation provides that, unless we consent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13" w:lineRule="exact"/>
        <w:rPr>
          <w:sz w:val="20"/>
          <w:szCs w:val="20"/>
          <w:color w:val="auto"/>
        </w:rPr>
      </w:pPr>
    </w:p>
    <w:p>
      <w:pPr>
        <w:ind w:left="1240" w:right="499"/>
        <w:spacing w:after="0" w:line="249"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LEGAL MATTERS</w:t>
      </w:r>
    </w:p>
    <w:p>
      <w:pPr>
        <w:spacing w:after="0" w:line="326" w:lineRule="exact"/>
        <w:rPr>
          <w:sz w:val="20"/>
          <w:szCs w:val="20"/>
          <w:color w:val="auto"/>
        </w:rPr>
      </w:pPr>
    </w:p>
    <w:p>
      <w:pPr>
        <w:ind w:left="1240" w:right="579"/>
        <w:spacing w:after="0" w:line="275" w:lineRule="auto"/>
        <w:rPr>
          <w:sz w:val="20"/>
          <w:szCs w:val="20"/>
          <w:color w:val="auto"/>
        </w:rPr>
      </w:pPr>
      <w:r>
        <w:rPr>
          <w:rFonts w:ascii="Arial" w:cs="Arial" w:eastAsia="Arial" w:hAnsi="Arial"/>
          <w:sz w:val="18"/>
          <w:szCs w:val="18"/>
          <w:color w:val="auto"/>
        </w:rPr>
        <w:t>The validity of the shares of common stock being offered hereby will be passed upon for us by Goodwin Procter LLP, Philadelphia,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EXPERTS</w:t>
      </w:r>
    </w:p>
    <w:p>
      <w:pPr>
        <w:spacing w:after="0" w:line="326" w:lineRule="exact"/>
        <w:rPr>
          <w:sz w:val="20"/>
          <w:szCs w:val="20"/>
          <w:color w:val="auto"/>
        </w:rPr>
      </w:pPr>
    </w:p>
    <w:p>
      <w:pPr>
        <w:ind w:left="1240" w:right="579"/>
        <w:spacing w:after="0" w:line="251" w:lineRule="auto"/>
        <w:rPr>
          <w:sz w:val="20"/>
          <w:szCs w:val="20"/>
          <w:color w:val="auto"/>
        </w:rPr>
      </w:pPr>
      <w:r>
        <w:rPr>
          <w:rFonts w:ascii="Arial" w:cs="Arial" w:eastAsia="Arial" w:hAnsi="Arial"/>
          <w:sz w:val="18"/>
          <w:szCs w:val="18"/>
          <w:color w:val="auto"/>
        </w:rPr>
        <w:t>The consolidated financial statements of Century Therapeutics, Inc. appearing in Century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0" w:lineRule="exact"/>
        <w:rPr>
          <w:sz w:val="20"/>
          <w:szCs w:val="20"/>
          <w:color w:val="auto"/>
        </w:rPr>
      </w:pPr>
    </w:p>
    <w:p>
      <w:pPr>
        <w:ind w:left="1240" w:right="539"/>
        <w:spacing w:after="0" w:line="242" w:lineRule="auto"/>
        <w:rPr>
          <w:sz w:val="20"/>
          <w:szCs w:val="20"/>
          <w:color w:val="auto"/>
        </w:rPr>
      </w:pPr>
      <w:r>
        <w:rPr>
          <w:rFonts w:ascii="Arial" w:cs="Arial" w:eastAsia="Arial" w:hAnsi="Arial"/>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61" w:lineRule="exact"/>
        <w:rPr>
          <w:sz w:val="20"/>
          <w:szCs w:val="20"/>
          <w:color w:val="auto"/>
        </w:rPr>
      </w:pPr>
    </w:p>
    <w:p>
      <w:pPr>
        <w:ind w:left="1240" w:right="579"/>
        <w:spacing w:after="0" w:line="239"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9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87" w:lineRule="exact"/>
        <w:rPr>
          <w:sz w:val="20"/>
          <w:szCs w:val="20"/>
          <w:color w:val="auto"/>
        </w:rPr>
      </w:pPr>
    </w:p>
    <w:p>
      <w:pPr>
        <w:ind w:left="1240" w:right="499"/>
        <w:spacing w:after="0" w:line="241"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2" w:lineRule="exact"/>
        <w:rPr>
          <w:sz w:val="20"/>
          <w:szCs w:val="20"/>
          <w:color w:val="auto"/>
        </w:rPr>
      </w:pPr>
    </w:p>
    <w:p>
      <w:pPr>
        <w:ind w:left="1580" w:right="939" w:hanging="348"/>
        <w:spacing w:after="0" w:line="265" w:lineRule="auto"/>
        <w:tabs>
          <w:tab w:leader="none" w:pos="1580" w:val="left"/>
        </w:tabs>
        <w:numPr>
          <w:ilvl w:val="0"/>
          <w:numId w:val="9"/>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Our Annual Report on Form 10-K for the year ended December 31, 2023 filed with the SEC on</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March 14, 2024;</w:t>
        </w:r>
      </w:hyperlink>
    </w:p>
    <w:p>
      <w:pPr>
        <w:ind w:left="1580" w:right="799" w:hanging="348"/>
        <w:spacing w:after="0" w:line="261" w:lineRule="auto"/>
        <w:tabs>
          <w:tab w:leader="none" w:pos="158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quarter ended March 31, 2024, filed with the SEC on </w:t>
      </w:r>
      <w:hyperlink r:id="rId51">
        <w:r>
          <w:rPr>
            <w:rFonts w:ascii="Arial" w:cs="Arial" w:eastAsia="Arial" w:hAnsi="Arial"/>
            <w:sz w:val="18"/>
            <w:szCs w:val="18"/>
            <w:u w:val="single" w:color="auto"/>
            <w:color w:val="0000EE"/>
          </w:rPr>
          <w:t>May 9, 2024</w:t>
        </w:r>
      </w:hyperlink>
      <w:r>
        <w:rPr>
          <w:rFonts w:ascii="Arial" w:cs="Arial" w:eastAsia="Arial" w:hAnsi="Arial"/>
          <w:sz w:val="18"/>
          <w:szCs w:val="18"/>
          <w:color w:val="000000"/>
        </w:rPr>
        <w:t>;</w:t>
      </w:r>
    </w:p>
    <w:p>
      <w:pPr>
        <w:ind w:left="1580" w:right="619" w:hanging="348"/>
        <w:spacing w:after="0" w:line="260" w:lineRule="auto"/>
        <w:tabs>
          <w:tab w:leader="none" w:pos="1580" w:val="left"/>
        </w:tabs>
        <w:numPr>
          <w:ilvl w:val="0"/>
          <w:numId w:val="9"/>
        </w:numPr>
        <w:rPr>
          <w:rFonts w:ascii="Arial" w:cs="Arial" w:eastAsia="Arial" w:hAnsi="Arial"/>
          <w:sz w:val="18"/>
          <w:szCs w:val="18"/>
          <w:u w:val="single" w:color="auto"/>
          <w:color w:val="0000EE"/>
        </w:rPr>
      </w:pPr>
      <w:hyperlink r:id="rId31">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year ended December 31, 2023</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Form DEF 14-A, filed on</w:t>
        </w:r>
      </w:hyperlink>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April 26, 2024;</w:t>
        </w:r>
      </w:hyperlink>
    </w:p>
    <w:p>
      <w:pPr>
        <w:spacing w:after="0" w:line="3" w:lineRule="exact"/>
        <w:rPr>
          <w:rFonts w:ascii="Arial" w:cs="Arial" w:eastAsia="Arial" w:hAnsi="Arial"/>
          <w:sz w:val="18"/>
          <w:szCs w:val="18"/>
          <w:u w:val="single" w:color="auto"/>
          <w:color w:val="0000EE"/>
        </w:rPr>
      </w:pPr>
    </w:p>
    <w:p>
      <w:pPr>
        <w:ind w:left="1580" w:right="759" w:hanging="348"/>
        <w:spacing w:after="0" w:line="269" w:lineRule="auto"/>
        <w:tabs>
          <w:tab w:leader="none" w:pos="1580" w:val="left"/>
        </w:tabs>
        <w:numPr>
          <w:ilvl w:val="0"/>
          <w:numId w:val="9"/>
        </w:numPr>
        <w:rPr>
          <w:rFonts w:ascii="Arial" w:cs="Arial" w:eastAsia="Arial" w:hAnsi="Arial"/>
          <w:sz w:val="18"/>
          <w:szCs w:val="18"/>
          <w:color w:val="0000EE"/>
        </w:rPr>
      </w:pPr>
      <w:hyperlink r:id="rId5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2024</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4">
        <w:r>
          <w:rPr>
            <w:rFonts w:ascii="Arial" w:cs="Arial" w:eastAsia="Arial" w:hAnsi="Arial"/>
            <w:sz w:val="18"/>
            <w:szCs w:val="18"/>
            <w:u w:val="single" w:color="auto"/>
            <w:color w:val="0000EE"/>
          </w:rPr>
          <w:t>April 11, 2024</w:t>
        </w:r>
      </w:hyperlink>
      <w:hyperlink r:id="rId53">
        <w:r>
          <w:rPr>
            <w:rFonts w:ascii="Arial" w:cs="Arial" w:eastAsia="Arial" w:hAnsi="Arial"/>
            <w:sz w:val="18"/>
            <w:szCs w:val="18"/>
            <w:color w:val="000000"/>
          </w:rPr>
          <w:t>;</w:t>
        </w:r>
      </w:hyperlink>
    </w:p>
    <w:p>
      <w:pPr>
        <w:ind w:left="1580" w:right="619" w:hanging="348"/>
        <w:spacing w:after="0" w:line="260" w:lineRule="auto"/>
        <w:tabs>
          <w:tab w:leader="none" w:pos="1580" w:val="left"/>
        </w:tabs>
        <w:numPr>
          <w:ilvl w:val="0"/>
          <w:numId w:val="9"/>
        </w:numPr>
        <w:rPr>
          <w:rFonts w:ascii="Arial" w:cs="Arial" w:eastAsia="Arial" w:hAnsi="Arial"/>
          <w:sz w:val="18"/>
          <w:szCs w:val="18"/>
          <w:color w:val="0000EE"/>
        </w:rPr>
      </w:pPr>
      <w:hyperlink r:id="rId55">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8-A (File No.</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001- 40498) filed with the SEC on June 14, 2021</w:t>
        </w:r>
        <w:r>
          <w:rPr>
            <w:rFonts w:ascii="Arial" w:cs="Arial" w:eastAsia="Arial" w:hAnsi="Arial"/>
            <w:sz w:val="18"/>
            <w:szCs w:val="18"/>
            <w:color w:val="000000"/>
          </w:rPr>
          <w:t>, under the Exchange Act,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such description.</w:t>
      </w:r>
    </w:p>
    <w:p>
      <w:pPr>
        <w:spacing w:after="0" w:line="44" w:lineRule="exact"/>
        <w:rPr>
          <w:rFonts w:ascii="Arial" w:cs="Arial" w:eastAsia="Arial" w:hAnsi="Arial"/>
          <w:sz w:val="18"/>
          <w:szCs w:val="18"/>
          <w:color w:val="auto"/>
        </w:rPr>
      </w:pPr>
    </w:p>
    <w:p>
      <w:pPr>
        <w:ind w:left="1240" w:right="559"/>
        <w:spacing w:after="0" w:line="237"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70" w:lineRule="exact"/>
        <w:rPr>
          <w:rFonts w:ascii="Arial" w:cs="Arial" w:eastAsia="Arial" w:hAnsi="Arial"/>
          <w:sz w:val="18"/>
          <w:szCs w:val="18"/>
          <w:color w:val="auto"/>
        </w:rPr>
      </w:pPr>
    </w:p>
    <w:p>
      <w:pPr>
        <w:ind w:left="1240" w:right="759"/>
        <w:spacing w:after="0" w:line="245"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p>
    <w:p>
      <w:pPr>
        <w:spacing w:after="0" w:line="362" w:lineRule="exact"/>
        <w:rPr>
          <w:rFonts w:ascii="Arial" w:cs="Arial" w:eastAsia="Arial" w:hAnsi="Arial"/>
          <w:sz w:val="18"/>
          <w:szCs w:val="18"/>
          <w:color w:val="auto"/>
        </w:rPr>
      </w:pPr>
    </w:p>
    <w:p>
      <w:pPr>
        <w:ind w:left="5140"/>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87" w:lineRule="exact"/>
        <w:rPr>
          <w:sz w:val="20"/>
          <w:szCs w:val="20"/>
          <w:color w:val="auto"/>
        </w:rPr>
      </w:pPr>
    </w:p>
    <w:p>
      <w:pPr>
        <w:ind w:left="1240" w:right="559"/>
        <w:spacing w:after="0" w:line="253" w:lineRule="auto"/>
        <w:rPr>
          <w:sz w:val="20"/>
          <w:szCs w:val="20"/>
          <w:color w:val="auto"/>
        </w:rPr>
      </w:pPr>
      <w:r>
        <w:rPr>
          <w:rFonts w:ascii="Arial" w:cs="Arial" w:eastAsia="Arial" w:hAnsi="Arial"/>
          <w:sz w:val="18"/>
          <w:szCs w:val="18"/>
          <w:color w:val="auto"/>
        </w:rPr>
        <w:t>The following table sets forth an estimate of the fees and expenses payable by us in connection with the issuance and distribution of the shares of common stock being registered by this registration statement. None of the expenses listed below are to be borne by any of the selling stockholders named in the prospectus that forms a part of this registration statement. All the amounts shown are estimates, except for the SEC registration fee.</w:t>
      </w:r>
    </w:p>
    <w:p>
      <w:pPr>
        <w:spacing w:after="0" w:line="138"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7400" w:type="dxa"/>
            <w:vAlign w:val="bottom"/>
            <w:gridSpan w:val="2"/>
          </w:tcPr>
          <w:p>
            <w:pPr>
              <w:spacing w:after="0" w:line="199" w:lineRule="exact"/>
              <w:rPr>
                <w:sz w:val="20"/>
                <w:szCs w:val="20"/>
                <w:color w:val="auto"/>
              </w:rPr>
            </w:pPr>
            <w:r>
              <w:rPr>
                <w:rFonts w:ascii="Arial" w:cs="Arial" w:eastAsia="Arial" w:hAnsi="Arial"/>
                <w:sz w:val="18"/>
                <w:szCs w:val="18"/>
                <w:color w:val="auto"/>
              </w:rPr>
              <w:t>Printing expenses</w:t>
            </w:r>
          </w:p>
        </w:tc>
        <w:tc>
          <w:tcPr>
            <w:tcW w:w="16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5,000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7400" w:type="dxa"/>
            <w:vAlign w:val="bottom"/>
            <w:gridSpan w:val="2"/>
          </w:tcPr>
          <w:p>
            <w:pPr>
              <w:spacing w:after="0" w:line="53" w:lineRule="exact"/>
              <w:rPr>
                <w:sz w:val="20"/>
                <w:szCs w:val="20"/>
                <w:color w:val="auto"/>
              </w:rPr>
            </w:pPr>
            <w:r>
              <w:rPr>
                <w:rFonts w:ascii="Arial" w:cs="Arial" w:eastAsia="Arial" w:hAnsi="Arial"/>
                <w:sz w:val="6"/>
                <w:szCs w:val="6"/>
                <w:color w:val="auto"/>
              </w:rPr>
              <w:t>​</w:t>
            </w:r>
          </w:p>
        </w:tc>
        <w:tc>
          <w:tcPr>
            <w:tcW w:w="16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w:t>
            </w:r>
          </w:p>
        </w:tc>
        <w:tc>
          <w:tcPr>
            <w:tcW w:w="5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4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Legal fees and expenses</w:t>
            </w:r>
          </w:p>
        </w:tc>
        <w:tc>
          <w:tcPr>
            <w:tcW w:w="66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w w:val="98"/>
              </w:rPr>
              <w:t>$60,000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7400" w:type="dxa"/>
            <w:vAlign w:val="bottom"/>
            <w:gridSpan w:val="2"/>
            <w:shd w:val="clear" w:color="auto" w:fill="CCEEFF"/>
          </w:tcPr>
          <w:p>
            <w:pPr>
              <w:spacing w:after="0" w:line="53" w:lineRule="exact"/>
              <w:rPr>
                <w:sz w:val="20"/>
                <w:szCs w:val="20"/>
                <w:color w:val="auto"/>
              </w:rPr>
            </w:pPr>
            <w:r>
              <w:rPr>
                <w:rFonts w:ascii="Arial" w:cs="Arial" w:eastAsia="Arial" w:hAnsi="Arial"/>
                <w:sz w:val="6"/>
                <w:szCs w:val="6"/>
                <w:color w:val="auto"/>
              </w:rPr>
              <w:t>​</w:t>
            </w:r>
          </w:p>
        </w:tc>
        <w:tc>
          <w:tcPr>
            <w:tcW w:w="160" w:type="dxa"/>
            <w:vAlign w:val="bottom"/>
            <w:gridSpan w:val="2"/>
            <w:shd w:val="clear" w:color="auto" w:fill="CCEEFF"/>
          </w:tcPr>
          <w:p>
            <w:pPr>
              <w:spacing w:after="0" w:line="53" w:lineRule="exact"/>
              <w:rPr>
                <w:sz w:val="20"/>
                <w:szCs w:val="20"/>
                <w:color w:val="auto"/>
              </w:rPr>
            </w:pPr>
            <w:r>
              <w:rPr>
                <w:rFonts w:ascii="Arial" w:cs="Arial" w:eastAsia="Arial" w:hAnsi="Arial"/>
                <w:sz w:val="6"/>
                <w:szCs w:val="6"/>
                <w:b w:val="1"/>
                <w:bCs w:val="1"/>
                <w:color w:val="auto"/>
              </w:rPr>
              <w:t>​</w:t>
            </w:r>
          </w:p>
        </w:tc>
        <w:tc>
          <w:tcPr>
            <w:tcW w:w="50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400" w:type="dxa"/>
            <w:vAlign w:val="bottom"/>
            <w:gridSpan w:val="2"/>
          </w:tcPr>
          <w:p>
            <w:pPr>
              <w:spacing w:after="0" w:line="199" w:lineRule="exact"/>
              <w:rPr>
                <w:sz w:val="20"/>
                <w:szCs w:val="20"/>
                <w:color w:val="auto"/>
              </w:rPr>
            </w:pPr>
            <w:r>
              <w:rPr>
                <w:rFonts w:ascii="Arial" w:cs="Arial" w:eastAsia="Arial" w:hAnsi="Arial"/>
                <w:sz w:val="18"/>
                <w:szCs w:val="18"/>
                <w:color w:val="auto"/>
              </w:rPr>
              <w:t>Accounting fees and expenses</w:t>
            </w:r>
          </w:p>
        </w:tc>
        <w:tc>
          <w:tcPr>
            <w:tcW w:w="660" w:type="dxa"/>
            <w:vAlign w:val="bottom"/>
            <w:gridSpan w:val="3"/>
          </w:tcPr>
          <w:p>
            <w:pPr>
              <w:jc w:val="right"/>
              <w:spacing w:after="0" w:line="199" w:lineRule="exact"/>
              <w:rPr>
                <w:sz w:val="20"/>
                <w:szCs w:val="20"/>
                <w:color w:val="auto"/>
              </w:rPr>
            </w:pPr>
            <w:r>
              <w:rPr>
                <w:rFonts w:ascii="Arial" w:cs="Arial" w:eastAsia="Arial" w:hAnsi="Arial"/>
                <w:sz w:val="18"/>
                <w:szCs w:val="18"/>
                <w:color w:val="auto"/>
                <w:w w:val="98"/>
              </w:rPr>
              <w:t>$20,000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7400" w:type="dxa"/>
            <w:vAlign w:val="bottom"/>
            <w:gridSpan w:val="2"/>
          </w:tcPr>
          <w:p>
            <w:pPr>
              <w:spacing w:after="0" w:line="53" w:lineRule="exact"/>
              <w:rPr>
                <w:sz w:val="20"/>
                <w:szCs w:val="20"/>
                <w:color w:val="auto"/>
              </w:rPr>
            </w:pPr>
            <w:r>
              <w:rPr>
                <w:rFonts w:ascii="Arial" w:cs="Arial" w:eastAsia="Arial" w:hAnsi="Arial"/>
                <w:sz w:val="6"/>
                <w:szCs w:val="6"/>
                <w:color w:val="auto"/>
              </w:rPr>
              <w:t>​</w:t>
            </w:r>
          </w:p>
        </w:tc>
        <w:tc>
          <w:tcPr>
            <w:tcW w:w="16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w:t>
            </w:r>
          </w:p>
        </w:tc>
        <w:tc>
          <w:tcPr>
            <w:tcW w:w="5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
        </w:trPr>
        <w:tc>
          <w:tcPr>
            <w:tcW w:w="7380" w:type="dxa"/>
            <w:vAlign w:val="bottom"/>
            <w:shd w:val="clear" w:color="auto" w:fill="CCEEFF"/>
          </w:tcPr>
          <w:p>
            <w:pPr>
              <w:spacing w:after="0" w:line="67"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60" w:type="dxa"/>
            <w:vAlign w:val="bottom"/>
            <w:gridSpan w:val="2"/>
            <w:shd w:val="clear" w:color="auto" w:fill="CCEEFF"/>
          </w:tcPr>
          <w:p>
            <w:pPr>
              <w:spacing w:after="0" w:line="67" w:lineRule="exact"/>
              <w:rPr>
                <w:sz w:val="20"/>
                <w:szCs w:val="20"/>
                <w:color w:val="auto"/>
              </w:rPr>
            </w:pPr>
            <w:r>
              <w:rPr>
                <w:rFonts w:ascii="Arial" w:cs="Arial" w:eastAsia="Arial" w:hAnsi="Arial"/>
                <w:sz w:val="7"/>
                <w:szCs w:val="7"/>
                <w:b w:val="1"/>
                <w:bCs w:val="1"/>
                <w:color w:val="auto"/>
              </w:rPr>
              <w:t>​</w:t>
            </w:r>
          </w:p>
        </w:tc>
        <w:tc>
          <w:tcPr>
            <w:tcW w:w="5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80" w:type="dxa"/>
            <w:vAlign w:val="bottom"/>
          </w:tcPr>
          <w:p>
            <w:pPr>
              <w:spacing w:after="0" w:line="206"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660" w:type="dxa"/>
            <w:vAlign w:val="bottom"/>
            <w:gridSpan w:val="3"/>
          </w:tcPr>
          <w:p>
            <w:pPr>
              <w:jc w:val="right"/>
              <w:spacing w:after="0" w:line="206" w:lineRule="exact"/>
              <w:rPr>
                <w:sz w:val="20"/>
                <w:szCs w:val="20"/>
                <w:color w:val="auto"/>
              </w:rPr>
            </w:pPr>
            <w:r>
              <w:rPr>
                <w:rFonts w:ascii="Arial" w:cs="Arial" w:eastAsia="Arial" w:hAnsi="Arial"/>
                <w:sz w:val="18"/>
                <w:szCs w:val="18"/>
                <w:color w:val="auto"/>
                <w:w w:val="98"/>
              </w:rPr>
              <w:t>$92,146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7400" w:type="dxa"/>
            <w:vAlign w:val="bottom"/>
            <w:gridSpan w:val="2"/>
          </w:tcPr>
          <w:p>
            <w:pPr>
              <w:spacing w:after="0" w:line="34" w:lineRule="exact"/>
              <w:rPr>
                <w:sz w:val="20"/>
                <w:szCs w:val="20"/>
                <w:color w:val="auto"/>
              </w:rPr>
            </w:pPr>
            <w:r>
              <w:rPr>
                <w:rFonts w:ascii="Arial" w:cs="Arial" w:eastAsia="Arial" w:hAnsi="Arial"/>
                <w:sz w:val="3"/>
                <w:szCs w:val="3"/>
                <w:color w:val="auto"/>
              </w:rPr>
              <w:t>​</w:t>
            </w:r>
          </w:p>
        </w:tc>
        <w:tc>
          <w:tcPr>
            <w:tcW w:w="160" w:type="dxa"/>
            <w:vAlign w:val="bottom"/>
            <w:tcBorders>
              <w:bottom w:val="single" w:sz="8" w:color="auto"/>
            </w:tcBorders>
            <w:gridSpan w:val="2"/>
          </w:tcPr>
          <w:p>
            <w:pPr>
              <w:spacing w:after="0" w:line="34" w:lineRule="exact"/>
              <w:rPr>
                <w:sz w:val="20"/>
                <w:szCs w:val="20"/>
                <w:color w:val="auto"/>
              </w:rPr>
            </w:pPr>
            <w:r>
              <w:rPr>
                <w:rFonts w:ascii="Arial" w:cs="Arial" w:eastAsia="Arial" w:hAnsi="Arial"/>
                <w:sz w:val="3"/>
                <w:szCs w:val="3"/>
                <w:b w:val="1"/>
                <w:bCs w:val="1"/>
                <w:color w:val="auto"/>
              </w:rPr>
              <w:t>​</w:t>
            </w:r>
          </w:p>
        </w:tc>
        <w:tc>
          <w:tcPr>
            <w:tcW w:w="500" w:type="dxa"/>
            <w:vAlign w:val="bottom"/>
            <w:tcBorders>
              <w:bottom w:val="single" w:sz="8" w:color="auto"/>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-210185</wp:posOffset>
            </wp:positionV>
            <wp:extent cx="17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6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74" w:lineRule="exact"/>
        <w:rPr>
          <w:sz w:val="20"/>
          <w:szCs w:val="20"/>
          <w:color w:val="auto"/>
        </w:rPr>
      </w:pPr>
    </w:p>
    <w:p>
      <w:pPr>
        <w:ind w:left="1240" w:right="659"/>
        <w:spacing w:after="0" w:line="251" w:lineRule="auto"/>
        <w:rPr>
          <w:sz w:val="20"/>
          <w:szCs w:val="20"/>
          <w:color w:val="auto"/>
        </w:rPr>
      </w:pPr>
      <w:r>
        <w:rPr>
          <w:rFonts w:ascii="Arial" w:cs="Arial" w:eastAsia="Arial" w:hAnsi="Arial"/>
          <w:sz w:val="18"/>
          <w:szCs w:val="18"/>
          <w:color w:val="auto"/>
        </w:rPr>
        <w:t>As permitted by Section 102 of the DGCL, our Certificate of Incorporation and Bylaws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Company or our stockholders for monetary damages for breach of fiduciary duty as a director, except for liability for:</w:t>
      </w:r>
    </w:p>
    <w:p>
      <w:pPr>
        <w:spacing w:after="0" w:line="14" w:lineRule="exact"/>
        <w:rPr>
          <w:sz w:val="20"/>
          <w:szCs w:val="20"/>
          <w:color w:val="auto"/>
        </w:rPr>
      </w:pPr>
    </w:p>
    <w:p>
      <w:pPr>
        <w:ind w:left="1580" w:hanging="34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Company or our stockholders;</w:t>
      </w:r>
    </w:p>
    <w:p>
      <w:pPr>
        <w:spacing w:after="0" w:line="45" w:lineRule="exact"/>
        <w:rPr>
          <w:rFonts w:ascii="Arial" w:cs="Arial" w:eastAsia="Arial" w:hAnsi="Arial"/>
          <w:sz w:val="18"/>
          <w:szCs w:val="18"/>
          <w:color w:val="auto"/>
        </w:rPr>
      </w:pPr>
    </w:p>
    <w:p>
      <w:pPr>
        <w:ind w:left="1580" w:right="519" w:hanging="348"/>
        <w:spacing w:after="0" w:line="269"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ind w:left="1580" w:right="879" w:hanging="348"/>
        <w:spacing w:after="0" w:line="269"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ind w:left="1580" w:hanging="34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1" w:lineRule="exact"/>
        <w:rPr>
          <w:sz w:val="20"/>
          <w:szCs w:val="20"/>
          <w:color w:val="auto"/>
        </w:rPr>
      </w:pPr>
    </w:p>
    <w:p>
      <w:pPr>
        <w:ind w:left="1240" w:right="599"/>
        <w:spacing w:after="0" w:line="260"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Certificate of Incorporation authorizes us to indemnify our officers, directors and other agents to the fullest extent permitted under Delaware law.</w:t>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As permitted by Section 145 of the DGCL, our Bylaws provide that:</w:t>
      </w:r>
    </w:p>
    <w:p>
      <w:pPr>
        <w:spacing w:after="0" w:line="45" w:lineRule="exact"/>
        <w:rPr>
          <w:sz w:val="20"/>
          <w:szCs w:val="20"/>
          <w:color w:val="auto"/>
        </w:rPr>
      </w:pPr>
    </w:p>
    <w:p>
      <w:pPr>
        <w:ind w:left="1580" w:right="1059" w:hanging="348"/>
        <w:spacing w:after="0" w:line="261"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DGCL, subject to limited exceptions;</w:t>
      </w:r>
    </w:p>
    <w:p>
      <w:pPr>
        <w:ind w:left="1580" w:right="959" w:hanging="348"/>
        <w:spacing w:after="0" w:line="285" w:lineRule="auto"/>
        <w:tabs>
          <w:tab w:leader="none" w:pos="1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advance expenses to our directors, officers, and employees in connection with a legal proceeding to the fullest extent permitted by the DGCL, subject to limited exceptions; and</w:t>
      </w:r>
    </w:p>
    <w:p>
      <w:pPr>
        <w:ind w:left="1580" w:hanging="348"/>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151" w:lineRule="exact"/>
        <w:rPr>
          <w:sz w:val="20"/>
          <w:szCs w:val="20"/>
          <w:color w:val="auto"/>
        </w:rPr>
      </w:pPr>
    </w:p>
    <w:p>
      <w:pPr>
        <w:ind w:left="1240" w:right="659"/>
        <w:spacing w:after="0" w:line="265" w:lineRule="auto"/>
        <w:rPr>
          <w:sz w:val="20"/>
          <w:szCs w:val="20"/>
          <w:color w:val="auto"/>
        </w:rPr>
      </w:pPr>
      <w:r>
        <w:rPr>
          <w:rFonts w:ascii="Arial" w:cs="Arial" w:eastAsia="Arial" w:hAnsi="Arial"/>
          <w:sz w:val="17"/>
          <w:szCs w:val="17"/>
          <w:color w:val="auto"/>
        </w:rPr>
        <w:t>Our Certificate of Incorporation and our Bylaws provide for the indemnification provisions described above and elsewhere herein. We have entered into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34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254000</wp:posOffset>
            </wp:positionV>
            <wp:extent cx="6704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p>
    <w:p>
      <w:pPr>
        <w:sectPr>
          <w:pgSz w:w="11900" w:h="16838" w:orient="portrait"/>
          <w:cols w:equalWidth="0" w:num="1">
            <w:col w:w="9779"/>
          </w:cols>
          <w:pgMar w:left="68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240"/>
        <w:spacing w:after="0" w:line="260" w:lineRule="auto"/>
        <w:rPr>
          <w:sz w:val="20"/>
          <w:szCs w:val="20"/>
          <w:color w:val="auto"/>
        </w:rPr>
      </w:pPr>
      <w:r>
        <w:rPr>
          <w:rFonts w:ascii="Arial" w:cs="Arial" w:eastAsia="Arial" w:hAnsi="Arial"/>
          <w:sz w:val="18"/>
          <w:szCs w:val="18"/>
          <w:color w:val="auto"/>
        </w:rPr>
        <w:t>We have purchased and we currently intend to maintain insurance on behalf of each and every person who is or was our director or officer against any loss arising from any claim asserted against him or her and incurred by him or her in any such capacity, subject to certain exclusions.</w:t>
      </w:r>
    </w:p>
    <w:p>
      <w:pPr>
        <w:spacing w:after="0" w:line="110" w:lineRule="exact"/>
        <w:rPr>
          <w:sz w:val="20"/>
          <w:szCs w:val="20"/>
          <w:color w:val="auto"/>
        </w:rPr>
      </w:pPr>
    </w:p>
    <w:p>
      <w:pPr>
        <w:ind w:left="1240" w:right="140"/>
        <w:spacing w:after="0" w:line="255" w:lineRule="auto"/>
        <w:rPr>
          <w:sz w:val="20"/>
          <w:szCs w:val="20"/>
          <w:color w:val="auto"/>
        </w:rPr>
      </w:pPr>
      <w:r>
        <w:rPr>
          <w:rFonts w:ascii="Arial" w:cs="Arial" w:eastAsia="Arial" w:hAnsi="Arial"/>
          <w:sz w:val="18"/>
          <w:szCs w:val="18"/>
          <w:color w:val="auto"/>
        </w:rPr>
        <w:t>In any underwriting agreement we enter into in connection with the sale of securities being registered hereby, the underwriters will agree to indemnify, under certain conditions, the Company, our directors and officers and persons who control the Company within the meaning of the Securities Act against certain liabilities.</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16.  Exhibits.</w:t>
      </w:r>
    </w:p>
    <w:p>
      <w:pPr>
        <w:spacing w:after="0" w:line="74" w:lineRule="exact"/>
        <w:rPr>
          <w:sz w:val="20"/>
          <w:szCs w:val="20"/>
          <w:color w:val="auto"/>
        </w:rPr>
      </w:pPr>
    </w:p>
    <w:p>
      <w:pPr>
        <w:ind w:left="1580" w:hanging="348"/>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244"/>
        </w:trPr>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20" w:type="dxa"/>
            <w:vAlign w:val="bottom"/>
            <w:gridSpan w:val="4"/>
          </w:tcPr>
          <w:p>
            <w:pPr>
              <w:ind w:left="1340"/>
              <w:spacing w:after="0"/>
              <w:rPr>
                <w:sz w:val="20"/>
                <w:szCs w:val="20"/>
                <w:color w:val="auto"/>
              </w:rPr>
            </w:pPr>
            <w:r>
              <w:rPr>
                <w:rFonts w:ascii="Arial" w:cs="Arial" w:eastAsia="Arial" w:hAnsi="Arial"/>
                <w:sz w:val="18"/>
                <w:szCs w:val="18"/>
                <w:b w:val="1"/>
                <w:bCs w:val="1"/>
                <w:color w:val="auto"/>
              </w:rPr>
              <w:t>EXHIBIT INDEX</w:t>
            </w:r>
          </w:p>
        </w:tc>
      </w:tr>
      <w:tr>
        <w:trPr>
          <w:trHeight w:val="508"/>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220" w:type="dxa"/>
            <w:vAlign w:val="bottom"/>
          </w:tcPr>
          <w:p>
            <w:pPr>
              <w:spacing w:after="0"/>
              <w:rPr>
                <w:sz w:val="16"/>
                <w:szCs w:val="16"/>
                <w:color w:val="auto"/>
              </w:rPr>
            </w:pPr>
          </w:p>
        </w:tc>
        <w:tc>
          <w:tcPr>
            <w:tcW w:w="5620" w:type="dxa"/>
            <w:vAlign w:val="bottom"/>
            <w:gridSpan w:val="4"/>
          </w:tcPr>
          <w:p>
            <w:pPr>
              <w:ind w:left="1660"/>
              <w:spacing w:after="0"/>
              <w:rPr>
                <w:sz w:val="20"/>
                <w:szCs w:val="20"/>
                <w:color w:val="auto"/>
              </w:rPr>
            </w:pPr>
            <w:r>
              <w:rPr>
                <w:rFonts w:ascii="Arial" w:cs="Arial" w:eastAsia="Arial" w:hAnsi="Arial"/>
                <w:sz w:val="14"/>
                <w:szCs w:val="14"/>
                <w:b w:val="1"/>
                <w:bCs w:val="1"/>
                <w:color w:val="auto"/>
              </w:rPr>
              <w:t>Description of Exhibit</w:t>
            </w:r>
          </w:p>
        </w:tc>
      </w:tr>
      <w:tr>
        <w:trPr>
          <w:trHeight w:val="192"/>
        </w:trPr>
        <w:tc>
          <w:tcPr>
            <w:tcW w:w="620" w:type="dxa"/>
            <w:vAlign w:val="bottom"/>
          </w:tcPr>
          <w:p>
            <w:pPr>
              <w:jc w:val="right"/>
              <w:ind w:right="100"/>
              <w:spacing w:after="0" w:line="192" w:lineRule="exact"/>
              <w:rPr>
                <w:sz w:val="20"/>
                <w:szCs w:val="20"/>
                <w:color w:val="auto"/>
              </w:rPr>
            </w:pPr>
            <w:r>
              <w:rPr>
                <w:rFonts w:ascii="Arial" w:cs="Arial" w:eastAsia="Arial" w:hAnsi="Arial"/>
                <w:sz w:val="18"/>
                <w:szCs w:val="18"/>
                <w:color w:val="auto"/>
              </w:rPr>
              <w:t>3.1</w:t>
            </w:r>
          </w:p>
        </w:tc>
        <w:tc>
          <w:tcPr>
            <w:tcW w:w="7060" w:type="dxa"/>
            <w:vAlign w:val="bottom"/>
            <w:gridSpan w:val="6"/>
          </w:tcPr>
          <w:p>
            <w:pPr>
              <w:spacing w:after="0" w:line="192" w:lineRule="exact"/>
              <w:rPr>
                <w:rFonts w:ascii="Arial" w:cs="Arial" w:eastAsia="Arial" w:hAnsi="Arial"/>
                <w:sz w:val="18"/>
                <w:szCs w:val="18"/>
                <w:color w:val="auto"/>
                <w:w w:val="98"/>
              </w:rPr>
            </w:pPr>
            <w:r>
              <w:rPr>
                <w:rFonts w:ascii="Arial" w:cs="Arial" w:eastAsia="Arial" w:hAnsi="Arial"/>
                <w:sz w:val="18"/>
                <w:szCs w:val="18"/>
                <w:color w:val="auto"/>
                <w:w w:val="98"/>
              </w:rPr>
              <w:t xml:space="preserve">​ ​ </w:t>
            </w:r>
            <w:hyperlink r:id="rId59">
              <w:r>
                <w:rPr>
                  <w:rFonts w:ascii="Arial" w:cs="Arial" w:eastAsia="Arial" w:hAnsi="Arial"/>
                  <w:sz w:val="18"/>
                  <w:szCs w:val="18"/>
                  <w:color w:val="0000EE"/>
                  <w:w w:val="98"/>
                </w:rPr>
                <w:t>Second Amended and Restated Certificate of Incorporation (incorporated by reference to</w:t>
              </w:r>
            </w:hyperlink>
          </w:p>
        </w:tc>
      </w:tr>
      <w:tr>
        <w:trPr>
          <w:trHeight w:val="192"/>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Exhibit 3.1 of the Company’s Current Report on Form 8-K (File No. 001-40498) filed on</w:t>
              </w:r>
            </w:hyperlink>
          </w:p>
        </w:tc>
        <w:tc>
          <w:tcPr>
            <w:tcW w:w="160" w:type="dxa"/>
            <w:vAlign w:val="bottom"/>
            <w:tcBorders>
              <w:top w:val="single" w:sz="8" w:color="0000EE"/>
            </w:tcBorders>
            <w:gridSpan w:val="3"/>
          </w:tcPr>
          <w:p>
            <w:pPr>
              <w:spacing w:after="0"/>
              <w:rPr>
                <w:sz w:val="16"/>
                <w:szCs w:val="16"/>
                <w:color w:val="auto"/>
              </w:rPr>
            </w:pPr>
          </w:p>
        </w:tc>
      </w:tr>
      <w:tr>
        <w:trPr>
          <w:trHeight w:val="192"/>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0000EE"/>
            </w:tcBorders>
          </w:tcPr>
          <w:p>
            <w:pPr>
              <w:spacing w:after="0" w:line="192"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June 25, 2021).</w:t>
              </w:r>
            </w:hyperlink>
          </w:p>
        </w:tc>
        <w:tc>
          <w:tcPr>
            <w:tcW w:w="5620" w:type="dxa"/>
            <w:vAlign w:val="bottom"/>
            <w:gridSpan w:val="4"/>
          </w:tcPr>
          <w:p>
            <w:pPr>
              <w:spacing w:after="0"/>
              <w:rPr>
                <w:sz w:val="16"/>
                <w:szCs w:val="16"/>
                <w:color w:val="auto"/>
              </w:rPr>
            </w:pPr>
          </w:p>
        </w:tc>
      </w:tr>
      <w:tr>
        <w:trPr>
          <w:trHeight w:val="245"/>
        </w:trPr>
        <w:tc>
          <w:tcPr>
            <w:tcW w:w="620" w:type="dxa"/>
            <w:vAlign w:val="bottom"/>
          </w:tcPr>
          <w:p>
            <w:pPr>
              <w:jc w:val="right"/>
              <w:ind w:right="100"/>
              <w:spacing w:after="0"/>
              <w:rPr>
                <w:sz w:val="20"/>
                <w:szCs w:val="20"/>
                <w:color w:val="auto"/>
              </w:rPr>
            </w:pPr>
            <w:r>
              <w:rPr>
                <w:rFonts w:ascii="Arial" w:cs="Arial" w:eastAsia="Arial" w:hAnsi="Arial"/>
                <w:sz w:val="18"/>
                <w:szCs w:val="18"/>
                <w:color w:val="auto"/>
              </w:rPr>
              <w:t>3.2</w:t>
            </w:r>
          </w:p>
        </w:tc>
        <w:tc>
          <w:tcPr>
            <w:tcW w:w="706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60">
              <w:r>
                <w:rPr>
                  <w:rFonts w:ascii="Arial" w:cs="Arial" w:eastAsia="Arial" w:hAnsi="Arial"/>
                  <w:sz w:val="18"/>
                  <w:szCs w:val="18"/>
                  <w:color w:val="0000EE"/>
                </w:rPr>
                <w:t>Second Amended and Restated Bylaws (incorporated by reference to Exhibit 3.2 of the</w:t>
              </w:r>
            </w:hyperlink>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tcBorders>
              <w:bottom w:val="single" w:sz="8" w:color="0000EE"/>
            </w:tcBorders>
            <w:gridSpan w:val="4"/>
          </w:tcPr>
          <w:p>
            <w:pPr>
              <w:spacing w:after="0" w:line="192"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Company’s Annual Report on Form 10-K (File No. 001-40498) filed on March 16, 2023).</w:t>
              </w:r>
            </w:hyperlink>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-715645</wp:posOffset>
            </wp:positionV>
            <wp:extent cx="4582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582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83" w:lineRule="exact"/>
        <w:rPr>
          <w:sz w:val="20"/>
          <w:szCs w:val="20"/>
          <w:color w:val="auto"/>
        </w:rPr>
      </w:pPr>
    </w:p>
    <w:p>
      <w:pPr>
        <w:sectPr>
          <w:pgSz w:w="11900" w:h="16838" w:orient="portrait"/>
          <w:cols w:equalWidth="0" w:num="2">
            <w:col w:w="9120" w:space="180"/>
            <w:col w:w="479"/>
          </w:cols>
          <w:pgMar w:left="680" w:top="100" w:right="1440" w:bottom="1440" w:gutter="0" w:footer="0" w:header="0"/>
          <w:type w:val="continuous"/>
        </w:sectPr>
      </w:pPr>
    </w:p>
    <w:p>
      <w:pPr>
        <w:ind w:left="1860" w:right="439" w:hanging="652"/>
        <w:spacing w:after="0" w:line="271" w:lineRule="auto"/>
        <w:tabs>
          <w:tab w:leader="none" w:pos="1840" w:val="left"/>
        </w:tabs>
        <w:rPr>
          <w:rFonts w:ascii="Arial" w:cs="Arial" w:eastAsia="Arial" w:hAnsi="Arial"/>
          <w:sz w:val="18"/>
          <w:szCs w:val="18"/>
          <w:u w:val="single" w:color="auto"/>
          <w:color w:val="0000EE"/>
        </w:rPr>
      </w:pPr>
      <w:r>
        <w:rPr>
          <w:rFonts w:ascii="Arial" w:cs="Arial" w:eastAsia="Arial" w:hAnsi="Arial"/>
          <w:sz w:val="18"/>
          <w:szCs w:val="18"/>
          <w:color w:val="auto"/>
        </w:rPr>
        <w:t>4.1</w:t>
        <w:tab/>
        <w:t xml:space="preserve">​ ​ </w:t>
      </w:r>
      <w:hyperlink r:id="rId62">
        <w:r>
          <w:rPr>
            <w:rFonts w:ascii="Arial" w:cs="Arial" w:eastAsia="Arial" w:hAnsi="Arial"/>
            <w:sz w:val="18"/>
            <w:szCs w:val="18"/>
            <w:u w:val="single" w:color="auto"/>
            <w:color w:val="0000EE"/>
          </w:rPr>
          <w:t>Specimen Common Stock Certificate of Company (incorporated by reference to Exhibit 4.1 to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the Company’s Registration Statement on Form S-1/A (File No. 333-256648), dated June 14,</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2021).</w:t>
        </w:r>
      </w:hyperlink>
    </w:p>
    <w:p>
      <w:pPr>
        <w:sectPr>
          <w:pgSz w:w="11900" w:h="16838" w:orient="portrait"/>
          <w:cols w:equalWidth="0" w:num="1">
            <w:col w:w="9779"/>
          </w:cols>
          <w:pgMar w:left="680" w:top="100" w:right="1440" w:bottom="1440" w:gutter="0" w:footer="0" w:header="0"/>
          <w:type w:val="continuous"/>
        </w:sectPr>
      </w:pPr>
    </w:p>
    <w:p>
      <w:pPr>
        <w:spacing w:after="0" w:line="2" w:lineRule="exact"/>
        <w:rPr>
          <w:rFonts w:ascii="Arial" w:cs="Arial" w:eastAsia="Arial" w:hAnsi="Arial"/>
          <w:sz w:val="18"/>
          <w:szCs w:val="18"/>
          <w:color w:val="auto"/>
        </w:rPr>
      </w:pPr>
    </w:p>
    <w:tbl>
      <w:tblPr>
        <w:tblLayout w:type="fixed"/>
        <w:tblInd w:w="142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95"/>
              </w:rPr>
              <w:t>4.2</w:t>
            </w:r>
          </w:p>
        </w:tc>
        <w:tc>
          <w:tcPr>
            <w:tcW w:w="7500" w:type="dxa"/>
            <w:vAlign w:val="bottom"/>
            <w:gridSpan w:val="8"/>
          </w:tcPr>
          <w:p>
            <w:pPr>
              <w:ind w:left="1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 </w:t>
            </w:r>
            <w:hyperlink r:id="rId63">
              <w:r>
                <w:rPr>
                  <w:rFonts w:ascii="Arial" w:cs="Arial" w:eastAsia="Arial" w:hAnsi="Arial"/>
                  <w:sz w:val="18"/>
                  <w:szCs w:val="18"/>
                  <w:color w:val="0000EE"/>
                  <w:w w:val="98"/>
                </w:rPr>
                <w:t>Investors’ Rights Agreement, by and among the Company and each of the investors listed on</w:t>
              </w:r>
            </w:hyperlink>
          </w:p>
        </w:tc>
      </w:tr>
      <w:tr>
        <w:trPr>
          <w:trHeight w:val="192"/>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0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Schedule A thereto, dated February 25, 2021 (incorporated by reference to Exhibit 4.2 to the</w:t>
              </w:r>
            </w:hyperlink>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80" w:type="dxa"/>
            <w:vAlign w:val="bottom"/>
            <w:tcBorders>
              <w:bottom w:val="single" w:sz="8" w:color="0000EE"/>
            </w:tcBorders>
            <w:gridSpan w:val="7"/>
          </w:tcPr>
          <w:p>
            <w:pPr>
              <w:spacing w:after="0" w:line="192"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Company’s Registration Statement on Form S-1 (File No. 333-256648), dated May 28, 2021).</w:t>
              </w:r>
            </w:hyperlink>
          </w:p>
        </w:tc>
      </w:tr>
      <w:tr>
        <w:trPr>
          <w:trHeight w:val="259"/>
        </w:trPr>
        <w:tc>
          <w:tcPr>
            <w:tcW w:w="340" w:type="dxa"/>
            <w:vAlign w:val="bottom"/>
          </w:tcPr>
          <w:p>
            <w:pPr>
              <w:jc w:val="right"/>
              <w:spacing w:after="0"/>
              <w:rPr>
                <w:sz w:val="20"/>
                <w:szCs w:val="20"/>
                <w:color w:val="auto"/>
              </w:rPr>
            </w:pPr>
            <w:r>
              <w:rPr>
                <w:rFonts w:ascii="Arial" w:cs="Arial" w:eastAsia="Arial" w:hAnsi="Arial"/>
                <w:sz w:val="18"/>
                <w:szCs w:val="18"/>
                <w:color w:val="auto"/>
                <w:w w:val="95"/>
              </w:rPr>
              <w:t>4.3</w:t>
            </w:r>
          </w:p>
        </w:tc>
        <w:tc>
          <w:tcPr>
            <w:tcW w:w="7500" w:type="dxa"/>
            <w:vAlign w:val="bottom"/>
            <w:gridSpan w:val="8"/>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64">
              <w:r>
                <w:rPr>
                  <w:rFonts w:ascii="Arial" w:cs="Arial" w:eastAsia="Arial" w:hAnsi="Arial"/>
                  <w:sz w:val="18"/>
                  <w:szCs w:val="18"/>
                  <w:color w:val="0000EE"/>
                </w:rPr>
                <w:t>Warrant to Purchase Units of Century Therapeutics, LLC, in favor of Hercules Technology</w:t>
              </w:r>
            </w:hyperlink>
          </w:p>
        </w:tc>
      </w:tr>
      <w:tr>
        <w:trPr>
          <w:trHeight w:val="192"/>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80" w:type="dxa"/>
            <w:vAlign w:val="bottom"/>
            <w:tcBorders>
              <w:top w:val="single" w:sz="8" w:color="0000EE"/>
            </w:tcBorders>
            <w:gridSpan w:val="4"/>
          </w:tcPr>
          <w:p>
            <w:pPr>
              <w:spacing w:after="0" w:line="192" w:lineRule="exact"/>
              <w:rPr>
                <w:rFonts w:ascii="Arial" w:cs="Arial" w:eastAsia="Arial" w:hAnsi="Arial"/>
                <w:sz w:val="18"/>
                <w:szCs w:val="18"/>
                <w:color w:val="0000EE"/>
              </w:rPr>
            </w:pPr>
            <w:hyperlink r:id="rId64">
              <w:r>
                <w:rPr>
                  <w:rFonts w:ascii="Arial" w:cs="Arial" w:eastAsia="Arial" w:hAnsi="Arial"/>
                  <w:sz w:val="18"/>
                  <w:szCs w:val="18"/>
                  <w:color w:val="0000EE"/>
                </w:rPr>
                <w:t>Management Co II, Inc., dated September 14, 2020 (incorporated by reference to</w:t>
              </w:r>
            </w:hyperlink>
          </w:p>
        </w:tc>
        <w:tc>
          <w:tcPr>
            <w:tcW w:w="300" w:type="dxa"/>
            <w:vAlign w:val="bottom"/>
            <w:gridSpan w:val="3"/>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40" w:type="dxa"/>
            <w:vAlign w:val="bottom"/>
            <w:tcBorders>
              <w:bottom w:val="single" w:sz="8" w:color="0000EE"/>
            </w:tcBorders>
            <w:gridSpan w:val="3"/>
          </w:tcPr>
          <w:p>
            <w:pPr>
              <w:spacing w:after="0" w:line="192"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Exhibit 4.3 to the Company’s Registration Statement on Form S-1 (File No. 333-256648),</w:t>
              </w:r>
            </w:hyperlink>
          </w:p>
        </w:tc>
        <w:tc>
          <w:tcPr>
            <w:tcW w:w="340" w:type="dxa"/>
            <w:vAlign w:val="bottom"/>
            <w:gridSpan w:val="4"/>
          </w:tcPr>
          <w:p>
            <w:pPr>
              <w:spacing w:after="0"/>
              <w:rPr>
                <w:sz w:val="16"/>
                <w:szCs w:val="16"/>
                <w:color w:val="auto"/>
              </w:rPr>
            </w:pPr>
          </w:p>
        </w:tc>
      </w:tr>
      <w:tr>
        <w:trPr>
          <w:trHeight w:val="192"/>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80" w:type="dxa"/>
            <w:vAlign w:val="bottom"/>
            <w:gridSpan w:val="7"/>
          </w:tcPr>
          <w:p>
            <w:pPr>
              <w:spacing w:after="0" w:line="192" w:lineRule="exact"/>
              <w:rPr>
                <w:rFonts w:ascii="Arial" w:cs="Arial" w:eastAsia="Arial" w:hAnsi="Arial"/>
                <w:sz w:val="18"/>
                <w:szCs w:val="18"/>
                <w:color w:val="0000EE"/>
              </w:rPr>
            </w:pPr>
            <w:hyperlink r:id="rId64">
              <w:r>
                <w:rPr>
                  <w:rFonts w:ascii="Arial" w:cs="Arial" w:eastAsia="Arial" w:hAnsi="Arial"/>
                  <w:sz w:val="18"/>
                  <w:szCs w:val="18"/>
                  <w:color w:val="0000EE"/>
                </w:rPr>
                <w:t>dated May 28, 2021).</w:t>
              </w:r>
            </w:hyperlink>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07" w:lineRule="exact"/>
        <w:rPr>
          <w:sz w:val="20"/>
          <w:szCs w:val="20"/>
          <w:color w:val="auto"/>
        </w:rPr>
      </w:pPr>
    </w:p>
    <w:p>
      <w:pPr>
        <w:sectPr>
          <w:pgSz w:w="11900" w:h="16838" w:orient="portrait"/>
          <w:cols w:equalWidth="0" w:num="2">
            <w:col w:w="9260" w:space="40"/>
            <w:col w:w="479"/>
          </w:cols>
          <w:pgMar w:left="680" w:top="100" w:right="1440" w:bottom="1440" w:gutter="0" w:footer="0" w:header="0"/>
          <w:type w:val="continuous"/>
        </w:sectPr>
      </w:pPr>
    </w:p>
    <w:tbl>
      <w:tblPr>
        <w:tblLayout w:type="fixed"/>
        <w:tblInd w:w="1320" w:type="dxa"/>
        <w:tblCellMar>
          <w:top w:w="0" w:type="dxa"/>
          <w:left w:w="0" w:type="dxa"/>
          <w:bottom w:w="0" w:type="dxa"/>
          <w:right w:w="0" w:type="dxa"/>
        </w:tblCellMar>
      </w:tblP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7320" w:type="dxa"/>
            <w:vAlign w:val="bottom"/>
            <w:gridSpan w:val="6"/>
          </w:tcPr>
          <w:p>
            <w:pPr>
              <w:ind w:left="1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 </w:t>
            </w:r>
            <w:hyperlink r:id="rId65">
              <w:r>
                <w:rPr>
                  <w:rFonts w:ascii="Arial" w:cs="Arial" w:eastAsia="Arial" w:hAnsi="Arial"/>
                  <w:sz w:val="18"/>
                  <w:szCs w:val="18"/>
                  <w:color w:val="0000EE"/>
                  <w:w w:val="98"/>
                </w:rPr>
                <w:t>Registration Rights Agreement, dated April 11, 2024, by and among the Company and the</w:t>
              </w:r>
            </w:hyperlink>
          </w:p>
        </w:tc>
      </w:tr>
      <w:tr>
        <w:trPr>
          <w:trHeight w:val="192"/>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2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other parties thereto (incorporated by reference to Exhibit 10.2 of the Company’s Current</w:t>
              </w:r>
            </w:hyperlink>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0" w:type="dxa"/>
            <w:vAlign w:val="bottom"/>
            <w:gridSpan w:val="5"/>
          </w:tcPr>
          <w:p>
            <w:pPr>
              <w:spacing w:after="0" w:line="192" w:lineRule="exact"/>
              <w:rPr>
                <w:rFonts w:ascii="Arial" w:cs="Arial" w:eastAsia="Arial" w:hAnsi="Arial"/>
                <w:sz w:val="18"/>
                <w:szCs w:val="18"/>
                <w:color w:val="0000EE"/>
              </w:rPr>
            </w:pPr>
            <w:hyperlink r:id="rId65">
              <w:r>
                <w:rPr>
                  <w:rFonts w:ascii="Arial" w:cs="Arial" w:eastAsia="Arial" w:hAnsi="Arial"/>
                  <w:sz w:val="18"/>
                  <w:szCs w:val="18"/>
                  <w:color w:val="0000EE"/>
                </w:rPr>
                <w:t>Report on Form 8-K (File No. 001-40498) filed on April 11, 2024).</w:t>
              </w:r>
            </w:hyperlink>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72"/>
        </w:trPr>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7320" w:type="dxa"/>
            <w:vAlign w:val="bottom"/>
            <w:gridSpan w:val="6"/>
          </w:tcPr>
          <w:p>
            <w:pPr>
              <w:ind w:left="100"/>
              <w:spacing w:after="0" w:line="272"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6"/>
                <w:szCs w:val="16"/>
                <w:color w:val="0000EE"/>
              </w:rPr>
              <w:t xml:space="preserve"> Opinion of Goodwin Procter LLP (filed herewith).</w:t>
            </w: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45"/>
        </w:trPr>
        <w:tc>
          <w:tcPr>
            <w:tcW w:w="44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7320" w:type="dxa"/>
            <w:vAlign w:val="bottom"/>
            <w:gridSpan w:val="6"/>
          </w:tcPr>
          <w:p>
            <w:pPr>
              <w:ind w:left="1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 </w:t>
            </w:r>
            <w:hyperlink r:id="rId66">
              <w:r>
                <w:rPr>
                  <w:rFonts w:ascii="Arial" w:cs="Arial" w:eastAsia="Arial" w:hAnsi="Arial"/>
                  <w:sz w:val="18"/>
                  <w:szCs w:val="18"/>
                  <w:color w:val="0000EE"/>
                  <w:w w:val="97"/>
                </w:rPr>
                <w:t>Securities Purchase Agreement, dated April 11, 2024, by and among the Company and the</w:t>
              </w:r>
            </w:hyperlink>
          </w:p>
        </w:tc>
      </w:tr>
      <w:tr>
        <w:trPr>
          <w:trHeight w:val="192"/>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2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96"/>
              </w:rPr>
            </w:pPr>
            <w:hyperlink r:id="rId66">
              <w:r>
                <w:rPr>
                  <w:rFonts w:ascii="Arial" w:cs="Arial" w:eastAsia="Arial" w:hAnsi="Arial"/>
                  <w:sz w:val="18"/>
                  <w:szCs w:val="18"/>
                  <w:color w:val="0000EE"/>
                  <w:w w:val="96"/>
                </w:rPr>
                <w:t>other parties thereto (incorporated by reference to Exhibit 10.1 of the Company’s Current</w:t>
              </w:r>
            </w:hyperlink>
          </w:p>
        </w:tc>
        <w:tc>
          <w:tcPr>
            <w:tcW w:w="180" w:type="dxa"/>
            <w:vAlign w:val="bottom"/>
            <w:tcBorders>
              <w:top w:val="single" w:sz="8" w:color="0000EE"/>
            </w:tcBorders>
            <w:gridSpan w:val="2"/>
          </w:tcPr>
          <w:p>
            <w:pPr>
              <w:spacing w:after="0"/>
              <w:rPr>
                <w:sz w:val="16"/>
                <w:szCs w:val="16"/>
                <w:color w:val="auto"/>
              </w:rPr>
            </w:pPr>
          </w:p>
        </w:tc>
      </w:tr>
      <w:tr>
        <w:trPr>
          <w:trHeight w:val="192"/>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0" w:type="dxa"/>
            <w:vAlign w:val="bottom"/>
            <w:gridSpan w:val="5"/>
          </w:tcPr>
          <w:p>
            <w:pPr>
              <w:spacing w:after="0" w:line="192" w:lineRule="exact"/>
              <w:rPr>
                <w:rFonts w:ascii="Arial" w:cs="Arial" w:eastAsia="Arial" w:hAnsi="Arial"/>
                <w:sz w:val="18"/>
                <w:szCs w:val="18"/>
                <w:color w:val="0000EE"/>
              </w:rPr>
            </w:pPr>
            <w:hyperlink r:id="rId66">
              <w:r>
                <w:rPr>
                  <w:rFonts w:ascii="Arial" w:cs="Arial" w:eastAsia="Arial" w:hAnsi="Arial"/>
                  <w:sz w:val="18"/>
                  <w:szCs w:val="18"/>
                  <w:color w:val="0000EE"/>
                </w:rPr>
                <w:t>Report on Form 8-K (File No. 001-40498) filed on April 11, 2024).</w:t>
              </w:r>
            </w:hyperlink>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95" w:lineRule="exact"/>
        <w:rPr>
          <w:sz w:val="20"/>
          <w:szCs w:val="20"/>
          <w:color w:val="auto"/>
        </w:rPr>
      </w:pPr>
    </w:p>
    <w:p>
      <w:pPr>
        <w:sectPr>
          <w:pgSz w:w="11900" w:h="16838" w:orient="portrait"/>
          <w:cols w:equalWidth="0" w:num="2">
            <w:col w:w="9080" w:space="220"/>
            <w:col w:w="479"/>
          </w:cols>
          <w:pgMar w:left="680" w:top="100" w:right="1440" w:bottom="1440" w:gutter="0" w:footer="0" w:header="0"/>
          <w:type w:val="continuous"/>
        </w:sectPr>
      </w:pPr>
    </w:p>
    <w:tbl>
      <w:tblPr>
        <w:tblLayout w:type="fixed"/>
        <w:tblInd w:w="1320" w:type="dxa"/>
        <w:tblCellMar>
          <w:top w:w="0" w:type="dxa"/>
          <w:left w:w="0" w:type="dxa"/>
          <w:bottom w:w="0" w:type="dxa"/>
          <w:right w:w="0" w:type="dxa"/>
        </w:tblCellMar>
      </w:tblP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6720" w:type="dxa"/>
            <w:vAlign w:val="bottom"/>
            <w:gridSpan w:val="5"/>
          </w:tcPr>
          <w:p>
            <w:pPr>
              <w:ind w:left="100"/>
              <w:spacing w:after="0"/>
              <w:rPr>
                <w:sz w:val="20"/>
                <w:szCs w:val="20"/>
                <w:color w:val="auto"/>
              </w:rPr>
            </w:pPr>
            <w:r>
              <w:rPr>
                <w:rFonts w:ascii="Arial" w:cs="Arial" w:eastAsia="Arial" w:hAnsi="Arial"/>
                <w:sz w:val="18"/>
                <w:szCs w:val="18"/>
                <w:color w:val="auto"/>
                <w:w w:val="97"/>
              </w:rPr>
              <w:t xml:space="preserve">​ ​ </w:t>
            </w:r>
            <w:r>
              <w:rPr>
                <w:rFonts w:ascii="Arial" w:cs="Arial" w:eastAsia="Arial" w:hAnsi="Arial"/>
                <w:sz w:val="18"/>
                <w:szCs w:val="18"/>
                <w:color w:val="0000EE"/>
                <w:w w:val="97"/>
              </w:rPr>
              <w:t>Consent of Ernst &amp; Young, LLP, independent registered public accounting firm (filed</w:t>
            </w:r>
          </w:p>
        </w:tc>
      </w:tr>
      <w:tr>
        <w:trPr>
          <w:trHeight w:val="192"/>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0" w:type="dxa"/>
            <w:vAlign w:val="bottom"/>
            <w:tcBorders>
              <w:top w:val="single" w:sz="8" w:color="0000EE"/>
            </w:tcBorders>
            <w:gridSpan w:val="4"/>
          </w:tcPr>
          <w:p>
            <w:pPr>
              <w:spacing w:after="0" w:line="192" w:lineRule="exact"/>
              <w:rPr>
                <w:sz w:val="20"/>
                <w:szCs w:val="20"/>
                <w:color w:val="auto"/>
              </w:rPr>
            </w:pPr>
            <w:r>
              <w:rPr>
                <w:rFonts w:ascii="Arial" w:cs="Arial" w:eastAsia="Arial" w:hAnsi="Arial"/>
                <w:sz w:val="18"/>
                <w:szCs w:val="18"/>
                <w:color w:val="0000EE"/>
              </w:rPr>
              <w:t>herewith).</w:t>
            </w: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2"/>
        </w:trPr>
        <w:tc>
          <w:tcPr>
            <w:tcW w:w="440" w:type="dxa"/>
            <w:vAlign w:val="bottom"/>
          </w:tcPr>
          <w:p>
            <w:pPr>
              <w:jc w:val="right"/>
              <w:spacing w:after="0"/>
              <w:rPr>
                <w:sz w:val="20"/>
                <w:szCs w:val="20"/>
                <w:color w:val="auto"/>
              </w:rPr>
            </w:pPr>
            <w:r>
              <w:rPr>
                <w:rFonts w:ascii="Arial" w:cs="Arial" w:eastAsia="Arial" w:hAnsi="Arial"/>
                <w:sz w:val="18"/>
                <w:szCs w:val="18"/>
                <w:color w:val="auto"/>
                <w:w w:val="96"/>
              </w:rPr>
              <w:t>23.2</w:t>
            </w:r>
          </w:p>
        </w:tc>
        <w:tc>
          <w:tcPr>
            <w:tcW w:w="6720" w:type="dxa"/>
            <w:vAlign w:val="bottom"/>
            <w:gridSpan w:val="5"/>
          </w:tcPr>
          <w:p>
            <w:pPr>
              <w:ind w:left="100"/>
              <w:spacing w:after="0" w:line="272"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6"/>
                <w:szCs w:val="16"/>
                <w:color w:val="0000EE"/>
              </w:rPr>
              <w:t xml:space="preserve"> Consent of Goodwin Procter LLP (included in Exhibit 5.1).</w:t>
            </w: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9"/>
        </w:trPr>
        <w:tc>
          <w:tcPr>
            <w:tcW w:w="440" w:type="dxa"/>
            <w:vAlign w:val="bottom"/>
          </w:tcPr>
          <w:p>
            <w:pPr>
              <w:jc w:val="right"/>
              <w:spacing w:after="0"/>
              <w:rPr>
                <w:sz w:val="20"/>
                <w:szCs w:val="20"/>
                <w:color w:val="auto"/>
              </w:rPr>
            </w:pPr>
            <w:r>
              <w:rPr>
                <w:rFonts w:ascii="Arial" w:cs="Arial" w:eastAsia="Arial" w:hAnsi="Arial"/>
                <w:sz w:val="18"/>
                <w:szCs w:val="18"/>
                <w:color w:val="auto"/>
                <w:w w:val="96"/>
              </w:rPr>
              <w:t>24.1</w:t>
            </w:r>
          </w:p>
        </w:tc>
        <w:tc>
          <w:tcPr>
            <w:tcW w:w="6720" w:type="dxa"/>
            <w:vAlign w:val="bottom"/>
            <w:gridSpan w:val="5"/>
          </w:tcPr>
          <w:p>
            <w:pPr>
              <w:ind w:left="100"/>
              <w:spacing w:after="0" w:line="259"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6"/>
                <w:szCs w:val="16"/>
                <w:color w:val="0000EE"/>
              </w:rPr>
              <w:t xml:space="preserve"> Powers of Attorney (incorporated by reference to the signature page hereto).</w:t>
            </w: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3" w:lineRule="exact"/>
        <w:rPr>
          <w:sz w:val="20"/>
          <w:szCs w:val="20"/>
          <w:color w:val="auto"/>
        </w:rPr>
      </w:pPr>
    </w:p>
    <w:p>
      <w:pPr>
        <w:ind w:left="1860" w:hanging="628"/>
        <w:spacing w:after="0"/>
        <w:tabs>
          <w:tab w:leader="none" w:pos="1860" w:val="left"/>
        </w:tabs>
        <w:numPr>
          <w:ilvl w:val="0"/>
          <w:numId w:val="13"/>
        </w:numPr>
        <w:rPr>
          <w:rFonts w:ascii="Arial" w:cs="Arial" w:eastAsia="Arial" w:hAnsi="Arial"/>
          <w:sz w:val="18"/>
          <w:szCs w:val="18"/>
          <w:color w:val="auto"/>
        </w:rPr>
      </w:pPr>
      <w:r>
        <w:rPr>
          <w:rFonts w:ascii="Arial" w:cs="Arial" w:eastAsia="Arial" w:hAnsi="Arial"/>
          <w:sz w:val="35"/>
          <w:szCs w:val="35"/>
          <w:color w:val="000000"/>
          <w:vertAlign w:val="superscript"/>
        </w:rPr>
        <w:t>​ ​</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Filing Fee Table.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17.  Undertakings.</w:t>
      </w:r>
    </w:p>
    <w:p>
      <w:pPr>
        <w:spacing w:after="0" w:line="74" w:lineRule="exact"/>
        <w:rPr>
          <w:sz w:val="20"/>
          <w:szCs w:val="20"/>
          <w:color w:val="auto"/>
        </w:rPr>
      </w:pPr>
    </w:p>
    <w:p>
      <w:pPr>
        <w:ind w:left="1940" w:hanging="355"/>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64" w:lineRule="exact"/>
        <w:rPr>
          <w:rFonts w:ascii="Arial" w:cs="Arial" w:eastAsia="Arial" w:hAnsi="Arial"/>
          <w:sz w:val="18"/>
          <w:szCs w:val="18"/>
          <w:color w:val="auto"/>
        </w:rPr>
      </w:pPr>
    </w:p>
    <w:p>
      <w:pPr>
        <w:ind w:left="2300" w:right="60" w:hanging="361"/>
        <w:spacing w:after="0" w:line="275" w:lineRule="auto"/>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6" w:lineRule="exact"/>
        <w:rPr>
          <w:rFonts w:ascii="Arial" w:cs="Arial" w:eastAsia="Arial" w:hAnsi="Arial"/>
          <w:sz w:val="18"/>
          <w:szCs w:val="18"/>
          <w:color w:val="auto"/>
        </w:rPr>
      </w:pPr>
    </w:p>
    <w:p>
      <w:pPr>
        <w:ind w:left="2640" w:hanging="347"/>
        <w:spacing w:after="0"/>
        <w:tabs>
          <w:tab w:leader="none" w:pos="26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26" w:lineRule="exact"/>
        <w:rPr>
          <w:sz w:val="20"/>
          <w:szCs w:val="20"/>
          <w:color w:val="auto"/>
        </w:rPr>
      </w:pPr>
    </w:p>
    <w:p>
      <w:pPr>
        <w:sectPr>
          <w:pgSz w:w="11900" w:h="16838" w:orient="portrait"/>
          <w:cols w:equalWidth="0" w:num="2">
            <w:col w:w="8580" w:space="720"/>
            <w:col w:w="479"/>
          </w:cols>
          <w:pgMar w:left="680" w:top="100" w:right="1440" w:bottom="1440" w:gutter="0" w:footer="0" w:header="0"/>
          <w:type w:val="continuous"/>
        </w:sectPr>
      </w:pPr>
    </w:p>
    <w:p>
      <w:pPr>
        <w:spacing w:after="0" w:line="201"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267335</wp:posOffset>
            </wp:positionV>
            <wp:extent cx="6704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100"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40" w:right="519" w:hanging="347"/>
        <w:spacing w:after="0" w:line="249" w:lineRule="auto"/>
        <w:tabs>
          <w:tab w:leader="none" w:pos="2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8" w:lineRule="exact"/>
        <w:rPr>
          <w:rFonts w:ascii="Arial" w:cs="Arial" w:eastAsia="Arial" w:hAnsi="Arial"/>
          <w:sz w:val="18"/>
          <w:szCs w:val="18"/>
          <w:color w:val="auto"/>
        </w:rPr>
      </w:pPr>
    </w:p>
    <w:p>
      <w:pPr>
        <w:ind w:left="2640" w:right="959" w:hanging="347"/>
        <w:spacing w:after="0" w:line="260" w:lineRule="auto"/>
        <w:tabs>
          <w:tab w:leader="none" w:pos="2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0" w:lineRule="exact"/>
        <w:rPr>
          <w:sz w:val="20"/>
          <w:szCs w:val="20"/>
          <w:color w:val="auto"/>
        </w:rPr>
      </w:pPr>
    </w:p>
    <w:p>
      <w:pPr>
        <w:ind w:left="1240" w:right="519"/>
        <w:spacing w:after="0" w:line="25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03" w:lineRule="exact"/>
        <w:rPr>
          <w:sz w:val="20"/>
          <w:szCs w:val="20"/>
          <w:color w:val="auto"/>
        </w:rPr>
      </w:pPr>
    </w:p>
    <w:p>
      <w:pPr>
        <w:ind w:left="2300" w:right="619" w:hanging="361"/>
        <w:spacing w:after="0" w:line="255" w:lineRule="auto"/>
        <w:tabs>
          <w:tab w:leader="none" w:pos="2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5" w:lineRule="exact"/>
        <w:rPr>
          <w:rFonts w:ascii="Arial" w:cs="Arial" w:eastAsia="Arial" w:hAnsi="Arial"/>
          <w:sz w:val="18"/>
          <w:szCs w:val="18"/>
          <w:color w:val="auto"/>
        </w:rPr>
      </w:pPr>
    </w:p>
    <w:p>
      <w:pPr>
        <w:ind w:left="2300" w:right="579" w:hanging="361"/>
        <w:spacing w:after="0" w:line="275" w:lineRule="auto"/>
        <w:tabs>
          <w:tab w:leader="none" w:pos="2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96" w:lineRule="exact"/>
        <w:rPr>
          <w:rFonts w:ascii="Arial" w:cs="Arial" w:eastAsia="Arial" w:hAnsi="Arial"/>
          <w:sz w:val="18"/>
          <w:szCs w:val="18"/>
          <w:color w:val="auto"/>
        </w:rPr>
      </w:pPr>
    </w:p>
    <w:p>
      <w:pPr>
        <w:ind w:left="2300" w:hanging="361"/>
        <w:spacing w:after="0"/>
        <w:tabs>
          <w:tab w:leader="none" w:pos="2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7" w:lineRule="exact"/>
        <w:rPr>
          <w:rFonts w:ascii="Arial" w:cs="Arial" w:eastAsia="Arial" w:hAnsi="Arial"/>
          <w:sz w:val="18"/>
          <w:szCs w:val="18"/>
          <w:color w:val="auto"/>
        </w:rPr>
      </w:pPr>
    </w:p>
    <w:p>
      <w:pPr>
        <w:ind w:left="2640" w:right="579" w:hanging="347"/>
        <w:spacing w:after="0" w:line="260" w:lineRule="auto"/>
        <w:tabs>
          <w:tab w:leader="none" w:pos="26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9" w:lineRule="exact"/>
        <w:rPr>
          <w:rFonts w:ascii="Arial" w:cs="Arial" w:eastAsia="Arial" w:hAnsi="Arial"/>
          <w:sz w:val="18"/>
          <w:szCs w:val="18"/>
          <w:color w:val="auto"/>
        </w:rPr>
      </w:pPr>
    </w:p>
    <w:p>
      <w:pPr>
        <w:ind w:left="2640" w:right="559" w:hanging="347"/>
        <w:spacing w:after="0" w:line="247" w:lineRule="auto"/>
        <w:tabs>
          <w:tab w:leader="none" w:pos="26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1" w:lineRule="exact"/>
        <w:rPr>
          <w:rFonts w:ascii="Arial" w:cs="Arial" w:eastAsia="Arial" w:hAnsi="Arial"/>
          <w:sz w:val="18"/>
          <w:szCs w:val="18"/>
          <w:color w:val="auto"/>
        </w:rPr>
      </w:pPr>
    </w:p>
    <w:p>
      <w:pPr>
        <w:ind w:left="1940" w:right="659" w:hanging="355"/>
        <w:spacing w:after="0" w:line="305" w:lineRule="auto"/>
        <w:tabs>
          <w:tab w:leader="none" w:pos="1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w:t>
      </w:r>
    </w:p>
    <w:p>
      <w:pPr>
        <w:spacing w:after="0" w:line="31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40" w:right="519"/>
        <w:spacing w:after="0" w:line="253" w:lineRule="auto"/>
        <w:rPr>
          <w:sz w:val="20"/>
          <w:szCs w:val="20"/>
          <w:color w:val="auto"/>
        </w:rPr>
      </w:pPr>
      <w:r>
        <w:rPr>
          <w:rFonts w:ascii="Arial" w:cs="Arial" w:eastAsia="Arial" w:hAnsi="Arial"/>
          <w:sz w:val="18"/>
          <w:szCs w:val="18"/>
          <w:color w:val="auto"/>
        </w:rPr>
        <w:t xml:space="preserve">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ind w:left="1940" w:right="559" w:hanging="355"/>
        <w:spacing w:after="0" w:line="248" w:lineRule="auto"/>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245745</wp:posOffset>
            </wp:positionV>
            <wp:extent cx="6704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SIGNATURES</w:t>
      </w:r>
    </w:p>
    <w:p>
      <w:pPr>
        <w:spacing w:after="0" w:line="326" w:lineRule="exact"/>
        <w:rPr>
          <w:sz w:val="20"/>
          <w:szCs w:val="20"/>
          <w:color w:val="auto"/>
        </w:rPr>
      </w:pPr>
    </w:p>
    <w:p>
      <w:pPr>
        <w:ind w:left="1240" w:right="739"/>
        <w:spacing w:after="0" w:line="273"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the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May, 2024.</w:t>
      </w:r>
    </w:p>
    <w:p>
      <w:pPr>
        <w:spacing w:after="0" w:line="33" w:lineRule="exact"/>
        <w:rPr>
          <w:sz w:val="20"/>
          <w:szCs w:val="20"/>
          <w:color w:val="auto"/>
        </w:rPr>
      </w:pPr>
    </w:p>
    <w:tbl>
      <w:tblPr>
        <w:tblLayout w:type="fixed"/>
        <w:tblInd w:w="46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Century Therapeutics, Inc.</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9"/>
        </w:trPr>
        <w:tc>
          <w:tcPr>
            <w:tcW w:w="860" w:type="dxa"/>
            <w:vAlign w:val="bottom"/>
          </w:tcPr>
          <w:p>
            <w:pPr>
              <w:ind w:left="220"/>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rPr>
              <w:t>/s/ Brent Pfeiffenberger, Pharm.D.</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860" w:type="dxa"/>
            <w:vAlign w:val="bottom"/>
            <w:vMerge w:val="restart"/>
          </w:tcPr>
          <w:p>
            <w:pPr>
              <w:spacing w:after="0" w:line="299"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7"/>
                <w:szCs w:val="17"/>
                <w:color w:val="auto"/>
              </w:rPr>
              <w:t xml:space="preserve"> Name:</w:t>
            </w:r>
          </w:p>
        </w:tc>
        <w:tc>
          <w:tcPr>
            <w:tcW w:w="3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55"/>
        </w:trPr>
        <w:tc>
          <w:tcPr>
            <w:tcW w:w="860" w:type="dxa"/>
            <w:vAlign w:val="bottom"/>
            <w:vMerge w:val="continue"/>
          </w:tcPr>
          <w:p>
            <w:pPr>
              <w:spacing w:after="0"/>
              <w:rPr>
                <w:sz w:val="22"/>
                <w:szCs w:val="22"/>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Brent Pfeiffenberger, Pharm.D.</w:t>
            </w:r>
          </w:p>
        </w:tc>
        <w:tc>
          <w:tcPr>
            <w:tcW w:w="5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Arial" w:cs="Arial" w:eastAsia="Arial" w:hAnsi="Arial"/>
                <w:sz w:val="18"/>
                <w:szCs w:val="18"/>
                <w:color w:val="auto"/>
              </w:rPr>
              <w:t>​ ​ Title:</w:t>
            </w:r>
          </w:p>
        </w:tc>
        <w:tc>
          <w:tcPr>
            <w:tcW w:w="38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6101080</wp:posOffset>
            </wp:positionV>
            <wp:extent cx="6704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POWER OF ATTORNEY</w:t>
      </w:r>
    </w:p>
    <w:p>
      <w:pPr>
        <w:spacing w:after="0" w:line="326" w:lineRule="exact"/>
        <w:rPr>
          <w:sz w:val="20"/>
          <w:szCs w:val="20"/>
          <w:color w:val="auto"/>
        </w:rPr>
      </w:pPr>
    </w:p>
    <w:p>
      <w:pPr>
        <w:ind w:left="1240" w:right="499"/>
        <w:spacing w:after="0" w:line="265" w:lineRule="auto"/>
        <w:rPr>
          <w:sz w:val="20"/>
          <w:szCs w:val="20"/>
          <w:color w:val="auto"/>
        </w:rPr>
      </w:pPr>
      <w:r>
        <w:rPr>
          <w:rFonts w:ascii="Arial" w:cs="Arial" w:eastAsia="Arial" w:hAnsi="Arial"/>
          <w:sz w:val="17"/>
          <w:szCs w:val="17"/>
          <w:color w:val="auto"/>
        </w:rPr>
        <w:t>We, the undersigned officers and directors of Century Therapeutics, Inc., hereby severally constitute and appoint each of Brent Pfeiffenberger, Pharm.D. and Douglas Carr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10" w:lineRule="exact"/>
        <w:rPr>
          <w:sz w:val="20"/>
          <w:szCs w:val="20"/>
          <w:color w:val="auto"/>
        </w:rPr>
      </w:pPr>
    </w:p>
    <w:p>
      <w:pPr>
        <w:ind w:left="1240" w:right="719" w:firstLine="354"/>
        <w:spacing w:after="0" w:line="275"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17" w:lineRule="exact"/>
        <w:rPr>
          <w:sz w:val="20"/>
          <w:szCs w:val="20"/>
          <w:color w:val="auto"/>
        </w:rPr>
      </w:pPr>
    </w:p>
    <w:tbl>
      <w:tblPr>
        <w:tblLayout w:type="fixed"/>
        <w:tblInd w:w="1240" w:type="dxa"/>
        <w:tblCellMar>
          <w:top w:w="0" w:type="dxa"/>
          <w:left w:w="0" w:type="dxa"/>
          <w:bottom w:w="0" w:type="dxa"/>
          <w:right w:w="0" w:type="dxa"/>
        </w:tblCellMar>
      </w:tblPr>
      <w:tr>
        <w:trPr>
          <w:trHeight w:val="208"/>
        </w:trPr>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9"/>
              </w:rPr>
              <w:t>Signature</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7"/>
        </w:trPr>
        <w:tc>
          <w:tcPr>
            <w:tcW w:w="3180" w:type="dxa"/>
            <w:vAlign w:val="bottom"/>
            <w:gridSpan w:val="2"/>
          </w:tcPr>
          <w:p>
            <w:pPr>
              <w:spacing w:after="0"/>
              <w:rPr>
                <w:sz w:val="20"/>
                <w:szCs w:val="20"/>
                <w:color w:val="auto"/>
              </w:rPr>
            </w:pPr>
            <w:r>
              <w:rPr>
                <w:rFonts w:ascii="Arial" w:cs="Arial" w:eastAsia="Arial" w:hAnsi="Arial"/>
                <w:sz w:val="18"/>
                <w:szCs w:val="18"/>
                <w:color w:val="auto"/>
              </w:rPr>
              <w:t>​ /s/ Brent Pfeiffenberger, PharmD, MBA</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jc w:val="center"/>
              <w:spacing w:after="0"/>
              <w:rPr>
                <w:sz w:val="20"/>
                <w:szCs w:val="20"/>
                <w:color w:val="auto"/>
              </w:rPr>
            </w:pPr>
            <w:r>
              <w:rPr>
                <w:rFonts w:ascii="Arial" w:cs="Arial" w:eastAsia="Arial" w:hAnsi="Arial"/>
                <w:sz w:val="18"/>
                <w:szCs w:val="18"/>
                <w:color w:val="auto"/>
                <w:w w:val="96"/>
              </w:rPr>
              <w:t>Chief Executive Officer and Director</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w w:val="97"/>
              </w:rPr>
              <w:t>May 15, 2024</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
        </w:trPr>
        <w:tc>
          <w:tcPr>
            <w:tcW w:w="1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6"/>
              </w:rPr>
              <w:t>(principal executive officer)</w:t>
            </w: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20" w:type="dxa"/>
            <w:vAlign w:val="bottom"/>
          </w:tcPr>
          <w:p>
            <w:pPr>
              <w:spacing w:after="0"/>
              <w:rPr>
                <w:sz w:val="6"/>
                <w:szCs w:val="6"/>
                <w:color w:val="auto"/>
              </w:rPr>
            </w:pPr>
          </w:p>
        </w:tc>
        <w:tc>
          <w:tcPr>
            <w:tcW w:w="3060" w:type="dxa"/>
            <w:vAlign w:val="bottom"/>
            <w:vMerge w:val="restart"/>
          </w:tcPr>
          <w:p>
            <w:pPr>
              <w:jc w:val="center"/>
              <w:ind w:right="53"/>
              <w:spacing w:after="0"/>
              <w:rPr>
                <w:sz w:val="20"/>
                <w:szCs w:val="20"/>
                <w:color w:val="auto"/>
              </w:rPr>
            </w:pPr>
            <w:r>
              <w:rPr>
                <w:rFonts w:ascii="Arial" w:cs="Arial" w:eastAsia="Arial" w:hAnsi="Arial"/>
                <w:sz w:val="18"/>
                <w:szCs w:val="18"/>
                <w:color w:val="auto"/>
                <w:w w:val="96"/>
              </w:rPr>
              <w:t>Brent Pfeiffenberger, PharmD, MBA</w:t>
            </w:r>
          </w:p>
        </w:tc>
        <w:tc>
          <w:tcPr>
            <w:tcW w:w="22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6"/>
              </w:rPr>
              <w:t>/s/ Douglas Carr</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jc w:val="center"/>
              <w:spacing w:after="0"/>
              <w:rPr>
                <w:sz w:val="20"/>
                <w:szCs w:val="20"/>
                <w:color w:val="auto"/>
              </w:rPr>
            </w:pPr>
            <w:r>
              <w:rPr>
                <w:rFonts w:ascii="Arial" w:cs="Arial" w:eastAsia="Arial" w:hAnsi="Arial"/>
                <w:sz w:val="18"/>
                <w:szCs w:val="18"/>
                <w:color w:val="auto"/>
                <w:w w:val="96"/>
              </w:rPr>
              <w:t>Senior Vice President, Finance and Operations</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
        </w:trPr>
        <w:tc>
          <w:tcPr>
            <w:tcW w:w="12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6"/>
              </w:rPr>
              <w:t>(principal financial officer and principal</w:t>
            </w:r>
          </w:p>
        </w:tc>
        <w:tc>
          <w:tcPr>
            <w:tcW w:w="136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6"/>
              </w:rPr>
              <w:t>Douglas Carr</w:t>
            </w:r>
          </w:p>
        </w:tc>
        <w:tc>
          <w:tcPr>
            <w:tcW w:w="220" w:type="dxa"/>
            <w:vAlign w:val="bottom"/>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6"/>
              </w:rPr>
              <w:t>accounting officer)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33"/>
              <w:spacing w:after="0"/>
              <w:rPr>
                <w:sz w:val="20"/>
                <w:szCs w:val="20"/>
                <w:color w:val="auto"/>
              </w:rPr>
            </w:pPr>
            <w:r>
              <w:rPr>
                <w:rFonts w:ascii="Arial" w:cs="Arial" w:eastAsia="Arial" w:hAnsi="Arial"/>
                <w:sz w:val="18"/>
                <w:szCs w:val="18"/>
                <w:color w:val="auto"/>
                <w:w w:val="96"/>
              </w:rPr>
              <w:t>/s/ Kimberly Blackwell, M.D.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53"/>
              <w:spacing w:after="0"/>
              <w:rPr>
                <w:sz w:val="20"/>
                <w:szCs w:val="20"/>
                <w:color w:val="auto"/>
              </w:rPr>
            </w:pPr>
            <w:r>
              <w:rPr>
                <w:rFonts w:ascii="Arial" w:cs="Arial" w:eastAsia="Arial" w:hAnsi="Arial"/>
                <w:sz w:val="18"/>
                <w:szCs w:val="18"/>
                <w:color w:val="auto"/>
                <w:w w:val="96"/>
              </w:rPr>
              <w:t>Kimberly Blackwell, M.D.</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53"/>
              <w:spacing w:after="0"/>
              <w:rPr>
                <w:sz w:val="20"/>
                <w:szCs w:val="20"/>
                <w:color w:val="auto"/>
              </w:rPr>
            </w:pPr>
            <w:r>
              <w:rPr>
                <w:rFonts w:ascii="Arial" w:cs="Arial" w:eastAsia="Arial" w:hAnsi="Arial"/>
                <w:sz w:val="18"/>
                <w:szCs w:val="18"/>
                <w:color w:val="auto"/>
                <w:w w:val="96"/>
              </w:rPr>
              <w:t>/s/ Cynthia Butitta</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53"/>
              <w:spacing w:after="0"/>
              <w:rPr>
                <w:sz w:val="20"/>
                <w:szCs w:val="20"/>
                <w:color w:val="auto"/>
              </w:rPr>
            </w:pPr>
            <w:r>
              <w:rPr>
                <w:rFonts w:ascii="Arial" w:cs="Arial" w:eastAsia="Arial" w:hAnsi="Arial"/>
                <w:sz w:val="18"/>
                <w:szCs w:val="18"/>
                <w:color w:val="auto"/>
                <w:w w:val="95"/>
              </w:rPr>
              <w:t>Cynthia Butitta</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53"/>
              <w:spacing w:after="0"/>
              <w:rPr>
                <w:sz w:val="20"/>
                <w:szCs w:val="20"/>
                <w:color w:val="auto"/>
              </w:rPr>
            </w:pPr>
            <w:r>
              <w:rPr>
                <w:rFonts w:ascii="Arial" w:cs="Arial" w:eastAsia="Arial" w:hAnsi="Arial"/>
                <w:sz w:val="18"/>
                <w:szCs w:val="18"/>
                <w:color w:val="auto"/>
                <w:w w:val="96"/>
              </w:rPr>
              <w:t>/s/ Joseph Jimenez</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6"/>
              </w:rPr>
              <w:t>Director, Chairman of the Board</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6"/>
              </w:rPr>
              <w:t>Joseph Jimenez</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53"/>
              <w:spacing w:after="0"/>
              <w:rPr>
                <w:sz w:val="20"/>
                <w:szCs w:val="20"/>
                <w:color w:val="auto"/>
              </w:rPr>
            </w:pPr>
            <w:r>
              <w:rPr>
                <w:rFonts w:ascii="Arial" w:cs="Arial" w:eastAsia="Arial" w:hAnsi="Arial"/>
                <w:sz w:val="18"/>
                <w:szCs w:val="18"/>
                <w:color w:val="auto"/>
                <w:w w:val="96"/>
              </w:rPr>
              <w:t>/s/ Alessandro Riva, M.D.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7"/>
              </w:rPr>
              <w:t>Alessandro Riva, M.D.</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53"/>
              <w:spacing w:after="0"/>
              <w:rPr>
                <w:sz w:val="20"/>
                <w:szCs w:val="20"/>
                <w:color w:val="auto"/>
              </w:rPr>
            </w:pPr>
            <w:r>
              <w:rPr>
                <w:rFonts w:ascii="Arial" w:cs="Arial" w:eastAsia="Arial" w:hAnsi="Arial"/>
                <w:sz w:val="18"/>
                <w:szCs w:val="18"/>
                <w:color w:val="auto"/>
                <w:w w:val="96"/>
              </w:rPr>
              <w:t>/s/ Carlo Rizzuto, Ph.D.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6"/>
              </w:rPr>
              <w:t>Carlo Rizzuto, Ph.D.</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53"/>
              <w:spacing w:after="0"/>
              <w:rPr>
                <w:sz w:val="20"/>
                <w:szCs w:val="20"/>
                <w:color w:val="auto"/>
              </w:rPr>
            </w:pPr>
            <w:r>
              <w:rPr>
                <w:rFonts w:ascii="Arial" w:cs="Arial" w:eastAsia="Arial" w:hAnsi="Arial"/>
                <w:sz w:val="18"/>
                <w:szCs w:val="18"/>
                <w:color w:val="auto"/>
                <w:w w:val="95"/>
              </w:rPr>
              <w:t>/s/ Timothy Walbert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vMerge w:val="restart"/>
          </w:tcPr>
          <w:p>
            <w:pPr>
              <w:jc w:val="center"/>
              <w:ind w:right="33"/>
              <w:spacing w:after="0"/>
              <w:rPr>
                <w:sz w:val="20"/>
                <w:szCs w:val="20"/>
                <w:color w:val="auto"/>
              </w:rPr>
            </w:pPr>
            <w:r>
              <w:rPr>
                <w:rFonts w:ascii="Arial" w:cs="Arial" w:eastAsia="Arial" w:hAnsi="Arial"/>
                <w:sz w:val="18"/>
                <w:szCs w:val="18"/>
                <w:color w:val="auto"/>
                <w:w w:val="96"/>
              </w:rPr>
              <w:t>Timothy Walbert</w:t>
            </w: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8"/>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060" w:type="dxa"/>
            <w:vAlign w:val="bottom"/>
          </w:tcPr>
          <w:p>
            <w:pPr>
              <w:jc w:val="center"/>
              <w:ind w:right="33"/>
              <w:spacing w:after="0"/>
              <w:rPr>
                <w:sz w:val="20"/>
                <w:szCs w:val="20"/>
                <w:color w:val="auto"/>
              </w:rPr>
            </w:pPr>
            <w:r>
              <w:rPr>
                <w:rFonts w:ascii="Arial" w:cs="Arial" w:eastAsia="Arial" w:hAnsi="Arial"/>
                <w:sz w:val="18"/>
                <w:szCs w:val="18"/>
                <w:color w:val="auto"/>
                <w:w w:val="96"/>
              </w:rPr>
              <w:t>/s/ Daphne Quimi</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36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May 15, 2024</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20" w:type="dxa"/>
            <w:vAlign w:val="bottom"/>
            <w:tcBorders>
              <w:bottom w:val="single" w:sz="8" w:color="auto"/>
            </w:tcBorders>
            <w:vMerge w:val="continue"/>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368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6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1296670</wp:posOffset>
            </wp:positionV>
            <wp:extent cx="6704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704965" cy="42545"/>
                    </a:xfrm>
                    <a:prstGeom prst="rect">
                      <a:avLst/>
                    </a:prstGeom>
                    <a:noFill/>
                  </pic:spPr>
                </pic:pic>
              </a:graphicData>
            </a:graphic>
          </wp:anchor>
        </w:drawing>
      </w:r>
    </w:p>
    <w:p>
      <w:pPr>
        <w:sectPr>
          <w:pgSz w:w="11900" w:h="16838" w:orient="portrait"/>
          <w:cols w:equalWidth="0" w:num="1">
            <w:col w:w="9779"/>
          </w:cols>
          <w:pgMar w:left="680" w:top="95"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15,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North 38th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198"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1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filed on May 15, 2024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the Securities Act of 1933,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registration of the offering by Century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up to an aggregate of 15,873,011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15,873,011 shares that were issued in a private placement pursuant to a securities purchase agreement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 dated April 11, 2024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by and among the Company and the investors listed therein (such Shares issued in the Private Placement,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to be sold by the selling stockholders listed in the Registration Statement under “Selling Stockholders”.</w:t>
      </w:r>
    </w:p>
    <w:p>
      <w:pPr>
        <w:spacing w:after="0" w:line="18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18"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Based on the foregoing, we are of the opinion that the Selling Stockholder Shares have been duly authorized and validly issued and are fully paid and non-assessable.</w:t>
      </w:r>
    </w:p>
    <w:p>
      <w:pPr>
        <w:spacing w:after="0" w:line="16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consent to the reference of our firm under the caption “Experts” in the Registration Statement (Form S-3) and related Prospectus of Century Therapeutics, Inc. for the registration of 15,873,011 shares of its common stock and to the incorporation by reference therein of our report dated March 14, 2024, with respect to the consolidated financial statements of Century Therapeutics, Inc., included in its Annual Report (Form 10-K) for the year ended December 31, 2023,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424180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ind w:left="1038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00" w:type="dxa"/>
            <w:vAlign w:val="bottom"/>
            <w:tcBorders>
              <w:top w:val="single" w:sz="8" w:color="auto"/>
              <w:left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Previously</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Paid In</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Connection</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with</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2"/>
              </w:rPr>
              <w:t>Fee</w:t>
            </w: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Carry</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Unsold</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Calculation</w:t>
            </w: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Maximum</w:t>
            </w:r>
          </w:p>
        </w:tc>
        <w:tc>
          <w:tcPr>
            <w:tcW w:w="13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Maximum</w:t>
            </w: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Carry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Forward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Security</w:t>
            </w:r>
          </w:p>
        </w:tc>
        <w:tc>
          <w:tcPr>
            <w:tcW w:w="10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or Carry</w:t>
            </w: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9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Offering</w:t>
            </w:r>
          </w:p>
        </w:tc>
        <w:tc>
          <w:tcPr>
            <w:tcW w:w="13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Aggregate</w:t>
            </w: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8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Initial</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to be</w:t>
            </w:r>
          </w:p>
        </w:tc>
      </w:tr>
      <w:tr>
        <w:trPr>
          <w:trHeight w:val="212"/>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Security</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Class</w:t>
            </w:r>
          </w:p>
        </w:tc>
        <w:tc>
          <w:tcPr>
            <w:tcW w:w="102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Forward</w:t>
            </w: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Registered</w:t>
            </w:r>
          </w:p>
        </w:tc>
        <w:tc>
          <w:tcPr>
            <w:tcW w:w="94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Price Per</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Fee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Effective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r>
      <w:tr>
        <w:trPr>
          <w:trHeight w:val="238"/>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Type</w:t>
            </w:r>
          </w:p>
        </w:tc>
        <w:tc>
          <w:tcPr>
            <w:tcW w:w="86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3"/>
              </w:rPr>
              <w:t>Title</w:t>
            </w:r>
          </w:p>
        </w:tc>
        <w:tc>
          <w:tcPr>
            <w:tcW w:w="10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3"/>
              </w:rPr>
              <w:t>Rule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Share (2)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(2)</w:t>
            </w:r>
          </w:p>
        </w:tc>
        <w:tc>
          <w:tcPr>
            <w:tcW w:w="8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Type</w:t>
            </w:r>
          </w:p>
        </w:tc>
        <w:tc>
          <w:tcPr>
            <w:tcW w:w="80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Forward</w:t>
            </w:r>
          </w:p>
        </w:tc>
      </w:tr>
      <w:tr>
        <w:trPr>
          <w:trHeight w:val="207"/>
        </w:trPr>
        <w:tc>
          <w:tcPr>
            <w:tcW w:w="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Common</w:t>
            </w:r>
          </w:p>
        </w:tc>
        <w:tc>
          <w:tcPr>
            <w:tcW w:w="10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Stock,</w:t>
            </w: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$0.0001</w:t>
            </w: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2"/>
        </w:trPr>
        <w:tc>
          <w:tcPr>
            <w:tcW w:w="70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par value</w:t>
            </w: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15,873,011</w:t>
            </w:r>
          </w:p>
        </w:tc>
        <w:tc>
          <w:tcPr>
            <w:tcW w:w="9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38"/>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per share</w:t>
            </w:r>
          </w:p>
        </w:tc>
        <w:tc>
          <w:tcPr>
            <w:tcW w:w="10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$3.05</w:t>
            </w:r>
          </w:p>
        </w:tc>
        <w:tc>
          <w:tcPr>
            <w:tcW w:w="13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$48,412,683.60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$7,145.72</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35"/>
        </w:trPr>
        <w:tc>
          <w:tcPr>
            <w:tcW w:w="7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8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$48,412,683.60</w:t>
            </w:r>
          </w:p>
        </w:tc>
        <w:tc>
          <w:tcPr>
            <w:tcW w:w="9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32"/>
        </w:trPr>
        <w:tc>
          <w:tcPr>
            <w:tcW w:w="7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8"/>
              </w:rPr>
              <w:t>Total Fees Previously Paid</w:t>
            </w:r>
          </w:p>
        </w:tc>
        <w:tc>
          <w:tcPr>
            <w:tcW w:w="8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32"/>
        </w:trPr>
        <w:tc>
          <w:tcPr>
            <w:tcW w:w="7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8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32"/>
        </w:trPr>
        <w:tc>
          <w:tcPr>
            <w:tcW w:w="7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8"/>
              </w:rPr>
              <w:t>Net Fee Due</w:t>
            </w:r>
          </w:p>
        </w:tc>
        <w:tc>
          <w:tcPr>
            <w:tcW w:w="8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$7,145.72</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20" w:right="100" w:hanging="211"/>
        <w:spacing w:after="0" w:line="274" w:lineRule="auto"/>
        <w:rPr>
          <w:sz w:val="20"/>
          <w:szCs w:val="20"/>
          <w:color w:val="auto"/>
        </w:rPr>
      </w:pPr>
      <w:r>
        <w:rPr>
          <w:rFonts w:ascii="Times New Roman" w:cs="Times New Roman" w:eastAsia="Times New Roman" w:hAnsi="Times New Roman"/>
          <w:sz w:val="18"/>
          <w:szCs w:val="18"/>
          <w:color w:val="auto"/>
        </w:rPr>
        <w:t>(1)Pursuant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spacing w:after="0" w:line="164" w:lineRule="exact"/>
        <w:rPr>
          <w:sz w:val="20"/>
          <w:szCs w:val="20"/>
          <w:color w:val="auto"/>
        </w:rPr>
      </w:pPr>
    </w:p>
    <w:p>
      <w:pPr>
        <w:jc w:val="both"/>
        <w:ind w:left="220" w:right="180" w:hanging="211"/>
        <w:spacing w:after="0" w:line="260" w:lineRule="auto"/>
        <w:rPr>
          <w:sz w:val="20"/>
          <w:szCs w:val="20"/>
          <w:color w:val="auto"/>
        </w:rPr>
      </w:pPr>
      <w:r>
        <w:rPr>
          <w:rFonts w:ascii="Times New Roman" w:cs="Times New Roman" w:eastAsia="Times New Roman" w:hAnsi="Times New Roman"/>
          <w:sz w:val="18"/>
          <w:szCs w:val="18"/>
          <w:color w:val="auto"/>
        </w:rPr>
        <w:t>(2)Estimated solely for the purpose of calculating the registration fee in accordance with Rule 457(c) under the Securities Act of 1933, as amended. The price per share and aggregate offering price are based on the average of the high and low prices of the registrant’s common stock on May 9, 2024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410210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1340"/>
      </w:cols>
      <w:pgMar w:left="32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2)"/>
      <w:numFmt w:val="lowerRoman"/>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07"/>
    </w:lvl>
  </w:abstractNum>
  <w:abstractNum w:abstractNumId="13">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6">
    <w:nsid w:val="519B500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61"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31" Type="http://schemas.openxmlformats.org/officeDocument/2006/relationships/hyperlink" Target="http://www.sec.gov/ix?doc=/Archives/edgar/data/1850119/000155837024003165/ipsc-20231231x10k.htm" TargetMode="External"/><Relationship Id="rId51" Type="http://schemas.openxmlformats.org/officeDocument/2006/relationships/hyperlink" Target="http://www.sec.gov/ix?doc=/Archives/edgar/data/1850119/000155837024007469/ipsc-20240331x10q.htm" TargetMode="External"/><Relationship Id="rId52" Type="http://schemas.openxmlformats.org/officeDocument/2006/relationships/hyperlink" Target="http://www.sec.gov/Archives/edgar/data/1850119/000110465924052924/tm242867-3_def14a.htm" TargetMode="External"/><Relationship Id="rId53" Type="http://schemas.openxmlformats.org/officeDocument/2006/relationships/hyperlink" Target="https://www.sec.gov/ix?doc=/Archives/edgar/data/1850119/000110465924046247/tm2411557d2_8k.htm" TargetMode="External"/><Relationship Id="rId54" Type="http://schemas.openxmlformats.org/officeDocument/2006/relationships/hyperlink" Target="http://www.sec.gov/ix?doc=/Archives/edgar/data/1850119/000110465924046373/tm2411557d1_8k.htm" TargetMode="External"/><Relationship Id="rId55" Type="http://schemas.openxmlformats.org/officeDocument/2006/relationships/hyperlink" Target="http://www.sec.gov/Archives/edgar/data/1850119/000110465921080760/tm218551d12_8a12b.htm" TargetMode="External"/><Relationship Id="rId59" Type="http://schemas.openxmlformats.org/officeDocument/2006/relationships/hyperlink" Target="http://www.sec.gov/Archives/edgar/data/1850119/000110465921085744/tm2120666d1_ex3-1.htm" TargetMode="External"/><Relationship Id="rId60" Type="http://schemas.openxmlformats.org/officeDocument/2006/relationships/hyperlink" Target="http://www.sec.gov/Archives/edgar/data/1850119/000155837023003962/ipsc-20221231xex3d2.htm" TargetMode="External"/><Relationship Id="rId62" Type="http://schemas.openxmlformats.org/officeDocument/2006/relationships/hyperlink" Target="http://www.sec.gov/Archives/edgar/data/1850119/000110465921080429/tm218551d10_ex4-1.htm" TargetMode="External"/><Relationship Id="rId63" Type="http://schemas.openxmlformats.org/officeDocument/2006/relationships/hyperlink" Target="http://www.sec.gov/Archives/edgar/data/1850119/000110465921074278/tm218551d7_ex4-2.htm" TargetMode="External"/><Relationship Id="rId64" Type="http://schemas.openxmlformats.org/officeDocument/2006/relationships/hyperlink" Target="http://www.sec.gov/Archives/edgar/data/1850119/000110465921074278/tm218551d7_ex4-3.htm" TargetMode="External"/><Relationship Id="rId65" Type="http://schemas.openxmlformats.org/officeDocument/2006/relationships/hyperlink" Target="http://www.sec.gov/Archives/edgar/data/1850119/000110465924046373/tm2411557d1_ex10-2.htm" TargetMode="External"/><Relationship Id="rId66" Type="http://schemas.openxmlformats.org/officeDocument/2006/relationships/hyperlink" Target="http://www.sec.gov/Archives/edgar/data/1850119/000110465924046373/tm241155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2024-05-15T15:17:38Z</dcterms:created>
  <dcterms:modified xsi:type="dcterms:W3CDTF">2024-05-15T15:17:38Z</dcterms:modified>
</cp:coreProperties>
</file>