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Russotti Gregory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11TH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Century Therapeutics, Inc.</w:t>
              </w:r>
            </w:hyperlink>
            <w:r>
              <w:rPr/>
              <w:t xml:space="preserve"> [ </w:t>
            </w:r>
            <w:r>
              <w:rPr>
                <w:rFonts w:ascii="Times;serif" w:hAnsi="Times;serif"/>
                <w:color w:val="0000FF"/>
                <w:sz w:val="24"/>
                <w:shd w:fill="FFFFFF" w:val="clear"/>
              </w:rPr>
              <w:t>IPSC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35"/>
        <w:gridCol w:w="447"/>
        <w:gridCol w:w="878"/>
        <w:gridCol w:w="1149"/>
        <w:gridCol w:w="987"/>
        <w:gridCol w:w="99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277,119</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2.5184</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275,519</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92,773</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Gregory Russotti 2021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herein were effected pursuant to a Rule 10b5-1 trading plan adopted by the Reporting Person on January 9,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$2.50 to $2.54,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Title: Chief Technology and Manufacturing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67305" TargetMode="External"/><Relationship Id="rId4" Type="http://schemas.openxmlformats.org/officeDocument/2006/relationships/hyperlink" Target="http://www.sec.gov/cgi-bin/browse-edgar?action=getcompany&amp;CIK=0001850119"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3706</Characters>
  <CharactersWithSpaces>4311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