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17.jpeg" ContentType="image/jpeg"/>
  <Override PartName="/word/media/image16.jpeg" ContentType="image/jpeg"/>
  <Override PartName="/word/media/image15.jpeg" ContentType="image/jpeg"/>
  <Override PartName="/word/media/image14.jpeg" ContentType="image/jpeg"/>
  <Override PartName="/word/media/image13.jpeg" ContentType="image/jpeg"/>
  <Override PartName="/word/media/image12.jpeg" ContentType="image/jpeg"/>
  <Override PartName="/word/media/image11.jpeg" ContentType="image/jpeg"/>
  <Override PartName="/word/media/image22.jpeg" ContentType="image/jpeg"/>
  <Override PartName="/word/media/image4.jpeg" ContentType="image/jpeg"/>
  <Override PartName="/word/media/image10.jpeg" ContentType="image/jpeg"/>
  <Override PartName="/word/media/image21.jpeg" ContentType="image/jpeg"/>
  <Override PartName="/word/media/image3.jpeg" ContentType="image/jpeg"/>
  <Override PartName="/word/media/image20.jpeg" ContentType="image/jpeg"/>
  <Override PartName="/word/media/image19.jpeg" ContentType="image/jpeg"/>
  <Override PartName="/word/media/image2.jpeg" ContentType="image/jpeg"/>
  <Override PartName="/word/media/image18.jpeg" ContentType="image/jpeg"/>
  <Override PartName="/word/media/image1.jpeg" ContentType="image/jpeg"/>
  <Override PartName="/word/media/image5.jpeg" ContentType="image/jpeg"/>
  <Override PartName="/word/media/image6.jpeg" ContentType="image/jpeg"/>
  <Override PartName="/word/media/image7.jpeg" ContentType="image/jpeg"/>
  <Override PartName="/word/media/image8.jpeg" ContentType="image/jpeg"/>
  <Override PartName="/word/media/image9.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lineRule="atLeast" w:line="160" w:before="0" w:after="0"/>
        <w:ind w:left="0" w:right="0" w:hanging="0"/>
        <w:rPr/>
      </w:pPr>
      <w:hyperlink w:anchor="TOC">
        <w:bookmarkStart w:id="0" w:name="tm232137-1_def14a.htm"/>
        <w:bookmarkStart w:id="1" w:name="kstm2321371_def14a"/>
        <w:bookmarkEnd w:id="0"/>
        <w:bookmarkEnd w:id="1"/>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320" w:before="557" w:after="283"/>
        <w:ind w:left="1400" w:right="0" w:hanging="0"/>
        <w:jc w:val="center"/>
        <w:rPr>
          <w:rFonts w:ascii="Arial;Helvetica;sans-serif" w:hAnsi="Arial;Helvetica;sans-serif"/>
          <w:b w:val="false"/>
          <w:i w:val="false"/>
          <w:caps w:val="false"/>
          <w:smallCaps w:val="false"/>
          <w:color w:val="000000"/>
          <w:sz w:val="28"/>
        </w:rPr>
      </w:pPr>
      <w:r>
        <w:rPr>
          <w:rFonts w:ascii="Arial;Helvetica;sans-serif" w:hAnsi="Arial;Helvetica;sans-serif"/>
          <w:b w:val="false"/>
          <w:i w:val="false"/>
          <w:caps w:val="false"/>
          <w:smallCaps w:val="false"/>
          <w:color w:val="000000"/>
          <w:spacing w:val="-1"/>
          <w:sz w:val="28"/>
        </w:rPr>
        <w:t>UNITED STATES</w:t>
      </w:r>
      <w:r>
        <w:rPr>
          <w:rFonts w:ascii="Arial;Helvetica;sans-serif" w:hAnsi="Arial;Helvetica;sans-serif"/>
          <w:b w:val="false"/>
          <w:i w:val="false"/>
          <w:caps w:val="false"/>
          <w:smallCaps w:val="false"/>
          <w:color w:val="000000"/>
          <w:sz w:val="28"/>
        </w:rPr>
        <w:t xml:space="preserve"> </w:t>
      </w:r>
    </w:p>
    <w:p>
      <w:pPr>
        <w:pStyle w:val="TextBody"/>
        <w:spacing w:lineRule="atLeast" w:line="320" w:before="160" w:after="283"/>
        <w:jc w:val="center"/>
        <w:rPr>
          <w:rFonts w:ascii="Arial;Helvetica;sans-serif" w:hAnsi="Arial;Helvetica;sans-serif"/>
          <w:b w:val="false"/>
          <w:i w:val="false"/>
          <w:caps w:val="false"/>
          <w:smallCaps w:val="false"/>
          <w:color w:val="000000"/>
          <w:sz w:val="28"/>
        </w:rPr>
      </w:pPr>
      <w:r>
        <w:rPr>
          <w:rFonts w:ascii="Arial;Helvetica;sans-serif" w:hAnsi="Arial;Helvetica;sans-serif"/>
          <w:b w:val="false"/>
          <w:i w:val="false"/>
          <w:caps w:val="false"/>
          <w:smallCaps w:val="false"/>
          <w:color w:val="000000"/>
          <w:spacing w:val="-1"/>
          <w:sz w:val="28"/>
        </w:rPr>
        <w:t>SECURITIES AND EXCHANGE COMMISSION</w:t>
      </w:r>
      <w:r>
        <w:rPr>
          <w:rFonts w:ascii="Arial;Helvetica;sans-serif" w:hAnsi="Arial;Helvetica;sans-serif"/>
          <w:b w:val="false"/>
          <w:i w:val="false"/>
          <w:caps w:val="false"/>
          <w:smallCaps w:val="false"/>
          <w:color w:val="000000"/>
          <w:sz w:val="28"/>
        </w:rPr>
        <w:t xml:space="preserve"> </w:t>
      </w:r>
    </w:p>
    <w:p>
      <w:pPr>
        <w:pStyle w:val="TextBody"/>
        <w:spacing w:lineRule="atLeast" w:line="240" w:before="160" w:after="283"/>
        <w:jc w:val="center"/>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Washington, D.C. 20549</w:t>
      </w:r>
      <w:r>
        <w:rPr>
          <w:rFonts w:ascii="Arial;Helvetica;sans-serif" w:hAnsi="Arial;Helvetica;sans-serif"/>
          <w:b w:val="false"/>
          <w:i w:val="false"/>
          <w:caps w:val="false"/>
          <w:smallCaps w:val="false"/>
          <w:color w:val="000000"/>
          <w:spacing w:val="4"/>
          <w:sz w:val="20"/>
        </w:rPr>
        <w:t xml:space="preserve"> </w:t>
      </w:r>
    </w:p>
    <w:p>
      <w:pPr>
        <w:pStyle w:val="TextBody"/>
        <w:spacing w:lineRule="atLeast" w:line="320" w:before="240" w:after="283"/>
        <w:jc w:val="center"/>
        <w:rPr>
          <w:rFonts w:ascii="Arial;Helvetica;sans-serif" w:hAnsi="Arial;Helvetica;sans-serif"/>
          <w:b/>
          <w:i w:val="false"/>
          <w:caps w:val="false"/>
          <w:smallCaps w:val="false"/>
          <w:color w:val="000000"/>
          <w:sz w:val="28"/>
        </w:rPr>
      </w:pPr>
      <w:r>
        <w:rPr>
          <w:rFonts w:ascii="Arial;Helvetica;sans-serif" w:hAnsi="Arial;Helvetica;sans-serif"/>
          <w:b/>
          <w:i w:val="false"/>
          <w:caps w:val="false"/>
          <w:smallCaps w:val="false"/>
          <w:color w:val="000000"/>
          <w:spacing w:val="-4"/>
          <w:sz w:val="28"/>
        </w:rPr>
        <w:t>SCHEDULE 14A</w:t>
      </w:r>
      <w:r>
        <w:rPr>
          <w:rFonts w:ascii="Arial;Helvetica;sans-serif" w:hAnsi="Arial;Helvetica;sans-serif"/>
          <w:b/>
          <w:i w:val="false"/>
          <w:caps w:val="false"/>
          <w:smallCaps w:val="false"/>
          <w:color w:val="000000"/>
          <w:spacing w:val="6"/>
          <w:sz w:val="28"/>
        </w:rPr>
        <w:t xml:space="preserve"> </w:t>
      </w:r>
    </w:p>
    <w:p>
      <w:pPr>
        <w:pStyle w:val="TextBody"/>
        <w:spacing w:lineRule="atLeast" w:line="240" w:before="160" w:after="283"/>
        <w:jc w:val="center"/>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Proxy Statement Pursuant to Section 14(a) of the Securities Exchange Act of 1934</w:t>
      </w:r>
      <w:r>
        <w:rPr>
          <w:rFonts w:ascii="Arial;Helvetica;sans-serif" w:hAnsi="Arial;Helvetica;sans-serif"/>
          <w:b w:val="false"/>
          <w:i w:val="false"/>
          <w:caps w:val="false"/>
          <w:smallCaps w:val="false"/>
          <w:color w:val="000000"/>
          <w:spacing w:val="4"/>
          <w:sz w:val="20"/>
        </w:rPr>
        <w:t xml:space="preserve"> </w:t>
      </w:r>
    </w:p>
    <w:p>
      <w:pPr>
        <w:pStyle w:val="TextBody"/>
        <w:spacing w:lineRule="atLeast" w:line="240" w:before="160" w:after="283"/>
        <w:jc w:val="both"/>
        <w:rPr>
          <w:caps w:val="false"/>
          <w:smallCaps w:val="false"/>
          <w:color w:val="000000"/>
        </w:rPr>
      </w:pPr>
      <w:r>
        <w:rPr>
          <w:caps w:val="false"/>
          <w:smallCaps w:val="false"/>
          <w:color w:val="000000"/>
          <w:spacing w:val="-1"/>
        </w:rPr>
        <w:t xml:space="preserve">☒ </w:t>
      </w:r>
      <w:r>
        <w:rPr>
          <w:rFonts w:ascii="Arial;Helvetica;sans-serif" w:hAnsi="Arial;Helvetica;sans-serif"/>
          <w:b w:val="false"/>
          <w:i w:val="false"/>
          <w:caps w:val="false"/>
          <w:smallCaps w:val="false"/>
          <w:color w:val="000000"/>
          <w:spacing w:val="-1"/>
          <w:sz w:val="20"/>
        </w:rPr>
        <w:t>Filed by the Registrant ☐ Filed by a Party other than the Registrant</w:t>
      </w:r>
      <w:r>
        <w:rPr>
          <w:rFonts w:ascii="Arial;Helvetica;sans-serif" w:hAnsi="Arial;Helvetica;sans-serif"/>
          <w:b w:val="false"/>
          <w:i w:val="false"/>
          <w:caps w:val="false"/>
          <w:smallCaps w:val="false"/>
          <w:color w:val="000000"/>
          <w:spacing w:val="4"/>
          <w:sz w:val="20"/>
        </w:rPr>
        <w:t xml:space="preserve"> </w:t>
      </w:r>
    </w:p>
    <w:tbl>
      <w:tblPr>
        <w:tblW w:w="8805" w:type="dxa"/>
        <w:jc w:val="left"/>
        <w:tblInd w:w="1400" w:type="dxa"/>
        <w:tblCellMar>
          <w:top w:w="0" w:type="dxa"/>
          <w:left w:w="0" w:type="dxa"/>
          <w:bottom w:w="0" w:type="dxa"/>
          <w:right w:w="0" w:type="dxa"/>
        </w:tblCellMar>
      </w:tblPr>
      <w:tblGrid>
        <w:gridCol w:w="124"/>
        <w:gridCol w:w="109"/>
        <w:gridCol w:w="371"/>
        <w:gridCol w:w="109"/>
        <w:gridCol w:w="109"/>
        <w:gridCol w:w="7719"/>
        <w:gridCol w:w="109"/>
        <w:gridCol w:w="155"/>
      </w:tblGrid>
      <w:tr>
        <w:trPr/>
        <w:tc>
          <w:tcPr>
            <w:tcW w:w="124" w:type="dxa"/>
            <w:tcBorders/>
            <w:shd w:fill="auto" w:val="cle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8308" w:type="dxa"/>
            <w:gridSpan w:val="4"/>
            <w:tcBorders>
              <w:bottom w:val="single" w:sz="2" w:space="0" w:color="000000"/>
            </w:tcBorders>
            <w:shd w:fill="auto" w:val="clear"/>
            <w:tcMar>
              <w:bottom w:w="50" w:type="dxa"/>
            </w:tcMar>
            <w:vAlign w:val="center"/>
          </w:tcPr>
          <w:p>
            <w:pPr>
              <w:pStyle w:val="TableContents"/>
              <w:spacing w:before="0" w:after="283"/>
              <w:rPr/>
            </w:pPr>
            <w:r>
              <w:rPr>
                <w:spacing w:val="0"/>
              </w:rPr>
              <w:t>Check the appropriate box:</w:t>
            </w:r>
            <w:r>
              <w:rPr/>
              <w:t xml:space="preserve"> </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55" w:type="dxa"/>
            <w:tcBorders/>
            <w:shd w:fill="auto"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371" w:type="dxa"/>
            <w:tcBorders/>
            <w:shd w:fill="auto" w:val="clear"/>
            <w:vAlign w:val="center"/>
          </w:tcPr>
          <w:p>
            <w:pPr>
              <w:pStyle w:val="TableContents"/>
              <w:spacing w:before="0" w:after="283"/>
              <w:rPr>
                <w:spacing w:val="-1"/>
              </w:rPr>
            </w:pPr>
            <w:r>
              <w:rPr>
                <w:spacing w:val="-1"/>
              </w:rPr>
              <w:t xml:space="preserve">☐ </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7719" w:type="dxa"/>
            <w:tcBorders/>
            <w:shd w:fill="auto" w:val="clear"/>
            <w:vAlign w:val="center"/>
          </w:tcPr>
          <w:p>
            <w:pPr>
              <w:pStyle w:val="TableContents"/>
              <w:spacing w:before="0" w:after="0"/>
              <w:rPr>
                <w:b/>
              </w:rPr>
            </w:pPr>
            <w:r>
              <w:rPr>
                <w:b/>
                <w:spacing w:val="0"/>
              </w:rPr>
              <w:t>Preliminary Proxy Statement</w:t>
            </w:r>
            <w:r>
              <w:rPr>
                <w:b/>
              </w:rPr>
              <w:t xml:space="preserve"> </w:t>
            </w:r>
          </w:p>
        </w:tc>
        <w:tc>
          <w:tcPr>
            <w:tcW w:w="109" w:type="dxa"/>
            <w:tcBorders/>
            <w:shd w:fill="auto" w:val="clear"/>
            <w:vAlign w:val="center"/>
          </w:tcPr>
          <w:p>
            <w:pPr>
              <w:pStyle w:val="TableContents"/>
              <w:spacing w:before="0" w:after="283"/>
              <w:rPr/>
            </w:pPr>
            <w:r>
              <w:rPr/>
              <w:t>​</w:t>
            </w:r>
          </w:p>
        </w:tc>
        <w:tc>
          <w:tcPr>
            <w:tcW w:w="155" w:type="dxa"/>
            <w:tcBorders/>
            <w:shd w:fill="auto"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371" w:type="dxa"/>
            <w:tcBorders/>
            <w:shd w:fill="auto" w:val="clear"/>
            <w:vAlign w:val="center"/>
          </w:tcPr>
          <w:p>
            <w:pPr>
              <w:pStyle w:val="TableContents"/>
              <w:spacing w:before="0" w:after="283"/>
              <w:rPr>
                <w:spacing w:val="-1"/>
              </w:rPr>
            </w:pPr>
            <w:r>
              <w:rPr>
                <w:spacing w:val="-1"/>
              </w:rPr>
              <w:t xml:space="preserve">☐ </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7719" w:type="dxa"/>
            <w:tcBorders/>
            <w:shd w:fill="auto" w:val="clear"/>
            <w:vAlign w:val="center"/>
          </w:tcPr>
          <w:p>
            <w:pPr>
              <w:pStyle w:val="TableContents"/>
              <w:spacing w:before="0" w:after="0"/>
              <w:rPr>
                <w:b/>
              </w:rPr>
            </w:pPr>
            <w:r>
              <w:rPr>
                <w:b/>
                <w:spacing w:val="0"/>
              </w:rPr>
              <w:t>Confidential, for Use of the Commission Only (as permitted by Rule 14a-6(e)(2))</w:t>
            </w:r>
            <w:r>
              <w:rPr>
                <w:b/>
              </w:rPr>
              <w:t xml:space="preserve"> </w:t>
            </w:r>
          </w:p>
        </w:tc>
        <w:tc>
          <w:tcPr>
            <w:tcW w:w="109" w:type="dxa"/>
            <w:tcBorders/>
            <w:shd w:fill="auto" w:val="clear"/>
            <w:vAlign w:val="center"/>
          </w:tcPr>
          <w:p>
            <w:pPr>
              <w:pStyle w:val="TableContents"/>
              <w:spacing w:before="0" w:after="283"/>
              <w:rPr/>
            </w:pPr>
            <w:r>
              <w:rPr/>
              <w:t>​</w:t>
            </w:r>
          </w:p>
        </w:tc>
        <w:tc>
          <w:tcPr>
            <w:tcW w:w="155" w:type="dxa"/>
            <w:tcBorders/>
            <w:shd w:fill="auto"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371" w:type="dxa"/>
            <w:tcBorders/>
            <w:shd w:fill="auto" w:val="clear"/>
            <w:vAlign w:val="center"/>
          </w:tcPr>
          <w:p>
            <w:pPr>
              <w:pStyle w:val="TableContents"/>
              <w:spacing w:before="0" w:after="283"/>
              <w:rPr>
                <w:spacing w:val="-1"/>
              </w:rPr>
            </w:pPr>
            <w:r>
              <w:rPr>
                <w:spacing w:val="-1"/>
              </w:rPr>
              <w:t xml:space="preserve">☒ </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7719" w:type="dxa"/>
            <w:tcBorders/>
            <w:shd w:fill="auto" w:val="clear"/>
            <w:vAlign w:val="center"/>
          </w:tcPr>
          <w:p>
            <w:pPr>
              <w:pStyle w:val="TableContents"/>
              <w:spacing w:before="0" w:after="0"/>
              <w:rPr>
                <w:b/>
              </w:rPr>
            </w:pPr>
            <w:r>
              <w:rPr>
                <w:b/>
                <w:spacing w:val="0"/>
              </w:rPr>
              <w:t>Definitive Proxy Statement</w:t>
            </w:r>
            <w:r>
              <w:rPr>
                <w:b/>
              </w:rPr>
              <w:t xml:space="preserve"> </w:t>
            </w:r>
          </w:p>
        </w:tc>
        <w:tc>
          <w:tcPr>
            <w:tcW w:w="109" w:type="dxa"/>
            <w:tcBorders/>
            <w:shd w:fill="auto" w:val="clear"/>
            <w:vAlign w:val="center"/>
          </w:tcPr>
          <w:p>
            <w:pPr>
              <w:pStyle w:val="TableContents"/>
              <w:spacing w:before="0" w:after="283"/>
              <w:rPr/>
            </w:pPr>
            <w:r>
              <w:rPr/>
              <w:t>​</w:t>
            </w:r>
          </w:p>
        </w:tc>
        <w:tc>
          <w:tcPr>
            <w:tcW w:w="155" w:type="dxa"/>
            <w:tcBorders/>
            <w:shd w:fill="auto"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371" w:type="dxa"/>
            <w:tcBorders/>
            <w:shd w:fill="auto" w:val="clear"/>
            <w:vAlign w:val="center"/>
          </w:tcPr>
          <w:p>
            <w:pPr>
              <w:pStyle w:val="TableContents"/>
              <w:spacing w:before="0" w:after="283"/>
              <w:rPr>
                <w:spacing w:val="-1"/>
              </w:rPr>
            </w:pPr>
            <w:r>
              <w:rPr>
                <w:spacing w:val="-1"/>
              </w:rPr>
              <w:t xml:space="preserve">☐ </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7719" w:type="dxa"/>
            <w:tcBorders/>
            <w:shd w:fill="auto" w:val="clear"/>
            <w:vAlign w:val="center"/>
          </w:tcPr>
          <w:p>
            <w:pPr>
              <w:pStyle w:val="TableContents"/>
              <w:spacing w:before="0" w:after="0"/>
              <w:rPr>
                <w:b/>
              </w:rPr>
            </w:pPr>
            <w:r>
              <w:rPr>
                <w:b/>
                <w:spacing w:val="0"/>
              </w:rPr>
              <w:t>Definitive Additional Materials</w:t>
            </w:r>
            <w:r>
              <w:rPr>
                <w:b/>
              </w:rPr>
              <w:t xml:space="preserve"> </w:t>
            </w:r>
          </w:p>
        </w:tc>
        <w:tc>
          <w:tcPr>
            <w:tcW w:w="109" w:type="dxa"/>
            <w:tcBorders/>
            <w:shd w:fill="auto" w:val="clear"/>
            <w:vAlign w:val="center"/>
          </w:tcPr>
          <w:p>
            <w:pPr>
              <w:pStyle w:val="TableContents"/>
              <w:spacing w:before="0" w:after="283"/>
              <w:rPr/>
            </w:pPr>
            <w:r>
              <w:rPr/>
              <w:t>​</w:t>
            </w:r>
          </w:p>
        </w:tc>
        <w:tc>
          <w:tcPr>
            <w:tcW w:w="155" w:type="dxa"/>
            <w:tcBorders/>
            <w:shd w:fill="auto"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109" w:type="dxa"/>
            <w:tcBorders>
              <w:bottom w:val="single" w:sz="6" w:space="0" w:color="000000"/>
            </w:tcBorders>
            <w:shd w:fill="auto" w:val="clear"/>
            <w:tcMar>
              <w:bottom w:w="28" w:type="dxa"/>
            </w:tcMar>
            <w:vAlign w:val="center"/>
          </w:tcPr>
          <w:p>
            <w:pPr>
              <w:pStyle w:val="TableContents"/>
              <w:spacing w:before="0" w:after="283"/>
              <w:rPr/>
            </w:pPr>
            <w:r>
              <w:rPr/>
              <w:t>​</w:t>
            </w:r>
          </w:p>
        </w:tc>
        <w:tc>
          <w:tcPr>
            <w:tcW w:w="371" w:type="dxa"/>
            <w:tcBorders>
              <w:bottom w:val="single" w:sz="6" w:space="0" w:color="000000"/>
            </w:tcBorders>
            <w:shd w:fill="auto" w:val="clear"/>
            <w:tcMar>
              <w:bottom w:w="160" w:type="dxa"/>
            </w:tcMar>
            <w:vAlign w:val="center"/>
          </w:tcPr>
          <w:p>
            <w:pPr>
              <w:pStyle w:val="TableContents"/>
              <w:spacing w:before="0" w:after="283"/>
              <w:rPr>
                <w:spacing w:val="-1"/>
              </w:rPr>
            </w:pPr>
            <w:r>
              <w:rPr>
                <w:spacing w:val="-1"/>
              </w:rPr>
              <w:t xml:space="preserve">☐ </w:t>
            </w:r>
          </w:p>
        </w:tc>
        <w:tc>
          <w:tcPr>
            <w:tcW w:w="109" w:type="dxa"/>
            <w:tcBorders>
              <w:bottom w:val="single" w:sz="6" w:space="0" w:color="000000"/>
            </w:tcBorders>
            <w:shd w:fill="auto" w:val="clear"/>
            <w:tcMar>
              <w:bottom w:w="28" w:type="dxa"/>
            </w:tcMar>
            <w:vAlign w:val="center"/>
          </w:tcPr>
          <w:p>
            <w:pPr>
              <w:pStyle w:val="TableContents"/>
              <w:spacing w:before="0" w:after="283"/>
              <w:rPr/>
            </w:pPr>
            <w:r>
              <w:rPr/>
              <w:t>​</w:t>
            </w:r>
          </w:p>
        </w:tc>
        <w:tc>
          <w:tcPr>
            <w:tcW w:w="109" w:type="dxa"/>
            <w:tcBorders>
              <w:bottom w:val="single" w:sz="6" w:space="0" w:color="000000"/>
            </w:tcBorders>
            <w:shd w:fill="auto" w:val="clear"/>
            <w:tcMar>
              <w:bottom w:w="28" w:type="dxa"/>
            </w:tcMar>
            <w:vAlign w:val="center"/>
          </w:tcPr>
          <w:p>
            <w:pPr>
              <w:pStyle w:val="TableContents"/>
              <w:spacing w:before="0" w:after="283"/>
              <w:rPr/>
            </w:pPr>
            <w:r>
              <w:rPr/>
              <w:t>​</w:t>
            </w:r>
          </w:p>
        </w:tc>
        <w:tc>
          <w:tcPr>
            <w:tcW w:w="7719" w:type="dxa"/>
            <w:tcBorders>
              <w:bottom w:val="single" w:sz="6" w:space="0" w:color="000000"/>
            </w:tcBorders>
            <w:shd w:fill="auto" w:val="clear"/>
            <w:tcMar>
              <w:bottom w:w="160" w:type="dxa"/>
            </w:tcMar>
            <w:vAlign w:val="center"/>
          </w:tcPr>
          <w:p>
            <w:pPr>
              <w:pStyle w:val="TableContents"/>
              <w:spacing w:before="0" w:after="0"/>
              <w:rPr>
                <w:b/>
              </w:rPr>
            </w:pPr>
            <w:r>
              <w:rPr>
                <w:b/>
                <w:spacing w:val="0"/>
              </w:rPr>
              <w:t xml:space="preserve">Soliciting Material under </w:t>
            </w:r>
            <w:r>
              <w:rPr>
                <w:b/>
                <w:spacing w:val="-3"/>
              </w:rPr>
              <w:t>§</w:t>
            </w:r>
            <w:r>
              <w:rPr>
                <w:b/>
                <w:spacing w:val="0"/>
              </w:rPr>
              <w:t>240.14a-12</w:t>
            </w:r>
            <w:r>
              <w:rPr>
                <w:b/>
              </w:rPr>
              <w:t xml:space="preserve"> </w:t>
            </w:r>
          </w:p>
        </w:tc>
        <w:tc>
          <w:tcPr>
            <w:tcW w:w="109" w:type="dxa"/>
            <w:tcBorders>
              <w:bottom w:val="single" w:sz="6" w:space="0" w:color="000000"/>
            </w:tcBorders>
            <w:shd w:fill="auto" w:val="clear"/>
            <w:tcMar>
              <w:bottom w:w="28" w:type="dxa"/>
            </w:tcMar>
            <w:vAlign w:val="center"/>
          </w:tcPr>
          <w:p>
            <w:pPr>
              <w:pStyle w:val="TableContents"/>
              <w:spacing w:before="0" w:after="283"/>
              <w:rPr/>
            </w:pPr>
            <w:r>
              <w:rPr/>
              <w:t>​</w:t>
            </w:r>
          </w:p>
        </w:tc>
        <w:tc>
          <w:tcPr>
            <w:tcW w:w="155" w:type="dxa"/>
            <w:tcBorders/>
            <w:shd w:fill="auto" w:val="clear"/>
            <w:vAlign w:val="center"/>
          </w:tcPr>
          <w:p>
            <w:pPr>
              <w:pStyle w:val="TableContents"/>
              <w:spacing w:before="0" w:after="283"/>
              <w:rPr/>
            </w:pPr>
            <w:r>
              <w:rPr/>
              <w:t>​</w:t>
            </w:r>
          </w:p>
        </w:tc>
      </w:tr>
    </w:tbl>
    <w:p>
      <w:pPr>
        <w:pStyle w:val="TextBody"/>
        <w:spacing w:before="270" w:after="283"/>
        <w:ind w:left="1400" w:right="0" w:hanging="0"/>
        <w:jc w:val="center"/>
        <w:rPr>
          <w:caps w:val="false"/>
          <w:smallCaps w:val="false"/>
          <w:color w:val="000000"/>
        </w:rPr>
      </w:pPr>
      <w:r>
        <w:rPr>
          <w:caps w:val="false"/>
          <w:smallCaps w:val="false"/>
          <w:color w:val="000000"/>
        </w:rPr>
        <w:drawing>
          <wp:inline distT="0" distB="0" distL="0" distR="0">
            <wp:extent cx="2743200" cy="7905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743200" cy="790575"/>
                    </a:xfrm>
                    <a:prstGeom prst="rect">
                      <a:avLst/>
                    </a:prstGeom>
                  </pic:spPr>
                </pic:pic>
              </a:graphicData>
            </a:graphic>
          </wp:inline>
        </w:drawing>
      </w:r>
      <w:r>
        <w:rPr>
          <w:caps w:val="false"/>
          <w:smallCaps w:val="false"/>
          <w:color w:val="000000"/>
        </w:rPr>
        <w:t xml:space="preserve"> </w:t>
      </w:r>
    </w:p>
    <w:p>
      <w:pPr>
        <w:pStyle w:val="TextBody"/>
        <w:spacing w:lineRule="atLeast" w:line="320" w:before="340" w:after="283"/>
        <w:jc w:val="center"/>
        <w:rPr>
          <w:rFonts w:ascii="Arial;Helvetica;sans-serif" w:hAnsi="Arial;Helvetica;sans-serif"/>
          <w:b/>
          <w:i w:val="false"/>
          <w:caps w:val="false"/>
          <w:smallCaps w:val="false"/>
          <w:color w:val="000000"/>
          <w:sz w:val="28"/>
        </w:rPr>
      </w:pPr>
      <w:r>
        <w:rPr>
          <w:rFonts w:ascii="Arial;Helvetica;sans-serif" w:hAnsi="Arial;Helvetica;sans-serif"/>
          <w:b/>
          <w:i w:val="false"/>
          <w:caps w:val="false"/>
          <w:smallCaps w:val="false"/>
          <w:color w:val="000000"/>
          <w:spacing w:val="-4"/>
          <w:sz w:val="28"/>
        </w:rPr>
        <w:t>CENTURY THERAPEUTICS, INC.</w:t>
      </w:r>
      <w:r>
        <w:rPr>
          <w:rFonts w:ascii="Arial;Helvetica;sans-serif" w:hAnsi="Arial;Helvetica;sans-serif"/>
          <w:b/>
          <w:i w:val="false"/>
          <w:caps w:val="false"/>
          <w:smallCaps w:val="false"/>
          <w:color w:val="000000"/>
          <w:spacing w:val="6"/>
          <w:sz w:val="28"/>
        </w:rPr>
        <w:t xml:space="preserve"> </w:t>
      </w:r>
    </w:p>
    <w:p>
      <w:pPr>
        <w:pStyle w:val="TextBody"/>
        <w:spacing w:lineRule="atLeast" w:line="240" w:before="40" w:after="283"/>
        <w:jc w:val="center"/>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(Name of Registrant as Specified In Its Charter)</w:t>
      </w:r>
      <w:r>
        <w:rPr>
          <w:rFonts w:ascii="Arial;Helvetica;sans-serif" w:hAnsi="Arial;Helvetica;sans-serif"/>
          <w:b w:val="false"/>
          <w:i w:val="false"/>
          <w:caps w:val="false"/>
          <w:smallCaps w:val="false"/>
          <w:color w:val="000000"/>
          <w:spacing w:val="4"/>
          <w:sz w:val="20"/>
        </w:rPr>
        <w:t xml:space="preserve"> </w:t>
      </w:r>
    </w:p>
    <w:tbl>
      <w:tblPr>
        <w:tblW w:w="8805" w:type="dxa"/>
        <w:jc w:val="left"/>
        <w:tblInd w:w="1400" w:type="dxa"/>
        <w:tblCellMar>
          <w:top w:w="0" w:type="dxa"/>
          <w:left w:w="0" w:type="dxa"/>
          <w:bottom w:w="0" w:type="dxa"/>
          <w:right w:w="0" w:type="dxa"/>
        </w:tblCellMar>
      </w:tblPr>
      <w:tblGrid>
        <w:gridCol w:w="124"/>
        <w:gridCol w:w="109"/>
        <w:gridCol w:w="358"/>
        <w:gridCol w:w="109"/>
        <w:gridCol w:w="109"/>
        <w:gridCol w:w="7732"/>
        <w:gridCol w:w="109"/>
        <w:gridCol w:w="155"/>
      </w:tblGrid>
      <w:tr>
        <w:trPr/>
        <w:tc>
          <w:tcPr>
            <w:tcW w:w="124" w:type="dxa"/>
            <w:tcBorders/>
            <w:shd w:fill="auto" w:val="cle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8308" w:type="dxa"/>
            <w:gridSpan w:val="4"/>
            <w:tcBorders>
              <w:bottom w:val="single" w:sz="2" w:space="0" w:color="000000"/>
            </w:tcBorders>
            <w:shd w:fill="auto" w:val="clear"/>
            <w:tcMar>
              <w:bottom w:w="50" w:type="dxa"/>
            </w:tcMar>
            <w:vAlign w:val="center"/>
          </w:tcPr>
          <w:p>
            <w:pPr>
              <w:pStyle w:val="TableContents"/>
              <w:spacing w:before="0" w:after="283"/>
              <w:rPr>
                <w:spacing w:val="-1"/>
              </w:rPr>
            </w:pPr>
            <w:r>
              <w:rPr>
                <w:spacing w:val="-1"/>
              </w:rPr>
              <w:t xml:space="preserve">Payment of Filing Fee (Check all boxes that apply): </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55" w:type="dxa"/>
            <w:tcBorders/>
            <w:shd w:fill="auto"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358" w:type="dxa"/>
            <w:tcBorders/>
            <w:shd w:fill="auto" w:val="clear"/>
            <w:vAlign w:val="center"/>
          </w:tcPr>
          <w:p>
            <w:pPr>
              <w:pStyle w:val="TableContents"/>
              <w:spacing w:before="0" w:after="283"/>
              <w:rPr>
                <w:spacing w:val="-1"/>
              </w:rPr>
            </w:pPr>
            <w:r>
              <w:rPr>
                <w:spacing w:val="-1"/>
              </w:rPr>
              <w:t xml:space="preserve">☒ </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7732" w:type="dxa"/>
            <w:tcBorders/>
            <w:shd w:fill="auto" w:val="clear"/>
            <w:vAlign w:val="center"/>
          </w:tcPr>
          <w:p>
            <w:pPr>
              <w:pStyle w:val="TableContents"/>
              <w:spacing w:before="0" w:after="0"/>
              <w:rPr>
                <w:b/>
              </w:rPr>
            </w:pPr>
            <w:r>
              <w:rPr>
                <w:b/>
                <w:spacing w:val="0"/>
              </w:rPr>
              <w:t>No fee required</w:t>
            </w:r>
            <w:r>
              <w:rPr>
                <w:b/>
              </w:rPr>
              <w:t xml:space="preserve"> </w:t>
            </w:r>
          </w:p>
        </w:tc>
        <w:tc>
          <w:tcPr>
            <w:tcW w:w="109" w:type="dxa"/>
            <w:tcBorders/>
            <w:shd w:fill="auto" w:val="clear"/>
            <w:vAlign w:val="center"/>
          </w:tcPr>
          <w:p>
            <w:pPr>
              <w:pStyle w:val="TableContents"/>
              <w:spacing w:before="0" w:after="283"/>
              <w:rPr/>
            </w:pPr>
            <w:r>
              <w:rPr/>
              <w:t>​</w:t>
            </w:r>
          </w:p>
        </w:tc>
        <w:tc>
          <w:tcPr>
            <w:tcW w:w="155" w:type="dxa"/>
            <w:tcBorders/>
            <w:shd w:fill="auto"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358" w:type="dxa"/>
            <w:tcBorders/>
            <w:shd w:fill="auto" w:val="clear"/>
            <w:vAlign w:val="center"/>
          </w:tcPr>
          <w:p>
            <w:pPr>
              <w:pStyle w:val="TableContents"/>
              <w:spacing w:before="0" w:after="283"/>
              <w:rPr>
                <w:spacing w:val="-1"/>
              </w:rPr>
            </w:pPr>
            <w:r>
              <w:rPr>
                <w:spacing w:val="-1"/>
              </w:rPr>
              <w:t xml:space="preserve">☐ </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7732" w:type="dxa"/>
            <w:tcBorders/>
            <w:shd w:fill="auto" w:val="clear"/>
            <w:vAlign w:val="center"/>
          </w:tcPr>
          <w:p>
            <w:pPr>
              <w:pStyle w:val="TableContents"/>
              <w:spacing w:before="0" w:after="0"/>
              <w:rPr>
                <w:b/>
              </w:rPr>
            </w:pPr>
            <w:r>
              <w:rPr>
                <w:b/>
                <w:spacing w:val="0"/>
              </w:rPr>
              <w:t>Fee paid previously with preliminary materials</w:t>
            </w:r>
            <w:r>
              <w:rPr>
                <w:b/>
              </w:rPr>
              <w:t xml:space="preserve"> </w:t>
            </w:r>
          </w:p>
        </w:tc>
        <w:tc>
          <w:tcPr>
            <w:tcW w:w="109" w:type="dxa"/>
            <w:tcBorders/>
            <w:shd w:fill="auto" w:val="clear"/>
            <w:vAlign w:val="center"/>
          </w:tcPr>
          <w:p>
            <w:pPr>
              <w:pStyle w:val="TableContents"/>
              <w:spacing w:before="0" w:after="283"/>
              <w:rPr/>
            </w:pPr>
            <w:r>
              <w:rPr/>
              <w:t>​</w:t>
            </w:r>
          </w:p>
        </w:tc>
        <w:tc>
          <w:tcPr>
            <w:tcW w:w="155" w:type="dxa"/>
            <w:tcBorders/>
            <w:shd w:fill="auto"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109" w:type="dxa"/>
            <w:tcBorders>
              <w:bottom w:val="single" w:sz="6" w:space="0" w:color="000000"/>
            </w:tcBorders>
            <w:shd w:fill="auto" w:val="clear"/>
            <w:tcMar>
              <w:bottom w:w="28" w:type="dxa"/>
            </w:tcMar>
            <w:vAlign w:val="center"/>
          </w:tcPr>
          <w:p>
            <w:pPr>
              <w:pStyle w:val="TableContents"/>
              <w:spacing w:before="0" w:after="283"/>
              <w:rPr/>
            </w:pPr>
            <w:r>
              <w:rPr/>
              <w:t>​</w:t>
            </w:r>
          </w:p>
        </w:tc>
        <w:tc>
          <w:tcPr>
            <w:tcW w:w="358" w:type="dxa"/>
            <w:tcBorders>
              <w:bottom w:val="single" w:sz="6" w:space="0" w:color="000000"/>
            </w:tcBorders>
            <w:shd w:fill="auto" w:val="clear"/>
            <w:tcMar>
              <w:bottom w:w="160" w:type="dxa"/>
            </w:tcMar>
            <w:vAlign w:val="center"/>
          </w:tcPr>
          <w:p>
            <w:pPr>
              <w:pStyle w:val="TableContents"/>
              <w:spacing w:before="0" w:after="283"/>
              <w:rPr>
                <w:spacing w:val="-1"/>
              </w:rPr>
            </w:pPr>
            <w:r>
              <w:rPr>
                <w:spacing w:val="-1"/>
              </w:rPr>
              <w:t xml:space="preserve">☐ </w:t>
            </w:r>
          </w:p>
        </w:tc>
        <w:tc>
          <w:tcPr>
            <w:tcW w:w="109" w:type="dxa"/>
            <w:tcBorders>
              <w:bottom w:val="single" w:sz="6" w:space="0" w:color="000000"/>
            </w:tcBorders>
            <w:shd w:fill="auto" w:val="clear"/>
            <w:tcMar>
              <w:bottom w:w="28" w:type="dxa"/>
            </w:tcMar>
            <w:vAlign w:val="center"/>
          </w:tcPr>
          <w:p>
            <w:pPr>
              <w:pStyle w:val="TableContents"/>
              <w:spacing w:before="0" w:after="283"/>
              <w:rPr/>
            </w:pPr>
            <w:r>
              <w:rPr/>
              <w:t>​</w:t>
            </w:r>
          </w:p>
        </w:tc>
        <w:tc>
          <w:tcPr>
            <w:tcW w:w="109" w:type="dxa"/>
            <w:tcBorders>
              <w:bottom w:val="single" w:sz="6" w:space="0" w:color="000000"/>
            </w:tcBorders>
            <w:shd w:fill="auto" w:val="clear"/>
            <w:tcMar>
              <w:bottom w:w="28" w:type="dxa"/>
            </w:tcMar>
            <w:vAlign w:val="center"/>
          </w:tcPr>
          <w:p>
            <w:pPr>
              <w:pStyle w:val="TableContents"/>
              <w:spacing w:before="0" w:after="283"/>
              <w:rPr/>
            </w:pPr>
            <w:r>
              <w:rPr/>
              <w:t>​</w:t>
            </w:r>
          </w:p>
        </w:tc>
        <w:tc>
          <w:tcPr>
            <w:tcW w:w="7732" w:type="dxa"/>
            <w:tcBorders>
              <w:bottom w:val="single" w:sz="6" w:space="0" w:color="000000"/>
            </w:tcBorders>
            <w:shd w:fill="auto" w:val="clear"/>
            <w:tcMar>
              <w:bottom w:w="160" w:type="dxa"/>
            </w:tcMar>
            <w:vAlign w:val="center"/>
          </w:tcPr>
          <w:p>
            <w:pPr>
              <w:pStyle w:val="TableContents"/>
              <w:spacing w:before="0" w:after="0"/>
              <w:rPr>
                <w:b/>
              </w:rPr>
            </w:pPr>
            <w:r>
              <w:rPr>
                <w:b/>
                <w:spacing w:val="0"/>
              </w:rPr>
              <w:t>Fee computed on table in exhibit required by Item 25(b) per Exchange Act Rules 14a-6(i)(1) and 0-11</w:t>
            </w:r>
            <w:r>
              <w:rPr>
                <w:b/>
              </w:rPr>
              <w:t xml:space="preserve"> </w:t>
            </w:r>
          </w:p>
        </w:tc>
        <w:tc>
          <w:tcPr>
            <w:tcW w:w="109" w:type="dxa"/>
            <w:tcBorders>
              <w:bottom w:val="single" w:sz="6" w:space="0" w:color="000000"/>
            </w:tcBorders>
            <w:shd w:fill="auto" w:val="clear"/>
            <w:tcMar>
              <w:bottom w:w="28" w:type="dxa"/>
            </w:tcMar>
            <w:vAlign w:val="center"/>
          </w:tcPr>
          <w:p>
            <w:pPr>
              <w:pStyle w:val="TableContents"/>
              <w:spacing w:before="0" w:after="283"/>
              <w:rPr/>
            </w:pPr>
            <w:r>
              <w:rPr/>
              <w:t>​</w:t>
            </w:r>
          </w:p>
        </w:tc>
        <w:tc>
          <w:tcPr>
            <w:tcW w:w="155" w:type="dxa"/>
            <w:tcBorders/>
            <w:shd w:fill="auto" w:val="clear"/>
            <w:vAlign w:val="center"/>
          </w:tcPr>
          <w:p>
            <w:pPr>
              <w:pStyle w:val="TableContents"/>
              <w:spacing w:before="0" w:after="283"/>
              <w:rPr/>
            </w:pPr>
            <w:r>
              <w:rPr/>
              <w:t>​</w:t>
            </w:r>
          </w:p>
        </w:tc>
      </w:tr>
    </w:tbl>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400" w:before="640" w:after="283"/>
        <w:ind w:left="960" w:right="0" w:hanging="0"/>
        <w:rPr>
          <w:caps w:val="false"/>
          <w:smallCaps w:val="false"/>
          <w:color w:val="000000"/>
        </w:rPr>
      </w:pPr>
      <w:r>
        <w:rPr>
          <w:caps w:val="false"/>
          <w:smallCaps w:val="false"/>
          <w:color w:val="000000"/>
          <w:spacing w:val="-5"/>
        </w:rPr>
        <w:t> </w:t>
      </w:r>
      <w:r>
        <w:rPr>
          <w:caps w:val="false"/>
          <w:smallCaps w:val="false"/>
          <w:color w:val="000000"/>
        </w:rPr>
        <w:t xml:space="preserve"> </w:t>
      </w:r>
    </w:p>
    <w:p>
      <w:pPr>
        <w:pStyle w:val="TextBody"/>
        <w:spacing w:before="240" w:after="834"/>
        <w:ind w:left="960" w:right="0" w:hanging="0"/>
        <w:jc w:val="center"/>
        <w:rPr>
          <w:caps w:val="false"/>
          <w:smallCaps w:val="false"/>
          <w:color w:val="000000"/>
        </w:rPr>
      </w:pPr>
      <w:r>
        <w:rPr>
          <w:caps w:val="false"/>
          <w:smallCaps w:val="false"/>
          <w:color w:val="000000"/>
        </w:rPr>
        <w:drawing>
          <wp:inline distT="0" distB="0" distL="0" distR="0">
            <wp:extent cx="2743200" cy="7905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2743200" cy="790575"/>
                    </a:xfrm>
                    <a:prstGeom prst="rect">
                      <a:avLst/>
                    </a:prstGeom>
                  </pic:spPr>
                </pic:pic>
              </a:graphicData>
            </a:graphic>
          </wp:inline>
        </w:drawing>
      </w:r>
      <w:r>
        <w:rPr>
          <w:caps w:val="false"/>
          <w:smallCaps w:val="false"/>
          <w:color w:val="000000"/>
        </w:rPr>
        <w:t xml:space="preserve"> </w:t>
      </w:r>
    </w:p>
    <w:p>
      <w:pPr>
        <w:pStyle w:val="TextBody"/>
        <w:spacing w:lineRule="atLeast" w:line="240" w:before="340" w:after="283"/>
        <w:jc w:val="center"/>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0"/>
          <w:sz w:val="20"/>
        </w:rPr>
        <w:t>3675 Market Street</w:t>
      </w:r>
      <w:r>
        <w:rPr>
          <w:rFonts w:ascii="Arial;Helvetica;sans-serif" w:hAnsi="Arial;Helvetica;sans-serif"/>
          <w:b/>
          <w:i w:val="false"/>
          <w:caps w:val="false"/>
          <w:smallCaps w:val="false"/>
          <w:color w:val="000000"/>
          <w:sz w:val="20"/>
        </w:rPr>
        <w:t xml:space="preserve"> </w:t>
        <w:br/>
      </w:r>
      <w:r>
        <w:rPr>
          <w:rFonts w:ascii="Arial;Helvetica;sans-serif" w:hAnsi="Arial;Helvetica;sans-serif"/>
          <w:b/>
          <w:i w:val="false"/>
          <w:caps w:val="false"/>
          <w:smallCaps w:val="false"/>
          <w:color w:val="000000"/>
          <w:spacing w:val="0"/>
          <w:sz w:val="20"/>
        </w:rPr>
        <w:t>Philadelphia, Pennsylvania 19104</w:t>
      </w:r>
      <w:r>
        <w:rPr>
          <w:rFonts w:ascii="Arial;Helvetica;sans-serif" w:hAnsi="Arial;Helvetica;sans-serif"/>
          <w:b/>
          <w:i w:val="false"/>
          <w:caps w:val="false"/>
          <w:smallCaps w:val="false"/>
          <w:color w:val="000000"/>
          <w:spacing w:val="4"/>
          <w:sz w:val="20"/>
        </w:rPr>
        <w:t xml:space="preserve"> </w:t>
      </w:r>
    </w:p>
    <w:p>
      <w:pPr>
        <w:pStyle w:val="TextBody"/>
        <w:spacing w:lineRule="atLeast" w:line="240" w:before="240" w:after="283"/>
        <w:jc w:val="center"/>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3"/>
          <w:sz w:val="20"/>
        </w:rPr>
        <w:t>2023 ANNUAL MEETING OF STOCKHOLDERS</w:t>
      </w:r>
      <w:r>
        <w:rPr>
          <w:rFonts w:ascii="Arial;Helvetica;sans-serif" w:hAnsi="Arial;Helvetica;sans-serif"/>
          <w:b/>
          <w:i w:val="false"/>
          <w:caps w:val="false"/>
          <w:smallCaps w:val="false"/>
          <w:color w:val="000000"/>
          <w:sz w:val="20"/>
        </w:rPr>
        <w:t xml:space="preserve"> </w:t>
        <w:br/>
      </w:r>
      <w:r>
        <w:rPr>
          <w:rFonts w:ascii="Arial;Helvetica;sans-serif" w:hAnsi="Arial;Helvetica;sans-serif"/>
          <w:b/>
          <w:i w:val="false"/>
          <w:caps w:val="false"/>
          <w:smallCaps w:val="false"/>
          <w:color w:val="000000"/>
          <w:spacing w:val="0"/>
          <w:sz w:val="20"/>
        </w:rPr>
        <w:t>To be Held on June 27, 2023</w:t>
      </w:r>
      <w:r>
        <w:rPr>
          <w:rFonts w:ascii="Arial;Helvetica;sans-serif" w:hAnsi="Arial;Helvetica;sans-serif"/>
          <w:b/>
          <w:i w:val="false"/>
          <w:caps w:val="false"/>
          <w:smallCaps w:val="false"/>
          <w:color w:val="000000"/>
          <w:spacing w:val="4"/>
          <w:sz w:val="20"/>
        </w:rPr>
        <w:t xml:space="preserve"> </w:t>
      </w:r>
    </w:p>
    <w:p>
      <w:pPr>
        <w:pStyle w:val="TextBody"/>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April 28, 2023</w:t>
      </w:r>
      <w:r>
        <w:rPr>
          <w:rFonts w:ascii="Arial;Helvetica;sans-serif" w:hAnsi="Arial;Helvetica;sans-serif"/>
          <w:b w:val="false"/>
          <w:i w:val="false"/>
          <w:caps w:val="false"/>
          <w:smallCaps w:val="false"/>
          <w:color w:val="000000"/>
          <w:spacing w:val="4"/>
          <w:sz w:val="20"/>
        </w:rPr>
        <w:t xml:space="preserve"> </w:t>
      </w:r>
    </w:p>
    <w:p>
      <w:pPr>
        <w:pStyle w:val="TextBody"/>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Dear Stockholder:</w:t>
      </w:r>
      <w:r>
        <w:rPr>
          <w:rFonts w:ascii="Arial;Helvetica;sans-serif" w:hAnsi="Arial;Helvetica;sans-serif"/>
          <w:b w:val="false"/>
          <w:i w:val="false"/>
          <w:caps w:val="false"/>
          <w:smallCaps w:val="false"/>
          <w:color w:val="000000"/>
          <w:spacing w:val="4"/>
          <w:sz w:val="20"/>
        </w:rPr>
        <w:t xml:space="preserve"> </w:t>
      </w:r>
    </w:p>
    <w:p>
      <w:pPr>
        <w:pStyle w:val="TextBody"/>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We are pleased to invite you to attend the 2023 Annual Meeting of Stockholders of Century Therapeutics, Inc., or the Annual Meeting, which will be held at 9:00 a.m., Eastern Time, on Tuesday, June 27, 2023. The Annual Meeting will be held in virtual meeting format only. You will not be able to attend the Annual Meeting physically. We believe that the virtual meeting format enables stockholders to attend and participate from any location around the world at no cost, provides for cost savings to Century Therapeutics, Inc. and reduces the environmental impact of our Annual Meeting. The Annual Meeting can be accessed via the Internet at https://web.lumiagm.com/265375813, using the password century2023.</w:t>
      </w:r>
      <w:r>
        <w:rPr>
          <w:rFonts w:ascii="Arial;Helvetica;sans-serif" w:hAnsi="Arial;Helvetica;sans-serif"/>
          <w:b w:val="false"/>
          <w:i w:val="false"/>
          <w:caps w:val="false"/>
          <w:smallCaps w:val="false"/>
          <w:color w:val="000000"/>
          <w:spacing w:val="4"/>
          <w:sz w:val="20"/>
        </w:rPr>
        <w:t xml:space="preserve"> </w:t>
      </w:r>
    </w:p>
    <w:p>
      <w:pPr>
        <w:pStyle w:val="TextBody"/>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Details regarding the business to be conducted at the Annual Meeting are more fully described in the accompanying Notice of 2023 Annual Meeting of Stockholders, or the Notice, and 2023 Annual Meeting Proxy Statement, or the Proxy Statement. Other than the proposals described in the Proxy Statement, our Board of Directors is not aware of any other matters to be presented for a vote at the Annual Meeting. We are pleased to take advantage of the Securities and Exchange Commission, or SEC, rules that allow companies to furnish their proxy materials over the Internet.</w:t>
      </w:r>
      <w:r>
        <w:rPr>
          <w:rFonts w:ascii="Arial;Helvetica;sans-serif" w:hAnsi="Arial;Helvetica;sans-serif"/>
          <w:b w:val="false"/>
          <w:i w:val="false"/>
          <w:caps w:val="false"/>
          <w:smallCaps w:val="false"/>
          <w:color w:val="000000"/>
          <w:spacing w:val="4"/>
          <w:sz w:val="20"/>
        </w:rPr>
        <w:t xml:space="preserve"> </w:t>
      </w:r>
    </w:p>
    <w:p>
      <w:pPr>
        <w:pStyle w:val="TextBody"/>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i w:val="false"/>
          <w:caps w:val="false"/>
          <w:smallCaps w:val="false"/>
          <w:color w:val="000000"/>
          <w:spacing w:val="0"/>
          <w:sz w:val="20"/>
        </w:rPr>
        <w:t>Your vote is important</w:t>
      </w:r>
      <w:r>
        <w:rPr>
          <w:rFonts w:ascii="Arial;Helvetica;sans-serif" w:hAnsi="Arial;Helvetica;sans-serif"/>
          <w:b w:val="false"/>
          <w:i w:val="false"/>
          <w:caps w:val="false"/>
          <w:smallCaps w:val="false"/>
          <w:color w:val="000000"/>
          <w:spacing w:val="-1"/>
          <w:sz w:val="20"/>
        </w:rPr>
        <w:t>. Whether or not you plan to virtually attend the Annual Meeting, we encourage you to vote as soon as possible to ensure that your shares are represented. Information about voting methods is set forth in the accompanying Notice and Proxy Statement.</w:t>
      </w:r>
      <w:r>
        <w:rPr>
          <w:rFonts w:ascii="Arial;Helvetica;sans-serif" w:hAnsi="Arial;Helvetica;sans-serif"/>
          <w:b w:val="false"/>
          <w:i w:val="false"/>
          <w:caps w:val="false"/>
          <w:smallCaps w:val="false"/>
          <w:color w:val="000000"/>
          <w:spacing w:val="4"/>
          <w:sz w:val="20"/>
        </w:rPr>
        <w:t xml:space="preserve"> </w:t>
      </w:r>
    </w:p>
    <w:p>
      <w:pPr>
        <w:pStyle w:val="TextBody"/>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If you have any questions with respect to voting, please call our Chief Financial Officer, Michael Diem, at (267) 817-5790.</w:t>
      </w:r>
      <w:r>
        <w:rPr>
          <w:rFonts w:ascii="Arial;Helvetica;sans-serif" w:hAnsi="Arial;Helvetica;sans-serif"/>
          <w:b w:val="false"/>
          <w:i w:val="false"/>
          <w:caps w:val="false"/>
          <w:smallCaps w:val="false"/>
          <w:color w:val="000000"/>
          <w:spacing w:val="4"/>
          <w:sz w:val="20"/>
        </w:rPr>
        <w:t xml:space="preserve"> </w:t>
      </w:r>
    </w:p>
    <w:p>
      <w:pPr>
        <w:pStyle w:val="TextBody"/>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Sincerely,</w:t>
      </w:r>
      <w:r>
        <w:rPr>
          <w:rFonts w:ascii="Arial;Helvetica;sans-serif" w:hAnsi="Arial;Helvetica;sans-serif"/>
          <w:b w:val="false"/>
          <w:i w:val="false"/>
          <w:caps w:val="false"/>
          <w:smallCaps w:val="false"/>
          <w:color w:val="000000"/>
          <w:spacing w:val="4"/>
          <w:sz w:val="20"/>
        </w:rPr>
        <w:t xml:space="preserve"> </w:t>
      </w:r>
    </w:p>
    <w:tbl>
      <w:tblPr>
        <w:tblW w:w="8466" w:type="dxa"/>
        <w:jc w:val="left"/>
        <w:tblInd w:w="960" w:type="dxa"/>
        <w:tblCellMar>
          <w:top w:w="0" w:type="dxa"/>
          <w:left w:w="0" w:type="dxa"/>
          <w:bottom w:w="0" w:type="dxa"/>
          <w:right w:w="0" w:type="dxa"/>
        </w:tblCellMar>
      </w:tblPr>
      <w:tblGrid>
        <w:gridCol w:w="124"/>
        <w:gridCol w:w="3503"/>
        <w:gridCol w:w="109"/>
        <w:gridCol w:w="109"/>
        <w:gridCol w:w="4467"/>
        <w:gridCol w:w="154"/>
      </w:tblGrid>
      <w:tr>
        <w:trPr/>
        <w:tc>
          <w:tcPr>
            <w:tcW w:w="124" w:type="dxa"/>
            <w:tcBorders/>
            <w:shd w:fill="auto" w:val="clear"/>
            <w:vAlign w:val="center"/>
          </w:tcPr>
          <w:p>
            <w:pPr>
              <w:pStyle w:val="TableContents"/>
              <w:spacing w:before="0" w:after="283"/>
              <w:rPr/>
            </w:pPr>
            <w:r>
              <w:rPr/>
              <w:t>​</w:t>
            </w:r>
          </w:p>
        </w:tc>
        <w:tc>
          <w:tcPr>
            <w:tcW w:w="3503" w:type="dxa"/>
            <w:tcBorders/>
            <w:shd w:fill="auto" w:val="clear"/>
            <w:vAlign w:val="center"/>
          </w:tcPr>
          <w:p>
            <w:pPr>
              <w:pStyle w:val="TableContents"/>
              <w:spacing w:before="0" w:after="0"/>
              <w:ind w:left="200" w:right="0" w:hanging="0"/>
              <w:rPr/>
            </w:pPr>
            <w:r>
              <w:rPr>
                <w:spacing w:val="-1"/>
              </w:rPr>
              <w:t xml:space="preserve">/s/ Joseph Jimenez </w:t>
            </w:r>
            <w:r>
              <w:rPr/>
              <w:br/>
            </w:r>
            <w:r>
              <w:rPr>
                <w:spacing w:val="-1"/>
              </w:rPr>
              <w:t xml:space="preserve">Joseph Jimenez </w:t>
            </w:r>
            <w:r>
              <w:rPr/>
              <w:br/>
            </w:r>
            <w:r>
              <w:rPr>
                <w:spacing w:val="-1"/>
              </w:rPr>
              <w:t xml:space="preserve">Chairman of the Board of Directors </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4467" w:type="dxa"/>
            <w:tcBorders/>
            <w:shd w:fill="auto" w:val="clear"/>
            <w:vAlign w:val="center"/>
          </w:tcPr>
          <w:p>
            <w:pPr>
              <w:pStyle w:val="TableContents"/>
              <w:spacing w:before="0" w:after="283"/>
              <w:rPr/>
            </w:pPr>
            <w:r>
              <w:rPr>
                <w:spacing w:val="-1"/>
              </w:rPr>
              <w:t xml:space="preserve">/s/ Greg Russotti, Ph.D. </w:t>
            </w:r>
            <w:r>
              <w:rPr/>
              <w:br/>
            </w:r>
            <w:r>
              <w:rPr>
                <w:spacing w:val="-1"/>
              </w:rPr>
              <w:t xml:space="preserve">Greg Russotti, Ph.D. </w:t>
            </w:r>
            <w:r>
              <w:rPr/>
              <w:br/>
            </w:r>
            <w:r>
              <w:rPr>
                <w:spacing w:val="-1"/>
              </w:rPr>
              <w:t>Interim President and Chief Executive Officer</w:t>
            </w:r>
            <w:r>
              <w:rPr/>
              <w:t xml:space="preserve"> </w:t>
            </w:r>
          </w:p>
        </w:tc>
        <w:tc>
          <w:tcPr>
            <w:tcW w:w="154" w:type="dxa"/>
            <w:tcBorders/>
            <w:shd w:fill="auto" w:val="clear"/>
            <w:vAlign w:val="center"/>
          </w:tcPr>
          <w:p>
            <w:pPr>
              <w:pStyle w:val="TableContents"/>
              <w:spacing w:before="0" w:after="283"/>
              <w:rPr/>
            </w:pPr>
            <w:r>
              <w:rPr/>
              <w:t>​</w:t>
            </w:r>
          </w:p>
        </w:tc>
      </w:tr>
    </w:tbl>
    <w:p>
      <w:pPr>
        <w:pStyle w:val="TextBody"/>
        <w:spacing w:lineRule="atLeast" w:line="240" w:before="240" w:after="283"/>
        <w:ind w:left="960" w:right="0" w:hanging="0"/>
        <w:jc w:val="center"/>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3"/>
          <w:sz w:val="20"/>
        </w:rPr>
        <w:t>THIS PROXY STATEMENT AND ENCLOSED PROXY CARD ARE</w:t>
      </w:r>
      <w:r>
        <w:rPr>
          <w:rFonts w:ascii="Arial;Helvetica;sans-serif" w:hAnsi="Arial;Helvetica;sans-serif"/>
          <w:b/>
          <w:i w:val="false"/>
          <w:caps w:val="false"/>
          <w:smallCaps w:val="false"/>
          <w:color w:val="000000"/>
          <w:sz w:val="20"/>
        </w:rPr>
        <w:t xml:space="preserve"> </w:t>
        <w:br/>
      </w:r>
      <w:r>
        <w:rPr>
          <w:rFonts w:ascii="Arial;Helvetica;sans-serif" w:hAnsi="Arial;Helvetica;sans-serif"/>
          <w:b/>
          <w:i w:val="false"/>
          <w:caps w:val="false"/>
          <w:smallCaps w:val="false"/>
          <w:color w:val="000000"/>
          <w:spacing w:val="-3"/>
          <w:sz w:val="20"/>
        </w:rPr>
        <w:t>FIRST BEING MADE AVAILABLE ON OR ABOUT APRIL 28, 2023.</w:t>
      </w:r>
      <w:r>
        <w:rPr>
          <w:rFonts w:ascii="Arial;Helvetica;sans-serif" w:hAnsi="Arial;Helvetica;sans-serif"/>
          <w:b/>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400" w:before="640" w:after="283"/>
        <w:ind w:left="960" w:right="0" w:hanging="0"/>
        <w:rPr>
          <w:caps w:val="false"/>
          <w:smallCaps w:val="false"/>
          <w:color w:val="000000"/>
        </w:rPr>
      </w:pPr>
      <w:r>
        <w:rPr>
          <w:caps w:val="false"/>
          <w:smallCaps w:val="false"/>
          <w:color w:val="000000"/>
          <w:spacing w:val="-5"/>
        </w:rPr>
        <w:t> </w:t>
      </w:r>
      <w:r>
        <w:rPr>
          <w:caps w:val="false"/>
          <w:smallCaps w:val="false"/>
          <w:color w:val="000000"/>
        </w:rPr>
        <w:t xml:space="preserve"> </w:t>
      </w:r>
    </w:p>
    <w:p>
      <w:pPr>
        <w:pStyle w:val="TextBody"/>
        <w:spacing w:before="240" w:after="834"/>
        <w:ind w:left="960" w:right="0" w:hanging="0"/>
        <w:jc w:val="center"/>
        <w:rPr>
          <w:caps w:val="false"/>
          <w:smallCaps w:val="false"/>
          <w:color w:val="000000"/>
        </w:rPr>
      </w:pPr>
      <w:r>
        <w:rPr>
          <w:caps w:val="false"/>
          <w:smallCaps w:val="false"/>
          <w:color w:val="000000"/>
        </w:rPr>
        <w:drawing>
          <wp:inline distT="0" distB="0" distL="0" distR="0">
            <wp:extent cx="2743200" cy="7905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2743200" cy="790575"/>
                    </a:xfrm>
                    <a:prstGeom prst="rect">
                      <a:avLst/>
                    </a:prstGeom>
                  </pic:spPr>
                </pic:pic>
              </a:graphicData>
            </a:graphic>
          </wp:inline>
        </w:drawing>
      </w:r>
      <w:r>
        <w:rPr>
          <w:caps w:val="false"/>
          <w:smallCaps w:val="false"/>
          <w:color w:val="000000"/>
        </w:rPr>
        <w:t xml:space="preserve"> </w:t>
      </w:r>
    </w:p>
    <w:p>
      <w:pPr>
        <w:pStyle w:val="TextBody"/>
        <w:spacing w:lineRule="atLeast" w:line="240" w:before="266" w:after="283"/>
        <w:jc w:val="center"/>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3"/>
          <w:sz w:val="20"/>
        </w:rPr>
        <w:t>NOTICE OF 2023 ANNUAL MEETING OF STOCKHOLDERS</w:t>
      </w:r>
      <w:r>
        <w:rPr>
          <w:rFonts w:ascii="Arial;Helvetica;sans-serif" w:hAnsi="Arial;Helvetica;sans-serif"/>
          <w:b/>
          <w:i w:val="false"/>
          <w:caps w:val="false"/>
          <w:smallCaps w:val="false"/>
          <w:color w:val="000000"/>
          <w:spacing w:val="4"/>
          <w:sz w:val="20"/>
        </w:rPr>
        <w:t xml:space="preserve"> </w:t>
      </w:r>
    </w:p>
    <w:p>
      <w:pPr>
        <w:pStyle w:val="TextBody"/>
        <w:spacing w:lineRule="atLeast" w:line="240" w:before="240" w:after="283"/>
        <w:jc w:val="center"/>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0"/>
          <w:sz w:val="20"/>
        </w:rPr>
        <w:t>To be Held on June 27, 2023</w:t>
      </w:r>
      <w:r>
        <w:rPr>
          <w:rFonts w:ascii="Arial;Helvetica;sans-serif" w:hAnsi="Arial;Helvetica;sans-serif"/>
          <w:b/>
          <w:i w:val="false"/>
          <w:caps w:val="false"/>
          <w:smallCaps w:val="false"/>
          <w:color w:val="000000"/>
          <w:spacing w:val="4"/>
          <w:sz w:val="20"/>
        </w:rPr>
        <w:t xml:space="preserve"> </w:t>
      </w:r>
    </w:p>
    <w:p>
      <w:pPr>
        <w:pStyle w:val="TextBody"/>
        <w:spacing w:lineRule="atLeast" w:line="240" w:before="240" w:after="283"/>
        <w:jc w:val="both"/>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0"/>
          <w:sz w:val="20"/>
        </w:rPr>
        <w:t>Dear Stockholders:</w:t>
      </w:r>
      <w:r>
        <w:rPr>
          <w:rFonts w:ascii="Arial;Helvetica;sans-serif" w:hAnsi="Arial;Helvetica;sans-serif"/>
          <w:b/>
          <w:i w:val="false"/>
          <w:caps w:val="false"/>
          <w:smallCaps w:val="false"/>
          <w:color w:val="000000"/>
          <w:spacing w:val="4"/>
          <w:sz w:val="20"/>
        </w:rPr>
        <w:t xml:space="preserve"> </w:t>
      </w:r>
    </w:p>
    <w:p>
      <w:pPr>
        <w:pStyle w:val="TextBody"/>
        <w:spacing w:lineRule="atLeast" w:line="23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i w:val="false"/>
          <w:caps w:val="false"/>
          <w:smallCaps w:val="false"/>
          <w:color w:val="000000"/>
          <w:spacing w:val="-3"/>
          <w:sz w:val="20"/>
        </w:rPr>
        <w:t>NOTICE IS HEREBY GIVEN</w:t>
      </w:r>
      <w:r>
        <w:rPr>
          <w:rFonts w:ascii="Arial;Helvetica;sans-serif" w:hAnsi="Arial;Helvetica;sans-serif"/>
          <w:b w:val="false"/>
          <w:i w:val="false"/>
          <w:caps w:val="false"/>
          <w:smallCaps w:val="false"/>
          <w:color w:val="000000"/>
          <w:spacing w:val="-1"/>
          <w:sz w:val="20"/>
        </w:rPr>
        <w:t xml:space="preserve"> that the 2023 Annual Meeting of Stockholders of Century Therapeutics, Inc., or the Annual Meeting, will be held on Tuesday, June 27, 2023, at 9:00 a.m. Eastern Time. The Annual Meeting will be held in a virtual meeting format only. We are holding the meeting for the purpose of considering and acting upon:</w:t>
      </w:r>
      <w:r>
        <w:rPr>
          <w:rFonts w:ascii="Arial;Helvetica;sans-serif" w:hAnsi="Arial;Helvetica;sans-serif"/>
          <w:b w:val="false"/>
          <w:i w:val="false"/>
          <w:caps w:val="false"/>
          <w:smallCaps w:val="false"/>
          <w:color w:val="000000"/>
          <w:spacing w:val="4"/>
          <w:sz w:val="20"/>
        </w:rPr>
        <w:t xml:space="preserve"> </w:t>
      </w:r>
    </w:p>
    <w:p>
      <w:pPr>
        <w:pStyle w:val="TextBody"/>
        <w:spacing w:lineRule="atLeast" w:line="240" w:before="114" w:after="0"/>
        <w:ind w:left="176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The election of the three director nominees that are set forth in the attached 2023 Annual Meeting Proxy Statement, or the Proxy Statement, to serve as Class II directors, whose term will expire in 2026;</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2390" distB="0" distL="254000" distR="0" simplePos="0" locked="0" layoutInCell="1" allowOverlap="1" relativeHeight="3">
                <wp:simplePos x="0" y="0"/>
                <wp:positionH relativeFrom="column">
                  <wp:align>left</wp:align>
                </wp:positionH>
                <wp:positionV relativeFrom="line">
                  <wp:align>top</wp:align>
                </wp:positionV>
                <wp:extent cx="254000" cy="350520"/>
                <wp:effectExtent l="0" t="0" r="0" b="0"/>
                <wp:wrapSquare wrapText="largest"/>
                <wp:docPr id="4" name="Frame1"/>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40" w:before="0" w:after="283"/>
                              <w:jc w:val="both"/>
                              <w:rPr/>
                            </w:pPr>
                            <w:r>
                              <w:rPr>
                                <w:spacing w:val="-1"/>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spacing w:lineRule="atLeast" w:line="240" w:before="0" w:after="283"/>
                        <w:jc w:val="both"/>
                        <w:rPr/>
                      </w:pPr>
                      <w:r>
                        <w:rPr>
                          <w:spacing w:val="-1"/>
                        </w:rPr>
                        <w:t>1.</w:t>
                      </w:r>
                      <w:r>
                        <w:rPr/>
                        <w:t xml:space="preserve"> </w:t>
                        <w:br/>
                      </w:r>
                    </w:p>
                  </w:txbxContent>
                </v:textbox>
                <w10:wrap type="square" side="right"/>
              </v:rect>
            </w:pict>
          </mc:Fallback>
        </mc:AlternateContent>
      </w:r>
    </w:p>
    <w:p>
      <w:pPr>
        <w:pStyle w:val="TextBody"/>
        <w:spacing w:before="0" w:after="0"/>
        <w:ind w:left="960" w:right="0" w:hanging="0"/>
        <w:rPr>
          <w:caps w:val="false"/>
          <w:smallCaps w:val="false"/>
          <w:color w:val="000000"/>
        </w:rPr>
      </w:pPr>
      <w:r>
        <w:rPr>
          <w:caps w:val="false"/>
          <w:smallCaps w:val="false"/>
          <w:color w:val="000000"/>
        </w:rPr>
        <w:t>​</w:t>
      </w:r>
    </w:p>
    <w:p>
      <w:pPr>
        <w:pStyle w:val="TextBody"/>
        <w:spacing w:lineRule="atLeast" w:line="240" w:before="114" w:after="0"/>
        <w:ind w:left="176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The ratification of the appointment of Ernst &amp; Young LLP, or EY, as our independent registered public accounting firm for the 2023 fiscal year; and</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2390" distB="0" distL="254000" distR="0" simplePos="0" locked="0" layoutInCell="1" allowOverlap="1" relativeHeight="34">
                <wp:simplePos x="0" y="0"/>
                <wp:positionH relativeFrom="column">
                  <wp:align>left</wp:align>
                </wp:positionH>
                <wp:positionV relativeFrom="line">
                  <wp:align>top</wp:align>
                </wp:positionV>
                <wp:extent cx="254000" cy="350520"/>
                <wp:effectExtent l="0" t="0" r="0" b="0"/>
                <wp:wrapSquare wrapText="largest"/>
                <wp:docPr id="5" name="Frame2"/>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40" w:before="0" w:after="283"/>
                              <w:jc w:val="both"/>
                              <w:rPr/>
                            </w:pPr>
                            <w:r>
                              <w:rPr>
                                <w:spacing w:val="-1"/>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spacing w:lineRule="atLeast" w:line="240" w:before="0" w:after="283"/>
                        <w:jc w:val="both"/>
                        <w:rPr/>
                      </w:pPr>
                      <w:r>
                        <w:rPr>
                          <w:spacing w:val="-1"/>
                        </w:rPr>
                        <w:t>2.</w:t>
                      </w:r>
                      <w:r>
                        <w:rPr/>
                        <w:t xml:space="preserve"> </w:t>
                        <w:br/>
                      </w:r>
                    </w:p>
                  </w:txbxContent>
                </v:textbox>
                <w10:wrap type="square" side="right"/>
              </v:rect>
            </w:pict>
          </mc:Fallback>
        </mc:AlternateContent>
      </w:r>
    </w:p>
    <w:p>
      <w:pPr>
        <w:pStyle w:val="TextBody"/>
        <w:spacing w:before="0" w:after="0"/>
        <w:ind w:left="960" w:right="0" w:hanging="0"/>
        <w:rPr>
          <w:caps w:val="false"/>
          <w:smallCaps w:val="false"/>
          <w:color w:val="000000"/>
        </w:rPr>
      </w:pPr>
      <w:r>
        <w:rPr>
          <w:caps w:val="false"/>
          <w:smallCaps w:val="false"/>
          <w:color w:val="000000"/>
        </w:rPr>
        <w:t>​</w:t>
      </w:r>
    </w:p>
    <w:p>
      <w:pPr>
        <w:pStyle w:val="TextBody"/>
        <w:spacing w:lineRule="atLeast" w:line="240" w:before="114" w:after="0"/>
        <w:ind w:left="176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Any other matters that may properly be brought before the Annual Meeting or any adjournment or postponement thereof.</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2390" distB="0" distL="254000" distR="0" simplePos="0" locked="0" layoutInCell="1" allowOverlap="1" relativeHeight="35">
                <wp:simplePos x="0" y="0"/>
                <wp:positionH relativeFrom="column">
                  <wp:align>left</wp:align>
                </wp:positionH>
                <wp:positionV relativeFrom="line">
                  <wp:align>top</wp:align>
                </wp:positionV>
                <wp:extent cx="254000" cy="350520"/>
                <wp:effectExtent l="0" t="0" r="0" b="0"/>
                <wp:wrapSquare wrapText="largest"/>
                <wp:docPr id="6" name="Frame3"/>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40" w:before="0" w:after="283"/>
                              <w:jc w:val="both"/>
                              <w:rPr/>
                            </w:pPr>
                            <w:r>
                              <w:rPr>
                                <w:spacing w:val="-1"/>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spacing w:lineRule="atLeast" w:line="240" w:before="0" w:after="283"/>
                        <w:jc w:val="both"/>
                        <w:rPr/>
                      </w:pPr>
                      <w:r>
                        <w:rPr>
                          <w:spacing w:val="-1"/>
                        </w:rPr>
                        <w:t>3.</w:t>
                      </w:r>
                      <w:r>
                        <w:rPr/>
                        <w:t xml:space="preserve"> </w:t>
                        <w:br/>
                      </w:r>
                    </w:p>
                  </w:txbxContent>
                </v:textbox>
                <w10:wrap type="square" side="right"/>
              </v:rect>
            </w:pict>
          </mc:Fallback>
        </mc:AlternateContent>
      </w:r>
    </w:p>
    <w:p>
      <w:pPr>
        <w:pStyle w:val="TextBody"/>
        <w:spacing w:before="0" w:after="0"/>
        <w:ind w:left="960" w:right="0" w:hanging="0"/>
        <w:rPr>
          <w:caps w:val="false"/>
          <w:smallCaps w:val="false"/>
          <w:color w:val="000000"/>
        </w:rPr>
      </w:pPr>
      <w:r>
        <w:rPr>
          <w:caps w:val="false"/>
          <w:smallCaps w:val="false"/>
          <w:color w:val="000000"/>
        </w:rPr>
        <w:t>​</w:t>
      </w:r>
    </w:p>
    <w:p>
      <w:pPr>
        <w:pStyle w:val="TextBody"/>
        <w:spacing w:lineRule="atLeast" w:line="230" w:before="154"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The foregoing items of business are more fully described in the Proxy Statement accompanying this Notice of 2023 Annual Meeting of Stockholders, or the Notice.</w:t>
      </w:r>
      <w:r>
        <w:rPr>
          <w:rFonts w:ascii="Arial;Helvetica;sans-serif" w:hAnsi="Arial;Helvetica;sans-serif"/>
          <w:b w:val="false"/>
          <w:i w:val="false"/>
          <w:caps w:val="false"/>
          <w:smallCaps w:val="false"/>
          <w:color w:val="000000"/>
          <w:spacing w:val="4"/>
          <w:sz w:val="20"/>
        </w:rPr>
        <w:t xml:space="preserve"> </w:t>
      </w:r>
    </w:p>
    <w:p>
      <w:pPr>
        <w:pStyle w:val="TextBody"/>
        <w:spacing w:lineRule="atLeast" w:line="240" w:before="214" w:after="283"/>
        <w:jc w:val="both"/>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3"/>
          <w:sz w:val="20"/>
        </w:rPr>
        <w:t>MEETING INFORMATION</w:t>
      </w:r>
      <w:r>
        <w:rPr>
          <w:rFonts w:ascii="Arial;Helvetica;sans-serif" w:hAnsi="Arial;Helvetica;sans-serif"/>
          <w:b/>
          <w:i w:val="false"/>
          <w:caps w:val="false"/>
          <w:smallCaps w:val="false"/>
          <w:color w:val="000000"/>
          <w:spacing w:val="4"/>
          <w:sz w:val="20"/>
        </w:rPr>
        <w:t xml:space="preserve"> </w:t>
      </w:r>
    </w:p>
    <w:tbl>
      <w:tblPr>
        <w:tblW w:w="9245" w:type="dxa"/>
        <w:jc w:val="left"/>
        <w:tblInd w:w="960" w:type="dxa"/>
        <w:tblCellMar>
          <w:top w:w="0" w:type="dxa"/>
          <w:left w:w="0" w:type="dxa"/>
          <w:bottom w:w="0" w:type="dxa"/>
          <w:right w:w="0" w:type="dxa"/>
        </w:tblCellMar>
      </w:tblPr>
      <w:tblGrid>
        <w:gridCol w:w="124"/>
        <w:gridCol w:w="1201"/>
        <w:gridCol w:w="109"/>
        <w:gridCol w:w="109"/>
        <w:gridCol w:w="7547"/>
        <w:gridCol w:w="155"/>
      </w:tblGrid>
      <w:tr>
        <w:trPr/>
        <w:tc>
          <w:tcPr>
            <w:tcW w:w="124" w:type="dxa"/>
            <w:tcBorders/>
            <w:shd w:fill="auto" w:val="clear"/>
            <w:vAlign w:val="center"/>
          </w:tcPr>
          <w:p>
            <w:pPr>
              <w:pStyle w:val="TableContents"/>
              <w:spacing w:before="0" w:after="283"/>
              <w:rPr/>
            </w:pPr>
            <w:r>
              <w:rPr/>
              <w:t>​</w:t>
            </w:r>
          </w:p>
        </w:tc>
        <w:tc>
          <w:tcPr>
            <w:tcW w:w="1201" w:type="dxa"/>
            <w:tcBorders/>
            <w:shd w:fill="auto" w:val="clear"/>
            <w:vAlign w:val="center"/>
          </w:tcPr>
          <w:p>
            <w:pPr>
              <w:pStyle w:val="TableContents"/>
              <w:spacing w:before="0" w:after="0"/>
              <w:rPr>
                <w:b/>
              </w:rPr>
            </w:pPr>
            <w:r>
              <w:rPr>
                <w:b/>
                <w:spacing w:val="0"/>
              </w:rPr>
              <w:t>Date:</w:t>
            </w:r>
            <w:r>
              <w:rPr>
                <w:b/>
              </w:rPr>
              <w:t xml:space="preserve"> </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7547" w:type="dxa"/>
            <w:tcBorders/>
            <w:shd w:fill="auto" w:val="clear"/>
            <w:vAlign w:val="center"/>
          </w:tcPr>
          <w:p>
            <w:pPr>
              <w:pStyle w:val="TableContents"/>
              <w:spacing w:before="0" w:after="283"/>
              <w:rPr>
                <w:spacing w:val="-1"/>
              </w:rPr>
            </w:pPr>
            <w:r>
              <w:rPr>
                <w:spacing w:val="-1"/>
              </w:rPr>
              <w:t xml:space="preserve">June 27, 2023 </w:t>
            </w:r>
          </w:p>
        </w:tc>
        <w:tc>
          <w:tcPr>
            <w:tcW w:w="155" w:type="dxa"/>
            <w:tcBorders/>
            <w:shd w:fill="auto"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1201" w:type="dxa"/>
            <w:tcBorders/>
            <w:shd w:fill="auto" w:val="clear"/>
            <w:vAlign w:val="center"/>
          </w:tcPr>
          <w:p>
            <w:pPr>
              <w:pStyle w:val="TableContents"/>
              <w:spacing w:before="0" w:after="0"/>
              <w:rPr>
                <w:b/>
              </w:rPr>
            </w:pPr>
            <w:r>
              <w:rPr>
                <w:b/>
                <w:spacing w:val="0"/>
              </w:rPr>
              <w:t>Time:</w:t>
            </w:r>
            <w:r>
              <w:rPr>
                <w:b/>
              </w:rPr>
              <w:t xml:space="preserve"> </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7547" w:type="dxa"/>
            <w:tcBorders/>
            <w:shd w:fill="auto" w:val="clear"/>
            <w:vAlign w:val="center"/>
          </w:tcPr>
          <w:p>
            <w:pPr>
              <w:pStyle w:val="TableContents"/>
              <w:spacing w:before="0" w:after="283"/>
              <w:rPr>
                <w:spacing w:val="-1"/>
              </w:rPr>
            </w:pPr>
            <w:r>
              <w:rPr>
                <w:spacing w:val="-1"/>
              </w:rPr>
              <w:t xml:space="preserve">9:00 a.m., Eastern Time </w:t>
            </w:r>
          </w:p>
        </w:tc>
        <w:tc>
          <w:tcPr>
            <w:tcW w:w="155" w:type="dxa"/>
            <w:tcBorders/>
            <w:shd w:fill="auto"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1201" w:type="dxa"/>
            <w:tcBorders/>
            <w:shd w:fill="auto" w:val="clear"/>
            <w:vAlign w:val="center"/>
          </w:tcPr>
          <w:p>
            <w:pPr>
              <w:pStyle w:val="TableContents"/>
              <w:spacing w:before="0" w:after="0"/>
              <w:rPr>
                <w:b/>
              </w:rPr>
            </w:pPr>
            <w:r>
              <w:rPr>
                <w:b/>
                <w:spacing w:val="0"/>
              </w:rPr>
              <w:t>Website Address:</w:t>
            </w:r>
            <w:r>
              <w:rPr>
                <w:b/>
              </w:rPr>
              <w:t xml:space="preserve"> </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7547" w:type="dxa"/>
            <w:tcBorders/>
            <w:shd w:fill="auto" w:val="clear"/>
            <w:vAlign w:val="center"/>
          </w:tcPr>
          <w:p>
            <w:pPr>
              <w:pStyle w:val="TableContents"/>
              <w:spacing w:before="0" w:after="283"/>
              <w:rPr>
                <w:spacing w:val="-1"/>
              </w:rPr>
            </w:pPr>
            <w:r>
              <w:rPr>
                <w:spacing w:val="-1"/>
              </w:rPr>
              <w:t xml:space="preserve">The meeting can be accessed by visiting https://web.lumiagm.com/265375813 (password: century2023), where you will be able to listen to the meeting live, submit questions and vote online. There will be no physical location for stockholders to attend. </w:t>
            </w:r>
          </w:p>
        </w:tc>
        <w:tc>
          <w:tcPr>
            <w:tcW w:w="155" w:type="dxa"/>
            <w:tcBorders/>
            <w:shd w:fill="auto"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1201" w:type="dxa"/>
            <w:tcBorders/>
            <w:shd w:fill="auto" w:val="clear"/>
            <w:vAlign w:val="center"/>
          </w:tcPr>
          <w:p>
            <w:pPr>
              <w:pStyle w:val="TableContents"/>
              <w:spacing w:before="0" w:after="0"/>
              <w:rPr>
                <w:b/>
              </w:rPr>
            </w:pPr>
            <w:r>
              <w:rPr>
                <w:b/>
                <w:spacing w:val="0"/>
              </w:rPr>
              <w:t>Record Date:</w:t>
            </w:r>
            <w:r>
              <w:rPr>
                <w:b/>
              </w:rPr>
              <w:t xml:space="preserve"> </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7547" w:type="dxa"/>
            <w:tcBorders/>
            <w:shd w:fill="auto" w:val="clear"/>
            <w:vAlign w:val="center"/>
          </w:tcPr>
          <w:p>
            <w:pPr>
              <w:pStyle w:val="TableContents"/>
              <w:spacing w:before="0" w:after="283"/>
              <w:rPr/>
            </w:pPr>
            <w:r>
              <w:rPr>
                <w:spacing w:val="-1"/>
              </w:rPr>
              <w:t>You can vote if you were a stockholder of record on April 28, 2023.</w:t>
            </w:r>
            <w:r>
              <w:rPr/>
              <w:t xml:space="preserve"> </w:t>
            </w:r>
          </w:p>
        </w:tc>
        <w:tc>
          <w:tcPr>
            <w:tcW w:w="155" w:type="dxa"/>
            <w:tcBorders/>
            <w:shd w:fill="auto" w:val="clear"/>
            <w:vAlign w:val="center"/>
          </w:tcPr>
          <w:p>
            <w:pPr>
              <w:pStyle w:val="TableContents"/>
              <w:spacing w:before="0" w:after="283"/>
              <w:rPr/>
            </w:pPr>
            <w:r>
              <w:rPr/>
              <w:t>​</w:t>
            </w:r>
          </w:p>
        </w:tc>
      </w:tr>
    </w:tbl>
    <w:p>
      <w:pPr>
        <w:pStyle w:val="TextBody"/>
        <w:spacing w:lineRule="atLeast" w:line="230" w:before="112" w:after="283"/>
        <w:ind w:left="960" w:right="0" w:hanging="0"/>
        <w:jc w:val="both"/>
        <w:rPr>
          <w:rFonts w:ascii="Arial;Helvetica;sans-serif" w:hAnsi="Arial;Helvetica;sans-serif"/>
          <w:b w:val="false"/>
          <w:i/>
          <w:caps w:val="false"/>
          <w:smallCaps w:val="false"/>
          <w:color w:val="000000"/>
          <w:sz w:val="20"/>
        </w:rPr>
      </w:pPr>
      <w:r>
        <w:rPr>
          <w:rFonts w:ascii="Arial;Helvetica;sans-serif" w:hAnsi="Arial;Helvetica;sans-serif"/>
          <w:b/>
          <w:i/>
          <w:caps w:val="false"/>
          <w:smallCaps w:val="false"/>
          <w:color w:val="000000"/>
          <w:sz w:val="20"/>
        </w:rPr>
        <w:t>Your vote matters</w:t>
      </w:r>
      <w:r>
        <w:rPr>
          <w:rFonts w:ascii="Arial;Helvetica;sans-serif" w:hAnsi="Arial;Helvetica;sans-serif"/>
          <w:b w:val="false"/>
          <w:i/>
          <w:caps w:val="false"/>
          <w:smallCaps w:val="false"/>
          <w:color w:val="000000"/>
          <w:sz w:val="20"/>
        </w:rPr>
        <w:t>. Whether or not you plan to virtually attend the Annual Meeting, please ensure that your shares are represented by voting, signing, dating and returning your proxy in the enclosed envelope, which requires no postage if mailed in the United States.</w:t>
      </w:r>
      <w:r>
        <w:rPr>
          <w:rFonts w:ascii="Arial;Helvetica;sans-serif" w:hAnsi="Arial;Helvetica;sans-serif"/>
          <w:b w:val="false"/>
          <w:i/>
          <w:caps w:val="false"/>
          <w:smallCaps w:val="false"/>
          <w:color w:val="000000"/>
          <w:spacing w:val="4"/>
          <w:sz w:val="20"/>
        </w:rPr>
        <w:t xml:space="preserve"> </w:t>
      </w:r>
    </w:p>
    <w:p>
      <w:pPr>
        <w:pStyle w:val="TextBody"/>
        <w:spacing w:lineRule="atLeast" w:line="240" w:before="152" w:after="283"/>
        <w:ind w:left="656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By Order of the Board of Directors,</w:t>
      </w:r>
      <w:r>
        <w:rPr>
          <w:rFonts w:ascii="Arial;Helvetica;sans-serif" w:hAnsi="Arial;Helvetica;sans-serif"/>
          <w:b w:val="false"/>
          <w:i w:val="false"/>
          <w:caps w:val="false"/>
          <w:smallCaps w:val="false"/>
          <w:color w:val="000000"/>
          <w:spacing w:val="4"/>
          <w:sz w:val="20"/>
        </w:rPr>
        <w:t xml:space="preserve"> </w:t>
      </w:r>
    </w:p>
    <w:p>
      <w:pPr>
        <w:pStyle w:val="TextBody"/>
        <w:spacing w:lineRule="atLeast" w:line="240" w:before="152" w:after="283"/>
        <w:ind w:left="656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/s/ Douglas Carr</w:t>
      </w:r>
      <w:r>
        <w:rPr>
          <w:rFonts w:ascii="Arial;Helvetica;sans-serif" w:hAnsi="Arial;Helvetica;sans-serif"/>
          <w:b w:val="false"/>
          <w:i w:val="false"/>
          <w:caps w:val="false"/>
          <w:smallCaps w:val="false"/>
          <w:color w:val="000000"/>
          <w:spacing w:val="4"/>
          <w:sz w:val="20"/>
        </w:rPr>
        <w:t xml:space="preserve"> </w:t>
      </w:r>
    </w:p>
    <w:p>
      <w:pPr>
        <w:pStyle w:val="TextBody"/>
        <w:spacing w:lineRule="atLeast" w:line="230" w:before="152" w:after="283"/>
        <w:ind w:left="6560" w:right="0" w:hanging="0"/>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 xml:space="preserve">Douglas Carr </w:t>
      </w:r>
      <w:r>
        <w:rPr>
          <w:rFonts w:ascii="Arial;Helvetica;sans-serif" w:hAnsi="Arial;Helvetica;sans-serif"/>
          <w:b w:val="false"/>
          <w:i w:val="false"/>
          <w:caps w:val="false"/>
          <w:smallCaps w:val="false"/>
          <w:color w:val="000000"/>
          <w:sz w:val="20"/>
        </w:rPr>
        <w:br/>
      </w:r>
      <w:r>
        <w:rPr>
          <w:rFonts w:ascii="Arial;Helvetica;sans-serif" w:hAnsi="Arial;Helvetica;sans-serif"/>
          <w:b w:val="false"/>
          <w:i/>
          <w:caps w:val="false"/>
          <w:smallCaps w:val="false"/>
          <w:color w:val="000000"/>
          <w:sz w:val="20"/>
        </w:rPr>
        <w:t>Vice President, Finance and Operations, and Secretary</w:t>
      </w:r>
      <w:r>
        <w:rPr>
          <w:rFonts w:ascii="Arial;Helvetica;sans-serif" w:hAnsi="Arial;Helvetica;sans-serif"/>
          <w:b w:val="false"/>
          <w:i w:val="false"/>
          <w:caps w:val="false"/>
          <w:smallCaps w:val="false"/>
          <w:color w:val="000000"/>
          <w:spacing w:val="-1"/>
          <w:sz w:val="20"/>
        </w:rPr>
        <w:t xml:space="preserve"> </w:t>
      </w:r>
      <w:r>
        <w:rPr>
          <w:rFonts w:ascii="Arial;Helvetica;sans-serif" w:hAnsi="Arial;Helvetica;sans-serif"/>
          <w:b w:val="false"/>
          <w:i w:val="false"/>
          <w:caps w:val="false"/>
          <w:smallCaps w:val="false"/>
          <w:color w:val="000000"/>
          <w:sz w:val="20"/>
        </w:rPr>
        <w:br/>
      </w:r>
      <w:r>
        <w:rPr>
          <w:rFonts w:ascii="Arial;Helvetica;sans-serif" w:hAnsi="Arial;Helvetica;sans-serif"/>
          <w:b w:val="false"/>
          <w:i w:val="false"/>
          <w:caps w:val="false"/>
          <w:smallCaps w:val="false"/>
          <w:color w:val="000000"/>
          <w:spacing w:val="-1"/>
          <w:sz w:val="20"/>
        </w:rPr>
        <w:t>April 28, 2023</w:t>
      </w:r>
      <w:r>
        <w:rPr>
          <w:rFonts w:ascii="Arial;Helvetica;sans-serif" w:hAnsi="Arial;Helvetica;sans-serif"/>
          <w:b w:val="false"/>
          <w:i w:val="false"/>
          <w:caps w:val="false"/>
          <w:smallCaps w:val="false"/>
          <w:color w:val="000000"/>
          <w:spacing w:val="4"/>
          <w:sz w:val="20"/>
        </w:rPr>
        <w:t xml:space="preserve"> </w:t>
      </w:r>
    </w:p>
    <w:p>
      <w:pPr>
        <w:pStyle w:val="TextBody"/>
        <w:spacing w:lineRule="atLeast" w:line="230" w:before="212" w:after="283"/>
        <w:jc w:val="both"/>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3"/>
          <w:sz w:val="20"/>
        </w:rPr>
        <w:t xml:space="preserve">IMPORTANT NOTICE REGARDING THE AVAILABILITY OF PROXY MATERIALS FOR THE STOCKHOLDER </w:t>
      </w:r>
      <w:r>
        <w:rPr>
          <w:rFonts w:ascii="Arial;Helvetica;sans-serif" w:hAnsi="Arial;Helvetica;sans-serif"/>
          <w:b/>
          <w:i w:val="false"/>
          <w:caps w:val="false"/>
          <w:smallCaps w:val="false"/>
          <w:color w:val="000000"/>
          <w:spacing w:val="0"/>
          <w:sz w:val="20"/>
        </w:rPr>
        <w:t xml:space="preserve">MEETING TO BE HELD ON JUNE 27, 2023. This Proxy Statement and the proxy card are being furnished to our stockholders on or about April 28, 2023. This Proxy Statement and our Annual Report on Form 10-K for the fiscal year ended December 31, 2022 are available to holders of our common stock at www.astproxyportal.com/ast/24419. If you would like to receive, without charge, a paper copy of our Annual Report on Form 10-K for the fiscal year ended December 31, 2022, including the financial statements, please send your request to Chief Financial Officer, Century Therapeutics, Inc., 3675 Market Street, Philadelphia, </w:t>
      </w:r>
      <w:r>
        <w:rPr>
          <w:rFonts w:ascii="Arial;Helvetica;sans-serif" w:hAnsi="Arial;Helvetica;sans-serif"/>
          <w:b/>
          <w:i w:val="false"/>
          <w:caps w:val="false"/>
          <w:smallCaps w:val="false"/>
          <w:color w:val="000000"/>
          <w:spacing w:val="-3"/>
          <w:sz w:val="20"/>
        </w:rPr>
        <w:t>PA 19104.</w:t>
      </w:r>
      <w:r>
        <w:rPr>
          <w:rFonts w:ascii="Arial;Helvetica;sans-serif" w:hAnsi="Arial;Helvetica;sans-serif"/>
          <w:b/>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 w:name="tSUIN"/>
      <w:bookmarkEnd w:id="2"/>
      <w:r>
        <w:rPr>
          <w:rFonts w:ascii="calibri;arial;sans-serif" w:hAnsi="calibri;arial;sans-serif"/>
          <w:b w:val="false"/>
          <w:i w:val="false"/>
          <w:caps w:val="false"/>
          <w:smallCaps w:val="false"/>
          <w:color w:val="000000"/>
          <w:sz w:val="16"/>
        </w:rPr>
        <w:t xml:space="preserve">​ </w:t>
      </w:r>
    </w:p>
    <w:tbl>
      <w:tblPr>
        <w:tblW w:w="3394" w:type="dxa"/>
        <w:jc w:val="left"/>
        <w:tblInd w:w="960" w:type="dxa"/>
        <w:tblCellMar>
          <w:top w:w="0" w:type="dxa"/>
          <w:left w:w="0" w:type="dxa"/>
          <w:bottom w:w="0" w:type="dxa"/>
          <w:right w:w="0" w:type="dxa"/>
        </w:tblCellMar>
      </w:tblPr>
      <w:tblGrid>
        <w:gridCol w:w="124"/>
        <w:gridCol w:w="3116"/>
        <w:gridCol w:w="154"/>
      </w:tblGrid>
      <w:tr>
        <w:trPr/>
        <w:tc>
          <w:tcPr>
            <w:tcW w:w="124" w:type="dxa"/>
            <w:tcBorders/>
            <w:shd w:fill="1DA46F" w:val="clear"/>
            <w:vAlign w:val="center"/>
          </w:tcPr>
          <w:p>
            <w:pPr>
              <w:pStyle w:val="TableContents"/>
              <w:spacing w:before="0" w:after="283"/>
              <w:rPr/>
            </w:pPr>
            <w:r>
              <w:rPr/>
              <w:t>​</w:t>
            </w:r>
          </w:p>
        </w:tc>
        <w:tc>
          <w:tcPr>
            <w:tcW w:w="3116" w:type="dxa"/>
            <w:tcBorders/>
            <w:shd w:fill="1DA46F" w:val="clear"/>
            <w:vAlign w:val="center"/>
          </w:tcPr>
          <w:p>
            <w:pPr>
              <w:pStyle w:val="TableContents"/>
              <w:spacing w:lineRule="atLeast" w:line="360" w:before="0" w:after="0"/>
              <w:rPr/>
            </w:pPr>
            <w:r>
              <w:rPr>
                <w:spacing w:val="-5"/>
              </w:rPr>
              <w:t>SUMMARY INFORMATION</w:t>
            </w:r>
            <w:r>
              <w:rPr/>
              <w:t xml:space="preserve"> </w:t>
            </w:r>
          </w:p>
        </w:tc>
        <w:tc>
          <w:tcPr>
            <w:tcW w:w="154" w:type="dxa"/>
            <w:tcBorders/>
            <w:shd w:fill="1DA46F" w:val="clear"/>
            <w:vAlign w:val="center"/>
          </w:tcPr>
          <w:p>
            <w:pPr>
              <w:pStyle w:val="TableContents"/>
              <w:spacing w:before="0" w:after="283"/>
              <w:rPr/>
            </w:pPr>
            <w:r>
              <w:rPr/>
              <w:t>​</w:t>
            </w:r>
          </w:p>
        </w:tc>
      </w:tr>
    </w:tbl>
    <w:p>
      <w:pPr>
        <w:pStyle w:val="TextBody"/>
        <w:spacing w:lineRule="atLeast" w:line="250" w:before="360" w:after="283"/>
        <w:ind w:left="960" w:right="0" w:hanging="0"/>
        <w:jc w:val="both"/>
        <w:rPr>
          <w:rFonts w:ascii="Arial;Helvetica;sans-serif" w:hAnsi="Arial;Helvetica;sans-serif"/>
          <w:b w:val="false"/>
          <w:i w:val="false"/>
          <w:caps w:val="false"/>
          <w:smallCaps w:val="false"/>
          <w:color w:val="148CD9"/>
          <w:sz w:val="20"/>
        </w:rPr>
      </w:pPr>
      <w:r>
        <w:rPr>
          <w:rFonts w:ascii="Arial;Helvetica;sans-serif" w:hAnsi="Arial;Helvetica;sans-serif"/>
          <w:b w:val="false"/>
          <w:i w:val="false"/>
          <w:caps w:val="false"/>
          <w:smallCaps w:val="false"/>
          <w:color w:val="148CD9"/>
          <w:spacing w:val="-1"/>
          <w:sz w:val="20"/>
        </w:rPr>
        <w:t>This summary highlights information contained elsewhere in this Proxy Statement and our Annual Report on Form 10-K for the fiscal year ended December 31, 2022, or the 2022 Annual Report. This summary does not contain all of the information you should consider and we encourage you to read this Proxy Statement and the 2022 Annual Report carefully before voting.</w:t>
      </w:r>
      <w:r>
        <w:rPr>
          <w:rFonts w:ascii="Arial;Helvetica;sans-serif" w:hAnsi="Arial;Helvetica;sans-serif"/>
          <w:b w:val="false"/>
          <w:i w:val="false"/>
          <w:caps w:val="false"/>
          <w:smallCaps w:val="false"/>
          <w:color w:val="000000"/>
          <w:spacing w:val="4"/>
          <w:sz w:val="20"/>
        </w:rPr>
        <w:t xml:space="preserve"> </w:t>
      </w:r>
    </w:p>
    <w:p>
      <w:pPr>
        <w:pStyle w:val="TextBody"/>
        <w:spacing w:lineRule="atLeast" w:line="240" w:before="304" w:after="283"/>
        <w:jc w:val="both"/>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0"/>
          <w:sz w:val="20"/>
        </w:rPr>
        <w:t>2023 Annual Meeting of Stockholders</w:t>
      </w:r>
      <w:r>
        <w:rPr>
          <w:rFonts w:ascii="Arial;Helvetica;sans-serif" w:hAnsi="Arial;Helvetica;sans-serif"/>
          <w:b/>
          <w:i w:val="false"/>
          <w:caps w:val="false"/>
          <w:smallCaps w:val="false"/>
          <w:color w:val="000000"/>
          <w:spacing w:val="4"/>
          <w:sz w:val="20"/>
        </w:rPr>
        <w:t xml:space="preserve"> </w:t>
      </w:r>
    </w:p>
    <w:tbl>
      <w:tblPr>
        <w:tblW w:w="9245" w:type="dxa"/>
        <w:jc w:val="left"/>
        <w:tblInd w:w="960" w:type="dxa"/>
        <w:tblCellMar>
          <w:top w:w="0" w:type="dxa"/>
          <w:left w:w="0" w:type="dxa"/>
          <w:bottom w:w="0" w:type="dxa"/>
          <w:right w:w="0" w:type="dxa"/>
        </w:tblCellMar>
      </w:tblPr>
      <w:tblGrid>
        <w:gridCol w:w="124"/>
        <w:gridCol w:w="109"/>
        <w:gridCol w:w="1283"/>
        <w:gridCol w:w="109"/>
        <w:gridCol w:w="109"/>
        <w:gridCol w:w="1235"/>
        <w:gridCol w:w="109"/>
        <w:gridCol w:w="109"/>
        <w:gridCol w:w="5794"/>
        <w:gridCol w:w="109"/>
        <w:gridCol w:w="155"/>
      </w:tblGrid>
      <w:tr>
        <w:trPr/>
        <w:tc>
          <w:tcPr>
            <w:tcW w:w="124" w:type="dxa"/>
            <w:tcBorders/>
            <w:shd w:fill="auto" w:val="clear"/>
            <w:vAlign w:val="center"/>
          </w:tcPr>
          <w:p>
            <w:pPr>
              <w:pStyle w:val="TableContents"/>
              <w:spacing w:before="0" w:after="283"/>
              <w:rPr/>
            </w:pPr>
            <w:r>
              <w:rPr/>
              <w:t>​</w:t>
            </w:r>
          </w:p>
        </w:tc>
        <w:tc>
          <w:tcPr>
            <w:tcW w:w="109" w:type="dxa"/>
            <w:tcBorders>
              <w:bottom w:val="single" w:sz="2" w:space="0" w:color="000000"/>
            </w:tcBorders>
            <w:shd w:fill="148CD9" w:val="clear"/>
            <w:tcMar>
              <w:bottom w:w="28" w:type="dxa"/>
            </w:tcMar>
            <w:vAlign w:val="center"/>
          </w:tcPr>
          <w:p>
            <w:pPr>
              <w:pStyle w:val="TableContents"/>
              <w:spacing w:before="0" w:after="283"/>
              <w:rPr/>
            </w:pPr>
            <w:r>
              <w:rPr/>
              <w:t>​</w:t>
            </w:r>
          </w:p>
        </w:tc>
        <w:tc>
          <w:tcPr>
            <w:tcW w:w="1283" w:type="dxa"/>
            <w:tcBorders>
              <w:bottom w:val="single" w:sz="2" w:space="0" w:color="000000"/>
            </w:tcBorders>
            <w:shd w:fill="148CD9" w:val="clear"/>
            <w:tcMar>
              <w:bottom w:w="50" w:type="dxa"/>
            </w:tcMar>
            <w:vAlign w:val="center"/>
          </w:tcPr>
          <w:p>
            <w:pPr>
              <w:pStyle w:val="TableContents"/>
              <w:spacing w:before="0" w:after="0"/>
              <w:jc w:val="center"/>
              <w:rPr>
                <w:spacing w:val="-2"/>
              </w:rPr>
            </w:pPr>
            <w:r>
              <w:rPr>
                <w:spacing w:val="-2"/>
              </w:rPr>
              <w:t xml:space="preserve">TIME AND DATE </w:t>
            </w:r>
          </w:p>
        </w:tc>
        <w:tc>
          <w:tcPr>
            <w:tcW w:w="109" w:type="dxa"/>
            <w:tcBorders>
              <w:bottom w:val="single" w:sz="2" w:space="0" w:color="000000"/>
            </w:tcBorders>
            <w:shd w:fill="148CD9" w:val="clear"/>
            <w:tcMar>
              <w:bottom w:w="28" w:type="dxa"/>
            </w:tcMar>
            <w:vAlign w:val="center"/>
          </w:tcPr>
          <w:p>
            <w:pPr>
              <w:pStyle w:val="TableContents"/>
              <w:spacing w:before="0" w:after="283"/>
              <w:rPr/>
            </w:pPr>
            <w:r>
              <w:rPr/>
              <w:t>​</w:t>
            </w:r>
          </w:p>
        </w:tc>
        <w:tc>
          <w:tcPr>
            <w:tcW w:w="109" w:type="dxa"/>
            <w:tcBorders>
              <w:bottom w:val="single" w:sz="2" w:space="0" w:color="000000"/>
            </w:tcBorders>
            <w:shd w:fill="148CD9" w:val="clear"/>
            <w:tcMar>
              <w:bottom w:w="28" w:type="dxa"/>
            </w:tcMar>
            <w:vAlign w:val="center"/>
          </w:tcPr>
          <w:p>
            <w:pPr>
              <w:pStyle w:val="TableContents"/>
              <w:spacing w:before="0" w:after="283"/>
              <w:rPr/>
            </w:pPr>
            <w:r>
              <w:rPr/>
              <w:t>​</w:t>
            </w:r>
          </w:p>
        </w:tc>
        <w:tc>
          <w:tcPr>
            <w:tcW w:w="1235" w:type="dxa"/>
            <w:tcBorders>
              <w:bottom w:val="single" w:sz="2" w:space="0" w:color="000000"/>
            </w:tcBorders>
            <w:shd w:fill="148CD9" w:val="clear"/>
            <w:tcMar>
              <w:bottom w:w="50" w:type="dxa"/>
            </w:tcMar>
            <w:vAlign w:val="center"/>
          </w:tcPr>
          <w:p>
            <w:pPr>
              <w:pStyle w:val="TableContents"/>
              <w:spacing w:before="0" w:after="0"/>
              <w:jc w:val="center"/>
              <w:rPr>
                <w:spacing w:val="-2"/>
              </w:rPr>
            </w:pPr>
            <w:r>
              <w:rPr>
                <w:spacing w:val="-2"/>
              </w:rPr>
              <w:t xml:space="preserve">RECORD DATE </w:t>
            </w:r>
          </w:p>
        </w:tc>
        <w:tc>
          <w:tcPr>
            <w:tcW w:w="109" w:type="dxa"/>
            <w:tcBorders>
              <w:bottom w:val="single" w:sz="2" w:space="0" w:color="000000"/>
            </w:tcBorders>
            <w:shd w:fill="148CD9" w:val="clear"/>
            <w:tcMar>
              <w:bottom w:w="28" w:type="dxa"/>
            </w:tcMar>
            <w:vAlign w:val="center"/>
          </w:tcPr>
          <w:p>
            <w:pPr>
              <w:pStyle w:val="TableContents"/>
              <w:spacing w:before="0" w:after="283"/>
              <w:rPr/>
            </w:pPr>
            <w:r>
              <w:rPr/>
              <w:t>​</w:t>
            </w:r>
          </w:p>
        </w:tc>
        <w:tc>
          <w:tcPr>
            <w:tcW w:w="109" w:type="dxa"/>
            <w:tcBorders>
              <w:bottom w:val="single" w:sz="2" w:space="0" w:color="000000"/>
            </w:tcBorders>
            <w:shd w:fill="148CD9" w:val="clear"/>
            <w:tcMar>
              <w:bottom w:w="28" w:type="dxa"/>
            </w:tcMar>
            <w:vAlign w:val="center"/>
          </w:tcPr>
          <w:p>
            <w:pPr>
              <w:pStyle w:val="TableContents"/>
              <w:spacing w:before="0" w:after="283"/>
              <w:rPr/>
            </w:pPr>
            <w:r>
              <w:rPr/>
              <w:t>​</w:t>
            </w:r>
          </w:p>
        </w:tc>
        <w:tc>
          <w:tcPr>
            <w:tcW w:w="5794" w:type="dxa"/>
            <w:tcBorders>
              <w:bottom w:val="single" w:sz="2" w:space="0" w:color="000000"/>
            </w:tcBorders>
            <w:shd w:fill="148CD9" w:val="clear"/>
            <w:tcMar>
              <w:bottom w:w="50" w:type="dxa"/>
            </w:tcMar>
            <w:vAlign w:val="center"/>
          </w:tcPr>
          <w:p>
            <w:pPr>
              <w:pStyle w:val="TableContents"/>
              <w:spacing w:before="0" w:after="0"/>
              <w:jc w:val="center"/>
              <w:rPr>
                <w:spacing w:val="-2"/>
              </w:rPr>
            </w:pPr>
            <w:r>
              <w:rPr>
                <w:spacing w:val="-2"/>
              </w:rPr>
              <w:t xml:space="preserve">WEBSITE ADDRESS </w:t>
            </w:r>
          </w:p>
        </w:tc>
        <w:tc>
          <w:tcPr>
            <w:tcW w:w="109" w:type="dxa"/>
            <w:tcBorders>
              <w:bottom w:val="single" w:sz="2" w:space="0" w:color="000000"/>
            </w:tcBorders>
            <w:shd w:fill="148CD9" w:val="clear"/>
            <w:tcMar>
              <w:bottom w:w="28" w:type="dxa"/>
            </w:tcMar>
            <w:vAlign w:val="center"/>
          </w:tcPr>
          <w:p>
            <w:pPr>
              <w:pStyle w:val="TableContents"/>
              <w:spacing w:before="0" w:after="283"/>
              <w:rPr/>
            </w:pPr>
            <w:r>
              <w:rPr/>
              <w:t>​</w:t>
            </w:r>
          </w:p>
        </w:tc>
        <w:tc>
          <w:tcPr>
            <w:tcW w:w="155" w:type="dxa"/>
            <w:tcBorders/>
            <w:shd w:fill="auto"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283" w:type="dxa"/>
            <w:tcBorders>
              <w:bottom w:val="single" w:sz="2" w:space="0" w:color="000000"/>
            </w:tcBorders>
            <w:shd w:fill="auto" w:val="clear"/>
            <w:tcMar>
              <w:bottom w:w="50" w:type="dxa"/>
            </w:tcMar>
            <w:vAlign w:val="center"/>
          </w:tcPr>
          <w:p>
            <w:pPr>
              <w:pStyle w:val="TableContents"/>
              <w:spacing w:before="0" w:after="283"/>
              <w:rPr/>
            </w:pPr>
            <w:r>
              <w:rPr>
                <w:spacing w:val="-1"/>
              </w:rPr>
              <w:t>Tuesday, June 27, 2023</w:t>
            </w:r>
            <w:r>
              <w:rPr/>
              <w:t xml:space="preserve"> </w:t>
              <w:br/>
            </w:r>
            <w:r>
              <w:rPr>
                <w:spacing w:val="-1"/>
              </w:rPr>
              <w:t xml:space="preserve">9:00 a.m., Eastern Time </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235" w:type="dxa"/>
            <w:tcBorders>
              <w:bottom w:val="single" w:sz="2" w:space="0" w:color="000000"/>
            </w:tcBorders>
            <w:shd w:fill="auto" w:val="clear"/>
            <w:tcMar>
              <w:bottom w:w="50" w:type="dxa"/>
            </w:tcMar>
            <w:vAlign w:val="center"/>
          </w:tcPr>
          <w:p>
            <w:pPr>
              <w:pStyle w:val="TableContents"/>
              <w:spacing w:before="0" w:after="0"/>
              <w:rPr>
                <w:spacing w:val="-1"/>
              </w:rPr>
            </w:pPr>
            <w:r>
              <w:rPr>
                <w:spacing w:val="-1"/>
              </w:rPr>
              <w:t xml:space="preserve">April 28, 2023 </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5794" w:type="dxa"/>
            <w:tcBorders>
              <w:bottom w:val="single" w:sz="2" w:space="0" w:color="000000"/>
            </w:tcBorders>
            <w:shd w:fill="auto" w:val="clear"/>
            <w:tcMar>
              <w:bottom w:w="50" w:type="dxa"/>
            </w:tcMar>
            <w:vAlign w:val="center"/>
          </w:tcPr>
          <w:p>
            <w:pPr>
              <w:pStyle w:val="TableContents"/>
              <w:spacing w:before="0" w:after="0"/>
              <w:jc w:val="center"/>
              <w:rPr/>
            </w:pPr>
            <w:r>
              <w:rPr>
                <w:spacing w:val="-1"/>
              </w:rPr>
              <w:t>The meeting can be accessed by visiting https://web.lumiagm.com/265375813 (password: century2023), where you will be able to listen to the meeting live, submit questions and vote online. There will be no physical location for stockholders to attend.</w:t>
            </w:r>
            <w:r>
              <w:rPr/>
              <w:t xml:space="preserve"> </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55" w:type="dxa"/>
            <w:tcBorders/>
            <w:shd w:fill="auto" w:val="clear"/>
            <w:vAlign w:val="center"/>
          </w:tcPr>
          <w:p>
            <w:pPr>
              <w:pStyle w:val="TableContents"/>
              <w:spacing w:before="0" w:after="283"/>
              <w:rPr/>
            </w:pPr>
            <w:r>
              <w:rPr/>
              <w:t>​</w:t>
            </w:r>
          </w:p>
        </w:tc>
      </w:tr>
    </w:tbl>
    <w:p>
      <w:pPr>
        <w:pStyle w:val="TextBody"/>
        <w:spacing w:lineRule="atLeast" w:line="240" w:before="254" w:after="283"/>
        <w:ind w:left="960" w:right="0" w:hanging="0"/>
        <w:jc w:val="both"/>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0"/>
          <w:sz w:val="20"/>
        </w:rPr>
        <w:t>Summary of Stockholder Voting Matters</w:t>
      </w:r>
      <w:r>
        <w:rPr>
          <w:rFonts w:ascii="Arial;Helvetica;sans-serif" w:hAnsi="Arial;Helvetica;sans-serif"/>
          <w:b/>
          <w:i w:val="false"/>
          <w:caps w:val="false"/>
          <w:smallCaps w:val="false"/>
          <w:color w:val="000000"/>
          <w:spacing w:val="4"/>
          <w:sz w:val="20"/>
        </w:rPr>
        <w:t xml:space="preserve"> </w:t>
      </w:r>
    </w:p>
    <w:tbl>
      <w:tblPr>
        <w:tblW w:w="9245" w:type="dxa"/>
        <w:jc w:val="left"/>
        <w:tblInd w:w="960" w:type="dxa"/>
        <w:tblCellMar>
          <w:top w:w="0" w:type="dxa"/>
          <w:left w:w="0" w:type="dxa"/>
          <w:bottom w:w="0" w:type="dxa"/>
          <w:right w:w="0" w:type="dxa"/>
        </w:tblCellMar>
      </w:tblPr>
      <w:tblGrid>
        <w:gridCol w:w="124"/>
        <w:gridCol w:w="109"/>
        <w:gridCol w:w="1033"/>
        <w:gridCol w:w="116"/>
        <w:gridCol w:w="116"/>
        <w:gridCol w:w="1117"/>
        <w:gridCol w:w="116"/>
        <w:gridCol w:w="116"/>
        <w:gridCol w:w="1441"/>
        <w:gridCol w:w="109"/>
        <w:gridCol w:w="109"/>
        <w:gridCol w:w="1801"/>
        <w:gridCol w:w="109"/>
        <w:gridCol w:w="109"/>
        <w:gridCol w:w="2451"/>
        <w:gridCol w:w="109"/>
        <w:gridCol w:w="160"/>
      </w:tblGrid>
      <w:tr>
        <w:trPr/>
        <w:tc>
          <w:tcPr>
            <w:tcW w:w="124" w:type="dxa"/>
            <w:tcBorders/>
            <w:shd w:fill="auto" w:val="clear"/>
            <w:vAlign w:val="center"/>
          </w:tcPr>
          <w:p>
            <w:pPr>
              <w:pStyle w:val="TableContents"/>
              <w:spacing w:before="0" w:after="283"/>
              <w:rPr/>
            </w:pPr>
            <w:r>
              <w:rPr/>
              <w:t>​</w:t>
            </w:r>
          </w:p>
        </w:tc>
        <w:tc>
          <w:tcPr>
            <w:tcW w:w="109" w:type="dxa"/>
            <w:tcBorders>
              <w:bottom w:val="single" w:sz="2" w:space="0" w:color="000000"/>
            </w:tcBorders>
            <w:shd w:fill="148CD9" w:val="clear"/>
            <w:tcMar>
              <w:bottom w:w="28" w:type="dxa"/>
            </w:tcMar>
            <w:vAlign w:val="center"/>
          </w:tcPr>
          <w:p>
            <w:pPr>
              <w:pStyle w:val="TableContents"/>
              <w:spacing w:before="0" w:after="283"/>
              <w:rPr/>
            </w:pPr>
            <w:r>
              <w:rPr/>
              <w:t>​</w:t>
            </w:r>
          </w:p>
        </w:tc>
        <w:tc>
          <w:tcPr>
            <w:tcW w:w="4055" w:type="dxa"/>
            <w:gridSpan w:val="7"/>
            <w:tcBorders>
              <w:bottom w:val="single" w:sz="2" w:space="0" w:color="000000"/>
            </w:tcBorders>
            <w:shd w:fill="148CD9" w:val="clear"/>
            <w:tcMar>
              <w:bottom w:w="28" w:type="dxa"/>
            </w:tcMar>
            <w:vAlign w:val="center"/>
          </w:tcPr>
          <w:p>
            <w:pPr>
              <w:pStyle w:val="TableContents"/>
              <w:spacing w:lineRule="atLeast" w:line="200" w:before="0" w:after="0"/>
              <w:jc w:val="center"/>
              <w:rPr>
                <w:spacing w:val="-2"/>
              </w:rPr>
            </w:pPr>
            <w:r>
              <w:rPr>
                <w:spacing w:val="-2"/>
              </w:rPr>
              <w:t xml:space="preserve">VOTING MATTERS </w:t>
            </w:r>
          </w:p>
        </w:tc>
        <w:tc>
          <w:tcPr>
            <w:tcW w:w="109" w:type="dxa"/>
            <w:tcBorders>
              <w:bottom w:val="single" w:sz="2" w:space="0" w:color="000000"/>
            </w:tcBorders>
            <w:shd w:fill="148CD9" w:val="clear"/>
            <w:tcMar>
              <w:bottom w:w="28" w:type="dxa"/>
            </w:tcMar>
            <w:vAlign w:val="center"/>
          </w:tcPr>
          <w:p>
            <w:pPr>
              <w:pStyle w:val="TableContents"/>
              <w:spacing w:before="0" w:after="283"/>
              <w:rPr/>
            </w:pPr>
            <w:r>
              <w:rPr/>
              <w:t>​</w:t>
            </w:r>
          </w:p>
        </w:tc>
        <w:tc>
          <w:tcPr>
            <w:tcW w:w="109" w:type="dxa"/>
            <w:tcBorders>
              <w:bottom w:val="single" w:sz="2" w:space="0" w:color="000000"/>
            </w:tcBorders>
            <w:shd w:fill="148CD9" w:val="clear"/>
            <w:tcMar>
              <w:bottom w:w="28" w:type="dxa"/>
            </w:tcMar>
            <w:vAlign w:val="center"/>
          </w:tcPr>
          <w:p>
            <w:pPr>
              <w:pStyle w:val="TableContents"/>
              <w:spacing w:before="0" w:after="283"/>
              <w:rPr/>
            </w:pPr>
            <w:r>
              <w:rPr/>
              <w:t>​</w:t>
            </w:r>
          </w:p>
        </w:tc>
        <w:tc>
          <w:tcPr>
            <w:tcW w:w="1801" w:type="dxa"/>
            <w:tcBorders>
              <w:bottom w:val="single" w:sz="2" w:space="0" w:color="000000"/>
            </w:tcBorders>
            <w:shd w:fill="148CD9" w:val="clear"/>
            <w:tcMar>
              <w:bottom w:w="28" w:type="dxa"/>
            </w:tcMar>
            <w:vAlign w:val="center"/>
          </w:tcPr>
          <w:p>
            <w:pPr>
              <w:pStyle w:val="TableContents"/>
              <w:spacing w:lineRule="atLeast" w:line="180" w:before="0" w:after="0"/>
              <w:jc w:val="center"/>
              <w:rPr/>
            </w:pPr>
            <w:r>
              <w:rPr>
                <w:spacing w:val="-2"/>
              </w:rPr>
              <w:t>FOR MORE</w:t>
            </w:r>
            <w:r>
              <w:rPr/>
              <w:t xml:space="preserve"> </w:t>
              <w:br/>
            </w:r>
            <w:r>
              <w:rPr>
                <w:spacing w:val="-2"/>
              </w:rPr>
              <w:t xml:space="preserve">INFORMATION </w:t>
            </w:r>
          </w:p>
        </w:tc>
        <w:tc>
          <w:tcPr>
            <w:tcW w:w="109" w:type="dxa"/>
            <w:tcBorders>
              <w:bottom w:val="single" w:sz="2" w:space="0" w:color="000000"/>
            </w:tcBorders>
            <w:shd w:fill="148CD9" w:val="clear"/>
            <w:tcMar>
              <w:bottom w:w="28" w:type="dxa"/>
            </w:tcMar>
            <w:vAlign w:val="center"/>
          </w:tcPr>
          <w:p>
            <w:pPr>
              <w:pStyle w:val="TableContents"/>
              <w:spacing w:before="0" w:after="283"/>
              <w:rPr/>
            </w:pPr>
            <w:r>
              <w:rPr/>
              <w:t>​</w:t>
            </w:r>
          </w:p>
        </w:tc>
        <w:tc>
          <w:tcPr>
            <w:tcW w:w="109" w:type="dxa"/>
            <w:tcBorders>
              <w:bottom w:val="single" w:sz="2" w:space="0" w:color="000000"/>
            </w:tcBorders>
            <w:shd w:fill="148CD9" w:val="clear"/>
            <w:tcMar>
              <w:bottom w:w="28" w:type="dxa"/>
            </w:tcMar>
            <w:vAlign w:val="center"/>
          </w:tcPr>
          <w:p>
            <w:pPr>
              <w:pStyle w:val="TableContents"/>
              <w:spacing w:before="0" w:after="283"/>
              <w:rPr/>
            </w:pPr>
            <w:r>
              <w:rPr/>
              <w:t>​</w:t>
            </w:r>
          </w:p>
        </w:tc>
        <w:tc>
          <w:tcPr>
            <w:tcW w:w="2451" w:type="dxa"/>
            <w:tcBorders>
              <w:bottom w:val="single" w:sz="2" w:space="0" w:color="000000"/>
            </w:tcBorders>
            <w:shd w:fill="148CD9" w:val="clear"/>
            <w:tcMar>
              <w:bottom w:w="28" w:type="dxa"/>
            </w:tcMar>
            <w:vAlign w:val="center"/>
          </w:tcPr>
          <w:p>
            <w:pPr>
              <w:pStyle w:val="TableContents"/>
              <w:spacing w:lineRule="atLeast" w:line="180" w:before="0" w:after="0"/>
              <w:jc w:val="center"/>
              <w:rPr/>
            </w:pPr>
            <w:r>
              <w:rPr>
                <w:spacing w:val="-2"/>
              </w:rPr>
              <w:t xml:space="preserve">BOARD OF </w:t>
            </w:r>
            <w:r>
              <w:rPr/>
              <w:br/>
            </w:r>
            <w:r>
              <w:rPr>
                <w:spacing w:val="-2"/>
              </w:rPr>
              <w:t>DIRECTORS</w:t>
            </w:r>
            <w:r>
              <w:rPr/>
              <w:t xml:space="preserve"> </w:t>
              <w:br/>
            </w:r>
            <w:r>
              <w:rPr>
                <w:spacing w:val="-2"/>
              </w:rPr>
              <w:t xml:space="preserve">RECOMMENDATION </w:t>
            </w:r>
          </w:p>
        </w:tc>
        <w:tc>
          <w:tcPr>
            <w:tcW w:w="109" w:type="dxa"/>
            <w:tcBorders>
              <w:bottom w:val="single" w:sz="2" w:space="0" w:color="000000"/>
            </w:tcBorders>
            <w:shd w:fill="148CD9" w:val="clear"/>
            <w:tcMar>
              <w:bottom w:w="28" w:type="dxa"/>
            </w:tcMar>
            <w:vAlign w:val="center"/>
          </w:tcPr>
          <w:p>
            <w:pPr>
              <w:pStyle w:val="TableContents"/>
              <w:spacing w:before="0" w:after="283"/>
              <w:rPr/>
            </w:pPr>
            <w:r>
              <w:rPr/>
              <w:t>​</w:t>
            </w:r>
          </w:p>
        </w:tc>
        <w:tc>
          <w:tcPr>
            <w:tcW w:w="160" w:type="dxa"/>
            <w:tcBorders/>
            <w:shd w:fill="auto"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4055" w:type="dxa"/>
            <w:gridSpan w:val="7"/>
            <w:tcBorders/>
            <w:shd w:fill="auto" w:val="clear"/>
            <w:vAlign w:val="center"/>
          </w:tcPr>
          <w:p>
            <w:pPr>
              <w:pStyle w:val="TableContents"/>
              <w:spacing w:lineRule="atLeast" w:line="240" w:before="0" w:after="0"/>
              <w:rPr>
                <w:color w:val="1DA46F"/>
              </w:rPr>
            </w:pPr>
            <w:r>
              <w:rPr>
                <w:b/>
                <w:color w:val="1DA46F"/>
                <w:spacing w:val="-3"/>
              </w:rPr>
              <w:t>PROPOSAL 1</w:t>
            </w:r>
            <w:r>
              <w:rPr>
                <w:color w:val="1DA46F"/>
                <w:spacing w:val="-1"/>
              </w:rPr>
              <w:t xml:space="preserve">: Election of Class II Directors for a Three-Year </w:t>
            </w:r>
            <w:r>
              <w:rPr>
                <w:color w:val="1DA46F"/>
              </w:rPr>
              <w:br/>
            </w:r>
            <w:r>
              <w:rPr>
                <w:color w:val="1DA46F"/>
                <w:spacing w:val="-1"/>
              </w:rPr>
              <w:t>Term Expiring in 2026</w:t>
            </w:r>
            <w:r>
              <w:rPr>
                <w:color w:val="1DA46F"/>
              </w:rPr>
              <w:t xml:space="preserve"> </w:t>
            </w:r>
          </w:p>
        </w:tc>
        <w:tc>
          <w:tcPr>
            <w:tcW w:w="109" w:type="dxa"/>
            <w:tcBorders/>
            <w:shd w:fill="auto" w:val="clear"/>
            <w:vAlign w:val="center"/>
          </w:tcPr>
          <w:p>
            <w:pPr>
              <w:pStyle w:val="TableContents"/>
              <w:spacing w:before="0" w:after="283"/>
              <w:rPr/>
            </w:pPr>
            <w:r>
              <w:rPr/>
              <w:t>​</w:t>
            </w:r>
          </w:p>
        </w:tc>
        <w:tc>
          <w:tcPr>
            <w:tcW w:w="109" w:type="dxa"/>
            <w:vMerge w:val="restart"/>
            <w:tcBorders>
              <w:bottom w:val="single" w:sz="2" w:space="0" w:color="000000"/>
            </w:tcBorders>
            <w:shd w:fill="auto" w:val="clear"/>
            <w:tcMar>
              <w:bottom w:w="28" w:type="dxa"/>
            </w:tcMar>
            <w:vAlign w:val="center"/>
          </w:tcPr>
          <w:p>
            <w:pPr>
              <w:pStyle w:val="TableContents"/>
              <w:spacing w:before="0" w:after="283"/>
              <w:rPr/>
            </w:pPr>
            <w:r>
              <w:rPr/>
              <w:t>​</w:t>
            </w:r>
          </w:p>
        </w:tc>
        <w:tc>
          <w:tcPr>
            <w:tcW w:w="1801" w:type="dxa"/>
            <w:vMerge w:val="restart"/>
            <w:tcBorders>
              <w:bottom w:val="single" w:sz="2" w:space="0" w:color="000000"/>
            </w:tcBorders>
            <w:shd w:fill="auto" w:val="clear"/>
            <w:tcMar>
              <w:bottom w:w="28" w:type="dxa"/>
            </w:tcMar>
            <w:vAlign w:val="center"/>
          </w:tcPr>
          <w:p>
            <w:pPr>
              <w:pStyle w:val="TableContents"/>
              <w:spacing w:lineRule="atLeast" w:line="240" w:before="0" w:after="0"/>
              <w:jc w:val="center"/>
              <w:rPr>
                <w:spacing w:val="-1"/>
              </w:rPr>
            </w:pPr>
            <w:r>
              <w:rPr>
                <w:spacing w:val="-1"/>
              </w:rPr>
              <w:t xml:space="preserve">Page 42 </w:t>
            </w:r>
          </w:p>
        </w:tc>
        <w:tc>
          <w:tcPr>
            <w:tcW w:w="109" w:type="dxa"/>
            <w:vMerge w:val="restart"/>
            <w:tcBorders>
              <w:bottom w:val="single" w:sz="2" w:space="0" w:color="000000"/>
            </w:tcBorders>
            <w:shd w:fill="auto" w:val="clear"/>
            <w:tcMar>
              <w:bottom w:w="28" w:type="dxa"/>
            </w:tcMar>
            <w:vAlign w:val="center"/>
          </w:tcPr>
          <w:p>
            <w:pPr>
              <w:pStyle w:val="TableContents"/>
              <w:spacing w:before="0" w:after="283"/>
              <w:rPr/>
            </w:pPr>
            <w:r>
              <w:rPr/>
              <w:t>​</w:t>
            </w:r>
          </w:p>
        </w:tc>
        <w:tc>
          <w:tcPr>
            <w:tcW w:w="109" w:type="dxa"/>
            <w:vMerge w:val="restart"/>
            <w:tcBorders>
              <w:bottom w:val="single" w:sz="2" w:space="0" w:color="000000"/>
            </w:tcBorders>
            <w:shd w:fill="auto" w:val="clear"/>
            <w:tcMar>
              <w:bottom w:w="28" w:type="dxa"/>
            </w:tcMar>
            <w:vAlign w:val="center"/>
          </w:tcPr>
          <w:p>
            <w:pPr>
              <w:pStyle w:val="TableContents"/>
              <w:spacing w:before="0" w:after="283"/>
              <w:rPr/>
            </w:pPr>
            <w:r>
              <w:rPr/>
              <w:t>​</w:t>
            </w:r>
          </w:p>
        </w:tc>
        <w:tc>
          <w:tcPr>
            <w:tcW w:w="2451" w:type="dxa"/>
            <w:vMerge w:val="restart"/>
            <w:tcBorders>
              <w:bottom w:val="single" w:sz="2" w:space="0" w:color="000000"/>
            </w:tcBorders>
            <w:shd w:fill="auto" w:val="clear"/>
            <w:tcMar>
              <w:bottom w:w="28" w:type="dxa"/>
            </w:tcMar>
            <w:vAlign w:val="center"/>
          </w:tcPr>
          <w:p>
            <w:pPr>
              <w:pStyle w:val="TableContents"/>
              <w:spacing w:lineRule="atLeast" w:line="240" w:before="0" w:after="0"/>
              <w:ind w:left="400" w:right="0" w:hanging="0"/>
              <w:jc w:val="left"/>
              <w:rPr>
                <w:b/>
              </w:rPr>
            </w:pPr>
            <w:r>
              <w:rPr>
                <w:b/>
                <w:spacing w:val="0"/>
              </w:rPr>
              <w:t>FOR Each Nominee</w:t>
            </w:r>
            <w:r>
              <w:rPr>
                <w:b/>
              </w:rPr>
              <w:t xml:space="preserve"> </w:t>
            </w:r>
            <w:r>
              <mc:AlternateContent>
                <mc:Choice Requires="wps">
                  <w:drawing>
                    <wp:anchor behindDoc="0" distT="0" distB="0" distL="0" distR="0" simplePos="0" locked="0" layoutInCell="1" allowOverlap="1" relativeHeight="36">
                      <wp:simplePos x="0" y="0"/>
                      <wp:positionH relativeFrom="column">
                        <wp:align>left</wp:align>
                      </wp:positionH>
                      <wp:positionV relativeFrom="line">
                        <wp:posOffset>635</wp:posOffset>
                      </wp:positionV>
                      <wp:extent cx="254000" cy="350520"/>
                      <wp:effectExtent l="0" t="0" r="0" b="0"/>
                      <wp:wrapSquare wrapText="largest"/>
                      <wp:docPr id="7" name="Frame4"/>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40" w:before="0" w:after="283"/>
                                    <w:jc w:val="left"/>
                                    <w:rPr/>
                                  </w:pPr>
                                  <w:r>
                                    <w:rPr>
                                      <w:spacing w:val="-3"/>
                                    </w:rPr>
                                    <w:t>✓</w:t>
                                  </w:r>
                                  <w:r>
                                    <w:rPr/>
                                    <w:t xml:space="preserve"> </w:t>
                                  </w:r>
                                  <w:r>
                                    <w:rPr>
                                      <w:b/>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tLeast" w:line="240" w:before="0" w:after="283"/>
                              <w:jc w:val="left"/>
                              <w:rPr/>
                            </w:pPr>
                            <w:r>
                              <w:rPr>
                                <w:spacing w:val="-3"/>
                              </w:rPr>
                              <w:t>✓</w:t>
                            </w:r>
                            <w:r>
                              <w:rPr/>
                              <w:t xml:space="preserve"> </w:t>
                            </w:r>
                            <w:r>
                              <w:rPr>
                                <w:b/>
                              </w:rPr>
                              <w:br/>
                            </w:r>
                          </w:p>
                        </w:txbxContent>
                      </v:textbox>
                      <w10:wrap type="square" side="right"/>
                    </v:rect>
                  </w:pict>
                </mc:Fallback>
              </mc:AlternateContent>
            </w:r>
          </w:p>
          <w:p>
            <w:pPr>
              <w:pStyle w:val="TableContents"/>
              <w:spacing w:before="0" w:after="0"/>
              <w:ind w:left="0" w:right="0" w:hanging="0"/>
              <w:rPr/>
            </w:pPr>
            <w:r>
              <w:rPr/>
              <w:t>​</w:t>
            </w:r>
          </w:p>
        </w:tc>
        <w:tc>
          <w:tcPr>
            <w:tcW w:w="109" w:type="dxa"/>
            <w:vMerge w:val="restart"/>
            <w:tcBorders>
              <w:bottom w:val="single" w:sz="2" w:space="0" w:color="000000"/>
            </w:tcBorders>
            <w:shd w:fill="auto" w:val="clear"/>
            <w:tcMar>
              <w:bottom w:w="28" w:type="dxa"/>
            </w:tcMar>
            <w:vAlign w:val="center"/>
          </w:tcPr>
          <w:p>
            <w:pPr>
              <w:pStyle w:val="TableContents"/>
              <w:spacing w:before="0" w:after="283"/>
              <w:rPr/>
            </w:pPr>
            <w:r>
              <w:rPr/>
              <w:t>​</w:t>
            </w:r>
          </w:p>
        </w:tc>
        <w:tc>
          <w:tcPr>
            <w:tcW w:w="160" w:type="dxa"/>
            <w:vMerge w:val="restart"/>
            <w:tcBorders/>
            <w:shd w:fill="auto"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033" w:type="dxa"/>
            <w:tcBorders>
              <w:bottom w:val="single" w:sz="2" w:space="0" w:color="000000"/>
            </w:tcBorders>
            <w:shd w:fill="auto" w:val="clear"/>
            <w:tcMar>
              <w:bottom w:w="28" w:type="dxa"/>
            </w:tcMar>
            <w:vAlign w:val="center"/>
          </w:tcPr>
          <w:p>
            <w:pPr>
              <w:pStyle w:val="TableContents"/>
              <w:spacing w:lineRule="atLeast" w:line="240" w:before="0" w:after="0"/>
              <w:rPr>
                <w:spacing w:val="-1"/>
              </w:rPr>
            </w:pPr>
            <w:r>
              <w:rPr>
                <w:spacing w:val="-1"/>
              </w:rPr>
              <w:t xml:space="preserve">Cynthia Butitta </w:t>
            </w:r>
          </w:p>
        </w:tc>
        <w:tc>
          <w:tcPr>
            <w:tcW w:w="116" w:type="dxa"/>
            <w:tcBorders>
              <w:bottom w:val="single" w:sz="2" w:space="0" w:color="000000"/>
            </w:tcBorders>
            <w:shd w:fill="auto" w:val="clear"/>
            <w:tcMar>
              <w:bottom w:w="28" w:type="dxa"/>
            </w:tcMar>
            <w:vAlign w:val="center"/>
          </w:tcPr>
          <w:p>
            <w:pPr>
              <w:pStyle w:val="TableContents"/>
              <w:spacing w:before="0" w:after="283"/>
              <w:rPr/>
            </w:pPr>
            <w:r>
              <w:rPr/>
              <w:t>​</w:t>
            </w:r>
          </w:p>
        </w:tc>
        <w:tc>
          <w:tcPr>
            <w:tcW w:w="116" w:type="dxa"/>
            <w:tcBorders>
              <w:bottom w:val="single" w:sz="2" w:space="0" w:color="000000"/>
            </w:tcBorders>
            <w:shd w:fill="auto" w:val="clear"/>
            <w:tcMar>
              <w:bottom w:w="28" w:type="dxa"/>
            </w:tcMar>
            <w:vAlign w:val="center"/>
          </w:tcPr>
          <w:p>
            <w:pPr>
              <w:pStyle w:val="TableContents"/>
              <w:spacing w:before="0" w:after="283"/>
              <w:rPr/>
            </w:pPr>
            <w:r>
              <w:rPr/>
              <w:t>​</w:t>
            </w:r>
          </w:p>
        </w:tc>
        <w:tc>
          <w:tcPr>
            <w:tcW w:w="1117" w:type="dxa"/>
            <w:tcBorders>
              <w:bottom w:val="single" w:sz="2" w:space="0" w:color="000000"/>
            </w:tcBorders>
            <w:shd w:fill="auto" w:val="clear"/>
            <w:tcMar>
              <w:bottom w:w="28" w:type="dxa"/>
            </w:tcMar>
            <w:vAlign w:val="center"/>
          </w:tcPr>
          <w:p>
            <w:pPr>
              <w:pStyle w:val="TableContents"/>
              <w:spacing w:lineRule="atLeast" w:line="240" w:before="0" w:after="0"/>
              <w:rPr>
                <w:spacing w:val="-1"/>
              </w:rPr>
            </w:pPr>
            <w:r>
              <w:rPr>
                <w:spacing w:val="-1"/>
              </w:rPr>
              <w:t xml:space="preserve">Timothy Walbert </w:t>
            </w:r>
          </w:p>
        </w:tc>
        <w:tc>
          <w:tcPr>
            <w:tcW w:w="116" w:type="dxa"/>
            <w:tcBorders>
              <w:bottom w:val="single" w:sz="2" w:space="0" w:color="000000"/>
            </w:tcBorders>
            <w:shd w:fill="auto" w:val="clear"/>
            <w:tcMar>
              <w:bottom w:w="28" w:type="dxa"/>
            </w:tcMar>
            <w:vAlign w:val="center"/>
          </w:tcPr>
          <w:p>
            <w:pPr>
              <w:pStyle w:val="TableContents"/>
              <w:spacing w:before="0" w:after="283"/>
              <w:rPr/>
            </w:pPr>
            <w:r>
              <w:rPr/>
              <w:t>​</w:t>
            </w:r>
          </w:p>
        </w:tc>
        <w:tc>
          <w:tcPr>
            <w:tcW w:w="116" w:type="dxa"/>
            <w:tcBorders>
              <w:bottom w:val="single" w:sz="2" w:space="0" w:color="000000"/>
            </w:tcBorders>
            <w:shd w:fill="auto" w:val="clear"/>
            <w:tcMar>
              <w:bottom w:w="28" w:type="dxa"/>
            </w:tcMar>
            <w:vAlign w:val="center"/>
          </w:tcPr>
          <w:p>
            <w:pPr>
              <w:pStyle w:val="TableContents"/>
              <w:spacing w:before="0" w:after="283"/>
              <w:rPr/>
            </w:pPr>
            <w:r>
              <w:rPr/>
              <w:t>​</w:t>
            </w:r>
          </w:p>
        </w:tc>
        <w:tc>
          <w:tcPr>
            <w:tcW w:w="1441" w:type="dxa"/>
            <w:tcBorders>
              <w:bottom w:val="single" w:sz="2" w:space="0" w:color="000000"/>
            </w:tcBorders>
            <w:shd w:fill="auto" w:val="clear"/>
            <w:tcMar>
              <w:bottom w:w="28" w:type="dxa"/>
            </w:tcMar>
            <w:vAlign w:val="center"/>
          </w:tcPr>
          <w:p>
            <w:pPr>
              <w:pStyle w:val="TableContents"/>
              <w:spacing w:lineRule="atLeast" w:line="240" w:before="0" w:after="0"/>
              <w:rPr>
                <w:spacing w:val="-1"/>
              </w:rPr>
            </w:pPr>
            <w:r>
              <w:rPr>
                <w:spacing w:val="-1"/>
              </w:rPr>
              <w:t xml:space="preserve">Alessandro Riva, M.D. </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09" w:type="dxa"/>
            <w:vMerge w:val="continue"/>
            <w:tcBorders>
              <w:bottom w:val="single" w:sz="2" w:space="0" w:color="000000"/>
            </w:tcBorders>
            <w:shd w:fill="auto" w:val="clear"/>
            <w:tcMar>
              <w:bottom w:w="28" w:type="dxa"/>
            </w:tcMar>
            <w:vAlign w:val="center"/>
          </w:tcPr>
          <w:p>
            <w:pPr>
              <w:pStyle w:val="Normal"/>
              <w:rPr/>
            </w:pPr>
            <w:r>
              <w:rPr/>
            </w:r>
          </w:p>
        </w:tc>
        <w:tc>
          <w:tcPr>
            <w:tcW w:w="1801" w:type="dxa"/>
            <w:vMerge w:val="continue"/>
            <w:tcBorders>
              <w:bottom w:val="single" w:sz="2" w:space="0" w:color="000000"/>
            </w:tcBorders>
            <w:shd w:fill="auto" w:val="clear"/>
            <w:tcMar>
              <w:bottom w:w="28" w:type="dxa"/>
            </w:tcMar>
            <w:vAlign w:val="center"/>
          </w:tcPr>
          <w:p>
            <w:pPr>
              <w:pStyle w:val="Normal"/>
              <w:rPr/>
            </w:pPr>
            <w:r>
              <w:rPr/>
            </w:r>
          </w:p>
        </w:tc>
        <w:tc>
          <w:tcPr>
            <w:tcW w:w="109" w:type="dxa"/>
            <w:vMerge w:val="continue"/>
            <w:tcBorders>
              <w:bottom w:val="single" w:sz="2" w:space="0" w:color="000000"/>
            </w:tcBorders>
            <w:shd w:fill="auto" w:val="clear"/>
            <w:tcMar>
              <w:bottom w:w="28" w:type="dxa"/>
            </w:tcMar>
            <w:vAlign w:val="center"/>
          </w:tcPr>
          <w:p>
            <w:pPr>
              <w:pStyle w:val="Normal"/>
              <w:rPr/>
            </w:pPr>
            <w:r>
              <w:rPr/>
            </w:r>
          </w:p>
        </w:tc>
        <w:tc>
          <w:tcPr>
            <w:tcW w:w="109" w:type="dxa"/>
            <w:vMerge w:val="continue"/>
            <w:tcBorders>
              <w:bottom w:val="single" w:sz="2" w:space="0" w:color="000000"/>
            </w:tcBorders>
            <w:shd w:fill="auto" w:val="clear"/>
            <w:tcMar>
              <w:bottom w:w="28" w:type="dxa"/>
            </w:tcMar>
            <w:vAlign w:val="center"/>
          </w:tcPr>
          <w:p>
            <w:pPr>
              <w:pStyle w:val="Normal"/>
              <w:rPr/>
            </w:pPr>
            <w:r>
              <w:rPr/>
            </w:r>
          </w:p>
        </w:tc>
        <w:tc>
          <w:tcPr>
            <w:tcW w:w="2451" w:type="dxa"/>
            <w:vMerge w:val="continue"/>
            <w:tcBorders>
              <w:bottom w:val="single" w:sz="2" w:space="0" w:color="000000"/>
            </w:tcBorders>
            <w:shd w:fill="auto" w:val="clear"/>
            <w:tcMar>
              <w:bottom w:w="28" w:type="dxa"/>
            </w:tcMar>
            <w:vAlign w:val="center"/>
          </w:tcPr>
          <w:p>
            <w:pPr>
              <w:pStyle w:val="Normal"/>
              <w:rPr/>
            </w:pPr>
            <w:r>
              <w:rPr/>
            </w:r>
          </w:p>
        </w:tc>
        <w:tc>
          <w:tcPr>
            <w:tcW w:w="109" w:type="dxa"/>
            <w:vMerge w:val="continue"/>
            <w:tcBorders>
              <w:bottom w:val="single" w:sz="2" w:space="0" w:color="000000"/>
            </w:tcBorders>
            <w:shd w:fill="auto" w:val="clear"/>
            <w:tcMar>
              <w:bottom w:w="28" w:type="dxa"/>
            </w:tcMar>
            <w:vAlign w:val="center"/>
          </w:tcPr>
          <w:p>
            <w:pPr>
              <w:pStyle w:val="Normal"/>
              <w:rPr/>
            </w:pPr>
            <w:r>
              <w:rPr/>
            </w:r>
          </w:p>
        </w:tc>
        <w:tc>
          <w:tcPr>
            <w:tcW w:w="160" w:type="dxa"/>
            <w:vMerge w:val="continue"/>
            <w:tcBorders/>
            <w:shd w:fill="auto" w:val="clear"/>
            <w:vAlign w:val="center"/>
          </w:tcPr>
          <w:p>
            <w:pPr>
              <w:pStyle w:val="Normal"/>
              <w:rPr/>
            </w:pPr>
            <w:r>
              <w:rPr/>
            </w:r>
          </w:p>
        </w:tc>
      </w:tr>
      <w:tr>
        <w:trPr/>
        <w:tc>
          <w:tcPr>
            <w:tcW w:w="124" w:type="dxa"/>
            <w:tcBorders/>
            <w:shd w:fill="auto" w:val="cle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4055" w:type="dxa"/>
            <w:gridSpan w:val="7"/>
            <w:tcBorders>
              <w:bottom w:val="single" w:sz="2" w:space="0" w:color="000000"/>
            </w:tcBorders>
            <w:shd w:fill="auto" w:val="clear"/>
            <w:tcMar>
              <w:bottom w:w="40" w:type="dxa"/>
            </w:tcMar>
            <w:vAlign w:val="center"/>
          </w:tcPr>
          <w:p>
            <w:pPr>
              <w:pStyle w:val="TableContents"/>
              <w:spacing w:before="0" w:after="0"/>
              <w:rPr>
                <w:color w:val="1DA46F"/>
              </w:rPr>
            </w:pPr>
            <w:r>
              <w:rPr>
                <w:b/>
                <w:color w:val="1DA46F"/>
                <w:spacing w:val="-3"/>
              </w:rPr>
              <w:t>PROPOSAL 2</w:t>
            </w:r>
            <w:r>
              <w:rPr>
                <w:color w:val="1DA46F"/>
                <w:spacing w:val="-1"/>
              </w:rPr>
              <w:t>: Ratification of Appointment of EY as our Independent Registered Public Accounting Firm for 2023</w:t>
            </w:r>
            <w:r>
              <w:rPr>
                <w:color w:val="1DA46F"/>
              </w:rPr>
              <w:t xml:space="preserve"> </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801" w:type="dxa"/>
            <w:tcBorders>
              <w:bottom w:val="single" w:sz="2" w:space="0" w:color="000000"/>
            </w:tcBorders>
            <w:shd w:fill="auto" w:val="clear"/>
            <w:tcMar>
              <w:bottom w:w="28" w:type="dxa"/>
            </w:tcMar>
            <w:vAlign w:val="center"/>
          </w:tcPr>
          <w:p>
            <w:pPr>
              <w:pStyle w:val="TableContents"/>
              <w:spacing w:before="0" w:after="0"/>
              <w:jc w:val="center"/>
              <w:rPr>
                <w:spacing w:val="-1"/>
              </w:rPr>
            </w:pPr>
            <w:r>
              <w:rPr>
                <w:spacing w:val="-1"/>
              </w:rPr>
              <w:t xml:space="preserve">Page 43 </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2451" w:type="dxa"/>
            <w:tcBorders>
              <w:bottom w:val="single" w:sz="2" w:space="0" w:color="000000"/>
            </w:tcBorders>
            <w:shd w:fill="auto" w:val="clear"/>
            <w:tcMar>
              <w:bottom w:w="28" w:type="dxa"/>
            </w:tcMar>
            <w:vAlign w:val="center"/>
          </w:tcPr>
          <w:p>
            <w:pPr>
              <w:pStyle w:val="TableContents"/>
              <w:spacing w:lineRule="atLeast" w:line="200" w:before="0" w:after="0"/>
              <w:ind w:left="400" w:right="0" w:hanging="0"/>
              <w:jc w:val="left"/>
              <w:rPr>
                <w:b/>
              </w:rPr>
            </w:pPr>
            <w:r>
              <w:rPr>
                <w:b/>
                <w:spacing w:val="-3"/>
              </w:rPr>
              <w:t>FOR</w:t>
            </w:r>
            <w:r>
              <w:rPr>
                <w:b/>
              </w:rPr>
              <w:t xml:space="preserve"> </w:t>
            </w:r>
            <w:r>
              <mc:AlternateContent>
                <mc:Choice Requires="wps">
                  <w:drawing>
                    <wp:anchor behindDoc="0" distT="0" distB="0" distL="0" distR="0" simplePos="0" locked="0" layoutInCell="1" allowOverlap="1" relativeHeight="37">
                      <wp:simplePos x="0" y="0"/>
                      <wp:positionH relativeFrom="column">
                        <wp:align>left</wp:align>
                      </wp:positionH>
                      <wp:positionV relativeFrom="line">
                        <wp:posOffset>635</wp:posOffset>
                      </wp:positionV>
                      <wp:extent cx="254000" cy="350520"/>
                      <wp:effectExtent l="0" t="0" r="0" b="0"/>
                      <wp:wrapSquare wrapText="largest"/>
                      <wp:docPr id="8" name="Frame5"/>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00" w:before="0" w:after="283"/>
                                    <w:jc w:val="left"/>
                                    <w:rPr/>
                                  </w:pPr>
                                  <w:r>
                                    <w:rPr>
                                      <w:spacing w:val="-3"/>
                                    </w:rPr>
                                    <w:t>✓</w:t>
                                  </w:r>
                                  <w:r>
                                    <w:rPr/>
                                    <w:t xml:space="preserve"> </w:t>
                                  </w:r>
                                  <w:r>
                                    <w:rPr>
                                      <w:b/>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tLeast" w:line="200" w:before="0" w:after="283"/>
                              <w:jc w:val="left"/>
                              <w:rPr/>
                            </w:pPr>
                            <w:r>
                              <w:rPr>
                                <w:spacing w:val="-3"/>
                              </w:rPr>
                              <w:t>✓</w:t>
                            </w:r>
                            <w:r>
                              <w:rPr/>
                              <w:t xml:space="preserve"> </w:t>
                            </w:r>
                            <w:r>
                              <w:rPr>
                                <w:b/>
                              </w:rPr>
                              <w:br/>
                            </w:r>
                          </w:p>
                        </w:txbxContent>
                      </v:textbox>
                      <w10:wrap type="square" side="right"/>
                    </v:rect>
                  </w:pict>
                </mc:Fallback>
              </mc:AlternateContent>
            </w:r>
          </w:p>
          <w:p>
            <w:pPr>
              <w:pStyle w:val="TableContents"/>
              <w:spacing w:before="0" w:after="0"/>
              <w:ind w:left="0" w:right="0" w:hanging="0"/>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60" w:type="dxa"/>
            <w:tcBorders/>
            <w:shd w:fill="auto" w:val="clear"/>
            <w:vAlign w:val="center"/>
          </w:tcPr>
          <w:p>
            <w:pPr>
              <w:pStyle w:val="TableContents"/>
              <w:spacing w:before="0" w:after="283"/>
              <w:rPr/>
            </w:pPr>
            <w:r>
              <w:rPr/>
              <w:t>​</w:t>
            </w:r>
          </w:p>
        </w:tc>
      </w:tr>
    </w:tbl>
    <w:p>
      <w:pPr>
        <w:pStyle w:val="TextBody"/>
        <w:spacing w:lineRule="atLeast" w:line="240" w:before="254" w:after="283"/>
        <w:ind w:left="960" w:right="0" w:hanging="0"/>
        <w:jc w:val="both"/>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0"/>
          <w:sz w:val="20"/>
        </w:rPr>
        <w:t>Our Director Nominees</w:t>
      </w:r>
      <w:r>
        <w:rPr>
          <w:rFonts w:ascii="Arial;Helvetica;sans-serif" w:hAnsi="Arial;Helvetica;sans-serif"/>
          <w:b/>
          <w:i w:val="false"/>
          <w:caps w:val="false"/>
          <w:smallCaps w:val="false"/>
          <w:color w:val="000000"/>
          <w:spacing w:val="4"/>
          <w:sz w:val="20"/>
        </w:rPr>
        <w:t xml:space="preserve"> </w:t>
      </w:r>
    </w:p>
    <w:p>
      <w:pPr>
        <w:pStyle w:val="TextBody"/>
        <w:spacing w:lineRule="atLeast" w:line="25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You are being asked to vote on the election of Cynthia Butitta, Timothy Walbert and Alessandro Riva, M.D. as Class II directors, each to serve for a three-year term expiring at our 2026 Annual Meeting of Stockholders. The number of members of our Board of Directors, or the Board, is currently set at seven members and is divided into three classes, each of which has a three-year term. Class I consists of two directors, Class II consists of three directors and Class III consists of two directors.</w:t>
      </w:r>
      <w:r>
        <w:rPr>
          <w:rFonts w:ascii="Arial;Helvetica;sans-serif" w:hAnsi="Arial;Helvetica;sans-serif"/>
          <w:b w:val="false"/>
          <w:i w:val="false"/>
          <w:caps w:val="false"/>
          <w:smallCaps w:val="false"/>
          <w:color w:val="000000"/>
          <w:spacing w:val="4"/>
          <w:sz w:val="20"/>
        </w:rPr>
        <w:t xml:space="preserve"> </w:t>
      </w:r>
    </w:p>
    <w:p>
      <w:pPr>
        <w:pStyle w:val="TextBody"/>
        <w:spacing w:lineRule="atLeast" w:line="250" w:before="224"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The term of office of our Class II directors expires at the Annual Meeting. We are nominating Cynthia Butitta, Timothy Walbert and Alessandro Riva, M.D. for election at our Annual Meeting to serve until the 2026 Annual Meeting of Stockholders and until their successors, if any, are elected or appointed, or their earlier death, resignation, retirement, disqualification or removal. Directors are elected by a plurality of the votes properly cast by our stockholders at the Annual Meeting. The three nominees receiving the most FOR votes (among votes properly cast online at the meeting or by proxy) will be elected. If no contrary indication is made, shares represented by executed proxies will be voted FOR the election of Cynthia Butitta, Timothy Walbert and Alessandro Riva, M.D. Each nominee has agreed to serve as a director if elected, and we have no reason to believe that any nominee will be unable to serve.</w:t>
      </w:r>
      <w:r>
        <w:rPr>
          <w:rFonts w:ascii="Arial;Helvetica;sans-serif" w:hAnsi="Arial;Helvetica;sans-serif"/>
          <w:b w:val="false"/>
          <w:i w:val="false"/>
          <w:caps w:val="false"/>
          <w:smallCaps w:val="false"/>
          <w:color w:val="000000"/>
          <w:spacing w:val="4"/>
          <w:sz w:val="20"/>
        </w:rPr>
        <w:t xml:space="preserve"> </w:t>
      </w:r>
    </w:p>
    <w:p>
      <w:pPr>
        <w:pStyle w:val="TextBody"/>
        <w:spacing w:lineRule="atLeast" w:line="240" w:before="100" w:after="283"/>
        <w:ind w:left="960" w:right="0" w:hanging="0"/>
        <w:jc w:val="righ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1DA46F"/>
          <w:spacing w:val="0"/>
          <w:sz w:val="20"/>
        </w:rPr>
        <w:t>Notice of Annual Meeting of Stockholders</w:t>
      </w:r>
      <w:r>
        <w:rPr>
          <w:rFonts w:ascii="Arial;Helvetica;sans-serif" w:hAnsi="Arial;Helvetica;sans-serif"/>
          <w:b/>
          <w:i w:val="false"/>
          <w:caps w:val="false"/>
          <w:smallCaps w:val="false"/>
          <w:color w:val="000000"/>
          <w:spacing w:val="0"/>
          <w:sz w:val="20"/>
        </w:rPr>
        <w:t> and 2023 Proxy Statement | </w:t>
      </w:r>
      <w:r>
        <w:rPr>
          <w:rFonts w:ascii="Arial;Helvetica;sans-serif" w:hAnsi="Arial;Helvetica;sans-serif"/>
          <w:b w:val="false"/>
          <w:i w:val="false"/>
          <w:caps w:val="false"/>
          <w:smallCaps w:val="false"/>
          <w:color w:val="000000"/>
          <w:spacing w:val="-1"/>
          <w:sz w:val="20"/>
        </w:rPr>
        <w:t>i</w:t>
      </w:r>
      <w:r>
        <w:rPr>
          <w:rFonts w:ascii="Arial;Helvetica;sans-serif" w:hAnsi="Arial;Helvetica;sans-serif"/>
          <w:b/>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 w:name="tCGH"/>
      <w:bookmarkEnd w:id="3"/>
      <w:r>
        <w:rPr>
          <w:rFonts w:ascii="calibri;arial;sans-serif" w:hAnsi="calibri;arial;sans-serif"/>
          <w:b w:val="false"/>
          <w:i w:val="false"/>
          <w:caps w:val="false"/>
          <w:smallCaps w:val="false"/>
          <w:color w:val="000000"/>
          <w:sz w:val="16"/>
        </w:rPr>
        <w:t>​</w:t>
      </w:r>
      <w:bookmarkStart w:id="4" w:name="tRCH"/>
      <w:bookmarkEnd w:id="4"/>
      <w:r>
        <w:rPr>
          <w:rFonts w:ascii="calibri;arial;sans-serif" w:hAnsi="calibri;arial;sans-serif"/>
          <w:b w:val="false"/>
          <w:i w:val="false"/>
          <w:caps w:val="false"/>
          <w:smallCaps w:val="false"/>
          <w:color w:val="000000"/>
          <w:sz w:val="16"/>
        </w:rPr>
        <w:t xml:space="preserve">​ </w:t>
      </w:r>
    </w:p>
    <w:tbl>
      <w:tblPr>
        <w:tblW w:w="3394" w:type="dxa"/>
        <w:jc w:val="left"/>
        <w:tblInd w:w="960" w:type="dxa"/>
        <w:tblCellMar>
          <w:top w:w="0" w:type="dxa"/>
          <w:left w:w="0" w:type="dxa"/>
          <w:bottom w:w="0" w:type="dxa"/>
          <w:right w:w="0" w:type="dxa"/>
        </w:tblCellMar>
      </w:tblPr>
      <w:tblGrid>
        <w:gridCol w:w="124"/>
        <w:gridCol w:w="3116"/>
        <w:gridCol w:w="154"/>
      </w:tblGrid>
      <w:tr>
        <w:trPr/>
        <w:tc>
          <w:tcPr>
            <w:tcW w:w="124" w:type="dxa"/>
            <w:tcBorders/>
            <w:shd w:fill="1DA46F" w:val="clear"/>
            <w:vAlign w:val="center"/>
          </w:tcPr>
          <w:p>
            <w:pPr>
              <w:pStyle w:val="TableContents"/>
              <w:spacing w:before="0" w:after="283"/>
              <w:rPr/>
            </w:pPr>
            <w:r>
              <w:rPr/>
              <w:t>​</w:t>
            </w:r>
          </w:p>
        </w:tc>
        <w:tc>
          <w:tcPr>
            <w:tcW w:w="3116" w:type="dxa"/>
            <w:tcBorders/>
            <w:shd w:fill="1DA46F" w:val="clear"/>
            <w:vAlign w:val="center"/>
          </w:tcPr>
          <w:p>
            <w:pPr>
              <w:pStyle w:val="TableContents"/>
              <w:spacing w:lineRule="atLeast" w:line="360" w:before="0" w:after="0"/>
              <w:rPr/>
            </w:pPr>
            <w:r>
              <w:rPr>
                <w:spacing w:val="-5"/>
              </w:rPr>
              <w:t>SUMMARY INFORMATION</w:t>
            </w:r>
            <w:r>
              <w:rPr/>
              <w:t xml:space="preserve"> </w:t>
            </w:r>
          </w:p>
        </w:tc>
        <w:tc>
          <w:tcPr>
            <w:tcW w:w="154" w:type="dxa"/>
            <w:tcBorders/>
            <w:shd w:fill="1DA46F" w:val="clear"/>
            <w:vAlign w:val="center"/>
          </w:tcPr>
          <w:p>
            <w:pPr>
              <w:pStyle w:val="TableContents"/>
              <w:spacing w:before="0" w:after="283"/>
              <w:rPr/>
            </w:pPr>
            <w:r>
              <w:rPr/>
              <w:t>​</w:t>
            </w:r>
          </w:p>
        </w:tc>
      </w:tr>
    </w:tbl>
    <w:tbl>
      <w:tblPr>
        <w:tblW w:w="10349" w:type="dxa"/>
        <w:jc w:val="left"/>
        <w:tblInd w:w="960" w:type="dxa"/>
        <w:tblCellMar>
          <w:top w:w="0" w:type="dxa"/>
          <w:left w:w="0" w:type="dxa"/>
          <w:bottom w:w="0" w:type="dxa"/>
          <w:right w:w="0" w:type="dxa"/>
        </w:tblCellMar>
      </w:tblPr>
      <w:tblGrid>
        <w:gridCol w:w="124"/>
        <w:gridCol w:w="109"/>
        <w:gridCol w:w="1246"/>
        <w:gridCol w:w="109"/>
        <w:gridCol w:w="109"/>
        <w:gridCol w:w="612"/>
        <w:gridCol w:w="109"/>
        <w:gridCol w:w="109"/>
        <w:gridCol w:w="1322"/>
        <w:gridCol w:w="109"/>
        <w:gridCol w:w="109"/>
        <w:gridCol w:w="1678"/>
        <w:gridCol w:w="109"/>
        <w:gridCol w:w="109"/>
        <w:gridCol w:w="1796"/>
        <w:gridCol w:w="109"/>
        <w:gridCol w:w="109"/>
        <w:gridCol w:w="449"/>
        <w:gridCol w:w="109"/>
        <w:gridCol w:w="109"/>
        <w:gridCol w:w="434"/>
        <w:gridCol w:w="109"/>
        <w:gridCol w:w="109"/>
        <w:gridCol w:w="790"/>
        <w:gridCol w:w="109"/>
        <w:gridCol w:w="154"/>
      </w:tblGrid>
      <w:tr>
        <w:trPr/>
        <w:tc>
          <w:tcPr>
            <w:tcW w:w="124" w:type="dxa"/>
            <w:vMerge w:val="restart"/>
            <w:tcBorders/>
            <w:shd w:fill="auto" w:val="clear"/>
            <w:vAlign w:val="center"/>
          </w:tcPr>
          <w:p>
            <w:pPr>
              <w:pStyle w:val="TableContents"/>
              <w:spacing w:before="0" w:after="283"/>
              <w:rPr/>
            </w:pPr>
            <w:r>
              <w:rPr/>
              <w:t>​</w:t>
            </w:r>
          </w:p>
        </w:tc>
        <w:tc>
          <w:tcPr>
            <w:tcW w:w="109" w:type="dxa"/>
            <w:vMerge w:val="restart"/>
            <w:tcBorders>
              <w:bottom w:val="single" w:sz="2" w:space="0" w:color="000000"/>
            </w:tcBorders>
            <w:shd w:fill="148CD9" w:val="clear"/>
            <w:tcMar>
              <w:bottom w:w="28" w:type="dxa"/>
            </w:tcMar>
            <w:vAlign w:val="center"/>
          </w:tcPr>
          <w:p>
            <w:pPr>
              <w:pStyle w:val="TableContents"/>
              <w:spacing w:before="0" w:after="283"/>
              <w:rPr/>
            </w:pPr>
            <w:r>
              <w:rPr/>
              <w:t>​</w:t>
            </w:r>
          </w:p>
        </w:tc>
        <w:tc>
          <w:tcPr>
            <w:tcW w:w="1246" w:type="dxa"/>
            <w:vMerge w:val="restart"/>
            <w:tcBorders>
              <w:bottom w:val="single" w:sz="2" w:space="0" w:color="000000"/>
            </w:tcBorders>
            <w:shd w:fill="148CD9" w:val="clear"/>
            <w:tcMar>
              <w:bottom w:w="28" w:type="dxa"/>
            </w:tcMar>
            <w:vAlign w:val="center"/>
          </w:tcPr>
          <w:p>
            <w:pPr>
              <w:pStyle w:val="TableContents"/>
              <w:spacing w:lineRule="atLeast" w:line="200" w:before="0" w:after="0"/>
              <w:jc w:val="center"/>
              <w:rPr>
                <w:spacing w:val="-2"/>
              </w:rPr>
            </w:pPr>
            <w:r>
              <w:rPr>
                <w:spacing w:val="-2"/>
              </w:rPr>
              <w:t xml:space="preserve">NAME </w:t>
            </w:r>
          </w:p>
        </w:tc>
        <w:tc>
          <w:tcPr>
            <w:tcW w:w="109" w:type="dxa"/>
            <w:vMerge w:val="restart"/>
            <w:tcBorders>
              <w:bottom w:val="single" w:sz="2" w:space="0" w:color="000000"/>
            </w:tcBorders>
            <w:shd w:fill="148CD9" w:val="clear"/>
            <w:tcMar>
              <w:bottom w:w="28" w:type="dxa"/>
            </w:tcMar>
            <w:vAlign w:val="center"/>
          </w:tcPr>
          <w:p>
            <w:pPr>
              <w:pStyle w:val="TableContents"/>
              <w:spacing w:before="0" w:after="283"/>
              <w:rPr/>
            </w:pPr>
            <w:r>
              <w:rPr/>
              <w:t>​</w:t>
            </w:r>
          </w:p>
        </w:tc>
        <w:tc>
          <w:tcPr>
            <w:tcW w:w="109" w:type="dxa"/>
            <w:vMerge w:val="restart"/>
            <w:tcBorders>
              <w:bottom w:val="single" w:sz="2" w:space="0" w:color="000000"/>
            </w:tcBorders>
            <w:shd w:fill="148CD9" w:val="clear"/>
            <w:tcMar>
              <w:bottom w:w="28" w:type="dxa"/>
            </w:tcMar>
            <w:vAlign w:val="center"/>
          </w:tcPr>
          <w:p>
            <w:pPr>
              <w:pStyle w:val="TableContents"/>
              <w:spacing w:before="0" w:after="283"/>
              <w:rPr/>
            </w:pPr>
            <w:r>
              <w:rPr/>
              <w:t>​</w:t>
            </w:r>
          </w:p>
        </w:tc>
        <w:tc>
          <w:tcPr>
            <w:tcW w:w="612" w:type="dxa"/>
            <w:vMerge w:val="restart"/>
            <w:tcBorders>
              <w:bottom w:val="single" w:sz="2" w:space="0" w:color="000000"/>
            </w:tcBorders>
            <w:shd w:fill="148CD9" w:val="clear"/>
            <w:tcMar>
              <w:bottom w:w="28" w:type="dxa"/>
            </w:tcMar>
            <w:vAlign w:val="center"/>
          </w:tcPr>
          <w:p>
            <w:pPr>
              <w:pStyle w:val="TableContents"/>
              <w:spacing w:lineRule="atLeast" w:line="200" w:before="0" w:after="0"/>
              <w:jc w:val="center"/>
              <w:rPr>
                <w:spacing w:val="-2"/>
              </w:rPr>
            </w:pPr>
            <w:r>
              <w:rPr>
                <w:spacing w:val="-2"/>
              </w:rPr>
              <w:t xml:space="preserve">AGE </w:t>
            </w:r>
          </w:p>
        </w:tc>
        <w:tc>
          <w:tcPr>
            <w:tcW w:w="109" w:type="dxa"/>
            <w:vMerge w:val="restart"/>
            <w:tcBorders>
              <w:bottom w:val="single" w:sz="2" w:space="0" w:color="000000"/>
            </w:tcBorders>
            <w:shd w:fill="148CD9" w:val="clear"/>
            <w:tcMar>
              <w:bottom w:w="28" w:type="dxa"/>
            </w:tcMar>
            <w:vAlign w:val="center"/>
          </w:tcPr>
          <w:p>
            <w:pPr>
              <w:pStyle w:val="TableContents"/>
              <w:spacing w:before="0" w:after="283"/>
              <w:rPr/>
            </w:pPr>
            <w:r>
              <w:rPr/>
              <w:t>​</w:t>
            </w:r>
          </w:p>
        </w:tc>
        <w:tc>
          <w:tcPr>
            <w:tcW w:w="109" w:type="dxa"/>
            <w:vMerge w:val="restart"/>
            <w:tcBorders>
              <w:bottom w:val="single" w:sz="2" w:space="0" w:color="000000"/>
            </w:tcBorders>
            <w:shd w:fill="148CD9" w:val="clear"/>
            <w:tcMar>
              <w:bottom w:w="28" w:type="dxa"/>
            </w:tcMar>
            <w:vAlign w:val="center"/>
          </w:tcPr>
          <w:p>
            <w:pPr>
              <w:pStyle w:val="TableContents"/>
              <w:spacing w:before="0" w:after="283"/>
              <w:rPr/>
            </w:pPr>
            <w:r>
              <w:rPr/>
              <w:t>​</w:t>
            </w:r>
          </w:p>
        </w:tc>
        <w:tc>
          <w:tcPr>
            <w:tcW w:w="1322" w:type="dxa"/>
            <w:vMerge w:val="restart"/>
            <w:tcBorders>
              <w:bottom w:val="single" w:sz="2" w:space="0" w:color="000000"/>
            </w:tcBorders>
            <w:shd w:fill="148CD9" w:val="clear"/>
            <w:tcMar>
              <w:bottom w:w="28" w:type="dxa"/>
            </w:tcMar>
            <w:vAlign w:val="center"/>
          </w:tcPr>
          <w:p>
            <w:pPr>
              <w:pStyle w:val="TableContents"/>
              <w:spacing w:lineRule="atLeast" w:line="180" w:before="0" w:after="0"/>
              <w:jc w:val="center"/>
              <w:rPr/>
            </w:pPr>
            <w:r>
              <w:rPr>
                <w:spacing w:val="-2"/>
              </w:rPr>
              <w:t xml:space="preserve">DIRECTOR </w:t>
            </w:r>
            <w:r>
              <w:rPr/>
              <w:br/>
            </w:r>
            <w:r>
              <w:rPr>
                <w:spacing w:val="-2"/>
              </w:rPr>
              <w:t xml:space="preserve">SINCE </w:t>
            </w:r>
          </w:p>
        </w:tc>
        <w:tc>
          <w:tcPr>
            <w:tcW w:w="109" w:type="dxa"/>
            <w:vMerge w:val="restart"/>
            <w:tcBorders>
              <w:bottom w:val="single" w:sz="2" w:space="0" w:color="000000"/>
            </w:tcBorders>
            <w:shd w:fill="148CD9" w:val="clear"/>
            <w:tcMar>
              <w:bottom w:w="28" w:type="dxa"/>
            </w:tcMar>
            <w:vAlign w:val="center"/>
          </w:tcPr>
          <w:p>
            <w:pPr>
              <w:pStyle w:val="TableContents"/>
              <w:spacing w:before="0" w:after="283"/>
              <w:rPr/>
            </w:pPr>
            <w:r>
              <w:rPr/>
              <w:t>​</w:t>
            </w:r>
          </w:p>
        </w:tc>
        <w:tc>
          <w:tcPr>
            <w:tcW w:w="109" w:type="dxa"/>
            <w:vMerge w:val="restart"/>
            <w:tcBorders>
              <w:bottom w:val="single" w:sz="2" w:space="0" w:color="000000"/>
            </w:tcBorders>
            <w:shd w:fill="148CD9" w:val="clear"/>
            <w:tcMar>
              <w:bottom w:w="28" w:type="dxa"/>
            </w:tcMar>
            <w:vAlign w:val="center"/>
          </w:tcPr>
          <w:p>
            <w:pPr>
              <w:pStyle w:val="TableContents"/>
              <w:spacing w:before="0" w:after="283"/>
              <w:rPr/>
            </w:pPr>
            <w:r>
              <w:rPr/>
              <w:t>​</w:t>
            </w:r>
          </w:p>
        </w:tc>
        <w:tc>
          <w:tcPr>
            <w:tcW w:w="1678" w:type="dxa"/>
            <w:vMerge w:val="restart"/>
            <w:tcBorders>
              <w:bottom w:val="single" w:sz="2" w:space="0" w:color="000000"/>
            </w:tcBorders>
            <w:shd w:fill="148CD9" w:val="clear"/>
            <w:tcMar>
              <w:bottom w:w="28" w:type="dxa"/>
            </w:tcMar>
            <w:vAlign w:val="center"/>
          </w:tcPr>
          <w:p>
            <w:pPr>
              <w:pStyle w:val="TableContents"/>
              <w:spacing w:lineRule="atLeast" w:line="200" w:before="0" w:after="0"/>
              <w:jc w:val="center"/>
              <w:rPr>
                <w:spacing w:val="-2"/>
              </w:rPr>
            </w:pPr>
            <w:r>
              <w:rPr>
                <w:spacing w:val="-2"/>
              </w:rPr>
              <w:t xml:space="preserve">OCCUPATION </w:t>
            </w:r>
          </w:p>
        </w:tc>
        <w:tc>
          <w:tcPr>
            <w:tcW w:w="109" w:type="dxa"/>
            <w:vMerge w:val="restart"/>
            <w:tcBorders>
              <w:bottom w:val="single" w:sz="2" w:space="0" w:color="000000"/>
            </w:tcBorders>
            <w:shd w:fill="148CD9" w:val="clear"/>
            <w:tcMar>
              <w:bottom w:w="28" w:type="dxa"/>
            </w:tcMar>
            <w:vAlign w:val="center"/>
          </w:tcPr>
          <w:p>
            <w:pPr>
              <w:pStyle w:val="TableContents"/>
              <w:spacing w:before="0" w:after="283"/>
              <w:rPr/>
            </w:pPr>
            <w:r>
              <w:rPr/>
              <w:t>​</w:t>
            </w:r>
          </w:p>
        </w:tc>
        <w:tc>
          <w:tcPr>
            <w:tcW w:w="109" w:type="dxa"/>
            <w:vMerge w:val="restart"/>
            <w:tcBorders>
              <w:bottom w:val="single" w:sz="2" w:space="0" w:color="000000"/>
            </w:tcBorders>
            <w:shd w:fill="148CD9" w:val="clear"/>
            <w:tcMar>
              <w:bottom w:w="28" w:type="dxa"/>
            </w:tcMar>
            <w:vAlign w:val="center"/>
          </w:tcPr>
          <w:p>
            <w:pPr>
              <w:pStyle w:val="TableContents"/>
              <w:spacing w:before="0" w:after="283"/>
              <w:rPr/>
            </w:pPr>
            <w:r>
              <w:rPr/>
              <w:t>​</w:t>
            </w:r>
          </w:p>
        </w:tc>
        <w:tc>
          <w:tcPr>
            <w:tcW w:w="1796" w:type="dxa"/>
            <w:vMerge w:val="restart"/>
            <w:tcBorders>
              <w:bottom w:val="single" w:sz="2" w:space="0" w:color="000000"/>
            </w:tcBorders>
            <w:shd w:fill="148CD9" w:val="clear"/>
            <w:tcMar>
              <w:bottom w:w="28" w:type="dxa"/>
            </w:tcMar>
            <w:vAlign w:val="center"/>
          </w:tcPr>
          <w:p>
            <w:pPr>
              <w:pStyle w:val="TableContents"/>
              <w:spacing w:lineRule="atLeast" w:line="200" w:before="0" w:after="0"/>
              <w:jc w:val="center"/>
              <w:rPr>
                <w:spacing w:val="-2"/>
              </w:rPr>
            </w:pPr>
            <w:r>
              <w:rPr>
                <w:spacing w:val="-2"/>
              </w:rPr>
              <w:t xml:space="preserve">INDEPENDENT </w:t>
            </w:r>
          </w:p>
        </w:tc>
        <w:tc>
          <w:tcPr>
            <w:tcW w:w="109" w:type="dxa"/>
            <w:vMerge w:val="restart"/>
            <w:tcBorders>
              <w:bottom w:val="single" w:sz="2" w:space="0" w:color="000000"/>
            </w:tcBorders>
            <w:shd w:fill="148CD9" w:val="clear"/>
            <w:tcMar>
              <w:bottom w:w="28" w:type="dxa"/>
            </w:tcMar>
            <w:vAlign w:val="center"/>
          </w:tcPr>
          <w:p>
            <w:pPr>
              <w:pStyle w:val="TableContents"/>
              <w:spacing w:before="0" w:after="283"/>
              <w:rPr/>
            </w:pPr>
            <w:r>
              <w:rPr/>
              <w:t>​</w:t>
            </w:r>
          </w:p>
        </w:tc>
        <w:tc>
          <w:tcPr>
            <w:tcW w:w="109" w:type="dxa"/>
            <w:tcBorders>
              <w:bottom w:val="single" w:sz="2" w:space="0" w:color="000000"/>
            </w:tcBorders>
            <w:shd w:fill="148CD9" w:val="clear"/>
            <w:tcMar>
              <w:bottom w:w="28" w:type="dxa"/>
            </w:tcMar>
            <w:vAlign w:val="center"/>
          </w:tcPr>
          <w:p>
            <w:pPr>
              <w:pStyle w:val="TableContents"/>
              <w:spacing w:before="0" w:after="283"/>
              <w:rPr/>
            </w:pPr>
            <w:r>
              <w:rPr/>
              <w:t>​</w:t>
            </w:r>
          </w:p>
        </w:tc>
        <w:tc>
          <w:tcPr>
            <w:tcW w:w="2109" w:type="dxa"/>
            <w:gridSpan w:val="7"/>
            <w:tcBorders>
              <w:bottom w:val="single" w:sz="2" w:space="0" w:color="000000"/>
            </w:tcBorders>
            <w:shd w:fill="148CD9" w:val="clear"/>
            <w:tcMar>
              <w:bottom w:w="28" w:type="dxa"/>
            </w:tcMar>
            <w:vAlign w:val="center"/>
          </w:tcPr>
          <w:p>
            <w:pPr>
              <w:pStyle w:val="TableContents"/>
              <w:spacing w:lineRule="atLeast" w:line="200" w:before="0" w:after="0"/>
              <w:jc w:val="center"/>
              <w:rPr>
                <w:spacing w:val="-2"/>
              </w:rPr>
            </w:pPr>
            <w:r>
              <w:rPr>
                <w:spacing w:val="-2"/>
              </w:rPr>
              <w:t xml:space="preserve">COMMITTEE MEMBERSHIPS </w:t>
            </w:r>
          </w:p>
        </w:tc>
        <w:tc>
          <w:tcPr>
            <w:tcW w:w="109" w:type="dxa"/>
            <w:tcBorders>
              <w:bottom w:val="single" w:sz="2" w:space="0" w:color="000000"/>
            </w:tcBorders>
            <w:shd w:fill="148CD9" w:val="clear"/>
            <w:tcMar>
              <w:bottom w:w="28" w:type="dxa"/>
            </w:tcMar>
            <w:vAlign w:val="center"/>
          </w:tcPr>
          <w:p>
            <w:pPr>
              <w:pStyle w:val="TableContents"/>
              <w:spacing w:before="0" w:after="283"/>
              <w:rPr/>
            </w:pPr>
            <w:r>
              <w:rPr/>
              <w:t>​</w:t>
            </w:r>
          </w:p>
        </w:tc>
        <w:tc>
          <w:tcPr>
            <w:tcW w:w="154" w:type="dxa"/>
            <w:tcBorders/>
            <w:shd w:fill="auto" w:val="clear"/>
            <w:vAlign w:val="center"/>
          </w:tcPr>
          <w:p>
            <w:pPr>
              <w:pStyle w:val="TableContents"/>
              <w:spacing w:before="0" w:after="283"/>
              <w:rPr/>
            </w:pPr>
            <w:r>
              <w:rPr/>
              <w:t>​</w:t>
            </w:r>
          </w:p>
        </w:tc>
      </w:tr>
      <w:tr>
        <w:trPr/>
        <w:tc>
          <w:tcPr>
            <w:tcW w:w="124" w:type="dxa"/>
            <w:vMerge w:val="continue"/>
            <w:tcBorders/>
            <w:shd w:fill="auto" w:val="clear"/>
            <w:vAlign w:val="center"/>
          </w:tcPr>
          <w:p>
            <w:pPr>
              <w:pStyle w:val="Normal"/>
              <w:rPr/>
            </w:pPr>
            <w:r>
              <w:rPr/>
            </w:r>
          </w:p>
        </w:tc>
        <w:tc>
          <w:tcPr>
            <w:tcW w:w="109" w:type="dxa"/>
            <w:vMerge w:val="continue"/>
            <w:tcBorders>
              <w:bottom w:val="single" w:sz="2" w:space="0" w:color="000000"/>
            </w:tcBorders>
            <w:shd w:fill="148CD9" w:val="clear"/>
            <w:tcMar>
              <w:bottom w:w="28" w:type="dxa"/>
            </w:tcMar>
            <w:vAlign w:val="center"/>
          </w:tcPr>
          <w:p>
            <w:pPr>
              <w:pStyle w:val="Normal"/>
              <w:rPr/>
            </w:pPr>
            <w:r>
              <w:rPr/>
            </w:r>
          </w:p>
        </w:tc>
        <w:tc>
          <w:tcPr>
            <w:tcW w:w="1246" w:type="dxa"/>
            <w:vMerge w:val="continue"/>
            <w:tcBorders>
              <w:bottom w:val="single" w:sz="2" w:space="0" w:color="000000"/>
            </w:tcBorders>
            <w:shd w:fill="148CD9" w:val="clear"/>
            <w:tcMar>
              <w:bottom w:w="28" w:type="dxa"/>
            </w:tcMar>
            <w:vAlign w:val="center"/>
          </w:tcPr>
          <w:p>
            <w:pPr>
              <w:pStyle w:val="Normal"/>
              <w:rPr/>
            </w:pPr>
            <w:r>
              <w:rPr/>
            </w:r>
          </w:p>
        </w:tc>
        <w:tc>
          <w:tcPr>
            <w:tcW w:w="109" w:type="dxa"/>
            <w:vMerge w:val="continue"/>
            <w:tcBorders>
              <w:bottom w:val="single" w:sz="2" w:space="0" w:color="000000"/>
            </w:tcBorders>
            <w:shd w:fill="148CD9" w:val="clear"/>
            <w:tcMar>
              <w:bottom w:w="28" w:type="dxa"/>
            </w:tcMar>
            <w:vAlign w:val="center"/>
          </w:tcPr>
          <w:p>
            <w:pPr>
              <w:pStyle w:val="Normal"/>
              <w:rPr/>
            </w:pPr>
            <w:r>
              <w:rPr/>
            </w:r>
          </w:p>
        </w:tc>
        <w:tc>
          <w:tcPr>
            <w:tcW w:w="109" w:type="dxa"/>
            <w:vMerge w:val="continue"/>
            <w:tcBorders>
              <w:bottom w:val="single" w:sz="2" w:space="0" w:color="000000"/>
            </w:tcBorders>
            <w:shd w:fill="148CD9" w:val="clear"/>
            <w:tcMar>
              <w:bottom w:w="28" w:type="dxa"/>
            </w:tcMar>
            <w:vAlign w:val="center"/>
          </w:tcPr>
          <w:p>
            <w:pPr>
              <w:pStyle w:val="Normal"/>
              <w:rPr/>
            </w:pPr>
            <w:r>
              <w:rPr/>
            </w:r>
          </w:p>
        </w:tc>
        <w:tc>
          <w:tcPr>
            <w:tcW w:w="612" w:type="dxa"/>
            <w:vMerge w:val="continue"/>
            <w:tcBorders>
              <w:bottom w:val="single" w:sz="2" w:space="0" w:color="000000"/>
            </w:tcBorders>
            <w:shd w:fill="148CD9" w:val="clear"/>
            <w:tcMar>
              <w:bottom w:w="28" w:type="dxa"/>
            </w:tcMar>
            <w:vAlign w:val="center"/>
          </w:tcPr>
          <w:p>
            <w:pPr>
              <w:pStyle w:val="Normal"/>
              <w:rPr/>
            </w:pPr>
            <w:r>
              <w:rPr/>
            </w:r>
          </w:p>
        </w:tc>
        <w:tc>
          <w:tcPr>
            <w:tcW w:w="109" w:type="dxa"/>
            <w:vMerge w:val="continue"/>
            <w:tcBorders>
              <w:bottom w:val="single" w:sz="2" w:space="0" w:color="000000"/>
            </w:tcBorders>
            <w:shd w:fill="148CD9" w:val="clear"/>
            <w:tcMar>
              <w:bottom w:w="28" w:type="dxa"/>
            </w:tcMar>
            <w:vAlign w:val="center"/>
          </w:tcPr>
          <w:p>
            <w:pPr>
              <w:pStyle w:val="Normal"/>
              <w:rPr/>
            </w:pPr>
            <w:r>
              <w:rPr/>
            </w:r>
          </w:p>
        </w:tc>
        <w:tc>
          <w:tcPr>
            <w:tcW w:w="109" w:type="dxa"/>
            <w:vMerge w:val="continue"/>
            <w:tcBorders>
              <w:bottom w:val="single" w:sz="2" w:space="0" w:color="000000"/>
            </w:tcBorders>
            <w:shd w:fill="148CD9" w:val="clear"/>
            <w:tcMar>
              <w:bottom w:w="28" w:type="dxa"/>
            </w:tcMar>
            <w:vAlign w:val="center"/>
          </w:tcPr>
          <w:p>
            <w:pPr>
              <w:pStyle w:val="Normal"/>
              <w:rPr/>
            </w:pPr>
            <w:r>
              <w:rPr/>
            </w:r>
          </w:p>
        </w:tc>
        <w:tc>
          <w:tcPr>
            <w:tcW w:w="1322" w:type="dxa"/>
            <w:vMerge w:val="continue"/>
            <w:tcBorders>
              <w:bottom w:val="single" w:sz="2" w:space="0" w:color="000000"/>
            </w:tcBorders>
            <w:shd w:fill="148CD9" w:val="clear"/>
            <w:tcMar>
              <w:bottom w:w="28" w:type="dxa"/>
            </w:tcMar>
            <w:vAlign w:val="center"/>
          </w:tcPr>
          <w:p>
            <w:pPr>
              <w:pStyle w:val="Normal"/>
              <w:rPr/>
            </w:pPr>
            <w:r>
              <w:rPr/>
            </w:r>
          </w:p>
        </w:tc>
        <w:tc>
          <w:tcPr>
            <w:tcW w:w="109" w:type="dxa"/>
            <w:vMerge w:val="continue"/>
            <w:tcBorders>
              <w:bottom w:val="single" w:sz="2" w:space="0" w:color="000000"/>
            </w:tcBorders>
            <w:shd w:fill="148CD9" w:val="clear"/>
            <w:tcMar>
              <w:bottom w:w="28" w:type="dxa"/>
            </w:tcMar>
            <w:vAlign w:val="center"/>
          </w:tcPr>
          <w:p>
            <w:pPr>
              <w:pStyle w:val="Normal"/>
              <w:rPr/>
            </w:pPr>
            <w:r>
              <w:rPr/>
            </w:r>
          </w:p>
        </w:tc>
        <w:tc>
          <w:tcPr>
            <w:tcW w:w="109" w:type="dxa"/>
            <w:vMerge w:val="continue"/>
            <w:tcBorders>
              <w:bottom w:val="single" w:sz="2" w:space="0" w:color="000000"/>
            </w:tcBorders>
            <w:shd w:fill="148CD9" w:val="clear"/>
            <w:tcMar>
              <w:bottom w:w="28" w:type="dxa"/>
            </w:tcMar>
            <w:vAlign w:val="center"/>
          </w:tcPr>
          <w:p>
            <w:pPr>
              <w:pStyle w:val="Normal"/>
              <w:rPr/>
            </w:pPr>
            <w:r>
              <w:rPr/>
            </w:r>
          </w:p>
        </w:tc>
        <w:tc>
          <w:tcPr>
            <w:tcW w:w="1678" w:type="dxa"/>
            <w:vMerge w:val="continue"/>
            <w:tcBorders>
              <w:bottom w:val="single" w:sz="2" w:space="0" w:color="000000"/>
            </w:tcBorders>
            <w:shd w:fill="148CD9" w:val="clear"/>
            <w:tcMar>
              <w:bottom w:w="28" w:type="dxa"/>
            </w:tcMar>
            <w:vAlign w:val="center"/>
          </w:tcPr>
          <w:p>
            <w:pPr>
              <w:pStyle w:val="Normal"/>
              <w:rPr/>
            </w:pPr>
            <w:r>
              <w:rPr/>
            </w:r>
          </w:p>
        </w:tc>
        <w:tc>
          <w:tcPr>
            <w:tcW w:w="109" w:type="dxa"/>
            <w:vMerge w:val="continue"/>
            <w:tcBorders>
              <w:bottom w:val="single" w:sz="2" w:space="0" w:color="000000"/>
            </w:tcBorders>
            <w:shd w:fill="148CD9" w:val="clear"/>
            <w:tcMar>
              <w:bottom w:w="28" w:type="dxa"/>
            </w:tcMar>
            <w:vAlign w:val="center"/>
          </w:tcPr>
          <w:p>
            <w:pPr>
              <w:pStyle w:val="Normal"/>
              <w:rPr/>
            </w:pPr>
            <w:r>
              <w:rPr/>
            </w:r>
          </w:p>
        </w:tc>
        <w:tc>
          <w:tcPr>
            <w:tcW w:w="109" w:type="dxa"/>
            <w:vMerge w:val="continue"/>
            <w:tcBorders>
              <w:bottom w:val="single" w:sz="2" w:space="0" w:color="000000"/>
            </w:tcBorders>
            <w:shd w:fill="148CD9" w:val="clear"/>
            <w:tcMar>
              <w:bottom w:w="28" w:type="dxa"/>
            </w:tcMar>
            <w:vAlign w:val="center"/>
          </w:tcPr>
          <w:p>
            <w:pPr>
              <w:pStyle w:val="Normal"/>
              <w:rPr/>
            </w:pPr>
            <w:r>
              <w:rPr/>
            </w:r>
          </w:p>
        </w:tc>
        <w:tc>
          <w:tcPr>
            <w:tcW w:w="1796" w:type="dxa"/>
            <w:vMerge w:val="continue"/>
            <w:tcBorders>
              <w:bottom w:val="single" w:sz="2" w:space="0" w:color="000000"/>
            </w:tcBorders>
            <w:shd w:fill="148CD9" w:val="clear"/>
            <w:tcMar>
              <w:bottom w:w="28" w:type="dxa"/>
            </w:tcMar>
            <w:vAlign w:val="center"/>
          </w:tcPr>
          <w:p>
            <w:pPr>
              <w:pStyle w:val="Normal"/>
              <w:rPr/>
            </w:pPr>
            <w:r>
              <w:rPr/>
            </w:r>
          </w:p>
        </w:tc>
        <w:tc>
          <w:tcPr>
            <w:tcW w:w="109" w:type="dxa"/>
            <w:vMerge w:val="continue"/>
            <w:tcBorders>
              <w:bottom w:val="single" w:sz="2" w:space="0" w:color="000000"/>
            </w:tcBorders>
            <w:shd w:fill="148CD9" w:val="clear"/>
            <w:tcMar>
              <w:bottom w:w="28" w:type="dxa"/>
            </w:tcMar>
            <w:vAlign w:val="center"/>
          </w:tcPr>
          <w:p>
            <w:pPr>
              <w:pStyle w:val="Normal"/>
              <w:rPr/>
            </w:pPr>
            <w:r>
              <w:rPr/>
            </w:r>
          </w:p>
        </w:tc>
        <w:tc>
          <w:tcPr>
            <w:tcW w:w="109" w:type="dxa"/>
            <w:tcBorders>
              <w:bottom w:val="single" w:sz="2" w:space="0" w:color="000000"/>
            </w:tcBorders>
            <w:shd w:fill="148CD9" w:val="clear"/>
            <w:tcMar>
              <w:bottom w:w="28" w:type="dxa"/>
            </w:tcMar>
            <w:vAlign w:val="center"/>
          </w:tcPr>
          <w:p>
            <w:pPr>
              <w:pStyle w:val="TableContents"/>
              <w:spacing w:before="0" w:after="283"/>
              <w:rPr/>
            </w:pPr>
            <w:r>
              <w:rPr/>
              <w:t>​</w:t>
            </w:r>
          </w:p>
        </w:tc>
        <w:tc>
          <w:tcPr>
            <w:tcW w:w="449" w:type="dxa"/>
            <w:tcBorders>
              <w:bottom w:val="single" w:sz="2" w:space="0" w:color="000000"/>
            </w:tcBorders>
            <w:shd w:fill="148CD9" w:val="clear"/>
            <w:tcMar>
              <w:bottom w:w="50" w:type="dxa"/>
            </w:tcMar>
            <w:vAlign w:val="center"/>
          </w:tcPr>
          <w:p>
            <w:pPr>
              <w:pStyle w:val="TableContents"/>
              <w:spacing w:before="0" w:after="0"/>
              <w:jc w:val="center"/>
              <w:rPr>
                <w:spacing w:val="-2"/>
              </w:rPr>
            </w:pPr>
            <w:r>
              <w:rPr>
                <w:spacing w:val="-2"/>
              </w:rPr>
              <w:t xml:space="preserve">AC </w:t>
            </w:r>
          </w:p>
        </w:tc>
        <w:tc>
          <w:tcPr>
            <w:tcW w:w="109" w:type="dxa"/>
            <w:tcBorders>
              <w:bottom w:val="single" w:sz="2" w:space="0" w:color="000000"/>
            </w:tcBorders>
            <w:shd w:fill="148CD9" w:val="clear"/>
            <w:tcMar>
              <w:bottom w:w="28" w:type="dxa"/>
            </w:tcMar>
            <w:vAlign w:val="center"/>
          </w:tcPr>
          <w:p>
            <w:pPr>
              <w:pStyle w:val="TableContents"/>
              <w:spacing w:before="0" w:after="283"/>
              <w:rPr/>
            </w:pPr>
            <w:r>
              <w:rPr/>
              <w:t>​</w:t>
            </w:r>
          </w:p>
        </w:tc>
        <w:tc>
          <w:tcPr>
            <w:tcW w:w="109" w:type="dxa"/>
            <w:tcBorders>
              <w:bottom w:val="single" w:sz="2" w:space="0" w:color="000000"/>
            </w:tcBorders>
            <w:shd w:fill="148CD9" w:val="clear"/>
            <w:tcMar>
              <w:bottom w:w="28" w:type="dxa"/>
            </w:tcMar>
            <w:vAlign w:val="center"/>
          </w:tcPr>
          <w:p>
            <w:pPr>
              <w:pStyle w:val="TableContents"/>
              <w:spacing w:before="0" w:after="283"/>
              <w:rPr/>
            </w:pPr>
            <w:r>
              <w:rPr/>
              <w:t>​</w:t>
            </w:r>
          </w:p>
        </w:tc>
        <w:tc>
          <w:tcPr>
            <w:tcW w:w="434" w:type="dxa"/>
            <w:tcBorders>
              <w:bottom w:val="single" w:sz="2" w:space="0" w:color="000000"/>
            </w:tcBorders>
            <w:shd w:fill="148CD9" w:val="clear"/>
            <w:tcMar>
              <w:bottom w:w="50" w:type="dxa"/>
            </w:tcMar>
            <w:vAlign w:val="center"/>
          </w:tcPr>
          <w:p>
            <w:pPr>
              <w:pStyle w:val="TableContents"/>
              <w:spacing w:before="0" w:after="0"/>
              <w:jc w:val="center"/>
              <w:rPr>
                <w:spacing w:val="-2"/>
              </w:rPr>
            </w:pPr>
            <w:r>
              <w:rPr>
                <w:spacing w:val="-2"/>
              </w:rPr>
              <w:t xml:space="preserve">CC </w:t>
            </w:r>
          </w:p>
        </w:tc>
        <w:tc>
          <w:tcPr>
            <w:tcW w:w="109" w:type="dxa"/>
            <w:tcBorders>
              <w:bottom w:val="single" w:sz="2" w:space="0" w:color="000000"/>
            </w:tcBorders>
            <w:shd w:fill="148CD9" w:val="clear"/>
            <w:tcMar>
              <w:bottom w:w="28" w:type="dxa"/>
            </w:tcMar>
            <w:vAlign w:val="center"/>
          </w:tcPr>
          <w:p>
            <w:pPr>
              <w:pStyle w:val="TableContents"/>
              <w:spacing w:before="0" w:after="283"/>
              <w:rPr/>
            </w:pPr>
            <w:r>
              <w:rPr/>
              <w:t>​</w:t>
            </w:r>
          </w:p>
        </w:tc>
        <w:tc>
          <w:tcPr>
            <w:tcW w:w="109" w:type="dxa"/>
            <w:tcBorders>
              <w:bottom w:val="single" w:sz="2" w:space="0" w:color="000000"/>
            </w:tcBorders>
            <w:shd w:fill="148CD9" w:val="clear"/>
            <w:tcMar>
              <w:bottom w:w="28" w:type="dxa"/>
            </w:tcMar>
            <w:vAlign w:val="center"/>
          </w:tcPr>
          <w:p>
            <w:pPr>
              <w:pStyle w:val="TableContents"/>
              <w:spacing w:before="0" w:after="283"/>
              <w:rPr/>
            </w:pPr>
            <w:r>
              <w:rPr/>
              <w:t>​</w:t>
            </w:r>
          </w:p>
        </w:tc>
        <w:tc>
          <w:tcPr>
            <w:tcW w:w="790" w:type="dxa"/>
            <w:tcBorders>
              <w:bottom w:val="single" w:sz="2" w:space="0" w:color="000000"/>
            </w:tcBorders>
            <w:shd w:fill="148CD9" w:val="clear"/>
            <w:tcMar>
              <w:bottom w:w="50" w:type="dxa"/>
            </w:tcMar>
            <w:vAlign w:val="center"/>
          </w:tcPr>
          <w:p>
            <w:pPr>
              <w:pStyle w:val="TableContents"/>
              <w:spacing w:before="0" w:after="0"/>
              <w:jc w:val="center"/>
              <w:rPr>
                <w:spacing w:val="-2"/>
              </w:rPr>
            </w:pPr>
            <w:r>
              <w:rPr>
                <w:spacing w:val="-2"/>
              </w:rPr>
              <w:t xml:space="preserve">NCGC </w:t>
            </w:r>
          </w:p>
        </w:tc>
        <w:tc>
          <w:tcPr>
            <w:tcW w:w="109" w:type="dxa"/>
            <w:tcBorders>
              <w:bottom w:val="single" w:sz="2" w:space="0" w:color="000000"/>
            </w:tcBorders>
            <w:shd w:fill="148CD9" w:val="clear"/>
            <w:tcMar>
              <w:bottom w:w="28" w:type="dxa"/>
            </w:tcMar>
            <w:vAlign w:val="center"/>
          </w:tcPr>
          <w:p>
            <w:pPr>
              <w:pStyle w:val="TableContents"/>
              <w:spacing w:before="0" w:after="283"/>
              <w:rPr/>
            </w:pPr>
            <w:r>
              <w:rPr/>
              <w:t>​</w:t>
            </w:r>
          </w:p>
        </w:tc>
        <w:tc>
          <w:tcPr>
            <w:tcW w:w="154" w:type="dxa"/>
            <w:tcBorders/>
            <w:shd w:fill="auto"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246" w:type="dxa"/>
            <w:tcBorders>
              <w:bottom w:val="single" w:sz="2" w:space="0" w:color="000000"/>
            </w:tcBorders>
            <w:shd w:fill="auto" w:val="clear"/>
            <w:tcMar>
              <w:bottom w:w="28" w:type="dxa"/>
            </w:tcMar>
            <w:vAlign w:val="center"/>
          </w:tcPr>
          <w:p>
            <w:pPr>
              <w:pStyle w:val="TableContents"/>
              <w:spacing w:lineRule="atLeast" w:line="240" w:before="0" w:after="0"/>
              <w:jc w:val="center"/>
              <w:rPr>
                <w:b/>
              </w:rPr>
            </w:pPr>
            <w:r>
              <w:rPr>
                <w:b/>
                <w:spacing w:val="0"/>
              </w:rPr>
              <w:t>Cynthia Butitta</w:t>
            </w:r>
            <w:r>
              <w:rPr>
                <w:b/>
              </w:rPr>
              <w:t xml:space="preserve"> </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612" w:type="dxa"/>
            <w:tcBorders>
              <w:bottom w:val="single" w:sz="2" w:space="0" w:color="000000"/>
            </w:tcBorders>
            <w:shd w:fill="auto" w:val="clear"/>
            <w:tcMar>
              <w:bottom w:w="28" w:type="dxa"/>
            </w:tcMar>
            <w:vAlign w:val="center"/>
          </w:tcPr>
          <w:p>
            <w:pPr>
              <w:pStyle w:val="TableContents"/>
              <w:spacing w:lineRule="atLeast" w:line="240" w:before="0" w:after="0"/>
              <w:jc w:val="center"/>
              <w:rPr>
                <w:spacing w:val="-1"/>
              </w:rPr>
            </w:pPr>
            <w:r>
              <w:rPr>
                <w:spacing w:val="-1"/>
              </w:rPr>
              <w:t xml:space="preserve">68 </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322" w:type="dxa"/>
            <w:tcBorders>
              <w:bottom w:val="single" w:sz="2" w:space="0" w:color="000000"/>
            </w:tcBorders>
            <w:shd w:fill="auto" w:val="clear"/>
            <w:tcMar>
              <w:bottom w:w="28" w:type="dxa"/>
            </w:tcMar>
            <w:vAlign w:val="center"/>
          </w:tcPr>
          <w:p>
            <w:pPr>
              <w:pStyle w:val="TableContents"/>
              <w:spacing w:lineRule="atLeast" w:line="240" w:before="0" w:after="0"/>
              <w:jc w:val="center"/>
              <w:rPr>
                <w:spacing w:val="-1"/>
              </w:rPr>
            </w:pPr>
            <w:r>
              <w:rPr>
                <w:spacing w:val="-1"/>
              </w:rPr>
              <w:t xml:space="preserve">2021 </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678" w:type="dxa"/>
            <w:tcBorders>
              <w:bottom w:val="single" w:sz="2" w:space="0" w:color="000000"/>
            </w:tcBorders>
            <w:shd w:fill="auto" w:val="clear"/>
            <w:tcMar>
              <w:bottom w:w="28" w:type="dxa"/>
            </w:tcMar>
            <w:vAlign w:val="center"/>
          </w:tcPr>
          <w:p>
            <w:pPr>
              <w:pStyle w:val="TableContents"/>
              <w:spacing w:lineRule="atLeast" w:line="240" w:before="0" w:after="0"/>
              <w:jc w:val="center"/>
              <w:rPr>
                <w:spacing w:val="-1"/>
              </w:rPr>
            </w:pPr>
            <w:r>
              <w:rPr>
                <w:spacing w:val="-1"/>
              </w:rPr>
              <w:t xml:space="preserve">Director </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796" w:type="dxa"/>
            <w:tcBorders>
              <w:bottom w:val="single" w:sz="2" w:space="0" w:color="000000"/>
            </w:tcBorders>
            <w:shd w:fill="auto" w:val="clear"/>
            <w:tcMar>
              <w:bottom w:w="28" w:type="dxa"/>
            </w:tcMar>
            <w:vAlign w:val="center"/>
          </w:tcPr>
          <w:p>
            <w:pPr>
              <w:pStyle w:val="TableContents"/>
              <w:spacing w:lineRule="atLeast" w:line="240" w:before="0" w:after="0"/>
              <w:jc w:val="center"/>
              <w:rPr>
                <w:spacing w:val="-1"/>
              </w:rPr>
            </w:pPr>
            <w:r>
              <w:rPr>
                <w:spacing w:val="-1"/>
              </w:rPr>
              <w:t xml:space="preserve">Yes </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449" w:type="dxa"/>
            <w:tcBorders>
              <w:bottom w:val="single" w:sz="2" w:space="0" w:color="000000"/>
            </w:tcBorders>
            <w:shd w:fill="auto" w:val="clear"/>
            <w:tcMar>
              <w:bottom w:w="28" w:type="dxa"/>
            </w:tcMar>
            <w:vAlign w:val="center"/>
          </w:tcPr>
          <w:p>
            <w:pPr>
              <w:pStyle w:val="TableContents"/>
              <w:spacing w:lineRule="atLeast" w:line="240" w:before="0" w:after="0"/>
              <w:jc w:val="center"/>
              <w:rPr>
                <w:spacing w:val="-1"/>
              </w:rPr>
            </w:pPr>
            <w:r>
              <w:rPr>
                <w:spacing w:val="-1"/>
              </w:rPr>
              <w:t xml:space="preserve">C </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434" w:type="dxa"/>
            <w:tcBorders>
              <w:bottom w:val="single" w:sz="2" w:space="0" w:color="000000"/>
            </w:tcBorders>
            <w:shd w:fill="auto" w:val="clear"/>
            <w:tcMar>
              <w:bottom w:w="28" w:type="dxa"/>
            </w:tcMar>
            <w:vAlign w:val="center"/>
          </w:tcPr>
          <w:p>
            <w:pPr>
              <w:pStyle w:val="TableContents"/>
              <w:spacing w:lineRule="atLeast" w:line="240" w:before="0" w:after="0"/>
              <w:jc w:val="center"/>
              <w:rPr>
                <w:spacing w:val="-1"/>
              </w:rPr>
            </w:pPr>
            <w:r>
              <w:rPr>
                <w:spacing w:val="-1"/>
              </w:rPr>
              <w:t xml:space="preserve">M </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790" w:type="dxa"/>
            <w:tcBorders>
              <w:bottom w:val="single" w:sz="2" w:space="0" w:color="000000"/>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54" w:type="dxa"/>
            <w:tcBorders/>
            <w:shd w:fill="auto"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246" w:type="dxa"/>
            <w:tcBorders>
              <w:bottom w:val="single" w:sz="2" w:space="0" w:color="000000"/>
            </w:tcBorders>
            <w:shd w:fill="auto" w:val="clear"/>
            <w:tcMar>
              <w:bottom w:w="28" w:type="dxa"/>
            </w:tcMar>
            <w:vAlign w:val="center"/>
          </w:tcPr>
          <w:p>
            <w:pPr>
              <w:pStyle w:val="TableContents"/>
              <w:spacing w:before="0" w:after="0"/>
              <w:jc w:val="center"/>
              <w:rPr>
                <w:b/>
              </w:rPr>
            </w:pPr>
            <w:r>
              <w:rPr>
                <w:b/>
                <w:spacing w:val="0"/>
              </w:rPr>
              <w:t xml:space="preserve">Alessandro Riva, </w:t>
            </w:r>
            <w:r>
              <w:rPr>
                <w:b/>
                <w:spacing w:val="-3"/>
              </w:rPr>
              <w:t>M.D.</w:t>
            </w:r>
            <w:r>
              <w:rPr>
                <w:b/>
              </w:rPr>
              <w:t xml:space="preserve"> </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612" w:type="dxa"/>
            <w:tcBorders>
              <w:bottom w:val="single" w:sz="2" w:space="0" w:color="000000"/>
            </w:tcBorders>
            <w:shd w:fill="auto" w:val="clear"/>
            <w:tcMar>
              <w:bottom w:w="28" w:type="dxa"/>
            </w:tcMar>
            <w:vAlign w:val="center"/>
          </w:tcPr>
          <w:p>
            <w:pPr>
              <w:pStyle w:val="TableContents"/>
              <w:spacing w:before="0" w:after="0"/>
              <w:jc w:val="center"/>
              <w:rPr>
                <w:spacing w:val="-1"/>
              </w:rPr>
            </w:pPr>
            <w:r>
              <w:rPr>
                <w:spacing w:val="-1"/>
              </w:rPr>
              <w:t xml:space="preserve">62 </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322" w:type="dxa"/>
            <w:tcBorders>
              <w:bottom w:val="single" w:sz="2" w:space="0" w:color="000000"/>
            </w:tcBorders>
            <w:shd w:fill="auto" w:val="clear"/>
            <w:tcMar>
              <w:bottom w:w="28" w:type="dxa"/>
            </w:tcMar>
            <w:vAlign w:val="center"/>
          </w:tcPr>
          <w:p>
            <w:pPr>
              <w:pStyle w:val="TableContents"/>
              <w:spacing w:before="0" w:after="0"/>
              <w:jc w:val="center"/>
              <w:rPr>
                <w:spacing w:val="-1"/>
              </w:rPr>
            </w:pPr>
            <w:r>
              <w:rPr>
                <w:spacing w:val="-1"/>
              </w:rPr>
              <w:t xml:space="preserve">2021 </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678" w:type="dxa"/>
            <w:tcBorders>
              <w:bottom w:val="single" w:sz="2" w:space="0" w:color="000000"/>
            </w:tcBorders>
            <w:shd w:fill="auto" w:val="clear"/>
            <w:tcMar>
              <w:bottom w:w="28" w:type="dxa"/>
            </w:tcMar>
            <w:vAlign w:val="center"/>
          </w:tcPr>
          <w:p>
            <w:pPr>
              <w:pStyle w:val="TableContents"/>
              <w:spacing w:before="0" w:after="0"/>
              <w:jc w:val="center"/>
              <w:rPr>
                <w:spacing w:val="-1"/>
              </w:rPr>
            </w:pPr>
            <w:r>
              <w:rPr>
                <w:spacing w:val="-1"/>
              </w:rPr>
              <w:t xml:space="preserve">Chief Executive Officer of Intima Bioscience, Inc. </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796" w:type="dxa"/>
            <w:tcBorders>
              <w:bottom w:val="single" w:sz="2" w:space="0" w:color="000000"/>
            </w:tcBorders>
            <w:shd w:fill="auto" w:val="clear"/>
            <w:tcMar>
              <w:bottom w:w="28" w:type="dxa"/>
            </w:tcMar>
            <w:vAlign w:val="center"/>
          </w:tcPr>
          <w:p>
            <w:pPr>
              <w:pStyle w:val="TableContents"/>
              <w:spacing w:before="0" w:after="0"/>
              <w:jc w:val="center"/>
              <w:rPr>
                <w:spacing w:val="-1"/>
              </w:rPr>
            </w:pPr>
            <w:r>
              <w:rPr>
                <w:spacing w:val="-1"/>
              </w:rPr>
              <w:t xml:space="preserve">Yes </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449" w:type="dxa"/>
            <w:tcBorders>
              <w:bottom w:val="single" w:sz="2" w:space="0" w:color="000000"/>
            </w:tcBorders>
            <w:shd w:fill="auto" w:val="clear"/>
            <w:tcMar>
              <w:bottom w:w="28" w:type="dxa"/>
            </w:tcMar>
            <w:vAlign w:val="center"/>
          </w:tcPr>
          <w:p>
            <w:pPr>
              <w:pStyle w:val="TableContents"/>
              <w:spacing w:before="0" w:after="0"/>
              <w:jc w:val="center"/>
              <w:rPr>
                <w:spacing w:val="-1"/>
              </w:rPr>
            </w:pPr>
            <w:r>
              <w:rPr>
                <w:spacing w:val="-1"/>
              </w:rPr>
              <w:t xml:space="preserve">M </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434" w:type="dxa"/>
            <w:tcBorders>
              <w:bottom w:val="single" w:sz="2" w:space="0" w:color="000000"/>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790" w:type="dxa"/>
            <w:tcBorders>
              <w:bottom w:val="single" w:sz="2" w:space="0" w:color="000000"/>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54" w:type="dxa"/>
            <w:tcBorders/>
            <w:shd w:fill="auto"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246" w:type="dxa"/>
            <w:tcBorders>
              <w:bottom w:val="single" w:sz="2" w:space="0" w:color="000000"/>
            </w:tcBorders>
            <w:shd w:fill="auto" w:val="clear"/>
            <w:tcMar>
              <w:bottom w:w="28" w:type="dxa"/>
            </w:tcMar>
            <w:vAlign w:val="center"/>
          </w:tcPr>
          <w:p>
            <w:pPr>
              <w:pStyle w:val="TableContents"/>
              <w:spacing w:before="0" w:after="0"/>
              <w:jc w:val="center"/>
              <w:rPr>
                <w:b/>
              </w:rPr>
            </w:pPr>
            <w:r>
              <w:rPr>
                <w:b/>
                <w:spacing w:val="0"/>
              </w:rPr>
              <w:t>Timothy Walbert</w:t>
            </w:r>
            <w:r>
              <w:rPr>
                <w:b/>
              </w:rPr>
              <w:t xml:space="preserve"> </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612" w:type="dxa"/>
            <w:tcBorders>
              <w:bottom w:val="single" w:sz="2" w:space="0" w:color="000000"/>
            </w:tcBorders>
            <w:shd w:fill="auto" w:val="clear"/>
            <w:tcMar>
              <w:bottom w:w="28" w:type="dxa"/>
            </w:tcMar>
            <w:vAlign w:val="center"/>
          </w:tcPr>
          <w:p>
            <w:pPr>
              <w:pStyle w:val="TableContents"/>
              <w:spacing w:before="0" w:after="0"/>
              <w:jc w:val="center"/>
              <w:rPr>
                <w:spacing w:val="-1"/>
              </w:rPr>
            </w:pPr>
            <w:r>
              <w:rPr>
                <w:spacing w:val="-1"/>
              </w:rPr>
              <w:t xml:space="preserve">56 </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322" w:type="dxa"/>
            <w:tcBorders>
              <w:bottom w:val="single" w:sz="2" w:space="0" w:color="000000"/>
            </w:tcBorders>
            <w:shd w:fill="auto" w:val="clear"/>
            <w:tcMar>
              <w:bottom w:w="28" w:type="dxa"/>
            </w:tcMar>
            <w:vAlign w:val="center"/>
          </w:tcPr>
          <w:p>
            <w:pPr>
              <w:pStyle w:val="TableContents"/>
              <w:spacing w:before="0" w:after="0"/>
              <w:jc w:val="center"/>
              <w:rPr>
                <w:spacing w:val="-1"/>
              </w:rPr>
            </w:pPr>
            <w:r>
              <w:rPr>
                <w:spacing w:val="-1"/>
              </w:rPr>
              <w:t xml:space="preserve">2022 </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678" w:type="dxa"/>
            <w:tcBorders>
              <w:bottom w:val="single" w:sz="2" w:space="0" w:color="000000"/>
            </w:tcBorders>
            <w:shd w:fill="auto" w:val="clear"/>
            <w:tcMar>
              <w:bottom w:w="40" w:type="dxa"/>
            </w:tcMar>
            <w:vAlign w:val="center"/>
          </w:tcPr>
          <w:p>
            <w:pPr>
              <w:pStyle w:val="TableContents"/>
              <w:spacing w:before="0" w:after="0"/>
              <w:jc w:val="center"/>
              <w:rPr>
                <w:spacing w:val="-1"/>
              </w:rPr>
            </w:pPr>
            <w:r>
              <w:rPr>
                <w:spacing w:val="-1"/>
              </w:rPr>
              <w:t xml:space="preserve">President, Chief Executive Officer and Director of Horizon Therapeutics Public Limited Company </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796" w:type="dxa"/>
            <w:tcBorders>
              <w:bottom w:val="single" w:sz="2" w:space="0" w:color="000000"/>
            </w:tcBorders>
            <w:shd w:fill="auto" w:val="clear"/>
            <w:tcMar>
              <w:bottom w:w="28" w:type="dxa"/>
            </w:tcMar>
            <w:vAlign w:val="center"/>
          </w:tcPr>
          <w:p>
            <w:pPr>
              <w:pStyle w:val="TableContents"/>
              <w:spacing w:before="0" w:after="0"/>
              <w:jc w:val="center"/>
              <w:rPr>
                <w:spacing w:val="-1"/>
              </w:rPr>
            </w:pPr>
            <w:r>
              <w:rPr>
                <w:spacing w:val="-1"/>
              </w:rPr>
              <w:t xml:space="preserve">Yes </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449" w:type="dxa"/>
            <w:tcBorders>
              <w:bottom w:val="single" w:sz="2" w:space="0" w:color="000000"/>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434" w:type="dxa"/>
            <w:tcBorders>
              <w:bottom w:val="single" w:sz="2" w:space="0" w:color="000000"/>
            </w:tcBorders>
            <w:shd w:fill="auto" w:val="clear"/>
            <w:tcMar>
              <w:bottom w:w="28" w:type="dxa"/>
            </w:tcMar>
            <w:vAlign w:val="center"/>
          </w:tcPr>
          <w:p>
            <w:pPr>
              <w:pStyle w:val="TableContents"/>
              <w:spacing w:before="0" w:after="0"/>
              <w:jc w:val="center"/>
              <w:rPr>
                <w:spacing w:val="-1"/>
              </w:rPr>
            </w:pPr>
            <w:r>
              <w:rPr>
                <w:spacing w:val="-1"/>
              </w:rPr>
              <w:t xml:space="preserve">M </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790" w:type="dxa"/>
            <w:tcBorders>
              <w:bottom w:val="single" w:sz="2" w:space="0" w:color="000000"/>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54" w:type="dxa"/>
            <w:tcBorders/>
            <w:shd w:fill="auto" w:val="clear"/>
            <w:vAlign w:val="center"/>
          </w:tcPr>
          <w:p>
            <w:pPr>
              <w:pStyle w:val="TableContents"/>
              <w:spacing w:before="0" w:after="283"/>
              <w:rPr/>
            </w:pPr>
            <w:r>
              <w:rPr/>
              <w:t>​</w:t>
            </w:r>
          </w:p>
        </w:tc>
      </w:tr>
    </w:tbl>
    <w:tbl>
      <w:tblPr>
        <w:tblW w:w="7823" w:type="dxa"/>
        <w:jc w:val="left"/>
        <w:tblInd w:w="960" w:type="dxa"/>
        <w:tblCellMar>
          <w:top w:w="0" w:type="dxa"/>
          <w:left w:w="0" w:type="dxa"/>
          <w:bottom w:w="0" w:type="dxa"/>
          <w:right w:w="0" w:type="dxa"/>
        </w:tblCellMar>
      </w:tblPr>
      <w:tblGrid>
        <w:gridCol w:w="124"/>
        <w:gridCol w:w="2433"/>
        <w:gridCol w:w="111"/>
        <w:gridCol w:w="111"/>
        <w:gridCol w:w="3253"/>
        <w:gridCol w:w="109"/>
        <w:gridCol w:w="109"/>
        <w:gridCol w:w="1419"/>
        <w:gridCol w:w="154"/>
      </w:tblGrid>
      <w:tr>
        <w:trPr/>
        <w:tc>
          <w:tcPr>
            <w:tcW w:w="124" w:type="dxa"/>
            <w:tcBorders/>
            <w:shd w:fill="auto" w:val="clear"/>
            <w:vAlign w:val="center"/>
          </w:tcPr>
          <w:p>
            <w:pPr>
              <w:pStyle w:val="TableContents"/>
              <w:spacing w:before="0" w:after="283"/>
              <w:rPr/>
            </w:pPr>
            <w:r>
              <w:rPr/>
              <w:t>​</w:t>
            </w:r>
          </w:p>
        </w:tc>
        <w:tc>
          <w:tcPr>
            <w:tcW w:w="2433" w:type="dxa"/>
            <w:tcBorders/>
            <w:shd w:fill="auto" w:val="clear"/>
            <w:vAlign w:val="center"/>
          </w:tcPr>
          <w:p>
            <w:pPr>
              <w:pStyle w:val="TableContents"/>
              <w:spacing w:before="0" w:after="0"/>
              <w:jc w:val="center"/>
              <w:rPr/>
            </w:pPr>
            <w:r>
              <w:rPr>
                <w:spacing w:val="-3"/>
              </w:rPr>
              <w:t>AC</w:t>
            </w:r>
            <w:r>
              <w:rPr>
                <w:spacing w:val="-1"/>
              </w:rPr>
              <w:t xml:space="preserve"> </w:t>
            </w:r>
            <w:r>
              <w:rPr>
                <w:b w:val="false"/>
                <w:spacing w:val="-1"/>
              </w:rPr>
              <w:t xml:space="preserve">= Audit Committee </w:t>
            </w:r>
          </w:p>
        </w:tc>
        <w:tc>
          <w:tcPr>
            <w:tcW w:w="111" w:type="dxa"/>
            <w:tcBorders/>
            <w:shd w:fill="auto" w:val="clear"/>
            <w:vAlign w:val="center"/>
          </w:tcPr>
          <w:p>
            <w:pPr>
              <w:pStyle w:val="TableContents"/>
              <w:spacing w:before="0" w:after="283"/>
              <w:rPr/>
            </w:pPr>
            <w:r>
              <w:rPr/>
              <w:t>​</w:t>
            </w:r>
          </w:p>
        </w:tc>
        <w:tc>
          <w:tcPr>
            <w:tcW w:w="111" w:type="dxa"/>
            <w:tcBorders/>
            <w:shd w:fill="auto" w:val="clear"/>
            <w:vAlign w:val="center"/>
          </w:tcPr>
          <w:p>
            <w:pPr>
              <w:pStyle w:val="TableContents"/>
              <w:spacing w:before="0" w:after="283"/>
              <w:rPr/>
            </w:pPr>
            <w:r>
              <w:rPr/>
              <w:t>​</w:t>
            </w:r>
          </w:p>
        </w:tc>
        <w:tc>
          <w:tcPr>
            <w:tcW w:w="3253" w:type="dxa"/>
            <w:tcBorders/>
            <w:shd w:fill="auto" w:val="clear"/>
            <w:vAlign w:val="center"/>
          </w:tcPr>
          <w:p>
            <w:pPr>
              <w:pStyle w:val="TableContents"/>
              <w:spacing w:before="0" w:after="0"/>
              <w:jc w:val="center"/>
              <w:rPr/>
            </w:pPr>
            <w:r>
              <w:rPr>
                <w:spacing w:val="-3"/>
              </w:rPr>
              <w:t>CC</w:t>
            </w:r>
            <w:r>
              <w:rPr>
                <w:spacing w:val="-1"/>
              </w:rPr>
              <w:t xml:space="preserve"> </w:t>
            </w:r>
            <w:r>
              <w:rPr>
                <w:b w:val="false"/>
                <w:spacing w:val="-1"/>
              </w:rPr>
              <w:t xml:space="preserve">= Compensation Committee </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419" w:type="dxa"/>
            <w:tcBorders/>
            <w:shd w:fill="auto" w:val="clear"/>
            <w:vAlign w:val="center"/>
          </w:tcPr>
          <w:p>
            <w:pPr>
              <w:pStyle w:val="TableContents"/>
              <w:spacing w:before="0" w:after="0"/>
              <w:jc w:val="center"/>
              <w:rPr/>
            </w:pPr>
            <w:r>
              <w:rPr>
                <w:spacing w:val="-3"/>
              </w:rPr>
              <w:t>C</w:t>
            </w:r>
            <w:r>
              <w:rPr>
                <w:spacing w:val="-1"/>
              </w:rPr>
              <w:t xml:space="preserve"> </w:t>
            </w:r>
            <w:r>
              <w:rPr>
                <w:b w:val="false"/>
                <w:spacing w:val="-1"/>
              </w:rPr>
              <w:t xml:space="preserve">= Chair </w:t>
            </w:r>
          </w:p>
        </w:tc>
        <w:tc>
          <w:tcPr>
            <w:tcW w:w="154" w:type="dxa"/>
            <w:tcBorders/>
            <w:shd w:fill="auto"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5908" w:type="dxa"/>
            <w:gridSpan w:val="4"/>
            <w:tcBorders/>
            <w:shd w:fill="auto" w:val="clear"/>
            <w:vAlign w:val="center"/>
          </w:tcPr>
          <w:p>
            <w:pPr>
              <w:pStyle w:val="TableContents"/>
              <w:spacing w:before="0" w:after="0"/>
              <w:jc w:val="center"/>
              <w:rPr/>
            </w:pPr>
            <w:r>
              <w:rPr>
                <w:spacing w:val="-3"/>
              </w:rPr>
              <w:t>NCGC</w:t>
            </w:r>
            <w:r>
              <w:rPr>
                <w:spacing w:val="-1"/>
              </w:rPr>
              <w:t xml:space="preserve"> </w:t>
            </w:r>
            <w:r>
              <w:rPr>
                <w:b w:val="false"/>
                <w:spacing w:val="-1"/>
              </w:rPr>
              <w:t xml:space="preserve">= Nominating and Corporate Governance Committee </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419" w:type="dxa"/>
            <w:tcBorders/>
            <w:shd w:fill="auto" w:val="clear"/>
            <w:vAlign w:val="center"/>
          </w:tcPr>
          <w:p>
            <w:pPr>
              <w:pStyle w:val="TableContents"/>
              <w:spacing w:before="0" w:after="0"/>
              <w:jc w:val="center"/>
              <w:rPr/>
            </w:pPr>
            <w:r>
              <w:rPr>
                <w:spacing w:val="-3"/>
              </w:rPr>
              <w:t>M</w:t>
            </w:r>
            <w:r>
              <w:rPr>
                <w:spacing w:val="-1"/>
              </w:rPr>
              <w:t xml:space="preserve"> </w:t>
            </w:r>
            <w:r>
              <w:rPr>
                <w:b w:val="false"/>
                <w:spacing w:val="-1"/>
              </w:rPr>
              <w:t>= Member</w:t>
            </w:r>
            <w:r>
              <w:rPr/>
              <w:t xml:space="preserve"> </w:t>
            </w:r>
          </w:p>
        </w:tc>
        <w:tc>
          <w:tcPr>
            <w:tcW w:w="154" w:type="dxa"/>
            <w:tcBorders/>
            <w:shd w:fill="auto" w:val="clear"/>
            <w:vAlign w:val="center"/>
          </w:tcPr>
          <w:p>
            <w:pPr>
              <w:pStyle w:val="TableContents"/>
              <w:spacing w:before="0" w:after="283"/>
              <w:rPr/>
            </w:pPr>
            <w:r>
              <w:rPr/>
              <w:t>​</w:t>
            </w:r>
          </w:p>
        </w:tc>
      </w:tr>
    </w:tbl>
    <w:p>
      <w:pPr>
        <w:pStyle w:val="TextBody"/>
        <w:spacing w:lineRule="atLeast" w:line="240" w:before="236" w:after="283"/>
        <w:ind w:left="960" w:right="0" w:hanging="0"/>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3"/>
          <w:sz w:val="20"/>
        </w:rPr>
        <w:t>CORPORATE GOVERNANCE HIGHLIGHTS</w:t>
      </w:r>
      <w:r>
        <w:rPr>
          <w:rFonts w:ascii="Arial;Helvetica;sans-serif" w:hAnsi="Arial;Helvetica;sans-serif"/>
          <w:b/>
          <w:i w:val="false"/>
          <w:caps w:val="false"/>
          <w:smallCaps w:val="false"/>
          <w:color w:val="000000"/>
          <w:spacing w:val="4"/>
          <w:sz w:val="20"/>
        </w:rPr>
        <w:t xml:space="preserve"> </w:t>
      </w:r>
    </w:p>
    <w:p>
      <w:pPr>
        <w:pStyle w:val="TextBody"/>
        <w:spacing w:lineRule="atLeast" w:line="23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The following table summarizes our current Board structure and key elements of our corporate governance framework:</w:t>
      </w:r>
      <w:r>
        <w:rPr>
          <w:rFonts w:ascii="Arial;Helvetica;sans-serif" w:hAnsi="Arial;Helvetica;sans-serif"/>
          <w:b w:val="false"/>
          <w:i w:val="false"/>
          <w:caps w:val="false"/>
          <w:smallCaps w:val="false"/>
          <w:color w:val="000000"/>
          <w:spacing w:val="4"/>
          <w:sz w:val="20"/>
        </w:rPr>
        <w:t xml:space="preserve"> </w:t>
      </w:r>
    </w:p>
    <w:tbl>
      <w:tblPr>
        <w:tblW w:w="8114" w:type="dxa"/>
        <w:jc w:val="left"/>
        <w:tblInd w:w="960" w:type="dxa"/>
        <w:tblCellMar>
          <w:top w:w="0" w:type="dxa"/>
          <w:left w:w="0" w:type="dxa"/>
          <w:bottom w:w="0" w:type="dxa"/>
          <w:right w:w="0" w:type="dxa"/>
        </w:tblCellMar>
      </w:tblPr>
      <w:tblGrid>
        <w:gridCol w:w="124"/>
        <w:gridCol w:w="109"/>
        <w:gridCol w:w="6447"/>
        <w:gridCol w:w="109"/>
        <w:gridCol w:w="109"/>
        <w:gridCol w:w="953"/>
        <w:gridCol w:w="109"/>
        <w:gridCol w:w="154"/>
      </w:tblGrid>
      <w:tr>
        <w:trPr/>
        <w:tc>
          <w:tcPr>
            <w:tcW w:w="124" w:type="dxa"/>
            <w:tcBorders/>
            <w:shd w:fill="auto" w:val="clear"/>
            <w:vAlign w:val="center"/>
          </w:tcPr>
          <w:p>
            <w:pPr>
              <w:pStyle w:val="TableContents"/>
              <w:spacing w:before="0" w:after="283"/>
              <w:rPr/>
            </w:pPr>
            <w:r>
              <w:rPr/>
              <w:t>​</w:t>
            </w:r>
          </w:p>
        </w:tc>
        <w:tc>
          <w:tcPr>
            <w:tcW w:w="109" w:type="dxa"/>
            <w:tcBorders>
              <w:bottom w:val="single" w:sz="2" w:space="0" w:color="000000"/>
            </w:tcBorders>
            <w:shd w:fill="148CD9" w:val="clear"/>
            <w:tcMar>
              <w:bottom w:w="28" w:type="dxa"/>
            </w:tcMar>
            <w:vAlign w:val="center"/>
          </w:tcPr>
          <w:p>
            <w:pPr>
              <w:pStyle w:val="TableContents"/>
              <w:spacing w:before="0" w:after="283"/>
              <w:rPr/>
            </w:pPr>
            <w:r>
              <w:rPr/>
              <w:t>​</w:t>
            </w:r>
          </w:p>
        </w:tc>
        <w:tc>
          <w:tcPr>
            <w:tcW w:w="7618" w:type="dxa"/>
            <w:gridSpan w:val="4"/>
            <w:tcBorders>
              <w:bottom w:val="single" w:sz="2" w:space="0" w:color="000000"/>
            </w:tcBorders>
            <w:shd w:fill="148CD9" w:val="clear"/>
            <w:tcMar>
              <w:bottom w:w="50" w:type="dxa"/>
            </w:tcMar>
            <w:vAlign w:val="center"/>
          </w:tcPr>
          <w:p>
            <w:pPr>
              <w:pStyle w:val="TableContents"/>
              <w:spacing w:before="0" w:after="0"/>
              <w:jc w:val="center"/>
              <w:rPr>
                <w:spacing w:val="-2"/>
              </w:rPr>
            </w:pPr>
            <w:r>
              <w:rPr>
                <w:spacing w:val="-2"/>
              </w:rPr>
              <w:t xml:space="preserve">GOVERNANCE ITEMS </w:t>
            </w:r>
          </w:p>
        </w:tc>
        <w:tc>
          <w:tcPr>
            <w:tcW w:w="109" w:type="dxa"/>
            <w:tcBorders>
              <w:bottom w:val="single" w:sz="2" w:space="0" w:color="000000"/>
            </w:tcBorders>
            <w:shd w:fill="148CD9" w:val="clear"/>
            <w:tcMar>
              <w:bottom w:w="28" w:type="dxa"/>
            </w:tcMar>
            <w:vAlign w:val="center"/>
          </w:tcPr>
          <w:p>
            <w:pPr>
              <w:pStyle w:val="TableContents"/>
              <w:spacing w:before="0" w:after="283"/>
              <w:rPr/>
            </w:pPr>
            <w:r>
              <w:rPr/>
              <w:t>​</w:t>
            </w:r>
          </w:p>
        </w:tc>
        <w:tc>
          <w:tcPr>
            <w:tcW w:w="154" w:type="dxa"/>
            <w:tcBorders/>
            <w:shd w:fill="auto"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6447" w:type="dxa"/>
            <w:tcBorders>
              <w:bottom w:val="single" w:sz="2" w:space="0" w:color="000000"/>
            </w:tcBorders>
            <w:shd w:fill="auto" w:val="clear"/>
            <w:tcMar>
              <w:bottom w:w="50" w:type="dxa"/>
            </w:tcMar>
            <w:vAlign w:val="center"/>
          </w:tcPr>
          <w:p>
            <w:pPr>
              <w:pStyle w:val="TableContents"/>
              <w:spacing w:before="0" w:after="283"/>
              <w:rPr>
                <w:spacing w:val="-1"/>
              </w:rPr>
            </w:pPr>
            <w:r>
              <w:rPr>
                <w:spacing w:val="-1"/>
              </w:rPr>
              <w:t xml:space="preserve">Size of Board (set by the Board) </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953" w:type="dxa"/>
            <w:tcBorders>
              <w:bottom w:val="single" w:sz="2" w:space="0" w:color="000000"/>
            </w:tcBorders>
            <w:shd w:fill="auto" w:val="clear"/>
            <w:tcMar>
              <w:bottom w:w="50" w:type="dxa"/>
            </w:tcMar>
            <w:vAlign w:val="center"/>
          </w:tcPr>
          <w:p>
            <w:pPr>
              <w:pStyle w:val="TableContents"/>
              <w:spacing w:before="0" w:after="0"/>
              <w:jc w:val="center"/>
              <w:rPr>
                <w:spacing w:val="-1"/>
              </w:rPr>
            </w:pPr>
            <w:r>
              <w:rPr>
                <w:spacing w:val="-1"/>
              </w:rPr>
              <w:t xml:space="preserve">7 </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54" w:type="dxa"/>
            <w:tcBorders/>
            <w:shd w:fill="auto"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6447" w:type="dxa"/>
            <w:tcBorders>
              <w:bottom w:val="single" w:sz="2" w:space="0" w:color="000000"/>
            </w:tcBorders>
            <w:shd w:fill="auto" w:val="clear"/>
            <w:tcMar>
              <w:bottom w:w="50" w:type="dxa"/>
            </w:tcMar>
            <w:vAlign w:val="center"/>
          </w:tcPr>
          <w:p>
            <w:pPr>
              <w:pStyle w:val="TableContents"/>
              <w:spacing w:before="0" w:after="283"/>
              <w:rPr>
                <w:spacing w:val="-1"/>
              </w:rPr>
            </w:pPr>
            <w:r>
              <w:rPr>
                <w:spacing w:val="-1"/>
              </w:rPr>
              <w:t xml:space="preserve">Number of Independent Directors </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953" w:type="dxa"/>
            <w:tcBorders>
              <w:bottom w:val="single" w:sz="2" w:space="0" w:color="000000"/>
            </w:tcBorders>
            <w:shd w:fill="auto" w:val="clear"/>
            <w:tcMar>
              <w:bottom w:w="50" w:type="dxa"/>
            </w:tcMar>
            <w:vAlign w:val="center"/>
          </w:tcPr>
          <w:p>
            <w:pPr>
              <w:pStyle w:val="TableContents"/>
              <w:spacing w:before="0" w:after="0"/>
              <w:jc w:val="center"/>
              <w:rPr>
                <w:spacing w:val="-1"/>
              </w:rPr>
            </w:pPr>
            <w:r>
              <w:rPr>
                <w:spacing w:val="-1"/>
              </w:rPr>
              <w:t xml:space="preserve">7 </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54" w:type="dxa"/>
            <w:tcBorders/>
            <w:shd w:fill="auto"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6447" w:type="dxa"/>
            <w:tcBorders>
              <w:bottom w:val="single" w:sz="2" w:space="0" w:color="000000"/>
            </w:tcBorders>
            <w:shd w:fill="auto" w:val="clear"/>
            <w:tcMar>
              <w:bottom w:w="50" w:type="dxa"/>
            </w:tcMar>
            <w:vAlign w:val="center"/>
          </w:tcPr>
          <w:p>
            <w:pPr>
              <w:pStyle w:val="TableContents"/>
              <w:spacing w:before="0" w:after="283"/>
              <w:rPr>
                <w:spacing w:val="-1"/>
              </w:rPr>
            </w:pPr>
            <w:r>
              <w:rPr>
                <w:spacing w:val="-1"/>
              </w:rPr>
              <w:t xml:space="preserve">Independent Chairman of the Board </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953" w:type="dxa"/>
            <w:tcBorders>
              <w:bottom w:val="single" w:sz="2" w:space="0" w:color="000000"/>
            </w:tcBorders>
            <w:shd w:fill="auto" w:val="clear"/>
            <w:tcMar>
              <w:bottom w:w="50" w:type="dxa"/>
            </w:tcMar>
            <w:vAlign w:val="center"/>
          </w:tcPr>
          <w:p>
            <w:pPr>
              <w:pStyle w:val="TableContents"/>
              <w:spacing w:before="0" w:after="0"/>
              <w:jc w:val="center"/>
              <w:rPr>
                <w:spacing w:val="-1"/>
              </w:rPr>
            </w:pPr>
            <w:r>
              <w:rPr>
                <w:spacing w:val="-1"/>
              </w:rPr>
              <w:t xml:space="preserve">Yes </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54" w:type="dxa"/>
            <w:tcBorders/>
            <w:shd w:fill="auto"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6447" w:type="dxa"/>
            <w:tcBorders>
              <w:bottom w:val="single" w:sz="2" w:space="0" w:color="000000"/>
            </w:tcBorders>
            <w:shd w:fill="auto" w:val="clear"/>
            <w:tcMar>
              <w:bottom w:w="50" w:type="dxa"/>
            </w:tcMar>
            <w:vAlign w:val="center"/>
          </w:tcPr>
          <w:p>
            <w:pPr>
              <w:pStyle w:val="TableContents"/>
              <w:spacing w:before="0" w:after="283"/>
              <w:rPr>
                <w:spacing w:val="-1"/>
              </w:rPr>
            </w:pPr>
            <w:r>
              <w:rPr>
                <w:spacing w:val="-1"/>
              </w:rPr>
              <w:t xml:space="preserve">Board Self-Evaluation </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953" w:type="dxa"/>
            <w:tcBorders>
              <w:bottom w:val="single" w:sz="2" w:space="0" w:color="000000"/>
            </w:tcBorders>
            <w:shd w:fill="auto" w:val="clear"/>
            <w:tcMar>
              <w:bottom w:w="50" w:type="dxa"/>
            </w:tcMar>
            <w:vAlign w:val="center"/>
          </w:tcPr>
          <w:p>
            <w:pPr>
              <w:pStyle w:val="TableContents"/>
              <w:spacing w:before="0" w:after="0"/>
              <w:jc w:val="center"/>
              <w:rPr>
                <w:spacing w:val="-1"/>
              </w:rPr>
            </w:pPr>
            <w:r>
              <w:rPr>
                <w:spacing w:val="-1"/>
              </w:rPr>
              <w:t xml:space="preserve">Annual </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54" w:type="dxa"/>
            <w:tcBorders/>
            <w:shd w:fill="auto"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6447" w:type="dxa"/>
            <w:tcBorders>
              <w:bottom w:val="single" w:sz="2" w:space="0" w:color="000000"/>
            </w:tcBorders>
            <w:shd w:fill="auto" w:val="clear"/>
            <w:tcMar>
              <w:bottom w:w="50" w:type="dxa"/>
            </w:tcMar>
            <w:vAlign w:val="center"/>
          </w:tcPr>
          <w:p>
            <w:pPr>
              <w:pStyle w:val="TableContents"/>
              <w:spacing w:before="0" w:after="283"/>
              <w:rPr>
                <w:spacing w:val="-1"/>
              </w:rPr>
            </w:pPr>
            <w:r>
              <w:rPr>
                <w:spacing w:val="-1"/>
              </w:rPr>
              <w:t xml:space="preserve">Review of Independence of Board </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953" w:type="dxa"/>
            <w:tcBorders>
              <w:bottom w:val="single" w:sz="2" w:space="0" w:color="000000"/>
            </w:tcBorders>
            <w:shd w:fill="auto" w:val="clear"/>
            <w:tcMar>
              <w:bottom w:w="50" w:type="dxa"/>
            </w:tcMar>
            <w:vAlign w:val="center"/>
          </w:tcPr>
          <w:p>
            <w:pPr>
              <w:pStyle w:val="TableContents"/>
              <w:spacing w:before="0" w:after="0"/>
              <w:jc w:val="center"/>
              <w:rPr>
                <w:spacing w:val="-1"/>
              </w:rPr>
            </w:pPr>
            <w:r>
              <w:rPr>
                <w:spacing w:val="-1"/>
              </w:rPr>
              <w:t xml:space="preserve">Annual </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54" w:type="dxa"/>
            <w:tcBorders/>
            <w:shd w:fill="auto"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6447" w:type="dxa"/>
            <w:tcBorders>
              <w:bottom w:val="single" w:sz="2" w:space="0" w:color="000000"/>
            </w:tcBorders>
            <w:shd w:fill="auto" w:val="clear"/>
            <w:tcMar>
              <w:bottom w:w="50" w:type="dxa"/>
            </w:tcMar>
            <w:vAlign w:val="center"/>
          </w:tcPr>
          <w:p>
            <w:pPr>
              <w:pStyle w:val="TableContents"/>
              <w:spacing w:before="0" w:after="283"/>
              <w:rPr>
                <w:spacing w:val="-1"/>
              </w:rPr>
            </w:pPr>
            <w:r>
              <w:rPr>
                <w:spacing w:val="-1"/>
              </w:rPr>
              <w:t xml:space="preserve">Independent Directors Meet Without Management Present </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953" w:type="dxa"/>
            <w:tcBorders>
              <w:bottom w:val="single" w:sz="2" w:space="0" w:color="000000"/>
            </w:tcBorders>
            <w:shd w:fill="auto" w:val="clear"/>
            <w:tcMar>
              <w:bottom w:w="50" w:type="dxa"/>
            </w:tcMar>
            <w:vAlign w:val="center"/>
          </w:tcPr>
          <w:p>
            <w:pPr>
              <w:pStyle w:val="TableContents"/>
              <w:spacing w:before="0" w:after="0"/>
              <w:jc w:val="center"/>
              <w:rPr>
                <w:spacing w:val="-1"/>
              </w:rPr>
            </w:pPr>
            <w:r>
              <w:rPr>
                <w:spacing w:val="-1"/>
              </w:rPr>
              <w:t xml:space="preserve">Yes </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54" w:type="dxa"/>
            <w:tcBorders/>
            <w:shd w:fill="auto"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6447" w:type="dxa"/>
            <w:tcBorders>
              <w:bottom w:val="single" w:sz="2" w:space="0" w:color="000000"/>
            </w:tcBorders>
            <w:shd w:fill="auto" w:val="clear"/>
            <w:tcMar>
              <w:bottom w:w="50" w:type="dxa"/>
            </w:tcMar>
            <w:vAlign w:val="center"/>
          </w:tcPr>
          <w:p>
            <w:pPr>
              <w:pStyle w:val="TableContents"/>
              <w:spacing w:before="0" w:after="283"/>
              <w:rPr>
                <w:spacing w:val="-1"/>
              </w:rPr>
            </w:pPr>
            <w:r>
              <w:rPr>
                <w:spacing w:val="-1"/>
              </w:rPr>
              <w:t xml:space="preserve">Voting Standard for Election of Directors in Uncontested Elections </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953" w:type="dxa"/>
            <w:tcBorders>
              <w:bottom w:val="single" w:sz="2" w:space="0" w:color="000000"/>
            </w:tcBorders>
            <w:shd w:fill="auto" w:val="clear"/>
            <w:tcMar>
              <w:bottom w:w="50" w:type="dxa"/>
            </w:tcMar>
            <w:vAlign w:val="center"/>
          </w:tcPr>
          <w:p>
            <w:pPr>
              <w:pStyle w:val="TableContents"/>
              <w:spacing w:before="0" w:after="0"/>
              <w:jc w:val="center"/>
              <w:rPr>
                <w:spacing w:val="-1"/>
              </w:rPr>
            </w:pPr>
            <w:r>
              <w:rPr>
                <w:spacing w:val="-1"/>
              </w:rPr>
              <w:t xml:space="preserve">Plurality </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54" w:type="dxa"/>
            <w:tcBorders/>
            <w:shd w:fill="auto"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6447" w:type="dxa"/>
            <w:tcBorders>
              <w:bottom w:val="single" w:sz="2" w:space="0" w:color="000000"/>
            </w:tcBorders>
            <w:shd w:fill="auto" w:val="clear"/>
            <w:tcMar>
              <w:bottom w:w="50" w:type="dxa"/>
            </w:tcMar>
            <w:vAlign w:val="center"/>
          </w:tcPr>
          <w:p>
            <w:pPr>
              <w:pStyle w:val="TableContents"/>
              <w:spacing w:before="0" w:after="283"/>
              <w:rPr>
                <w:spacing w:val="-1"/>
              </w:rPr>
            </w:pPr>
            <w:r>
              <w:rPr>
                <w:spacing w:val="-1"/>
              </w:rPr>
              <w:t xml:space="preserve">Diversity of Board background, gender, experience and skills </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953" w:type="dxa"/>
            <w:tcBorders>
              <w:bottom w:val="single" w:sz="2" w:space="0" w:color="000000"/>
            </w:tcBorders>
            <w:shd w:fill="auto" w:val="clear"/>
            <w:tcMar>
              <w:bottom w:w="50" w:type="dxa"/>
            </w:tcMar>
            <w:vAlign w:val="center"/>
          </w:tcPr>
          <w:p>
            <w:pPr>
              <w:pStyle w:val="TableContents"/>
              <w:spacing w:before="0" w:after="0"/>
              <w:jc w:val="center"/>
              <w:rPr/>
            </w:pPr>
            <w:r>
              <w:rPr>
                <w:spacing w:val="-1"/>
              </w:rPr>
              <w:t>Yes</w:t>
            </w:r>
            <w:r>
              <w:rPr/>
              <w:t xml:space="preserve"> </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54" w:type="dxa"/>
            <w:tcBorders/>
            <w:shd w:fill="auto" w:val="clear"/>
            <w:vAlign w:val="center"/>
          </w:tcPr>
          <w:p>
            <w:pPr>
              <w:pStyle w:val="TableContents"/>
              <w:spacing w:before="0" w:after="283"/>
              <w:rPr/>
            </w:pPr>
            <w:r>
              <w:rPr/>
              <w:t>​</w:t>
            </w:r>
          </w:p>
        </w:tc>
      </w:tr>
    </w:tbl>
    <w:p>
      <w:pPr>
        <w:pStyle w:val="TextBody"/>
        <w:spacing w:lineRule="atLeast" w:line="240" w:before="226" w:after="283"/>
        <w:ind w:left="960" w:right="0" w:hanging="0"/>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3"/>
          <w:sz w:val="20"/>
        </w:rPr>
        <w:t>RECENT CORPORATE HIGHLIGHTS</w:t>
      </w:r>
      <w:r>
        <w:rPr>
          <w:rFonts w:ascii="Arial;Helvetica;sans-serif" w:hAnsi="Arial;Helvetica;sans-serif"/>
          <w:b/>
          <w:i w:val="false"/>
          <w:caps w:val="false"/>
          <w:smallCaps w:val="false"/>
          <w:color w:val="000000"/>
          <w:spacing w:val="4"/>
          <w:sz w:val="20"/>
        </w:rPr>
        <w:t xml:space="preserve"> </w:t>
      </w:r>
    </w:p>
    <w:p>
      <w:pPr>
        <w:pStyle w:val="TextBody"/>
        <w:spacing w:lineRule="atLeast" w:line="240" w:before="116" w:after="0"/>
        <w:ind w:left="156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In August 2022, we announced that we were notified by the U.S. Food and Drug Administration (FDA) that our ELiPSE-1 clinical study may proceed to assess CNTY-101 in patients with relapsed or refractory CD19 positive B-cell malignancies.</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3660" distB="0" distL="254000" distR="0" simplePos="0" locked="0" layoutInCell="1" allowOverlap="1" relativeHeight="38">
                <wp:simplePos x="0" y="0"/>
                <wp:positionH relativeFrom="column">
                  <wp:align>left</wp:align>
                </wp:positionH>
                <wp:positionV relativeFrom="line">
                  <wp:align>top</wp:align>
                </wp:positionV>
                <wp:extent cx="127000" cy="350520"/>
                <wp:effectExtent l="0" t="0" r="0" b="0"/>
                <wp:wrapSquare wrapText="largest"/>
                <wp:docPr id="9" name="Frame6"/>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both"/>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spacing w:lineRule="atLeast" w:line="240" w:before="0" w:after="283"/>
                        <w:jc w:val="both"/>
                        <w:rPr/>
                      </w:pPr>
                      <w:r>
                        <w:rPr>
                          <w:spacing w:val="-1"/>
                        </w:rPr>
                        <w:t>•</w:t>
                      </w:r>
                      <w:r>
                        <w:rPr/>
                        <w:t xml:space="preserve"> </w:t>
                      </w:r>
                      <w:r>
                        <w:rPr/>
                        <w:br/>
                      </w:r>
                    </w:p>
                  </w:txbxContent>
                </v:textbox>
                <w10:wrap type="square" side="right"/>
              </v:rect>
            </w:pict>
          </mc:Fallback>
        </mc:AlternateContent>
      </w:r>
    </w:p>
    <w:p>
      <w:pPr>
        <w:pStyle w:val="TextBody"/>
        <w:spacing w:before="0" w:after="0"/>
        <w:ind w:left="960" w:right="0" w:hanging="0"/>
        <w:rPr>
          <w:caps w:val="false"/>
          <w:smallCaps w:val="false"/>
          <w:color w:val="000000"/>
        </w:rPr>
      </w:pPr>
      <w:r>
        <w:rPr>
          <w:caps w:val="false"/>
          <w:smallCaps w:val="false"/>
          <w:color w:val="000000"/>
        </w:rPr>
        <w:t>​</w:t>
      </w:r>
    </w:p>
    <w:p>
      <w:pPr>
        <w:pStyle w:val="TextBody"/>
        <w:spacing w:lineRule="atLeast" w:line="240" w:before="96" w:after="0"/>
        <w:ind w:left="156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In October 2022, we announced the appointment of Daphne Quimi and Timothy Walbert to our Board of Directors.</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60960" distB="0" distL="254000" distR="0" simplePos="0" locked="0" layoutInCell="1" allowOverlap="1" relativeHeight="39">
                <wp:simplePos x="0" y="0"/>
                <wp:positionH relativeFrom="column">
                  <wp:align>left</wp:align>
                </wp:positionH>
                <wp:positionV relativeFrom="line">
                  <wp:align>top</wp:align>
                </wp:positionV>
                <wp:extent cx="127000" cy="350520"/>
                <wp:effectExtent l="0" t="0" r="0" b="0"/>
                <wp:wrapSquare wrapText="largest"/>
                <wp:docPr id="10" name="Frame7"/>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both"/>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4.8pt;mso-wrap-distance-bottom:0pt;margin-top:4.8pt;mso-position-vertical:top;mso-position-vertical-relative:text;margin-left:20pt;mso-position-horizontal:left;mso-position-horizontal-relative:text">
                <v:textbox>
                  <w:txbxContent>
                    <w:p>
                      <w:pPr>
                        <w:pStyle w:val="TextBody"/>
                        <w:spacing w:lineRule="atLeast" w:line="240" w:before="0" w:after="283"/>
                        <w:jc w:val="both"/>
                        <w:rPr/>
                      </w:pPr>
                      <w:r>
                        <w:rPr>
                          <w:spacing w:val="-1"/>
                        </w:rPr>
                        <w:t>•</w:t>
                      </w:r>
                      <w:r>
                        <w:rPr/>
                        <w:t xml:space="preserve"> </w:t>
                      </w:r>
                      <w:r>
                        <w:rPr/>
                        <w:br/>
                      </w:r>
                    </w:p>
                  </w:txbxContent>
                </v:textbox>
                <w10:wrap type="square" side="right"/>
              </v:rect>
            </w:pict>
          </mc:Fallback>
        </mc:AlternateContent>
      </w:r>
    </w:p>
    <w:p>
      <w:pPr>
        <w:pStyle w:val="TextBody"/>
        <w:spacing w:before="0" w:after="0"/>
        <w:ind w:left="960" w:right="0" w:hanging="0"/>
        <w:rPr>
          <w:caps w:val="false"/>
          <w:smallCaps w:val="false"/>
          <w:color w:val="000000"/>
        </w:rPr>
      </w:pPr>
      <w:r>
        <w:rPr>
          <w:caps w:val="false"/>
          <w:smallCaps w:val="false"/>
          <w:color w:val="000000"/>
        </w:rPr>
        <w:t>​</w:t>
      </w:r>
    </w:p>
    <w:p>
      <w:pPr>
        <w:pStyle w:val="TextBody"/>
        <w:spacing w:lineRule="atLeast" w:line="240" w:before="96" w:after="0"/>
        <w:ind w:left="156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In January 2023, we announced a new internal portfolio prioritization and capital allocation strategy that is expected to extend cash runway into 2026. The resulting changes include de-prioritizing investment in CNTY-103 for glioblastoma as well as a discovery program in hematologic malignancies. We will focus on CNTY-101 and will prioritize key programs, including one follow-on product candidate for lymphoma, CNTY-102, and CNTY-107, a product candidate for Nectin-4+ tumors. In addition, we will continue our partnered programs with Bristol Myers Squibb with no impact to previous guidance on timelines.</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60960" distB="0" distL="254000" distR="0" simplePos="0" locked="0" layoutInCell="1" allowOverlap="1" relativeHeight="40">
                <wp:simplePos x="0" y="0"/>
                <wp:positionH relativeFrom="column">
                  <wp:align>left</wp:align>
                </wp:positionH>
                <wp:positionV relativeFrom="line">
                  <wp:align>top</wp:align>
                </wp:positionV>
                <wp:extent cx="127000" cy="350520"/>
                <wp:effectExtent l="0" t="0" r="0" b="0"/>
                <wp:wrapSquare wrapText="largest"/>
                <wp:docPr id="11" name="Frame8"/>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both"/>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4.8pt;mso-wrap-distance-bottom:0pt;margin-top:4.8pt;mso-position-vertical:top;mso-position-vertical-relative:text;margin-left:20pt;mso-position-horizontal:left;mso-position-horizontal-relative:text">
                <v:textbox>
                  <w:txbxContent>
                    <w:p>
                      <w:pPr>
                        <w:pStyle w:val="TextBody"/>
                        <w:spacing w:lineRule="atLeast" w:line="240" w:before="0" w:after="283"/>
                        <w:jc w:val="both"/>
                        <w:rPr/>
                      </w:pPr>
                      <w:r>
                        <w:rPr>
                          <w:spacing w:val="-1"/>
                        </w:rPr>
                        <w:t>•</w:t>
                      </w:r>
                      <w:r>
                        <w:rPr/>
                        <w:t xml:space="preserve"> </w:t>
                      </w:r>
                      <w:r>
                        <w:rPr/>
                        <w:br/>
                      </w:r>
                    </w:p>
                  </w:txbxContent>
                </v:textbox>
                <w10:wrap type="square" side="right"/>
              </v:rect>
            </w:pict>
          </mc:Fallback>
        </mc:AlternateContent>
      </w:r>
    </w:p>
    <w:p>
      <w:pPr>
        <w:pStyle w:val="TextBody"/>
        <w:spacing w:before="0" w:after="0"/>
        <w:ind w:left="960" w:right="0" w:hanging="0"/>
        <w:rPr>
          <w:caps w:val="false"/>
          <w:smallCaps w:val="false"/>
          <w:color w:val="000000"/>
        </w:rPr>
      </w:pPr>
      <w:r>
        <w:rPr>
          <w:caps w:val="false"/>
          <w:smallCaps w:val="false"/>
          <w:color w:val="000000"/>
        </w:rPr>
        <w:t>​</w:t>
      </w:r>
    </w:p>
    <w:p>
      <w:pPr>
        <w:pStyle w:val="TextBody"/>
        <w:spacing w:lineRule="atLeast" w:line="240" w:before="96" w:after="0"/>
        <w:ind w:left="156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In February 2023, we announced that the first patient was dosed in the first-in-human Phase 1 ELiPSE-1 trial evaluating CNTY-101 in patients with relapsed or refractory CD19 positive B-cell lymphomas.</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60960" distB="0" distL="254000" distR="0" simplePos="0" locked="0" layoutInCell="1" allowOverlap="1" relativeHeight="41">
                <wp:simplePos x="0" y="0"/>
                <wp:positionH relativeFrom="column">
                  <wp:align>left</wp:align>
                </wp:positionH>
                <wp:positionV relativeFrom="line">
                  <wp:align>top</wp:align>
                </wp:positionV>
                <wp:extent cx="127000" cy="350520"/>
                <wp:effectExtent l="0" t="0" r="0" b="0"/>
                <wp:wrapSquare wrapText="largest"/>
                <wp:docPr id="12" name="Frame9"/>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both"/>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4.8pt;mso-wrap-distance-bottom:0pt;margin-top:4.8pt;mso-position-vertical:top;mso-position-vertical-relative:text;margin-left:20pt;mso-position-horizontal:left;mso-position-horizontal-relative:text">
                <v:textbox>
                  <w:txbxContent>
                    <w:p>
                      <w:pPr>
                        <w:pStyle w:val="TextBody"/>
                        <w:spacing w:lineRule="atLeast" w:line="240" w:before="0" w:after="283"/>
                        <w:jc w:val="both"/>
                        <w:rPr/>
                      </w:pPr>
                      <w:r>
                        <w:rPr>
                          <w:spacing w:val="-1"/>
                        </w:rPr>
                        <w:t>•</w:t>
                      </w:r>
                      <w:r>
                        <w:rPr/>
                        <w:t xml:space="preserve"> </w:t>
                      </w:r>
                      <w:r>
                        <w:rPr/>
                        <w:br/>
                      </w:r>
                    </w:p>
                  </w:txbxContent>
                </v:textbox>
                <w10:wrap type="square" side="right"/>
              </v:rect>
            </w:pict>
          </mc:Fallback>
        </mc:AlternateContent>
      </w:r>
    </w:p>
    <w:p>
      <w:pPr>
        <w:pStyle w:val="TextBody"/>
        <w:spacing w:before="0" w:after="0"/>
        <w:ind w:left="960" w:right="0" w:hanging="0"/>
        <w:rPr>
          <w:caps w:val="false"/>
          <w:smallCaps w:val="false"/>
          <w:color w:val="000000"/>
        </w:rPr>
      </w:pPr>
      <w:r>
        <w:rPr>
          <w:caps w:val="false"/>
          <w:smallCaps w:val="false"/>
          <w:color w:val="000000"/>
        </w:rPr>
        <w:t>​</w:t>
      </w:r>
    </w:p>
    <w:p>
      <w:pPr>
        <w:pStyle w:val="TextBody"/>
        <w:spacing w:lineRule="atLeast" w:line="240" w:before="96" w:after="0"/>
        <w:ind w:left="156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In April 2023, we (i) appointed Gregory Russotti to Interim President and Chief Executive Officer, (ii) promoted Michael Diem to Chief Financial Officer and (iii) hired Hyam Levitsky as President of Research and Development.</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60960" distB="0" distL="254000" distR="0" simplePos="0" locked="0" layoutInCell="1" allowOverlap="1" relativeHeight="42">
                <wp:simplePos x="0" y="0"/>
                <wp:positionH relativeFrom="column">
                  <wp:align>left</wp:align>
                </wp:positionH>
                <wp:positionV relativeFrom="line">
                  <wp:align>top</wp:align>
                </wp:positionV>
                <wp:extent cx="127000" cy="350520"/>
                <wp:effectExtent l="0" t="0" r="0" b="0"/>
                <wp:wrapSquare wrapText="largest"/>
                <wp:docPr id="13" name="Frame10"/>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both"/>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4.8pt;mso-wrap-distance-bottom:0pt;margin-top:4.8pt;mso-position-vertical:top;mso-position-vertical-relative:text;margin-left:20pt;mso-position-horizontal:left;mso-position-horizontal-relative:text">
                <v:textbox>
                  <w:txbxContent>
                    <w:p>
                      <w:pPr>
                        <w:pStyle w:val="TextBody"/>
                        <w:spacing w:lineRule="atLeast" w:line="240" w:before="0" w:after="283"/>
                        <w:jc w:val="both"/>
                        <w:rPr/>
                      </w:pPr>
                      <w:r>
                        <w:rPr>
                          <w:spacing w:val="-1"/>
                        </w:rPr>
                        <w:t>•</w:t>
                      </w:r>
                      <w:r>
                        <w:rPr/>
                        <w:t xml:space="preserve"> </w:t>
                      </w:r>
                      <w:r>
                        <w:rPr/>
                        <w:br/>
                      </w:r>
                    </w:p>
                  </w:txbxContent>
                </v:textbox>
                <w10:wrap type="square" side="right"/>
              </v:rect>
            </w:pict>
          </mc:Fallback>
        </mc:AlternateContent>
      </w:r>
    </w:p>
    <w:p>
      <w:pPr>
        <w:pStyle w:val="TextBody"/>
        <w:spacing w:before="0" w:after="0"/>
        <w:ind w:left="960" w:right="0" w:hanging="0"/>
        <w:rPr>
          <w:caps w:val="false"/>
          <w:smallCaps w:val="false"/>
          <w:color w:val="000000"/>
        </w:rPr>
      </w:pPr>
      <w:r>
        <w:rPr>
          <w:caps w:val="false"/>
          <w:smallCaps w:val="false"/>
          <w:color w:val="000000"/>
        </w:rPr>
        <w:t>​</w:t>
      </w:r>
    </w:p>
    <w:p>
      <w:pPr>
        <w:pStyle w:val="TextBody"/>
        <w:spacing w:lineRule="atLeast" w:line="240" w:before="100" w:after="283"/>
        <w:ind w:left="960" w:right="0" w:hanging="0"/>
        <w:jc w:val="righ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1DA46F"/>
          <w:spacing w:val="0"/>
          <w:sz w:val="20"/>
        </w:rPr>
        <w:t>Notice of Annual Meeting of Stockholders</w:t>
      </w:r>
      <w:r>
        <w:rPr>
          <w:rFonts w:ascii="Arial;Helvetica;sans-serif" w:hAnsi="Arial;Helvetica;sans-serif"/>
          <w:b/>
          <w:i w:val="false"/>
          <w:caps w:val="false"/>
          <w:smallCaps w:val="false"/>
          <w:color w:val="000000"/>
          <w:spacing w:val="0"/>
          <w:sz w:val="20"/>
        </w:rPr>
        <w:t> and 2023 Proxy Statement | </w:t>
      </w:r>
      <w:r>
        <w:rPr>
          <w:rFonts w:ascii="Arial;Helvetica;sans-serif" w:hAnsi="Arial;Helvetica;sans-serif"/>
          <w:b w:val="false"/>
          <w:i w:val="false"/>
          <w:caps w:val="false"/>
          <w:smallCaps w:val="false"/>
          <w:color w:val="000000"/>
          <w:spacing w:val="-1"/>
          <w:sz w:val="20"/>
        </w:rPr>
        <w:t>ii</w:t>
      </w:r>
      <w:r>
        <w:rPr>
          <w:rFonts w:ascii="Arial;Helvetica;sans-serif" w:hAnsi="Arial;Helvetica;sans-serif"/>
          <w:b/>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tbl>
      <w:tblPr>
        <w:tblW w:w="3394" w:type="dxa"/>
        <w:jc w:val="left"/>
        <w:tblInd w:w="960" w:type="dxa"/>
        <w:tblCellMar>
          <w:top w:w="0" w:type="dxa"/>
          <w:left w:w="0" w:type="dxa"/>
          <w:bottom w:w="0" w:type="dxa"/>
          <w:right w:w="0" w:type="dxa"/>
        </w:tblCellMar>
      </w:tblPr>
      <w:tblGrid>
        <w:gridCol w:w="124"/>
        <w:gridCol w:w="3116"/>
        <w:gridCol w:w="154"/>
      </w:tblGrid>
      <w:tr>
        <w:trPr/>
        <w:tc>
          <w:tcPr>
            <w:tcW w:w="124" w:type="dxa"/>
            <w:tcBorders/>
            <w:shd w:fill="1DA46F" w:val="clear"/>
            <w:vAlign w:val="center"/>
          </w:tcPr>
          <w:p>
            <w:pPr>
              <w:pStyle w:val="TableContents"/>
              <w:spacing w:before="0" w:after="283"/>
              <w:rPr/>
            </w:pPr>
            <w:r>
              <w:rPr/>
              <w:t>​</w:t>
            </w:r>
          </w:p>
        </w:tc>
        <w:tc>
          <w:tcPr>
            <w:tcW w:w="3116" w:type="dxa"/>
            <w:tcBorders/>
            <w:shd w:fill="1DA46F" w:val="clear"/>
            <w:vAlign w:val="center"/>
          </w:tcPr>
          <w:p>
            <w:pPr>
              <w:pStyle w:val="TableContents"/>
              <w:spacing w:lineRule="atLeast" w:line="360" w:before="0" w:after="0"/>
              <w:rPr/>
            </w:pPr>
            <w:r>
              <w:rPr>
                <w:spacing w:val="-5"/>
              </w:rPr>
              <w:t>SUMMARY INFORMATION</w:t>
            </w:r>
            <w:r>
              <w:rPr/>
              <w:t xml:space="preserve"> </w:t>
            </w:r>
          </w:p>
        </w:tc>
        <w:tc>
          <w:tcPr>
            <w:tcW w:w="154" w:type="dxa"/>
            <w:tcBorders/>
            <w:shd w:fill="1DA46F" w:val="clear"/>
            <w:vAlign w:val="center"/>
          </w:tcPr>
          <w:p>
            <w:pPr>
              <w:pStyle w:val="TableContents"/>
              <w:spacing w:before="0" w:after="283"/>
              <w:rPr/>
            </w:pPr>
            <w:r>
              <w:rPr/>
              <w:t>​</w:t>
            </w:r>
          </w:p>
        </w:tc>
      </w:tr>
    </w:tbl>
    <w:p>
      <w:pPr>
        <w:pStyle w:val="TextBody"/>
        <w:spacing w:lineRule="atLeast" w:line="240" w:before="360" w:after="283"/>
        <w:ind w:left="960" w:right="0" w:hanging="0"/>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0"/>
          <w:sz w:val="20"/>
        </w:rPr>
        <w:t>2021 Corporate Reorganization</w:t>
      </w:r>
      <w:r>
        <w:rPr>
          <w:rFonts w:ascii="Arial;Helvetica;sans-serif" w:hAnsi="Arial;Helvetica;sans-serif"/>
          <w:b/>
          <w:i w:val="false"/>
          <w:caps w:val="false"/>
          <w:smallCaps w:val="false"/>
          <w:color w:val="000000"/>
          <w:spacing w:val="4"/>
          <w:sz w:val="20"/>
        </w:rPr>
        <w:t xml:space="preserve"> </w:t>
      </w:r>
    </w:p>
    <w:p>
      <w:pPr>
        <w:pStyle w:val="TextBody"/>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We were formed in 2018 as Century Therapeutics, Inc., or Prior Century. In 2019, in connection with our investment from Bayer Healthcare LLC, or Bayer, Prior Century contributed substantially all of its operating assets and cash to a newly formed entity, Century Therapeutics, LLC, or the LLC Entity. We refer to this transaction as the 2019 Reorganization. Until February 2021, our business was operated through the LLC Entity. In February 2021, the LLC Entity converted from a Delaware limited liability company to a Delaware C corporation. Upon completion of this conversion, Prior Century, whose only significant asset was its equity investment in the LLC Entity, merged with the C corporation, and in connection therewith the C corporation changed its name to “Century Therapeutics, Inc.” We refer to these transactions as the 2021 Reorganization. As used in this Proxy Statement, unless the context otherwise requires, references to “we,” “us,” “our,” “the Company,” “Century,” and similar references refer to: (i) on or prior to June 2019, Prior Century, (ii) from June 2019 to the completion of the 2021 Reorganization, to the LLC Entity, and (iii) upon completion of the 2021 Reorganization, to Century Therapeutics, Inc.</w:t>
      </w:r>
      <w:r>
        <w:rPr>
          <w:rFonts w:ascii="Arial;Helvetica;sans-serif" w:hAnsi="Arial;Helvetica;sans-serif"/>
          <w:b w:val="false"/>
          <w:i w:val="false"/>
          <w:caps w:val="false"/>
          <w:smallCaps w:val="false"/>
          <w:color w:val="000000"/>
          <w:sz w:val="20"/>
        </w:rPr>
        <w:t xml:space="preserve"> </w:t>
      </w:r>
    </w:p>
    <w:p>
      <w:pPr>
        <w:pStyle w:val="TextBody"/>
        <w:spacing w:lineRule="atLeast" w:line="240" w:before="100" w:after="283"/>
        <w:ind w:left="960" w:right="0" w:hanging="0"/>
        <w:jc w:val="righ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1DA46F"/>
          <w:spacing w:val="0"/>
          <w:sz w:val="20"/>
        </w:rPr>
        <w:t>Notice of Annual Meeting of Stockholders</w:t>
      </w:r>
      <w:r>
        <w:rPr>
          <w:rFonts w:ascii="Arial;Helvetica;sans-serif" w:hAnsi="Arial;Helvetica;sans-serif"/>
          <w:b/>
          <w:i w:val="false"/>
          <w:caps w:val="false"/>
          <w:smallCaps w:val="false"/>
          <w:color w:val="000000"/>
          <w:spacing w:val="0"/>
          <w:sz w:val="20"/>
        </w:rPr>
        <w:t> and 2023 Proxy Statement | </w:t>
      </w:r>
      <w:r>
        <w:rPr>
          <w:rFonts w:ascii="Arial;Helvetica;sans-serif" w:hAnsi="Arial;Helvetica;sans-serif"/>
          <w:b w:val="false"/>
          <w:i w:val="false"/>
          <w:caps w:val="false"/>
          <w:smallCaps w:val="false"/>
          <w:color w:val="000000"/>
          <w:spacing w:val="-1"/>
          <w:sz w:val="20"/>
        </w:rPr>
        <w:t>iii</w:t>
      </w:r>
      <w:r>
        <w:rPr>
          <w:rFonts w:ascii="Arial;Helvetica;sans-serif" w:hAnsi="Arial;Helvetica;sans-serif"/>
          <w:b/>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5" w:name="TOC"/>
      <w:bookmarkEnd w:id="5"/>
      <w:r>
        <w:rPr>
          <w:rFonts w:ascii="calibri;arial;sans-serif" w:hAnsi="calibri;arial;sans-serif"/>
          <w:b w:val="false"/>
          <w:i w:val="false"/>
          <w:caps w:val="false"/>
          <w:smallCaps w:val="false"/>
          <w:color w:val="000000"/>
          <w:sz w:val="16"/>
        </w:rPr>
        <w:t xml:space="preserve">​ </w:t>
      </w:r>
    </w:p>
    <w:tbl>
      <w:tblPr>
        <w:tblW w:w="2904" w:type="dxa"/>
        <w:jc w:val="left"/>
        <w:tblInd w:w="960" w:type="dxa"/>
        <w:tblCellMar>
          <w:top w:w="0" w:type="dxa"/>
          <w:left w:w="0" w:type="dxa"/>
          <w:bottom w:w="0" w:type="dxa"/>
          <w:right w:w="0" w:type="dxa"/>
        </w:tblCellMar>
      </w:tblPr>
      <w:tblGrid>
        <w:gridCol w:w="124"/>
        <w:gridCol w:w="2626"/>
        <w:gridCol w:w="154"/>
      </w:tblGrid>
      <w:tr>
        <w:trPr/>
        <w:tc>
          <w:tcPr>
            <w:tcW w:w="124" w:type="dxa"/>
            <w:tcBorders/>
            <w:shd w:fill="1DA46F" w:val="clear"/>
            <w:vAlign w:val="center"/>
          </w:tcPr>
          <w:p>
            <w:pPr>
              <w:pStyle w:val="TableContents"/>
              <w:spacing w:before="0" w:after="283"/>
              <w:rPr/>
            </w:pPr>
            <w:r>
              <w:rPr/>
              <w:t>​</w:t>
            </w:r>
          </w:p>
        </w:tc>
        <w:tc>
          <w:tcPr>
            <w:tcW w:w="2626" w:type="dxa"/>
            <w:tcBorders/>
            <w:shd w:fill="1DA46F" w:val="clear"/>
            <w:vAlign w:val="center"/>
          </w:tcPr>
          <w:p>
            <w:pPr>
              <w:pStyle w:val="TableContents"/>
              <w:spacing w:lineRule="atLeast" w:line="360" w:before="0" w:after="0"/>
              <w:rPr/>
            </w:pPr>
            <w:r>
              <w:rPr>
                <w:spacing w:val="-5"/>
              </w:rPr>
              <w:t>TABLE OF CONTENTS</w:t>
            </w:r>
            <w:r>
              <w:rPr/>
              <w:t xml:space="preserve"> </w:t>
            </w:r>
          </w:p>
        </w:tc>
        <w:tc>
          <w:tcPr>
            <w:tcW w:w="154" w:type="dxa"/>
            <w:tcBorders/>
            <w:shd w:fill="1DA46F" w:val="clear"/>
            <w:vAlign w:val="center"/>
          </w:tcPr>
          <w:p>
            <w:pPr>
              <w:pStyle w:val="TableContents"/>
              <w:spacing w:before="0" w:after="283"/>
              <w:rPr/>
            </w:pPr>
            <w:r>
              <w:rPr/>
              <w:t>​</w:t>
            </w:r>
          </w:p>
        </w:tc>
      </w:tr>
    </w:tbl>
    <w:tbl>
      <w:tblPr>
        <w:tblW w:w="9245" w:type="dxa"/>
        <w:jc w:val="left"/>
        <w:tblInd w:w="960" w:type="dxa"/>
        <w:tblCellMar>
          <w:top w:w="0" w:type="dxa"/>
          <w:left w:w="0" w:type="dxa"/>
          <w:bottom w:w="0" w:type="dxa"/>
          <w:right w:w="0" w:type="dxa"/>
        </w:tblCellMar>
      </w:tblPr>
      <w:tblGrid>
        <w:gridCol w:w="124"/>
        <w:gridCol w:w="8044"/>
        <w:gridCol w:w="109"/>
        <w:gridCol w:w="109"/>
        <w:gridCol w:w="109"/>
        <w:gridCol w:w="109"/>
        <w:gridCol w:w="377"/>
        <w:gridCol w:w="109"/>
        <w:gridCol w:w="155"/>
      </w:tblGrid>
      <w:tr>
        <w:trPr/>
        <w:tc>
          <w:tcPr>
            <w:tcW w:w="124" w:type="dxa"/>
            <w:tcBorders/>
            <w:shd w:fill="CCEEFF" w:val="clear"/>
            <w:vAlign w:val="center"/>
          </w:tcPr>
          <w:p>
            <w:pPr>
              <w:pStyle w:val="TableContents"/>
              <w:spacing w:before="0" w:after="283"/>
              <w:rPr/>
            </w:pPr>
            <w:r>
              <w:rPr/>
              <w:t>​</w:t>
            </w:r>
          </w:p>
        </w:tc>
        <w:tc>
          <w:tcPr>
            <w:tcW w:w="8044" w:type="dxa"/>
            <w:tcBorders/>
            <w:shd w:fill="CCEEFF" w:val="clear"/>
            <w:vAlign w:val="center"/>
          </w:tcPr>
          <w:p>
            <w:pPr>
              <w:pStyle w:val="TableContents"/>
              <w:spacing w:before="0" w:after="0"/>
              <w:jc w:val="left"/>
              <w:rPr/>
            </w:pPr>
            <w:hyperlink w:anchor="tSUIN">
              <w:r>
                <w:rPr>
                  <w:rStyle w:val="InternetLink"/>
                  <w:spacing w:val="-1"/>
                </w:rPr>
                <w:t xml:space="preserve">SUMMARY INFORMATION </w:t>
              </w:r>
            </w:hyperlink>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jc w:val="right"/>
              <w:rPr/>
            </w:pPr>
            <w:r>
              <w:rPr/>
              <w:t>​</w:t>
            </w:r>
          </w:p>
        </w:tc>
        <w:tc>
          <w:tcPr>
            <w:tcW w:w="377" w:type="dxa"/>
            <w:tcBorders/>
            <w:shd w:fill="CCEEFF" w:val="clear"/>
            <w:vAlign w:val="center"/>
          </w:tcPr>
          <w:p>
            <w:pPr>
              <w:pStyle w:val="TableContents"/>
              <w:spacing w:before="0" w:after="283"/>
              <w:jc w:val="right"/>
              <w:rPr/>
            </w:pPr>
            <w:hyperlink w:anchor="tSUIN">
              <w:r>
                <w:rPr>
                  <w:rStyle w:val="InternetLink"/>
                  <w:spacing w:val="-1"/>
                </w:rPr>
                <w:t>i</w:t>
              </w:r>
            </w:hyperlink>
            <w:r>
              <w:rPr/>
              <w:t xml:space="preserve"> </w:t>
            </w:r>
          </w:p>
        </w:tc>
        <w:tc>
          <w:tcPr>
            <w:tcW w:w="109" w:type="dxa"/>
            <w:tcBorders/>
            <w:shd w:fill="CCEEFF" w:val="clear"/>
            <w:vAlign w:val="center"/>
          </w:tcPr>
          <w:p>
            <w:pPr>
              <w:pStyle w:val="TableContents"/>
              <w:spacing w:before="0" w:after="283"/>
              <w:rPr/>
            </w:pPr>
            <w:r>
              <w:rPr/>
              <w:t>​</w:t>
            </w:r>
          </w:p>
        </w:tc>
        <w:tc>
          <w:tcPr>
            <w:tcW w:w="155" w:type="dxa"/>
            <w:tcBorders/>
            <w:shd w:fill="CCEEFF"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8044" w:type="dxa"/>
            <w:tcBorders/>
            <w:shd w:fill="auto" w:val="clear"/>
            <w:vAlign w:val="center"/>
          </w:tcPr>
          <w:p>
            <w:pPr>
              <w:pStyle w:val="TableContents"/>
              <w:spacing w:before="0" w:after="0"/>
              <w:ind w:left="800" w:right="0" w:hanging="0"/>
              <w:jc w:val="left"/>
              <w:rPr/>
            </w:pPr>
            <w:hyperlink w:anchor="tCGH">
              <w:r>
                <w:rPr>
                  <w:rStyle w:val="InternetLink"/>
                  <w:spacing w:val="-1"/>
                </w:rPr>
                <w:t xml:space="preserve">CORPORATE GOVERNANCE HIGHLIGHTS </w:t>
              </w:r>
            </w:hyperlink>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377" w:type="dxa"/>
            <w:tcBorders/>
            <w:shd w:fill="auto" w:val="clear"/>
            <w:vAlign w:val="center"/>
          </w:tcPr>
          <w:p>
            <w:pPr>
              <w:pStyle w:val="TableContents"/>
              <w:spacing w:before="0" w:after="283"/>
              <w:jc w:val="right"/>
              <w:rPr/>
            </w:pPr>
            <w:hyperlink w:anchor="tCGH">
              <w:r>
                <w:rPr>
                  <w:rStyle w:val="InternetLink"/>
                  <w:spacing w:val="-1"/>
                </w:rPr>
                <w:t>ii</w:t>
              </w:r>
            </w:hyperlink>
            <w:r>
              <w:rPr/>
              <w:t xml:space="preserve"> </w:t>
            </w:r>
          </w:p>
        </w:tc>
        <w:tc>
          <w:tcPr>
            <w:tcW w:w="109" w:type="dxa"/>
            <w:tcBorders/>
            <w:shd w:fill="auto" w:val="clear"/>
            <w:vAlign w:val="center"/>
          </w:tcPr>
          <w:p>
            <w:pPr>
              <w:pStyle w:val="TableContents"/>
              <w:spacing w:before="0" w:after="283"/>
              <w:rPr/>
            </w:pPr>
            <w:r>
              <w:rPr/>
              <w:t>​</w:t>
            </w:r>
          </w:p>
        </w:tc>
        <w:tc>
          <w:tcPr>
            <w:tcW w:w="155" w:type="dxa"/>
            <w:tcBorders/>
            <w:shd w:fill="auto" w:val="clear"/>
            <w:vAlign w:val="center"/>
          </w:tcPr>
          <w:p>
            <w:pPr>
              <w:pStyle w:val="TableContents"/>
              <w:spacing w:before="0" w:after="283"/>
              <w:rPr/>
            </w:pPr>
            <w:r>
              <w:rPr/>
              <w:t>​</w:t>
            </w:r>
          </w:p>
        </w:tc>
      </w:tr>
      <w:tr>
        <w:trPr/>
        <w:tc>
          <w:tcPr>
            <w:tcW w:w="124" w:type="dxa"/>
            <w:tcBorders/>
            <w:shd w:fill="CCEEFF" w:val="clear"/>
            <w:vAlign w:val="center"/>
          </w:tcPr>
          <w:p>
            <w:pPr>
              <w:pStyle w:val="TableContents"/>
              <w:spacing w:before="0" w:after="283"/>
              <w:rPr/>
            </w:pPr>
            <w:r>
              <w:rPr/>
              <w:t>​</w:t>
            </w:r>
          </w:p>
        </w:tc>
        <w:tc>
          <w:tcPr>
            <w:tcW w:w="8044" w:type="dxa"/>
            <w:tcBorders/>
            <w:shd w:fill="CCEEFF" w:val="clear"/>
            <w:vAlign w:val="center"/>
          </w:tcPr>
          <w:p>
            <w:pPr>
              <w:pStyle w:val="TableContents"/>
              <w:spacing w:before="0" w:after="0"/>
              <w:ind w:left="800" w:right="0" w:hanging="0"/>
              <w:jc w:val="left"/>
              <w:rPr/>
            </w:pPr>
            <w:hyperlink w:anchor="tRCH">
              <w:r>
                <w:rPr>
                  <w:rStyle w:val="InternetLink"/>
                  <w:spacing w:val="-1"/>
                </w:rPr>
                <w:t xml:space="preserve">RECENT CORPORATE HIGHLIGHTS </w:t>
              </w:r>
            </w:hyperlink>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jc w:val="right"/>
              <w:rPr/>
            </w:pPr>
            <w:r>
              <w:rPr/>
              <w:t>​</w:t>
            </w:r>
          </w:p>
        </w:tc>
        <w:tc>
          <w:tcPr>
            <w:tcW w:w="377" w:type="dxa"/>
            <w:tcBorders/>
            <w:shd w:fill="CCEEFF" w:val="clear"/>
            <w:vAlign w:val="center"/>
          </w:tcPr>
          <w:p>
            <w:pPr>
              <w:pStyle w:val="TableContents"/>
              <w:spacing w:before="0" w:after="283"/>
              <w:jc w:val="right"/>
              <w:rPr/>
            </w:pPr>
            <w:hyperlink w:anchor="tRCH">
              <w:r>
                <w:rPr>
                  <w:rStyle w:val="InternetLink"/>
                  <w:spacing w:val="-1"/>
                </w:rPr>
                <w:t>ii</w:t>
              </w:r>
            </w:hyperlink>
            <w:r>
              <w:rPr/>
              <w:t xml:space="preserve"> </w:t>
            </w:r>
          </w:p>
        </w:tc>
        <w:tc>
          <w:tcPr>
            <w:tcW w:w="109" w:type="dxa"/>
            <w:tcBorders/>
            <w:shd w:fill="CCEEFF" w:val="clear"/>
            <w:vAlign w:val="center"/>
          </w:tcPr>
          <w:p>
            <w:pPr>
              <w:pStyle w:val="TableContents"/>
              <w:spacing w:before="0" w:after="283"/>
              <w:rPr/>
            </w:pPr>
            <w:r>
              <w:rPr/>
              <w:t>​</w:t>
            </w:r>
          </w:p>
        </w:tc>
        <w:tc>
          <w:tcPr>
            <w:tcW w:w="155" w:type="dxa"/>
            <w:tcBorders/>
            <w:shd w:fill="CCEEFF"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8044" w:type="dxa"/>
            <w:tcBorders/>
            <w:shd w:fill="auto" w:val="clear"/>
            <w:vAlign w:val="center"/>
          </w:tcPr>
          <w:p>
            <w:pPr>
              <w:pStyle w:val="TableContents"/>
              <w:spacing w:before="0" w:after="0"/>
              <w:ind w:left="800" w:right="0" w:hanging="0"/>
              <w:jc w:val="left"/>
              <w:rPr/>
            </w:pPr>
            <w:hyperlink w:anchor="tPRST">
              <w:r>
                <w:rPr>
                  <w:rStyle w:val="InternetLink"/>
                  <w:spacing w:val="-1"/>
                </w:rPr>
                <w:t xml:space="preserve">PROXY STATEMENT </w:t>
              </w:r>
            </w:hyperlink>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377" w:type="dxa"/>
            <w:tcBorders/>
            <w:shd w:fill="auto" w:val="clear"/>
            <w:vAlign w:val="center"/>
          </w:tcPr>
          <w:p>
            <w:pPr>
              <w:pStyle w:val="TableContents"/>
              <w:spacing w:before="0" w:after="283"/>
              <w:jc w:val="right"/>
              <w:rPr/>
            </w:pPr>
            <w:hyperlink w:anchor="tPRST">
              <w:r>
                <w:rPr>
                  <w:rStyle w:val="InternetLink"/>
                  <w:spacing w:val="-1"/>
                </w:rPr>
                <w:t>v</w:t>
              </w:r>
            </w:hyperlink>
            <w:r>
              <w:rPr/>
              <w:t xml:space="preserve"> </w:t>
            </w:r>
          </w:p>
        </w:tc>
        <w:tc>
          <w:tcPr>
            <w:tcW w:w="109" w:type="dxa"/>
            <w:tcBorders/>
            <w:shd w:fill="auto" w:val="clear"/>
            <w:vAlign w:val="center"/>
          </w:tcPr>
          <w:p>
            <w:pPr>
              <w:pStyle w:val="TableContents"/>
              <w:spacing w:before="0" w:after="283"/>
              <w:rPr/>
            </w:pPr>
            <w:r>
              <w:rPr/>
              <w:t>​</w:t>
            </w:r>
          </w:p>
        </w:tc>
        <w:tc>
          <w:tcPr>
            <w:tcW w:w="155" w:type="dxa"/>
            <w:tcBorders/>
            <w:shd w:fill="auto" w:val="clear"/>
            <w:vAlign w:val="center"/>
          </w:tcPr>
          <w:p>
            <w:pPr>
              <w:pStyle w:val="TableContents"/>
              <w:spacing w:before="0" w:after="283"/>
              <w:rPr/>
            </w:pPr>
            <w:r>
              <w:rPr/>
              <w:t>​</w:t>
            </w:r>
          </w:p>
        </w:tc>
      </w:tr>
      <w:tr>
        <w:trPr/>
        <w:tc>
          <w:tcPr>
            <w:tcW w:w="124" w:type="dxa"/>
            <w:tcBorders/>
            <w:shd w:fill="CCEEFF" w:val="clear"/>
            <w:vAlign w:val="center"/>
          </w:tcPr>
          <w:p>
            <w:pPr>
              <w:pStyle w:val="TableContents"/>
              <w:spacing w:before="0" w:after="283"/>
              <w:rPr/>
            </w:pPr>
            <w:r>
              <w:rPr/>
              <w:t>​</w:t>
            </w:r>
          </w:p>
        </w:tc>
        <w:tc>
          <w:tcPr>
            <w:tcW w:w="8044" w:type="dxa"/>
            <w:tcBorders/>
            <w:shd w:fill="CCEEFF" w:val="clear"/>
            <w:vAlign w:val="center"/>
          </w:tcPr>
          <w:p>
            <w:pPr>
              <w:pStyle w:val="TableContents"/>
              <w:spacing w:before="0" w:after="0"/>
              <w:jc w:val="left"/>
              <w:rPr/>
            </w:pPr>
            <w:hyperlink w:anchor="tGIAT">
              <w:r>
                <w:rPr>
                  <w:rStyle w:val="InternetLink"/>
                  <w:spacing w:val="-1"/>
                </w:rPr>
                <w:t xml:space="preserve">GENERAL INFORMATION ABOUT THE MEETING </w:t>
              </w:r>
            </w:hyperlink>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jc w:val="right"/>
              <w:rPr/>
            </w:pPr>
            <w:r>
              <w:rPr/>
              <w:t>​</w:t>
            </w:r>
          </w:p>
        </w:tc>
        <w:tc>
          <w:tcPr>
            <w:tcW w:w="377" w:type="dxa"/>
            <w:tcBorders/>
            <w:shd w:fill="CCEEFF" w:val="clear"/>
            <w:vAlign w:val="center"/>
          </w:tcPr>
          <w:p>
            <w:pPr>
              <w:pStyle w:val="TableContents"/>
              <w:spacing w:before="0" w:after="283"/>
              <w:jc w:val="right"/>
              <w:rPr/>
            </w:pPr>
            <w:hyperlink w:anchor="tGIAT">
              <w:r>
                <w:rPr>
                  <w:rStyle w:val="InternetLink"/>
                  <w:spacing w:val="-1"/>
                </w:rPr>
                <w:t>1</w:t>
              </w:r>
            </w:hyperlink>
            <w:r>
              <w:rPr/>
              <w:t xml:space="preserve"> </w:t>
            </w:r>
          </w:p>
        </w:tc>
        <w:tc>
          <w:tcPr>
            <w:tcW w:w="109" w:type="dxa"/>
            <w:tcBorders/>
            <w:shd w:fill="CCEEFF" w:val="clear"/>
            <w:vAlign w:val="center"/>
          </w:tcPr>
          <w:p>
            <w:pPr>
              <w:pStyle w:val="TableContents"/>
              <w:spacing w:before="0" w:after="283"/>
              <w:rPr/>
            </w:pPr>
            <w:r>
              <w:rPr/>
              <w:t>​</w:t>
            </w:r>
          </w:p>
        </w:tc>
        <w:tc>
          <w:tcPr>
            <w:tcW w:w="155" w:type="dxa"/>
            <w:tcBorders/>
            <w:shd w:fill="CCEEFF"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8044" w:type="dxa"/>
            <w:tcBorders/>
            <w:shd w:fill="auto" w:val="clear"/>
            <w:vAlign w:val="center"/>
          </w:tcPr>
          <w:p>
            <w:pPr>
              <w:pStyle w:val="TableContents"/>
              <w:spacing w:before="0" w:after="0"/>
              <w:ind w:left="800" w:right="0" w:hanging="0"/>
              <w:jc w:val="left"/>
              <w:rPr/>
            </w:pPr>
            <w:hyperlink w:anchor="tPRSO">
              <w:r>
                <w:rPr>
                  <w:rStyle w:val="InternetLink"/>
                  <w:spacing w:val="-1"/>
                </w:rPr>
                <w:t xml:space="preserve">PROXY SOLICITATION </w:t>
              </w:r>
            </w:hyperlink>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377" w:type="dxa"/>
            <w:tcBorders/>
            <w:shd w:fill="auto" w:val="clear"/>
            <w:vAlign w:val="center"/>
          </w:tcPr>
          <w:p>
            <w:pPr>
              <w:pStyle w:val="TableContents"/>
              <w:spacing w:before="0" w:after="283"/>
              <w:jc w:val="right"/>
              <w:rPr/>
            </w:pPr>
            <w:hyperlink w:anchor="tPRSO">
              <w:r>
                <w:rPr>
                  <w:rStyle w:val="InternetLink"/>
                  <w:spacing w:val="-1"/>
                </w:rPr>
                <w:t>1</w:t>
              </w:r>
            </w:hyperlink>
            <w:r>
              <w:rPr/>
              <w:t xml:space="preserve"> </w:t>
            </w:r>
          </w:p>
        </w:tc>
        <w:tc>
          <w:tcPr>
            <w:tcW w:w="109" w:type="dxa"/>
            <w:tcBorders/>
            <w:shd w:fill="auto" w:val="clear"/>
            <w:vAlign w:val="center"/>
          </w:tcPr>
          <w:p>
            <w:pPr>
              <w:pStyle w:val="TableContents"/>
              <w:spacing w:before="0" w:after="283"/>
              <w:rPr/>
            </w:pPr>
            <w:r>
              <w:rPr/>
              <w:t>​</w:t>
            </w:r>
          </w:p>
        </w:tc>
        <w:tc>
          <w:tcPr>
            <w:tcW w:w="155" w:type="dxa"/>
            <w:tcBorders/>
            <w:shd w:fill="auto" w:val="clear"/>
            <w:vAlign w:val="center"/>
          </w:tcPr>
          <w:p>
            <w:pPr>
              <w:pStyle w:val="TableContents"/>
              <w:spacing w:before="0" w:after="283"/>
              <w:rPr/>
            </w:pPr>
            <w:r>
              <w:rPr/>
              <w:t>​</w:t>
            </w:r>
          </w:p>
        </w:tc>
      </w:tr>
      <w:tr>
        <w:trPr/>
        <w:tc>
          <w:tcPr>
            <w:tcW w:w="124" w:type="dxa"/>
            <w:tcBorders/>
            <w:shd w:fill="CCEEFF" w:val="clear"/>
            <w:vAlign w:val="center"/>
          </w:tcPr>
          <w:p>
            <w:pPr>
              <w:pStyle w:val="TableContents"/>
              <w:spacing w:before="0" w:after="283"/>
              <w:rPr/>
            </w:pPr>
            <w:r>
              <w:rPr/>
              <w:t>​</w:t>
            </w:r>
          </w:p>
        </w:tc>
        <w:tc>
          <w:tcPr>
            <w:tcW w:w="8044" w:type="dxa"/>
            <w:tcBorders/>
            <w:shd w:fill="CCEEFF" w:val="clear"/>
            <w:vAlign w:val="center"/>
          </w:tcPr>
          <w:p>
            <w:pPr>
              <w:pStyle w:val="TableContents"/>
              <w:spacing w:before="0" w:after="0"/>
              <w:ind w:left="800" w:right="0" w:hanging="0"/>
              <w:jc w:val="left"/>
              <w:rPr/>
            </w:pPr>
            <w:hyperlink w:anchor="tSETV">
              <w:r>
                <w:rPr>
                  <w:rStyle w:val="InternetLink"/>
                  <w:spacing w:val="-1"/>
                </w:rPr>
                <w:t xml:space="preserve">STOCKHOLDERS ENTITLED TO VOTE </w:t>
              </w:r>
            </w:hyperlink>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jc w:val="right"/>
              <w:rPr/>
            </w:pPr>
            <w:r>
              <w:rPr/>
              <w:t>​</w:t>
            </w:r>
          </w:p>
        </w:tc>
        <w:tc>
          <w:tcPr>
            <w:tcW w:w="377" w:type="dxa"/>
            <w:tcBorders/>
            <w:shd w:fill="CCEEFF" w:val="clear"/>
            <w:vAlign w:val="center"/>
          </w:tcPr>
          <w:p>
            <w:pPr>
              <w:pStyle w:val="TableContents"/>
              <w:spacing w:before="0" w:after="283"/>
              <w:jc w:val="right"/>
              <w:rPr/>
            </w:pPr>
            <w:hyperlink w:anchor="tSETV">
              <w:r>
                <w:rPr>
                  <w:rStyle w:val="InternetLink"/>
                  <w:spacing w:val="-1"/>
                </w:rPr>
                <w:t>1</w:t>
              </w:r>
            </w:hyperlink>
            <w:r>
              <w:rPr/>
              <w:t xml:space="preserve"> </w:t>
            </w:r>
          </w:p>
        </w:tc>
        <w:tc>
          <w:tcPr>
            <w:tcW w:w="109" w:type="dxa"/>
            <w:tcBorders/>
            <w:shd w:fill="CCEEFF" w:val="clear"/>
            <w:vAlign w:val="center"/>
          </w:tcPr>
          <w:p>
            <w:pPr>
              <w:pStyle w:val="TableContents"/>
              <w:spacing w:before="0" w:after="283"/>
              <w:rPr/>
            </w:pPr>
            <w:r>
              <w:rPr/>
              <w:t>​</w:t>
            </w:r>
          </w:p>
        </w:tc>
        <w:tc>
          <w:tcPr>
            <w:tcW w:w="155" w:type="dxa"/>
            <w:tcBorders/>
            <w:shd w:fill="CCEEFF"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8044" w:type="dxa"/>
            <w:tcBorders/>
            <w:shd w:fill="auto" w:val="clear"/>
            <w:vAlign w:val="center"/>
          </w:tcPr>
          <w:p>
            <w:pPr>
              <w:pStyle w:val="TableContents"/>
              <w:spacing w:before="0" w:after="0"/>
              <w:ind w:left="800" w:right="0" w:hanging="0"/>
              <w:jc w:val="left"/>
              <w:rPr/>
            </w:pPr>
            <w:hyperlink w:anchor="tVOME">
              <w:r>
                <w:rPr>
                  <w:rStyle w:val="InternetLink"/>
                  <w:spacing w:val="-1"/>
                </w:rPr>
                <w:t xml:space="preserve">VOTING METHODS </w:t>
              </w:r>
            </w:hyperlink>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377" w:type="dxa"/>
            <w:tcBorders/>
            <w:shd w:fill="auto" w:val="clear"/>
            <w:vAlign w:val="center"/>
          </w:tcPr>
          <w:p>
            <w:pPr>
              <w:pStyle w:val="TableContents"/>
              <w:spacing w:before="0" w:after="283"/>
              <w:jc w:val="right"/>
              <w:rPr/>
            </w:pPr>
            <w:hyperlink w:anchor="tVOME">
              <w:r>
                <w:rPr>
                  <w:rStyle w:val="InternetLink"/>
                  <w:spacing w:val="-1"/>
                </w:rPr>
                <w:t>1</w:t>
              </w:r>
            </w:hyperlink>
            <w:r>
              <w:rPr/>
              <w:t xml:space="preserve"> </w:t>
            </w:r>
          </w:p>
        </w:tc>
        <w:tc>
          <w:tcPr>
            <w:tcW w:w="109" w:type="dxa"/>
            <w:tcBorders/>
            <w:shd w:fill="auto" w:val="clear"/>
            <w:vAlign w:val="center"/>
          </w:tcPr>
          <w:p>
            <w:pPr>
              <w:pStyle w:val="TableContents"/>
              <w:spacing w:before="0" w:after="283"/>
              <w:rPr/>
            </w:pPr>
            <w:r>
              <w:rPr/>
              <w:t>​</w:t>
            </w:r>
          </w:p>
        </w:tc>
        <w:tc>
          <w:tcPr>
            <w:tcW w:w="155" w:type="dxa"/>
            <w:tcBorders/>
            <w:shd w:fill="auto" w:val="clear"/>
            <w:vAlign w:val="center"/>
          </w:tcPr>
          <w:p>
            <w:pPr>
              <w:pStyle w:val="TableContents"/>
              <w:spacing w:before="0" w:after="283"/>
              <w:rPr/>
            </w:pPr>
            <w:r>
              <w:rPr/>
              <w:t>​</w:t>
            </w:r>
          </w:p>
        </w:tc>
      </w:tr>
      <w:tr>
        <w:trPr/>
        <w:tc>
          <w:tcPr>
            <w:tcW w:w="124" w:type="dxa"/>
            <w:tcBorders/>
            <w:shd w:fill="CCEEFF" w:val="clear"/>
            <w:vAlign w:val="center"/>
          </w:tcPr>
          <w:p>
            <w:pPr>
              <w:pStyle w:val="TableContents"/>
              <w:spacing w:before="0" w:after="283"/>
              <w:rPr/>
            </w:pPr>
            <w:r>
              <w:rPr/>
              <w:t>​</w:t>
            </w:r>
          </w:p>
        </w:tc>
        <w:tc>
          <w:tcPr>
            <w:tcW w:w="8044" w:type="dxa"/>
            <w:tcBorders/>
            <w:shd w:fill="CCEEFF" w:val="clear"/>
            <w:vAlign w:val="center"/>
          </w:tcPr>
          <w:p>
            <w:pPr>
              <w:pStyle w:val="TableContents"/>
              <w:spacing w:before="0" w:after="0"/>
              <w:ind w:left="800" w:right="0" w:hanging="0"/>
              <w:jc w:val="left"/>
              <w:rPr/>
            </w:pPr>
            <w:hyperlink w:anchor="tHYSW">
              <w:r>
                <w:rPr>
                  <w:rStyle w:val="InternetLink"/>
                  <w:spacing w:val="-1"/>
                </w:rPr>
                <w:t xml:space="preserve">HOW YOUR SHARES WILL BE VOTED </w:t>
              </w:r>
            </w:hyperlink>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jc w:val="right"/>
              <w:rPr/>
            </w:pPr>
            <w:r>
              <w:rPr/>
              <w:t>​</w:t>
            </w:r>
          </w:p>
        </w:tc>
        <w:tc>
          <w:tcPr>
            <w:tcW w:w="377" w:type="dxa"/>
            <w:tcBorders/>
            <w:shd w:fill="CCEEFF" w:val="clear"/>
            <w:vAlign w:val="center"/>
          </w:tcPr>
          <w:p>
            <w:pPr>
              <w:pStyle w:val="TableContents"/>
              <w:spacing w:before="0" w:after="283"/>
              <w:jc w:val="right"/>
              <w:rPr/>
            </w:pPr>
            <w:hyperlink w:anchor="tHYSW">
              <w:r>
                <w:rPr>
                  <w:rStyle w:val="InternetLink"/>
                  <w:spacing w:val="-1"/>
                </w:rPr>
                <w:t>1</w:t>
              </w:r>
            </w:hyperlink>
            <w:r>
              <w:rPr/>
              <w:t xml:space="preserve"> </w:t>
            </w:r>
          </w:p>
        </w:tc>
        <w:tc>
          <w:tcPr>
            <w:tcW w:w="109" w:type="dxa"/>
            <w:tcBorders/>
            <w:shd w:fill="CCEEFF" w:val="clear"/>
            <w:vAlign w:val="center"/>
          </w:tcPr>
          <w:p>
            <w:pPr>
              <w:pStyle w:val="TableContents"/>
              <w:spacing w:before="0" w:after="283"/>
              <w:rPr/>
            </w:pPr>
            <w:r>
              <w:rPr/>
              <w:t>​</w:t>
            </w:r>
          </w:p>
        </w:tc>
        <w:tc>
          <w:tcPr>
            <w:tcW w:w="155" w:type="dxa"/>
            <w:tcBorders/>
            <w:shd w:fill="CCEEFF"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8044" w:type="dxa"/>
            <w:tcBorders/>
            <w:shd w:fill="auto" w:val="clear"/>
            <w:vAlign w:val="center"/>
          </w:tcPr>
          <w:p>
            <w:pPr>
              <w:pStyle w:val="TableContents"/>
              <w:spacing w:before="0" w:after="0"/>
              <w:ind w:left="800" w:right="0" w:hanging="0"/>
              <w:jc w:val="left"/>
              <w:rPr/>
            </w:pPr>
            <w:hyperlink w:anchor="tBVAV">
              <w:r>
                <w:rPr>
                  <w:rStyle w:val="InternetLink"/>
                  <w:spacing w:val="-1"/>
                </w:rPr>
                <w:t xml:space="preserve">BROKER VOTING AND VOTES REQUIRED FOR EACH PROPOSAL </w:t>
              </w:r>
            </w:hyperlink>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377" w:type="dxa"/>
            <w:tcBorders/>
            <w:shd w:fill="auto" w:val="clear"/>
            <w:vAlign w:val="center"/>
          </w:tcPr>
          <w:p>
            <w:pPr>
              <w:pStyle w:val="TableContents"/>
              <w:spacing w:before="0" w:after="283"/>
              <w:jc w:val="right"/>
              <w:rPr/>
            </w:pPr>
            <w:hyperlink w:anchor="tBVAV">
              <w:r>
                <w:rPr>
                  <w:rStyle w:val="InternetLink"/>
                  <w:spacing w:val="-1"/>
                </w:rPr>
                <w:t>2</w:t>
              </w:r>
            </w:hyperlink>
            <w:r>
              <w:rPr/>
              <w:t xml:space="preserve"> </w:t>
            </w:r>
          </w:p>
        </w:tc>
        <w:tc>
          <w:tcPr>
            <w:tcW w:w="109" w:type="dxa"/>
            <w:tcBorders/>
            <w:shd w:fill="auto" w:val="clear"/>
            <w:vAlign w:val="center"/>
          </w:tcPr>
          <w:p>
            <w:pPr>
              <w:pStyle w:val="TableContents"/>
              <w:spacing w:before="0" w:after="283"/>
              <w:rPr/>
            </w:pPr>
            <w:r>
              <w:rPr/>
              <w:t>​</w:t>
            </w:r>
          </w:p>
        </w:tc>
        <w:tc>
          <w:tcPr>
            <w:tcW w:w="155" w:type="dxa"/>
            <w:tcBorders/>
            <w:shd w:fill="auto" w:val="clear"/>
            <w:vAlign w:val="center"/>
          </w:tcPr>
          <w:p>
            <w:pPr>
              <w:pStyle w:val="TableContents"/>
              <w:spacing w:before="0" w:after="283"/>
              <w:rPr/>
            </w:pPr>
            <w:r>
              <w:rPr/>
              <w:t>​</w:t>
            </w:r>
          </w:p>
        </w:tc>
      </w:tr>
      <w:tr>
        <w:trPr/>
        <w:tc>
          <w:tcPr>
            <w:tcW w:w="124" w:type="dxa"/>
            <w:tcBorders/>
            <w:shd w:fill="CCEEFF" w:val="clear"/>
            <w:vAlign w:val="center"/>
          </w:tcPr>
          <w:p>
            <w:pPr>
              <w:pStyle w:val="TableContents"/>
              <w:spacing w:before="0" w:after="283"/>
              <w:rPr/>
            </w:pPr>
            <w:r>
              <w:rPr/>
              <w:t>​</w:t>
            </w:r>
          </w:p>
        </w:tc>
        <w:tc>
          <w:tcPr>
            <w:tcW w:w="8044" w:type="dxa"/>
            <w:tcBorders/>
            <w:shd w:fill="CCEEFF" w:val="clear"/>
            <w:vAlign w:val="center"/>
          </w:tcPr>
          <w:p>
            <w:pPr>
              <w:pStyle w:val="TableContents"/>
              <w:spacing w:before="0" w:after="0"/>
              <w:ind w:left="800" w:right="0" w:hanging="0"/>
              <w:jc w:val="left"/>
              <w:rPr/>
            </w:pPr>
            <w:hyperlink w:anchor="tQUO">
              <w:r>
                <w:rPr>
                  <w:rStyle w:val="InternetLink"/>
                  <w:spacing w:val="-1"/>
                </w:rPr>
                <w:t xml:space="preserve">QUORUM </w:t>
              </w:r>
            </w:hyperlink>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jc w:val="right"/>
              <w:rPr/>
            </w:pPr>
            <w:r>
              <w:rPr/>
              <w:t>​</w:t>
            </w:r>
          </w:p>
        </w:tc>
        <w:tc>
          <w:tcPr>
            <w:tcW w:w="377" w:type="dxa"/>
            <w:tcBorders/>
            <w:shd w:fill="CCEEFF" w:val="clear"/>
            <w:vAlign w:val="center"/>
          </w:tcPr>
          <w:p>
            <w:pPr>
              <w:pStyle w:val="TableContents"/>
              <w:spacing w:before="0" w:after="283"/>
              <w:jc w:val="right"/>
              <w:rPr/>
            </w:pPr>
            <w:hyperlink w:anchor="tQUO">
              <w:r>
                <w:rPr>
                  <w:rStyle w:val="InternetLink"/>
                  <w:spacing w:val="-1"/>
                </w:rPr>
                <w:t>2</w:t>
              </w:r>
            </w:hyperlink>
            <w:r>
              <w:rPr/>
              <w:t xml:space="preserve"> </w:t>
            </w:r>
          </w:p>
        </w:tc>
        <w:tc>
          <w:tcPr>
            <w:tcW w:w="109" w:type="dxa"/>
            <w:tcBorders/>
            <w:shd w:fill="CCEEFF" w:val="clear"/>
            <w:vAlign w:val="center"/>
          </w:tcPr>
          <w:p>
            <w:pPr>
              <w:pStyle w:val="TableContents"/>
              <w:spacing w:before="0" w:after="283"/>
              <w:rPr/>
            </w:pPr>
            <w:r>
              <w:rPr/>
              <w:t>​</w:t>
            </w:r>
          </w:p>
        </w:tc>
        <w:tc>
          <w:tcPr>
            <w:tcW w:w="155" w:type="dxa"/>
            <w:tcBorders/>
            <w:shd w:fill="CCEEFF"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8044" w:type="dxa"/>
            <w:tcBorders/>
            <w:shd w:fill="auto" w:val="clear"/>
            <w:vAlign w:val="center"/>
          </w:tcPr>
          <w:p>
            <w:pPr>
              <w:pStyle w:val="TableContents"/>
              <w:spacing w:before="0" w:after="0"/>
              <w:ind w:left="800" w:right="0" w:hanging="0"/>
              <w:jc w:val="left"/>
              <w:rPr/>
            </w:pPr>
            <w:hyperlink w:anchor="tPSC">
              <w:r>
                <w:rPr>
                  <w:rStyle w:val="InternetLink"/>
                  <w:spacing w:val="-1"/>
                </w:rPr>
                <w:t xml:space="preserve">PROXY SOLICITATION COSTS </w:t>
              </w:r>
            </w:hyperlink>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377" w:type="dxa"/>
            <w:tcBorders/>
            <w:shd w:fill="auto" w:val="clear"/>
            <w:vAlign w:val="center"/>
          </w:tcPr>
          <w:p>
            <w:pPr>
              <w:pStyle w:val="TableContents"/>
              <w:spacing w:before="0" w:after="283"/>
              <w:jc w:val="right"/>
              <w:rPr/>
            </w:pPr>
            <w:hyperlink w:anchor="tPSC">
              <w:r>
                <w:rPr>
                  <w:rStyle w:val="InternetLink"/>
                  <w:spacing w:val="-1"/>
                </w:rPr>
                <w:t>2</w:t>
              </w:r>
            </w:hyperlink>
            <w:r>
              <w:rPr/>
              <w:t xml:space="preserve"> </w:t>
            </w:r>
          </w:p>
        </w:tc>
        <w:tc>
          <w:tcPr>
            <w:tcW w:w="109" w:type="dxa"/>
            <w:tcBorders/>
            <w:shd w:fill="auto" w:val="clear"/>
            <w:vAlign w:val="center"/>
          </w:tcPr>
          <w:p>
            <w:pPr>
              <w:pStyle w:val="TableContents"/>
              <w:spacing w:before="0" w:after="283"/>
              <w:rPr/>
            </w:pPr>
            <w:r>
              <w:rPr/>
              <w:t>​</w:t>
            </w:r>
          </w:p>
        </w:tc>
        <w:tc>
          <w:tcPr>
            <w:tcW w:w="155" w:type="dxa"/>
            <w:tcBorders/>
            <w:shd w:fill="auto" w:val="clear"/>
            <w:vAlign w:val="center"/>
          </w:tcPr>
          <w:p>
            <w:pPr>
              <w:pStyle w:val="TableContents"/>
              <w:spacing w:before="0" w:after="283"/>
              <w:rPr/>
            </w:pPr>
            <w:r>
              <w:rPr/>
              <w:t>​</w:t>
            </w:r>
          </w:p>
        </w:tc>
      </w:tr>
      <w:tr>
        <w:trPr/>
        <w:tc>
          <w:tcPr>
            <w:tcW w:w="124" w:type="dxa"/>
            <w:tcBorders/>
            <w:shd w:fill="CCEEFF" w:val="clear"/>
            <w:vAlign w:val="center"/>
          </w:tcPr>
          <w:p>
            <w:pPr>
              <w:pStyle w:val="TableContents"/>
              <w:spacing w:before="0" w:after="283"/>
              <w:rPr/>
            </w:pPr>
            <w:r>
              <w:rPr/>
              <w:t>​</w:t>
            </w:r>
          </w:p>
        </w:tc>
        <w:tc>
          <w:tcPr>
            <w:tcW w:w="8044" w:type="dxa"/>
            <w:tcBorders/>
            <w:shd w:fill="CCEEFF" w:val="clear"/>
            <w:vAlign w:val="center"/>
          </w:tcPr>
          <w:p>
            <w:pPr>
              <w:pStyle w:val="TableContents"/>
              <w:spacing w:before="0" w:after="0"/>
              <w:jc w:val="left"/>
              <w:rPr/>
            </w:pPr>
            <w:hyperlink w:anchor="tBOD">
              <w:r>
                <w:rPr>
                  <w:rStyle w:val="InternetLink"/>
                  <w:spacing w:val="-1"/>
                </w:rPr>
                <w:t xml:space="preserve">BOARD OF DIRECTORS </w:t>
              </w:r>
            </w:hyperlink>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jc w:val="right"/>
              <w:rPr/>
            </w:pPr>
            <w:r>
              <w:rPr/>
              <w:t>​</w:t>
            </w:r>
          </w:p>
        </w:tc>
        <w:tc>
          <w:tcPr>
            <w:tcW w:w="377" w:type="dxa"/>
            <w:tcBorders/>
            <w:shd w:fill="CCEEFF" w:val="clear"/>
            <w:vAlign w:val="center"/>
          </w:tcPr>
          <w:p>
            <w:pPr>
              <w:pStyle w:val="TableContents"/>
              <w:spacing w:before="0" w:after="283"/>
              <w:jc w:val="right"/>
              <w:rPr/>
            </w:pPr>
            <w:hyperlink w:anchor="tBOD">
              <w:r>
                <w:rPr>
                  <w:rStyle w:val="InternetLink"/>
                  <w:spacing w:val="-1"/>
                </w:rPr>
                <w:t>3</w:t>
              </w:r>
            </w:hyperlink>
            <w:r>
              <w:rPr/>
              <w:t xml:space="preserve"> </w:t>
            </w:r>
          </w:p>
        </w:tc>
        <w:tc>
          <w:tcPr>
            <w:tcW w:w="109" w:type="dxa"/>
            <w:tcBorders/>
            <w:shd w:fill="CCEEFF" w:val="clear"/>
            <w:vAlign w:val="center"/>
          </w:tcPr>
          <w:p>
            <w:pPr>
              <w:pStyle w:val="TableContents"/>
              <w:spacing w:before="0" w:after="283"/>
              <w:rPr/>
            </w:pPr>
            <w:r>
              <w:rPr/>
              <w:t>​</w:t>
            </w:r>
          </w:p>
        </w:tc>
        <w:tc>
          <w:tcPr>
            <w:tcW w:w="155" w:type="dxa"/>
            <w:tcBorders/>
            <w:shd w:fill="CCEEFF"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8044" w:type="dxa"/>
            <w:tcBorders/>
            <w:shd w:fill="auto" w:val="clear"/>
            <w:vAlign w:val="center"/>
          </w:tcPr>
          <w:p>
            <w:pPr>
              <w:pStyle w:val="TableContents"/>
              <w:spacing w:before="0" w:after="0"/>
              <w:ind w:left="800" w:right="0" w:hanging="0"/>
              <w:jc w:val="left"/>
              <w:rPr/>
            </w:pPr>
            <w:hyperlink w:anchor="tBSAC">
              <w:r>
                <w:rPr>
                  <w:rStyle w:val="InternetLink"/>
                  <w:spacing w:val="-1"/>
                </w:rPr>
                <w:t xml:space="preserve">BOARD STRUCTURE AND COMPOSITION </w:t>
              </w:r>
            </w:hyperlink>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377" w:type="dxa"/>
            <w:tcBorders/>
            <w:shd w:fill="auto" w:val="clear"/>
            <w:vAlign w:val="center"/>
          </w:tcPr>
          <w:p>
            <w:pPr>
              <w:pStyle w:val="TableContents"/>
              <w:spacing w:before="0" w:after="283"/>
              <w:jc w:val="right"/>
              <w:rPr/>
            </w:pPr>
            <w:hyperlink w:anchor="tBSAC">
              <w:r>
                <w:rPr>
                  <w:rStyle w:val="InternetLink"/>
                  <w:spacing w:val="-1"/>
                </w:rPr>
                <w:t>3</w:t>
              </w:r>
            </w:hyperlink>
            <w:r>
              <w:rPr/>
              <w:t xml:space="preserve"> </w:t>
            </w:r>
          </w:p>
        </w:tc>
        <w:tc>
          <w:tcPr>
            <w:tcW w:w="109" w:type="dxa"/>
            <w:tcBorders/>
            <w:shd w:fill="auto" w:val="clear"/>
            <w:vAlign w:val="center"/>
          </w:tcPr>
          <w:p>
            <w:pPr>
              <w:pStyle w:val="TableContents"/>
              <w:spacing w:before="0" w:after="283"/>
              <w:rPr/>
            </w:pPr>
            <w:r>
              <w:rPr/>
              <w:t>​</w:t>
            </w:r>
          </w:p>
        </w:tc>
        <w:tc>
          <w:tcPr>
            <w:tcW w:w="155" w:type="dxa"/>
            <w:tcBorders/>
            <w:shd w:fill="auto" w:val="clear"/>
            <w:vAlign w:val="center"/>
          </w:tcPr>
          <w:p>
            <w:pPr>
              <w:pStyle w:val="TableContents"/>
              <w:spacing w:before="0" w:after="283"/>
              <w:rPr/>
            </w:pPr>
            <w:r>
              <w:rPr/>
              <w:t>​</w:t>
            </w:r>
          </w:p>
        </w:tc>
      </w:tr>
      <w:tr>
        <w:trPr/>
        <w:tc>
          <w:tcPr>
            <w:tcW w:w="124" w:type="dxa"/>
            <w:tcBorders/>
            <w:shd w:fill="CCEEFF" w:val="clear"/>
            <w:vAlign w:val="center"/>
          </w:tcPr>
          <w:p>
            <w:pPr>
              <w:pStyle w:val="TableContents"/>
              <w:spacing w:before="0" w:after="283"/>
              <w:rPr/>
            </w:pPr>
            <w:r>
              <w:rPr/>
              <w:t>​</w:t>
            </w:r>
          </w:p>
        </w:tc>
        <w:tc>
          <w:tcPr>
            <w:tcW w:w="8044" w:type="dxa"/>
            <w:tcBorders/>
            <w:shd w:fill="CCEEFF" w:val="clear"/>
            <w:vAlign w:val="center"/>
          </w:tcPr>
          <w:p>
            <w:pPr>
              <w:pStyle w:val="TableContents"/>
              <w:spacing w:before="0" w:after="0"/>
              <w:ind w:left="800" w:right="0" w:hanging="0"/>
              <w:jc w:val="left"/>
              <w:rPr/>
            </w:pPr>
            <w:hyperlink w:anchor="tCFBM">
              <w:r>
                <w:rPr>
                  <w:rStyle w:val="InternetLink"/>
                  <w:spacing w:val="-1"/>
                </w:rPr>
                <w:t xml:space="preserve">CRITERIA FOR BOARD MEMBERSHIP </w:t>
              </w:r>
            </w:hyperlink>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jc w:val="right"/>
              <w:rPr/>
            </w:pPr>
            <w:r>
              <w:rPr/>
              <w:t>​</w:t>
            </w:r>
          </w:p>
        </w:tc>
        <w:tc>
          <w:tcPr>
            <w:tcW w:w="377" w:type="dxa"/>
            <w:tcBorders/>
            <w:shd w:fill="CCEEFF" w:val="clear"/>
            <w:vAlign w:val="center"/>
          </w:tcPr>
          <w:p>
            <w:pPr>
              <w:pStyle w:val="TableContents"/>
              <w:spacing w:before="0" w:after="283"/>
              <w:jc w:val="right"/>
              <w:rPr/>
            </w:pPr>
            <w:hyperlink w:anchor="tCFBM">
              <w:r>
                <w:rPr>
                  <w:rStyle w:val="InternetLink"/>
                  <w:spacing w:val="-1"/>
                </w:rPr>
                <w:t>3</w:t>
              </w:r>
            </w:hyperlink>
            <w:r>
              <w:rPr/>
              <w:t xml:space="preserve"> </w:t>
            </w:r>
          </w:p>
        </w:tc>
        <w:tc>
          <w:tcPr>
            <w:tcW w:w="109" w:type="dxa"/>
            <w:tcBorders/>
            <w:shd w:fill="CCEEFF" w:val="clear"/>
            <w:vAlign w:val="center"/>
          </w:tcPr>
          <w:p>
            <w:pPr>
              <w:pStyle w:val="TableContents"/>
              <w:spacing w:before="0" w:after="283"/>
              <w:rPr/>
            </w:pPr>
            <w:r>
              <w:rPr/>
              <w:t>​</w:t>
            </w:r>
          </w:p>
        </w:tc>
        <w:tc>
          <w:tcPr>
            <w:tcW w:w="155" w:type="dxa"/>
            <w:tcBorders/>
            <w:shd w:fill="CCEEFF"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8044" w:type="dxa"/>
            <w:tcBorders/>
            <w:shd w:fill="auto" w:val="clear"/>
            <w:vAlign w:val="center"/>
          </w:tcPr>
          <w:p>
            <w:pPr>
              <w:pStyle w:val="TableContents"/>
              <w:spacing w:before="0" w:after="0"/>
              <w:ind w:left="800" w:right="0" w:hanging="0"/>
              <w:jc w:val="left"/>
              <w:rPr/>
            </w:pPr>
            <w:hyperlink w:anchor="tSOC">
              <w:r>
                <w:rPr>
                  <w:rStyle w:val="InternetLink"/>
                  <w:spacing w:val="-1"/>
                </w:rPr>
                <w:t xml:space="preserve">SELECTION OF CANDIDATES </w:t>
              </w:r>
            </w:hyperlink>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377" w:type="dxa"/>
            <w:tcBorders/>
            <w:shd w:fill="auto" w:val="clear"/>
            <w:vAlign w:val="center"/>
          </w:tcPr>
          <w:p>
            <w:pPr>
              <w:pStyle w:val="TableContents"/>
              <w:spacing w:before="0" w:after="283"/>
              <w:jc w:val="right"/>
              <w:rPr/>
            </w:pPr>
            <w:hyperlink w:anchor="tSOC">
              <w:r>
                <w:rPr>
                  <w:rStyle w:val="InternetLink"/>
                  <w:spacing w:val="-1"/>
                </w:rPr>
                <w:t>4</w:t>
              </w:r>
            </w:hyperlink>
            <w:r>
              <w:rPr/>
              <w:t xml:space="preserve"> </w:t>
            </w:r>
          </w:p>
        </w:tc>
        <w:tc>
          <w:tcPr>
            <w:tcW w:w="109" w:type="dxa"/>
            <w:tcBorders/>
            <w:shd w:fill="auto" w:val="clear"/>
            <w:vAlign w:val="center"/>
          </w:tcPr>
          <w:p>
            <w:pPr>
              <w:pStyle w:val="TableContents"/>
              <w:spacing w:before="0" w:after="283"/>
              <w:rPr/>
            </w:pPr>
            <w:r>
              <w:rPr/>
              <w:t>​</w:t>
            </w:r>
          </w:p>
        </w:tc>
        <w:tc>
          <w:tcPr>
            <w:tcW w:w="155" w:type="dxa"/>
            <w:tcBorders/>
            <w:shd w:fill="auto" w:val="clear"/>
            <w:vAlign w:val="center"/>
          </w:tcPr>
          <w:p>
            <w:pPr>
              <w:pStyle w:val="TableContents"/>
              <w:spacing w:before="0" w:after="283"/>
              <w:rPr/>
            </w:pPr>
            <w:r>
              <w:rPr/>
              <w:t>​</w:t>
            </w:r>
          </w:p>
        </w:tc>
      </w:tr>
      <w:tr>
        <w:trPr/>
        <w:tc>
          <w:tcPr>
            <w:tcW w:w="124" w:type="dxa"/>
            <w:tcBorders/>
            <w:shd w:fill="CCEEFF" w:val="clear"/>
            <w:vAlign w:val="center"/>
          </w:tcPr>
          <w:p>
            <w:pPr>
              <w:pStyle w:val="TableContents"/>
              <w:spacing w:before="0" w:after="283"/>
              <w:rPr/>
            </w:pPr>
            <w:r>
              <w:rPr/>
              <w:t>​</w:t>
            </w:r>
          </w:p>
        </w:tc>
        <w:tc>
          <w:tcPr>
            <w:tcW w:w="8044" w:type="dxa"/>
            <w:tcBorders/>
            <w:shd w:fill="CCEEFF" w:val="clear"/>
            <w:vAlign w:val="center"/>
          </w:tcPr>
          <w:p>
            <w:pPr>
              <w:pStyle w:val="TableContents"/>
              <w:spacing w:before="0" w:after="0"/>
              <w:ind w:left="800" w:right="0" w:hanging="0"/>
              <w:jc w:val="left"/>
              <w:rPr/>
            </w:pPr>
            <w:hyperlink w:anchor="tBODI">
              <w:r>
                <w:rPr>
                  <w:rStyle w:val="InternetLink"/>
                  <w:spacing w:val="-1"/>
                </w:rPr>
                <w:t xml:space="preserve">BOARD DIVERSITY </w:t>
              </w:r>
            </w:hyperlink>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jc w:val="right"/>
              <w:rPr/>
            </w:pPr>
            <w:r>
              <w:rPr/>
              <w:t>​</w:t>
            </w:r>
          </w:p>
        </w:tc>
        <w:tc>
          <w:tcPr>
            <w:tcW w:w="377" w:type="dxa"/>
            <w:tcBorders/>
            <w:shd w:fill="CCEEFF" w:val="clear"/>
            <w:vAlign w:val="center"/>
          </w:tcPr>
          <w:p>
            <w:pPr>
              <w:pStyle w:val="TableContents"/>
              <w:spacing w:before="0" w:after="283"/>
              <w:jc w:val="right"/>
              <w:rPr/>
            </w:pPr>
            <w:hyperlink w:anchor="tBODI">
              <w:r>
                <w:rPr>
                  <w:rStyle w:val="InternetLink"/>
                  <w:spacing w:val="-1"/>
                </w:rPr>
                <w:t>5</w:t>
              </w:r>
            </w:hyperlink>
            <w:r>
              <w:rPr/>
              <w:t xml:space="preserve"> </w:t>
            </w:r>
          </w:p>
        </w:tc>
        <w:tc>
          <w:tcPr>
            <w:tcW w:w="109" w:type="dxa"/>
            <w:tcBorders/>
            <w:shd w:fill="CCEEFF" w:val="clear"/>
            <w:vAlign w:val="center"/>
          </w:tcPr>
          <w:p>
            <w:pPr>
              <w:pStyle w:val="TableContents"/>
              <w:spacing w:before="0" w:after="283"/>
              <w:rPr/>
            </w:pPr>
            <w:r>
              <w:rPr/>
              <w:t>​</w:t>
            </w:r>
          </w:p>
        </w:tc>
        <w:tc>
          <w:tcPr>
            <w:tcW w:w="155" w:type="dxa"/>
            <w:tcBorders/>
            <w:shd w:fill="CCEEFF"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8044" w:type="dxa"/>
            <w:tcBorders/>
            <w:shd w:fill="auto" w:val="clear"/>
            <w:vAlign w:val="center"/>
          </w:tcPr>
          <w:p>
            <w:pPr>
              <w:pStyle w:val="TableContents"/>
              <w:spacing w:before="0" w:after="0"/>
              <w:ind w:left="800" w:right="0" w:hanging="0"/>
              <w:jc w:val="left"/>
              <w:rPr/>
            </w:pPr>
            <w:hyperlink w:anchor="tBOOC">
              <w:r>
                <w:rPr>
                  <w:rStyle w:val="InternetLink"/>
                  <w:spacing w:val="-1"/>
                </w:rPr>
                <w:t xml:space="preserve">BOARD OVERSIGHT OF COMPANY CULTURE AND ENVIRONMENTAL, SOCIAL AND GOVERNANCE HIGHLIGHTS </w:t>
              </w:r>
            </w:hyperlink>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377" w:type="dxa"/>
            <w:tcBorders/>
            <w:shd w:fill="auto" w:val="clear"/>
            <w:vAlign w:val="center"/>
          </w:tcPr>
          <w:p>
            <w:pPr>
              <w:pStyle w:val="TableContents"/>
              <w:spacing w:before="0" w:after="283"/>
              <w:jc w:val="right"/>
              <w:rPr/>
            </w:pPr>
            <w:hyperlink w:anchor="tBOOC">
              <w:r>
                <w:rPr>
                  <w:rStyle w:val="InternetLink"/>
                  <w:spacing w:val="-1"/>
                </w:rPr>
                <w:t>6</w:t>
              </w:r>
            </w:hyperlink>
            <w:r>
              <w:rPr/>
              <w:t xml:space="preserve"> </w:t>
            </w:r>
          </w:p>
        </w:tc>
        <w:tc>
          <w:tcPr>
            <w:tcW w:w="109" w:type="dxa"/>
            <w:tcBorders/>
            <w:shd w:fill="auto" w:val="clear"/>
            <w:vAlign w:val="center"/>
          </w:tcPr>
          <w:p>
            <w:pPr>
              <w:pStyle w:val="TableContents"/>
              <w:spacing w:before="0" w:after="283"/>
              <w:rPr/>
            </w:pPr>
            <w:r>
              <w:rPr/>
              <w:t>​</w:t>
            </w:r>
          </w:p>
        </w:tc>
        <w:tc>
          <w:tcPr>
            <w:tcW w:w="155" w:type="dxa"/>
            <w:tcBorders/>
            <w:shd w:fill="auto" w:val="clear"/>
            <w:vAlign w:val="center"/>
          </w:tcPr>
          <w:p>
            <w:pPr>
              <w:pStyle w:val="TableContents"/>
              <w:spacing w:before="0" w:after="283"/>
              <w:rPr/>
            </w:pPr>
            <w:r>
              <w:rPr/>
              <w:t>​</w:t>
            </w:r>
          </w:p>
        </w:tc>
      </w:tr>
      <w:tr>
        <w:trPr/>
        <w:tc>
          <w:tcPr>
            <w:tcW w:w="124" w:type="dxa"/>
            <w:tcBorders/>
            <w:shd w:fill="CCEEFF" w:val="clear"/>
            <w:vAlign w:val="center"/>
          </w:tcPr>
          <w:p>
            <w:pPr>
              <w:pStyle w:val="TableContents"/>
              <w:spacing w:before="0" w:after="283"/>
              <w:rPr/>
            </w:pPr>
            <w:r>
              <w:rPr/>
              <w:t>​</w:t>
            </w:r>
          </w:p>
        </w:tc>
        <w:tc>
          <w:tcPr>
            <w:tcW w:w="8044" w:type="dxa"/>
            <w:tcBorders/>
            <w:shd w:fill="CCEEFF" w:val="clear"/>
            <w:vAlign w:val="center"/>
          </w:tcPr>
          <w:p>
            <w:pPr>
              <w:pStyle w:val="TableContents"/>
              <w:spacing w:before="0" w:after="0"/>
              <w:ind w:left="800" w:right="0" w:hanging="0"/>
              <w:jc w:val="left"/>
              <w:rPr/>
            </w:pPr>
            <w:hyperlink w:anchor="tDINO">
              <w:r>
                <w:rPr>
                  <w:rStyle w:val="InternetLink"/>
                  <w:spacing w:val="-1"/>
                </w:rPr>
                <w:t xml:space="preserve">DIRECTOR NOMINEES </w:t>
              </w:r>
            </w:hyperlink>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jc w:val="right"/>
              <w:rPr/>
            </w:pPr>
            <w:r>
              <w:rPr/>
              <w:t>​</w:t>
            </w:r>
          </w:p>
        </w:tc>
        <w:tc>
          <w:tcPr>
            <w:tcW w:w="377" w:type="dxa"/>
            <w:tcBorders/>
            <w:shd w:fill="CCEEFF" w:val="clear"/>
            <w:vAlign w:val="center"/>
          </w:tcPr>
          <w:p>
            <w:pPr>
              <w:pStyle w:val="TableContents"/>
              <w:spacing w:before="0" w:after="283"/>
              <w:jc w:val="right"/>
              <w:rPr/>
            </w:pPr>
            <w:hyperlink w:anchor="tDINO">
              <w:r>
                <w:rPr>
                  <w:rStyle w:val="InternetLink"/>
                  <w:spacing w:val="-1"/>
                </w:rPr>
                <w:t>7</w:t>
              </w:r>
            </w:hyperlink>
            <w:r>
              <w:rPr/>
              <w:t xml:space="preserve"> </w:t>
            </w:r>
          </w:p>
        </w:tc>
        <w:tc>
          <w:tcPr>
            <w:tcW w:w="109" w:type="dxa"/>
            <w:tcBorders/>
            <w:shd w:fill="CCEEFF" w:val="clear"/>
            <w:vAlign w:val="center"/>
          </w:tcPr>
          <w:p>
            <w:pPr>
              <w:pStyle w:val="TableContents"/>
              <w:spacing w:before="0" w:after="283"/>
              <w:rPr/>
            </w:pPr>
            <w:r>
              <w:rPr/>
              <w:t>​</w:t>
            </w:r>
          </w:p>
        </w:tc>
        <w:tc>
          <w:tcPr>
            <w:tcW w:w="155" w:type="dxa"/>
            <w:tcBorders/>
            <w:shd w:fill="CCEEFF"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8044" w:type="dxa"/>
            <w:tcBorders/>
            <w:shd w:fill="auto" w:val="clear"/>
            <w:vAlign w:val="center"/>
          </w:tcPr>
          <w:p>
            <w:pPr>
              <w:pStyle w:val="TableContents"/>
              <w:spacing w:before="0" w:after="0"/>
              <w:ind w:left="800" w:right="0" w:hanging="0"/>
              <w:jc w:val="left"/>
              <w:rPr/>
            </w:pPr>
            <w:hyperlink w:anchor="tCODI">
              <w:r>
                <w:rPr>
                  <w:rStyle w:val="InternetLink"/>
                  <w:spacing w:val="-1"/>
                </w:rPr>
                <w:t xml:space="preserve">CONTINUING DIRECTORS </w:t>
              </w:r>
            </w:hyperlink>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377" w:type="dxa"/>
            <w:tcBorders/>
            <w:shd w:fill="auto" w:val="clear"/>
            <w:vAlign w:val="center"/>
          </w:tcPr>
          <w:p>
            <w:pPr>
              <w:pStyle w:val="TableContents"/>
              <w:spacing w:before="0" w:after="283"/>
              <w:jc w:val="right"/>
              <w:rPr/>
            </w:pPr>
            <w:hyperlink w:anchor="tCODI">
              <w:r>
                <w:rPr>
                  <w:rStyle w:val="InternetLink"/>
                  <w:spacing w:val="-1"/>
                </w:rPr>
                <w:t>8</w:t>
              </w:r>
            </w:hyperlink>
            <w:r>
              <w:rPr/>
              <w:t xml:space="preserve"> </w:t>
            </w:r>
          </w:p>
        </w:tc>
        <w:tc>
          <w:tcPr>
            <w:tcW w:w="109" w:type="dxa"/>
            <w:tcBorders/>
            <w:shd w:fill="auto" w:val="clear"/>
            <w:vAlign w:val="center"/>
          </w:tcPr>
          <w:p>
            <w:pPr>
              <w:pStyle w:val="TableContents"/>
              <w:spacing w:before="0" w:after="283"/>
              <w:rPr/>
            </w:pPr>
            <w:r>
              <w:rPr/>
              <w:t>​</w:t>
            </w:r>
          </w:p>
        </w:tc>
        <w:tc>
          <w:tcPr>
            <w:tcW w:w="155" w:type="dxa"/>
            <w:tcBorders/>
            <w:shd w:fill="auto" w:val="clear"/>
            <w:vAlign w:val="center"/>
          </w:tcPr>
          <w:p>
            <w:pPr>
              <w:pStyle w:val="TableContents"/>
              <w:spacing w:before="0" w:after="283"/>
              <w:rPr/>
            </w:pPr>
            <w:r>
              <w:rPr/>
              <w:t>​</w:t>
            </w:r>
          </w:p>
        </w:tc>
      </w:tr>
      <w:tr>
        <w:trPr/>
        <w:tc>
          <w:tcPr>
            <w:tcW w:w="124" w:type="dxa"/>
            <w:tcBorders/>
            <w:shd w:fill="CCEEFF" w:val="clear"/>
            <w:vAlign w:val="center"/>
          </w:tcPr>
          <w:p>
            <w:pPr>
              <w:pStyle w:val="TableContents"/>
              <w:spacing w:before="0" w:after="283"/>
              <w:rPr/>
            </w:pPr>
            <w:r>
              <w:rPr/>
              <w:t>​</w:t>
            </w:r>
          </w:p>
        </w:tc>
        <w:tc>
          <w:tcPr>
            <w:tcW w:w="8044" w:type="dxa"/>
            <w:tcBorders/>
            <w:shd w:fill="CCEEFF" w:val="clear"/>
            <w:vAlign w:val="center"/>
          </w:tcPr>
          <w:p>
            <w:pPr>
              <w:pStyle w:val="TableContents"/>
              <w:spacing w:before="0" w:after="0"/>
              <w:jc w:val="left"/>
              <w:rPr/>
            </w:pPr>
            <w:hyperlink w:anchor="tCGAR">
              <w:r>
                <w:rPr>
                  <w:rStyle w:val="InternetLink"/>
                  <w:spacing w:val="-1"/>
                </w:rPr>
                <w:t xml:space="preserve">CORPORATE GOVERNANCE AND RISK MANAGEMENT </w:t>
              </w:r>
            </w:hyperlink>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jc w:val="right"/>
              <w:rPr/>
            </w:pPr>
            <w:r>
              <w:rPr/>
              <w:t>​</w:t>
            </w:r>
          </w:p>
        </w:tc>
        <w:tc>
          <w:tcPr>
            <w:tcW w:w="377" w:type="dxa"/>
            <w:tcBorders/>
            <w:shd w:fill="CCEEFF" w:val="clear"/>
            <w:vAlign w:val="center"/>
          </w:tcPr>
          <w:p>
            <w:pPr>
              <w:pStyle w:val="TableContents"/>
              <w:spacing w:before="0" w:after="283"/>
              <w:jc w:val="right"/>
              <w:rPr/>
            </w:pPr>
            <w:hyperlink w:anchor="tCGAR">
              <w:r>
                <w:rPr>
                  <w:rStyle w:val="InternetLink"/>
                  <w:spacing w:val="-1"/>
                </w:rPr>
                <w:t>11</w:t>
              </w:r>
            </w:hyperlink>
            <w:r>
              <w:rPr/>
              <w:t xml:space="preserve"> </w:t>
            </w:r>
          </w:p>
        </w:tc>
        <w:tc>
          <w:tcPr>
            <w:tcW w:w="109" w:type="dxa"/>
            <w:tcBorders/>
            <w:shd w:fill="CCEEFF" w:val="clear"/>
            <w:vAlign w:val="center"/>
          </w:tcPr>
          <w:p>
            <w:pPr>
              <w:pStyle w:val="TableContents"/>
              <w:spacing w:before="0" w:after="283"/>
              <w:rPr/>
            </w:pPr>
            <w:r>
              <w:rPr/>
              <w:t>​</w:t>
            </w:r>
          </w:p>
        </w:tc>
        <w:tc>
          <w:tcPr>
            <w:tcW w:w="155" w:type="dxa"/>
            <w:tcBorders/>
            <w:shd w:fill="CCEEFF"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8044" w:type="dxa"/>
            <w:tcBorders/>
            <w:shd w:fill="auto" w:val="clear"/>
            <w:vAlign w:val="center"/>
          </w:tcPr>
          <w:p>
            <w:pPr>
              <w:pStyle w:val="TableContents"/>
              <w:spacing w:before="0" w:after="0"/>
              <w:ind w:left="800" w:right="0" w:hanging="0"/>
              <w:jc w:val="left"/>
              <w:rPr/>
            </w:pPr>
            <w:hyperlink w:anchor="tBOIN">
              <w:r>
                <w:rPr>
                  <w:rStyle w:val="InternetLink"/>
                  <w:spacing w:val="-1"/>
                </w:rPr>
                <w:t xml:space="preserve">BOARD INDEPENDENCE </w:t>
              </w:r>
            </w:hyperlink>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377" w:type="dxa"/>
            <w:tcBorders/>
            <w:shd w:fill="auto" w:val="clear"/>
            <w:vAlign w:val="center"/>
          </w:tcPr>
          <w:p>
            <w:pPr>
              <w:pStyle w:val="TableContents"/>
              <w:spacing w:before="0" w:after="283"/>
              <w:jc w:val="right"/>
              <w:rPr/>
            </w:pPr>
            <w:hyperlink w:anchor="tBOIN">
              <w:r>
                <w:rPr>
                  <w:rStyle w:val="InternetLink"/>
                  <w:spacing w:val="-1"/>
                </w:rPr>
                <w:t>11</w:t>
              </w:r>
            </w:hyperlink>
            <w:r>
              <w:rPr/>
              <w:t xml:space="preserve"> </w:t>
            </w:r>
          </w:p>
        </w:tc>
        <w:tc>
          <w:tcPr>
            <w:tcW w:w="109" w:type="dxa"/>
            <w:tcBorders/>
            <w:shd w:fill="auto" w:val="clear"/>
            <w:vAlign w:val="center"/>
          </w:tcPr>
          <w:p>
            <w:pPr>
              <w:pStyle w:val="TableContents"/>
              <w:spacing w:before="0" w:after="283"/>
              <w:rPr/>
            </w:pPr>
            <w:r>
              <w:rPr/>
              <w:t>​</w:t>
            </w:r>
          </w:p>
        </w:tc>
        <w:tc>
          <w:tcPr>
            <w:tcW w:w="155" w:type="dxa"/>
            <w:tcBorders/>
            <w:shd w:fill="auto" w:val="clear"/>
            <w:vAlign w:val="center"/>
          </w:tcPr>
          <w:p>
            <w:pPr>
              <w:pStyle w:val="TableContents"/>
              <w:spacing w:before="0" w:after="283"/>
              <w:rPr/>
            </w:pPr>
            <w:r>
              <w:rPr/>
              <w:t>​</w:t>
            </w:r>
          </w:p>
        </w:tc>
      </w:tr>
      <w:tr>
        <w:trPr/>
        <w:tc>
          <w:tcPr>
            <w:tcW w:w="124" w:type="dxa"/>
            <w:tcBorders/>
            <w:shd w:fill="CCEEFF" w:val="clear"/>
            <w:vAlign w:val="center"/>
          </w:tcPr>
          <w:p>
            <w:pPr>
              <w:pStyle w:val="TableContents"/>
              <w:spacing w:before="0" w:after="283"/>
              <w:rPr/>
            </w:pPr>
            <w:r>
              <w:rPr/>
              <w:t>​</w:t>
            </w:r>
          </w:p>
        </w:tc>
        <w:tc>
          <w:tcPr>
            <w:tcW w:w="8044" w:type="dxa"/>
            <w:tcBorders/>
            <w:shd w:fill="CCEEFF" w:val="clear"/>
            <w:vAlign w:val="center"/>
          </w:tcPr>
          <w:p>
            <w:pPr>
              <w:pStyle w:val="TableContents"/>
              <w:spacing w:before="0" w:after="0"/>
              <w:ind w:left="800" w:right="0" w:hanging="0"/>
              <w:jc w:val="left"/>
              <w:rPr/>
            </w:pPr>
            <w:hyperlink w:anchor="tBLS">
              <w:r>
                <w:rPr>
                  <w:rStyle w:val="InternetLink"/>
                  <w:spacing w:val="-1"/>
                </w:rPr>
                <w:t xml:space="preserve">BOARD LEADERSHIP STRUCTURE </w:t>
              </w:r>
            </w:hyperlink>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jc w:val="right"/>
              <w:rPr/>
            </w:pPr>
            <w:r>
              <w:rPr/>
              <w:t>​</w:t>
            </w:r>
          </w:p>
        </w:tc>
        <w:tc>
          <w:tcPr>
            <w:tcW w:w="377" w:type="dxa"/>
            <w:tcBorders/>
            <w:shd w:fill="CCEEFF" w:val="clear"/>
            <w:vAlign w:val="center"/>
          </w:tcPr>
          <w:p>
            <w:pPr>
              <w:pStyle w:val="TableContents"/>
              <w:spacing w:before="0" w:after="283"/>
              <w:jc w:val="right"/>
              <w:rPr/>
            </w:pPr>
            <w:hyperlink w:anchor="tBLS">
              <w:r>
                <w:rPr>
                  <w:rStyle w:val="InternetLink"/>
                  <w:spacing w:val="-1"/>
                </w:rPr>
                <w:t>11</w:t>
              </w:r>
            </w:hyperlink>
            <w:r>
              <w:rPr/>
              <w:t xml:space="preserve"> </w:t>
            </w:r>
          </w:p>
        </w:tc>
        <w:tc>
          <w:tcPr>
            <w:tcW w:w="109" w:type="dxa"/>
            <w:tcBorders/>
            <w:shd w:fill="CCEEFF" w:val="clear"/>
            <w:vAlign w:val="center"/>
          </w:tcPr>
          <w:p>
            <w:pPr>
              <w:pStyle w:val="TableContents"/>
              <w:spacing w:before="0" w:after="283"/>
              <w:rPr/>
            </w:pPr>
            <w:r>
              <w:rPr/>
              <w:t>​</w:t>
            </w:r>
          </w:p>
        </w:tc>
        <w:tc>
          <w:tcPr>
            <w:tcW w:w="155" w:type="dxa"/>
            <w:tcBorders/>
            <w:shd w:fill="CCEEFF"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8044" w:type="dxa"/>
            <w:tcBorders/>
            <w:shd w:fill="auto" w:val="clear"/>
            <w:vAlign w:val="center"/>
          </w:tcPr>
          <w:p>
            <w:pPr>
              <w:pStyle w:val="TableContents"/>
              <w:spacing w:before="0" w:after="0"/>
              <w:ind w:left="800" w:right="0" w:hanging="0"/>
              <w:jc w:val="left"/>
              <w:rPr/>
            </w:pPr>
            <w:hyperlink w:anchor="tBOCO">
              <w:r>
                <w:rPr>
                  <w:rStyle w:val="InternetLink"/>
                  <w:spacing w:val="-1"/>
                </w:rPr>
                <w:t xml:space="preserve">BOARD COMMITTEES </w:t>
              </w:r>
            </w:hyperlink>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377" w:type="dxa"/>
            <w:tcBorders/>
            <w:shd w:fill="auto" w:val="clear"/>
            <w:vAlign w:val="center"/>
          </w:tcPr>
          <w:p>
            <w:pPr>
              <w:pStyle w:val="TableContents"/>
              <w:spacing w:before="0" w:after="283"/>
              <w:jc w:val="right"/>
              <w:rPr/>
            </w:pPr>
            <w:hyperlink w:anchor="tBOCO">
              <w:r>
                <w:rPr>
                  <w:rStyle w:val="InternetLink"/>
                  <w:spacing w:val="-1"/>
                </w:rPr>
                <w:t>11</w:t>
              </w:r>
            </w:hyperlink>
            <w:r>
              <w:rPr/>
              <w:t xml:space="preserve"> </w:t>
            </w:r>
          </w:p>
        </w:tc>
        <w:tc>
          <w:tcPr>
            <w:tcW w:w="109" w:type="dxa"/>
            <w:tcBorders/>
            <w:shd w:fill="auto" w:val="clear"/>
            <w:vAlign w:val="center"/>
          </w:tcPr>
          <w:p>
            <w:pPr>
              <w:pStyle w:val="TableContents"/>
              <w:spacing w:before="0" w:after="283"/>
              <w:rPr/>
            </w:pPr>
            <w:r>
              <w:rPr/>
              <w:t>​</w:t>
            </w:r>
          </w:p>
        </w:tc>
        <w:tc>
          <w:tcPr>
            <w:tcW w:w="155" w:type="dxa"/>
            <w:tcBorders/>
            <w:shd w:fill="auto" w:val="clear"/>
            <w:vAlign w:val="center"/>
          </w:tcPr>
          <w:p>
            <w:pPr>
              <w:pStyle w:val="TableContents"/>
              <w:spacing w:before="0" w:after="283"/>
              <w:rPr/>
            </w:pPr>
            <w:r>
              <w:rPr/>
              <w:t>​</w:t>
            </w:r>
          </w:p>
        </w:tc>
      </w:tr>
      <w:tr>
        <w:trPr/>
        <w:tc>
          <w:tcPr>
            <w:tcW w:w="124" w:type="dxa"/>
            <w:tcBorders/>
            <w:shd w:fill="CCEEFF" w:val="clear"/>
            <w:vAlign w:val="center"/>
          </w:tcPr>
          <w:p>
            <w:pPr>
              <w:pStyle w:val="TableContents"/>
              <w:spacing w:before="0" w:after="283"/>
              <w:rPr/>
            </w:pPr>
            <w:r>
              <w:rPr/>
              <w:t>​</w:t>
            </w:r>
          </w:p>
        </w:tc>
        <w:tc>
          <w:tcPr>
            <w:tcW w:w="8044" w:type="dxa"/>
            <w:tcBorders/>
            <w:shd w:fill="CCEEFF" w:val="clear"/>
            <w:vAlign w:val="center"/>
          </w:tcPr>
          <w:p>
            <w:pPr>
              <w:pStyle w:val="TableContents"/>
              <w:spacing w:before="0" w:after="0"/>
              <w:ind w:left="800" w:right="0" w:hanging="0"/>
              <w:jc w:val="left"/>
              <w:rPr/>
            </w:pPr>
            <w:hyperlink w:anchor="tRIMA">
              <w:r>
                <w:rPr>
                  <w:rStyle w:val="InternetLink"/>
                  <w:spacing w:val="-1"/>
                </w:rPr>
                <w:t xml:space="preserve">RISK MANAGEMENT </w:t>
              </w:r>
            </w:hyperlink>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jc w:val="right"/>
              <w:rPr/>
            </w:pPr>
            <w:r>
              <w:rPr/>
              <w:t>​</w:t>
            </w:r>
          </w:p>
        </w:tc>
        <w:tc>
          <w:tcPr>
            <w:tcW w:w="377" w:type="dxa"/>
            <w:tcBorders/>
            <w:shd w:fill="CCEEFF" w:val="clear"/>
            <w:vAlign w:val="center"/>
          </w:tcPr>
          <w:p>
            <w:pPr>
              <w:pStyle w:val="TableContents"/>
              <w:spacing w:before="0" w:after="283"/>
              <w:jc w:val="right"/>
              <w:rPr/>
            </w:pPr>
            <w:hyperlink w:anchor="tRIMA">
              <w:r>
                <w:rPr>
                  <w:rStyle w:val="InternetLink"/>
                  <w:spacing w:val="-1"/>
                </w:rPr>
                <w:t>11</w:t>
              </w:r>
            </w:hyperlink>
            <w:r>
              <w:rPr/>
              <w:t xml:space="preserve"> </w:t>
            </w:r>
          </w:p>
        </w:tc>
        <w:tc>
          <w:tcPr>
            <w:tcW w:w="109" w:type="dxa"/>
            <w:tcBorders/>
            <w:shd w:fill="CCEEFF" w:val="clear"/>
            <w:vAlign w:val="center"/>
          </w:tcPr>
          <w:p>
            <w:pPr>
              <w:pStyle w:val="TableContents"/>
              <w:spacing w:before="0" w:after="283"/>
              <w:rPr/>
            </w:pPr>
            <w:r>
              <w:rPr/>
              <w:t>​</w:t>
            </w:r>
          </w:p>
        </w:tc>
        <w:tc>
          <w:tcPr>
            <w:tcW w:w="155" w:type="dxa"/>
            <w:tcBorders/>
            <w:shd w:fill="CCEEFF"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8044" w:type="dxa"/>
            <w:tcBorders/>
            <w:shd w:fill="auto" w:val="clear"/>
            <w:vAlign w:val="center"/>
          </w:tcPr>
          <w:p>
            <w:pPr>
              <w:pStyle w:val="TableContents"/>
              <w:spacing w:before="0" w:after="0"/>
              <w:ind w:left="800" w:right="0" w:hanging="0"/>
              <w:jc w:val="left"/>
              <w:rPr/>
            </w:pPr>
            <w:hyperlink w:anchor="tEBE">
              <w:r>
                <w:rPr>
                  <w:rStyle w:val="InternetLink"/>
                  <w:spacing w:val="-1"/>
                </w:rPr>
                <w:t xml:space="preserve">EVALUATING BOARD EFFECTIVENESS </w:t>
              </w:r>
            </w:hyperlink>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377" w:type="dxa"/>
            <w:tcBorders/>
            <w:shd w:fill="auto" w:val="clear"/>
            <w:vAlign w:val="center"/>
          </w:tcPr>
          <w:p>
            <w:pPr>
              <w:pStyle w:val="TableContents"/>
              <w:spacing w:before="0" w:after="283"/>
              <w:jc w:val="right"/>
              <w:rPr/>
            </w:pPr>
            <w:hyperlink w:anchor="tEBE">
              <w:r>
                <w:rPr>
                  <w:rStyle w:val="InternetLink"/>
                  <w:spacing w:val="-1"/>
                </w:rPr>
                <w:t>12</w:t>
              </w:r>
            </w:hyperlink>
            <w:r>
              <w:rPr/>
              <w:t xml:space="preserve"> </w:t>
            </w:r>
          </w:p>
        </w:tc>
        <w:tc>
          <w:tcPr>
            <w:tcW w:w="109" w:type="dxa"/>
            <w:tcBorders/>
            <w:shd w:fill="auto" w:val="clear"/>
            <w:vAlign w:val="center"/>
          </w:tcPr>
          <w:p>
            <w:pPr>
              <w:pStyle w:val="TableContents"/>
              <w:spacing w:before="0" w:after="283"/>
              <w:rPr/>
            </w:pPr>
            <w:r>
              <w:rPr/>
              <w:t>​</w:t>
            </w:r>
          </w:p>
        </w:tc>
        <w:tc>
          <w:tcPr>
            <w:tcW w:w="155" w:type="dxa"/>
            <w:tcBorders/>
            <w:shd w:fill="auto" w:val="clear"/>
            <w:vAlign w:val="center"/>
          </w:tcPr>
          <w:p>
            <w:pPr>
              <w:pStyle w:val="TableContents"/>
              <w:spacing w:before="0" w:after="283"/>
              <w:rPr/>
            </w:pPr>
            <w:r>
              <w:rPr/>
              <w:t>​</w:t>
            </w:r>
          </w:p>
        </w:tc>
      </w:tr>
      <w:tr>
        <w:trPr/>
        <w:tc>
          <w:tcPr>
            <w:tcW w:w="124" w:type="dxa"/>
            <w:tcBorders/>
            <w:shd w:fill="CCEEFF" w:val="clear"/>
            <w:vAlign w:val="center"/>
          </w:tcPr>
          <w:p>
            <w:pPr>
              <w:pStyle w:val="TableContents"/>
              <w:spacing w:before="0" w:after="283"/>
              <w:rPr/>
            </w:pPr>
            <w:r>
              <w:rPr/>
              <w:t>​</w:t>
            </w:r>
          </w:p>
        </w:tc>
        <w:tc>
          <w:tcPr>
            <w:tcW w:w="8044" w:type="dxa"/>
            <w:tcBorders/>
            <w:shd w:fill="CCEEFF" w:val="clear"/>
            <w:vAlign w:val="center"/>
          </w:tcPr>
          <w:p>
            <w:pPr>
              <w:pStyle w:val="TableContents"/>
              <w:spacing w:before="0" w:after="0"/>
              <w:ind w:left="800" w:right="0" w:hanging="0"/>
              <w:jc w:val="left"/>
              <w:rPr/>
            </w:pPr>
            <w:hyperlink w:anchor="tCOBC">
              <w:r>
                <w:rPr>
                  <w:rStyle w:val="InternetLink"/>
                  <w:spacing w:val="-1"/>
                </w:rPr>
                <w:t xml:space="preserve">CODE OF BUSINESS CONDUCT AND ETHICS </w:t>
              </w:r>
            </w:hyperlink>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jc w:val="right"/>
              <w:rPr/>
            </w:pPr>
            <w:r>
              <w:rPr/>
              <w:t>​</w:t>
            </w:r>
          </w:p>
        </w:tc>
        <w:tc>
          <w:tcPr>
            <w:tcW w:w="377" w:type="dxa"/>
            <w:tcBorders/>
            <w:shd w:fill="CCEEFF" w:val="clear"/>
            <w:vAlign w:val="center"/>
          </w:tcPr>
          <w:p>
            <w:pPr>
              <w:pStyle w:val="TableContents"/>
              <w:spacing w:before="0" w:after="283"/>
              <w:jc w:val="right"/>
              <w:rPr/>
            </w:pPr>
            <w:hyperlink w:anchor="tCOBC">
              <w:r>
                <w:rPr>
                  <w:rStyle w:val="InternetLink"/>
                  <w:spacing w:val="-1"/>
                </w:rPr>
                <w:t>12</w:t>
              </w:r>
            </w:hyperlink>
            <w:r>
              <w:rPr/>
              <w:t xml:space="preserve"> </w:t>
            </w:r>
          </w:p>
        </w:tc>
        <w:tc>
          <w:tcPr>
            <w:tcW w:w="109" w:type="dxa"/>
            <w:tcBorders/>
            <w:shd w:fill="CCEEFF" w:val="clear"/>
            <w:vAlign w:val="center"/>
          </w:tcPr>
          <w:p>
            <w:pPr>
              <w:pStyle w:val="TableContents"/>
              <w:spacing w:before="0" w:after="283"/>
              <w:rPr/>
            </w:pPr>
            <w:r>
              <w:rPr/>
              <w:t>​</w:t>
            </w:r>
          </w:p>
        </w:tc>
        <w:tc>
          <w:tcPr>
            <w:tcW w:w="155" w:type="dxa"/>
            <w:tcBorders/>
            <w:shd w:fill="CCEEFF"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8044" w:type="dxa"/>
            <w:tcBorders/>
            <w:shd w:fill="auto" w:val="clear"/>
            <w:vAlign w:val="center"/>
          </w:tcPr>
          <w:p>
            <w:pPr>
              <w:pStyle w:val="TableContents"/>
              <w:spacing w:before="0" w:after="0"/>
              <w:ind w:left="800" w:right="0" w:hanging="0"/>
              <w:jc w:val="left"/>
              <w:rPr/>
            </w:pPr>
            <w:hyperlink w:anchor="tDOAC">
              <w:r>
                <w:rPr>
                  <w:rStyle w:val="InternetLink"/>
                  <w:spacing w:val="-1"/>
                </w:rPr>
                <w:t xml:space="preserve">DIRECTOR ORIENTATION AND CONTINUING EDUCATION </w:t>
              </w:r>
            </w:hyperlink>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377" w:type="dxa"/>
            <w:tcBorders/>
            <w:shd w:fill="auto" w:val="clear"/>
            <w:vAlign w:val="center"/>
          </w:tcPr>
          <w:p>
            <w:pPr>
              <w:pStyle w:val="TableContents"/>
              <w:spacing w:before="0" w:after="283"/>
              <w:jc w:val="right"/>
              <w:rPr/>
            </w:pPr>
            <w:hyperlink w:anchor="tDOAC">
              <w:r>
                <w:rPr>
                  <w:rStyle w:val="InternetLink"/>
                  <w:spacing w:val="-1"/>
                </w:rPr>
                <w:t>13</w:t>
              </w:r>
            </w:hyperlink>
            <w:r>
              <w:rPr/>
              <w:t xml:space="preserve"> </w:t>
            </w:r>
          </w:p>
        </w:tc>
        <w:tc>
          <w:tcPr>
            <w:tcW w:w="109" w:type="dxa"/>
            <w:tcBorders/>
            <w:shd w:fill="auto" w:val="clear"/>
            <w:vAlign w:val="center"/>
          </w:tcPr>
          <w:p>
            <w:pPr>
              <w:pStyle w:val="TableContents"/>
              <w:spacing w:before="0" w:after="283"/>
              <w:rPr/>
            </w:pPr>
            <w:r>
              <w:rPr/>
              <w:t>​</w:t>
            </w:r>
          </w:p>
        </w:tc>
        <w:tc>
          <w:tcPr>
            <w:tcW w:w="155" w:type="dxa"/>
            <w:tcBorders/>
            <w:shd w:fill="auto" w:val="clear"/>
            <w:vAlign w:val="center"/>
          </w:tcPr>
          <w:p>
            <w:pPr>
              <w:pStyle w:val="TableContents"/>
              <w:spacing w:before="0" w:after="283"/>
              <w:rPr/>
            </w:pPr>
            <w:r>
              <w:rPr/>
              <w:t>​</w:t>
            </w:r>
          </w:p>
        </w:tc>
      </w:tr>
      <w:tr>
        <w:trPr/>
        <w:tc>
          <w:tcPr>
            <w:tcW w:w="124" w:type="dxa"/>
            <w:tcBorders/>
            <w:shd w:fill="CCEEFF" w:val="clear"/>
            <w:vAlign w:val="center"/>
          </w:tcPr>
          <w:p>
            <w:pPr>
              <w:pStyle w:val="TableContents"/>
              <w:spacing w:before="0" w:after="283"/>
              <w:rPr/>
            </w:pPr>
            <w:r>
              <w:rPr/>
              <w:t>​</w:t>
            </w:r>
          </w:p>
        </w:tc>
        <w:tc>
          <w:tcPr>
            <w:tcW w:w="8044" w:type="dxa"/>
            <w:tcBorders/>
            <w:shd w:fill="CCEEFF" w:val="clear"/>
            <w:vAlign w:val="center"/>
          </w:tcPr>
          <w:p>
            <w:pPr>
              <w:pStyle w:val="TableContents"/>
              <w:spacing w:before="0" w:after="0"/>
              <w:ind w:left="800" w:right="0" w:hanging="0"/>
              <w:jc w:val="left"/>
              <w:rPr/>
            </w:pPr>
            <w:hyperlink w:anchor="tCGG">
              <w:r>
                <w:rPr>
                  <w:rStyle w:val="InternetLink"/>
                  <w:spacing w:val="-1"/>
                </w:rPr>
                <w:t xml:space="preserve">CORPORATE GOVERNANCE GUIDELINES </w:t>
              </w:r>
            </w:hyperlink>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jc w:val="right"/>
              <w:rPr/>
            </w:pPr>
            <w:r>
              <w:rPr/>
              <w:t>​</w:t>
            </w:r>
          </w:p>
        </w:tc>
        <w:tc>
          <w:tcPr>
            <w:tcW w:w="377" w:type="dxa"/>
            <w:tcBorders/>
            <w:shd w:fill="CCEEFF" w:val="clear"/>
            <w:vAlign w:val="center"/>
          </w:tcPr>
          <w:p>
            <w:pPr>
              <w:pStyle w:val="TableContents"/>
              <w:spacing w:before="0" w:after="283"/>
              <w:jc w:val="right"/>
              <w:rPr/>
            </w:pPr>
            <w:hyperlink w:anchor="tCGG">
              <w:r>
                <w:rPr>
                  <w:rStyle w:val="InternetLink"/>
                  <w:spacing w:val="-1"/>
                </w:rPr>
                <w:t>13</w:t>
              </w:r>
            </w:hyperlink>
            <w:r>
              <w:rPr/>
              <w:t xml:space="preserve"> </w:t>
            </w:r>
          </w:p>
        </w:tc>
        <w:tc>
          <w:tcPr>
            <w:tcW w:w="109" w:type="dxa"/>
            <w:tcBorders/>
            <w:shd w:fill="CCEEFF" w:val="clear"/>
            <w:vAlign w:val="center"/>
          </w:tcPr>
          <w:p>
            <w:pPr>
              <w:pStyle w:val="TableContents"/>
              <w:spacing w:before="0" w:after="283"/>
              <w:rPr/>
            </w:pPr>
            <w:r>
              <w:rPr/>
              <w:t>​</w:t>
            </w:r>
          </w:p>
        </w:tc>
        <w:tc>
          <w:tcPr>
            <w:tcW w:w="155" w:type="dxa"/>
            <w:tcBorders/>
            <w:shd w:fill="CCEEFF"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8044" w:type="dxa"/>
            <w:tcBorders/>
            <w:shd w:fill="auto" w:val="clear"/>
            <w:vAlign w:val="center"/>
          </w:tcPr>
          <w:p>
            <w:pPr>
              <w:pStyle w:val="TableContents"/>
              <w:spacing w:before="0" w:after="0"/>
              <w:ind w:left="800" w:right="0" w:hanging="0"/>
              <w:jc w:val="left"/>
              <w:rPr/>
            </w:pPr>
            <w:hyperlink w:anchor="tBACM">
              <w:r>
                <w:rPr>
                  <w:rStyle w:val="InternetLink"/>
                  <w:spacing w:val="-1"/>
                </w:rPr>
                <w:t xml:space="preserve">BOARD ATTENDANCE, COMMITTEE MEETINGS AND COMMITTEE MEMBERSHIP </w:t>
              </w:r>
            </w:hyperlink>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377" w:type="dxa"/>
            <w:tcBorders/>
            <w:shd w:fill="auto" w:val="clear"/>
            <w:vAlign w:val="center"/>
          </w:tcPr>
          <w:p>
            <w:pPr>
              <w:pStyle w:val="TableContents"/>
              <w:spacing w:before="0" w:after="283"/>
              <w:jc w:val="right"/>
              <w:rPr/>
            </w:pPr>
            <w:hyperlink w:anchor="tBACM">
              <w:r>
                <w:rPr>
                  <w:rStyle w:val="InternetLink"/>
                  <w:spacing w:val="-1"/>
                </w:rPr>
                <w:t>13</w:t>
              </w:r>
            </w:hyperlink>
            <w:r>
              <w:rPr/>
              <w:t xml:space="preserve"> </w:t>
            </w:r>
          </w:p>
        </w:tc>
        <w:tc>
          <w:tcPr>
            <w:tcW w:w="109" w:type="dxa"/>
            <w:tcBorders/>
            <w:shd w:fill="auto" w:val="clear"/>
            <w:vAlign w:val="center"/>
          </w:tcPr>
          <w:p>
            <w:pPr>
              <w:pStyle w:val="TableContents"/>
              <w:spacing w:before="0" w:after="283"/>
              <w:rPr/>
            </w:pPr>
            <w:r>
              <w:rPr/>
              <w:t>​</w:t>
            </w:r>
          </w:p>
        </w:tc>
        <w:tc>
          <w:tcPr>
            <w:tcW w:w="155" w:type="dxa"/>
            <w:tcBorders/>
            <w:shd w:fill="auto" w:val="clear"/>
            <w:vAlign w:val="center"/>
          </w:tcPr>
          <w:p>
            <w:pPr>
              <w:pStyle w:val="TableContents"/>
              <w:spacing w:before="0" w:after="283"/>
              <w:rPr/>
            </w:pPr>
            <w:r>
              <w:rPr/>
              <w:t>​</w:t>
            </w:r>
          </w:p>
        </w:tc>
      </w:tr>
      <w:tr>
        <w:trPr/>
        <w:tc>
          <w:tcPr>
            <w:tcW w:w="124" w:type="dxa"/>
            <w:tcBorders/>
            <w:shd w:fill="CCEEFF" w:val="clear"/>
            <w:vAlign w:val="center"/>
          </w:tcPr>
          <w:p>
            <w:pPr>
              <w:pStyle w:val="TableContents"/>
              <w:spacing w:before="0" w:after="283"/>
              <w:rPr/>
            </w:pPr>
            <w:r>
              <w:rPr/>
              <w:t>​</w:t>
            </w:r>
          </w:p>
        </w:tc>
        <w:tc>
          <w:tcPr>
            <w:tcW w:w="8044" w:type="dxa"/>
            <w:tcBorders/>
            <w:shd w:fill="CCEEFF" w:val="clear"/>
            <w:vAlign w:val="center"/>
          </w:tcPr>
          <w:p>
            <w:pPr>
              <w:pStyle w:val="TableContents"/>
              <w:spacing w:before="0" w:after="0"/>
              <w:ind w:left="800" w:right="0" w:hanging="0"/>
              <w:jc w:val="left"/>
              <w:rPr/>
            </w:pPr>
            <w:hyperlink w:anchor="tCOCO">
              <w:r>
                <w:rPr>
                  <w:rStyle w:val="InternetLink"/>
                  <w:spacing w:val="-1"/>
                </w:rPr>
                <w:t xml:space="preserve">COMPENSATION CONSULTANT </w:t>
              </w:r>
            </w:hyperlink>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jc w:val="right"/>
              <w:rPr/>
            </w:pPr>
            <w:r>
              <w:rPr/>
              <w:t>​</w:t>
            </w:r>
          </w:p>
        </w:tc>
        <w:tc>
          <w:tcPr>
            <w:tcW w:w="377" w:type="dxa"/>
            <w:tcBorders/>
            <w:shd w:fill="CCEEFF" w:val="clear"/>
            <w:vAlign w:val="center"/>
          </w:tcPr>
          <w:p>
            <w:pPr>
              <w:pStyle w:val="TableContents"/>
              <w:spacing w:before="0" w:after="283"/>
              <w:jc w:val="right"/>
              <w:rPr/>
            </w:pPr>
            <w:hyperlink w:anchor="tCOCO">
              <w:r>
                <w:rPr>
                  <w:rStyle w:val="InternetLink"/>
                  <w:spacing w:val="-1"/>
                </w:rPr>
                <w:t>15</w:t>
              </w:r>
            </w:hyperlink>
            <w:r>
              <w:rPr/>
              <w:t xml:space="preserve"> </w:t>
            </w:r>
          </w:p>
        </w:tc>
        <w:tc>
          <w:tcPr>
            <w:tcW w:w="109" w:type="dxa"/>
            <w:tcBorders/>
            <w:shd w:fill="CCEEFF" w:val="clear"/>
            <w:vAlign w:val="center"/>
          </w:tcPr>
          <w:p>
            <w:pPr>
              <w:pStyle w:val="TableContents"/>
              <w:spacing w:before="0" w:after="283"/>
              <w:rPr/>
            </w:pPr>
            <w:r>
              <w:rPr/>
              <w:t>​</w:t>
            </w:r>
          </w:p>
        </w:tc>
        <w:tc>
          <w:tcPr>
            <w:tcW w:w="155" w:type="dxa"/>
            <w:tcBorders/>
            <w:shd w:fill="CCEEFF"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8044" w:type="dxa"/>
            <w:tcBorders/>
            <w:shd w:fill="auto" w:val="clear"/>
            <w:vAlign w:val="center"/>
          </w:tcPr>
          <w:p>
            <w:pPr>
              <w:pStyle w:val="TableContents"/>
              <w:spacing w:before="0" w:after="0"/>
              <w:ind w:left="800" w:right="0" w:hanging="0"/>
              <w:jc w:val="left"/>
              <w:rPr/>
            </w:pPr>
            <w:hyperlink w:anchor="tCCIA">
              <w:r>
                <w:rPr>
                  <w:rStyle w:val="InternetLink"/>
                  <w:spacing w:val="-1"/>
                </w:rPr>
                <w:t xml:space="preserve">COMPENSATION COMMITTEE INTERLOCKS AND INSIDER PARTICIPATION </w:t>
              </w:r>
            </w:hyperlink>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377" w:type="dxa"/>
            <w:tcBorders/>
            <w:shd w:fill="auto" w:val="clear"/>
            <w:vAlign w:val="center"/>
          </w:tcPr>
          <w:p>
            <w:pPr>
              <w:pStyle w:val="TableContents"/>
              <w:spacing w:before="0" w:after="283"/>
              <w:jc w:val="right"/>
              <w:rPr/>
            </w:pPr>
            <w:hyperlink w:anchor="tCCIA">
              <w:r>
                <w:rPr>
                  <w:rStyle w:val="InternetLink"/>
                  <w:spacing w:val="-1"/>
                </w:rPr>
                <w:t>15</w:t>
              </w:r>
            </w:hyperlink>
            <w:r>
              <w:rPr/>
              <w:t xml:space="preserve"> </w:t>
            </w:r>
          </w:p>
        </w:tc>
        <w:tc>
          <w:tcPr>
            <w:tcW w:w="109" w:type="dxa"/>
            <w:tcBorders/>
            <w:shd w:fill="auto" w:val="clear"/>
            <w:vAlign w:val="center"/>
          </w:tcPr>
          <w:p>
            <w:pPr>
              <w:pStyle w:val="TableContents"/>
              <w:spacing w:before="0" w:after="283"/>
              <w:rPr/>
            </w:pPr>
            <w:r>
              <w:rPr/>
              <w:t>​</w:t>
            </w:r>
          </w:p>
        </w:tc>
        <w:tc>
          <w:tcPr>
            <w:tcW w:w="155" w:type="dxa"/>
            <w:tcBorders/>
            <w:shd w:fill="auto" w:val="clear"/>
            <w:vAlign w:val="center"/>
          </w:tcPr>
          <w:p>
            <w:pPr>
              <w:pStyle w:val="TableContents"/>
              <w:spacing w:before="0" w:after="283"/>
              <w:rPr/>
            </w:pPr>
            <w:r>
              <w:rPr/>
              <w:t>​</w:t>
            </w:r>
          </w:p>
        </w:tc>
      </w:tr>
      <w:tr>
        <w:trPr/>
        <w:tc>
          <w:tcPr>
            <w:tcW w:w="124" w:type="dxa"/>
            <w:tcBorders/>
            <w:shd w:fill="CCEEFF" w:val="clear"/>
            <w:vAlign w:val="center"/>
          </w:tcPr>
          <w:p>
            <w:pPr>
              <w:pStyle w:val="TableContents"/>
              <w:spacing w:before="0" w:after="283"/>
              <w:rPr/>
            </w:pPr>
            <w:r>
              <w:rPr/>
              <w:t>​</w:t>
            </w:r>
          </w:p>
        </w:tc>
        <w:tc>
          <w:tcPr>
            <w:tcW w:w="8044" w:type="dxa"/>
            <w:tcBorders/>
            <w:shd w:fill="CCEEFF" w:val="clear"/>
            <w:vAlign w:val="center"/>
          </w:tcPr>
          <w:p>
            <w:pPr>
              <w:pStyle w:val="TableContents"/>
              <w:spacing w:before="0" w:after="0"/>
              <w:ind w:left="800" w:right="0" w:hanging="0"/>
              <w:jc w:val="left"/>
              <w:rPr/>
            </w:pPr>
            <w:hyperlink w:anchor="tFARE">
              <w:r>
                <w:rPr>
                  <w:rStyle w:val="InternetLink"/>
                  <w:spacing w:val="-1"/>
                </w:rPr>
                <w:t xml:space="preserve">FAMILY RELATIONSHIPS </w:t>
              </w:r>
            </w:hyperlink>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jc w:val="right"/>
              <w:rPr/>
            </w:pPr>
            <w:r>
              <w:rPr/>
              <w:t>​</w:t>
            </w:r>
          </w:p>
        </w:tc>
        <w:tc>
          <w:tcPr>
            <w:tcW w:w="377" w:type="dxa"/>
            <w:tcBorders/>
            <w:shd w:fill="CCEEFF" w:val="clear"/>
            <w:vAlign w:val="center"/>
          </w:tcPr>
          <w:p>
            <w:pPr>
              <w:pStyle w:val="TableContents"/>
              <w:spacing w:before="0" w:after="283"/>
              <w:jc w:val="right"/>
              <w:rPr/>
            </w:pPr>
            <w:hyperlink w:anchor="tFARE">
              <w:r>
                <w:rPr>
                  <w:rStyle w:val="InternetLink"/>
                  <w:spacing w:val="-1"/>
                </w:rPr>
                <w:t>15</w:t>
              </w:r>
            </w:hyperlink>
            <w:r>
              <w:rPr/>
              <w:t xml:space="preserve"> </w:t>
            </w:r>
          </w:p>
        </w:tc>
        <w:tc>
          <w:tcPr>
            <w:tcW w:w="109" w:type="dxa"/>
            <w:tcBorders/>
            <w:shd w:fill="CCEEFF" w:val="clear"/>
            <w:vAlign w:val="center"/>
          </w:tcPr>
          <w:p>
            <w:pPr>
              <w:pStyle w:val="TableContents"/>
              <w:spacing w:before="0" w:after="283"/>
              <w:rPr/>
            </w:pPr>
            <w:r>
              <w:rPr/>
              <w:t>​</w:t>
            </w:r>
          </w:p>
        </w:tc>
        <w:tc>
          <w:tcPr>
            <w:tcW w:w="155" w:type="dxa"/>
            <w:tcBorders/>
            <w:shd w:fill="CCEEFF"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8044" w:type="dxa"/>
            <w:tcBorders/>
            <w:shd w:fill="auto" w:val="clear"/>
            <w:vAlign w:val="center"/>
          </w:tcPr>
          <w:p>
            <w:pPr>
              <w:pStyle w:val="TableContents"/>
              <w:spacing w:before="0" w:after="0"/>
              <w:ind w:left="800" w:right="0" w:hanging="0"/>
              <w:jc w:val="left"/>
              <w:rPr/>
            </w:pPr>
            <w:hyperlink w:anchor="tSTEN">
              <w:r>
                <w:rPr>
                  <w:rStyle w:val="InternetLink"/>
                  <w:spacing w:val="-1"/>
                </w:rPr>
                <w:t xml:space="preserve">STOCKHOLDER ENGAGEMENT </w:t>
              </w:r>
            </w:hyperlink>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377" w:type="dxa"/>
            <w:tcBorders/>
            <w:shd w:fill="auto" w:val="clear"/>
            <w:vAlign w:val="center"/>
          </w:tcPr>
          <w:p>
            <w:pPr>
              <w:pStyle w:val="TableContents"/>
              <w:spacing w:before="0" w:after="283"/>
              <w:jc w:val="right"/>
              <w:rPr/>
            </w:pPr>
            <w:hyperlink w:anchor="tSTEN">
              <w:r>
                <w:rPr>
                  <w:rStyle w:val="InternetLink"/>
                  <w:spacing w:val="-1"/>
                </w:rPr>
                <w:t>16</w:t>
              </w:r>
            </w:hyperlink>
            <w:r>
              <w:rPr/>
              <w:t xml:space="preserve"> </w:t>
            </w:r>
          </w:p>
        </w:tc>
        <w:tc>
          <w:tcPr>
            <w:tcW w:w="109" w:type="dxa"/>
            <w:tcBorders/>
            <w:shd w:fill="auto" w:val="clear"/>
            <w:vAlign w:val="center"/>
          </w:tcPr>
          <w:p>
            <w:pPr>
              <w:pStyle w:val="TableContents"/>
              <w:spacing w:before="0" w:after="283"/>
              <w:rPr/>
            </w:pPr>
            <w:r>
              <w:rPr/>
              <w:t>​</w:t>
            </w:r>
          </w:p>
        </w:tc>
        <w:tc>
          <w:tcPr>
            <w:tcW w:w="155" w:type="dxa"/>
            <w:tcBorders/>
            <w:shd w:fill="auto" w:val="clear"/>
            <w:vAlign w:val="center"/>
          </w:tcPr>
          <w:p>
            <w:pPr>
              <w:pStyle w:val="TableContents"/>
              <w:spacing w:before="0" w:after="283"/>
              <w:rPr/>
            </w:pPr>
            <w:r>
              <w:rPr/>
              <w:t>​</w:t>
            </w:r>
          </w:p>
        </w:tc>
      </w:tr>
      <w:tr>
        <w:trPr/>
        <w:tc>
          <w:tcPr>
            <w:tcW w:w="124" w:type="dxa"/>
            <w:tcBorders/>
            <w:shd w:fill="CCEEFF" w:val="clear"/>
            <w:vAlign w:val="center"/>
          </w:tcPr>
          <w:p>
            <w:pPr>
              <w:pStyle w:val="TableContents"/>
              <w:spacing w:before="0" w:after="283"/>
              <w:rPr/>
            </w:pPr>
            <w:r>
              <w:rPr/>
              <w:t>​</w:t>
            </w:r>
          </w:p>
        </w:tc>
        <w:tc>
          <w:tcPr>
            <w:tcW w:w="8044" w:type="dxa"/>
            <w:tcBorders/>
            <w:shd w:fill="CCEEFF" w:val="clear"/>
            <w:vAlign w:val="center"/>
          </w:tcPr>
          <w:p>
            <w:pPr>
              <w:pStyle w:val="TableContents"/>
              <w:spacing w:before="0" w:after="0"/>
              <w:jc w:val="left"/>
              <w:rPr/>
            </w:pPr>
            <w:hyperlink w:anchor="tDICO">
              <w:r>
                <w:rPr>
                  <w:rStyle w:val="InternetLink"/>
                  <w:spacing w:val="-1"/>
                </w:rPr>
                <w:t xml:space="preserve">DIRECTOR COMPENSATION </w:t>
              </w:r>
            </w:hyperlink>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jc w:val="right"/>
              <w:rPr/>
            </w:pPr>
            <w:r>
              <w:rPr/>
              <w:t>​</w:t>
            </w:r>
          </w:p>
        </w:tc>
        <w:tc>
          <w:tcPr>
            <w:tcW w:w="377" w:type="dxa"/>
            <w:tcBorders/>
            <w:shd w:fill="CCEEFF" w:val="clear"/>
            <w:vAlign w:val="center"/>
          </w:tcPr>
          <w:p>
            <w:pPr>
              <w:pStyle w:val="TableContents"/>
              <w:spacing w:before="0" w:after="283"/>
              <w:jc w:val="right"/>
              <w:rPr/>
            </w:pPr>
            <w:hyperlink w:anchor="tDICO">
              <w:r>
                <w:rPr>
                  <w:rStyle w:val="InternetLink"/>
                  <w:spacing w:val="-1"/>
                </w:rPr>
                <w:t>17</w:t>
              </w:r>
            </w:hyperlink>
            <w:r>
              <w:rPr/>
              <w:t xml:space="preserve"> </w:t>
            </w:r>
          </w:p>
        </w:tc>
        <w:tc>
          <w:tcPr>
            <w:tcW w:w="109" w:type="dxa"/>
            <w:tcBorders/>
            <w:shd w:fill="CCEEFF" w:val="clear"/>
            <w:vAlign w:val="center"/>
          </w:tcPr>
          <w:p>
            <w:pPr>
              <w:pStyle w:val="TableContents"/>
              <w:spacing w:before="0" w:after="283"/>
              <w:rPr/>
            </w:pPr>
            <w:r>
              <w:rPr/>
              <w:t>​</w:t>
            </w:r>
          </w:p>
        </w:tc>
        <w:tc>
          <w:tcPr>
            <w:tcW w:w="155" w:type="dxa"/>
            <w:tcBorders/>
            <w:shd w:fill="CCEEFF"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8044" w:type="dxa"/>
            <w:tcBorders/>
            <w:shd w:fill="auto" w:val="clear"/>
            <w:vAlign w:val="center"/>
          </w:tcPr>
          <w:p>
            <w:pPr>
              <w:pStyle w:val="TableContents"/>
              <w:spacing w:before="0" w:after="0"/>
              <w:ind w:left="800" w:right="0" w:hanging="0"/>
              <w:jc w:val="left"/>
              <w:rPr/>
            </w:pPr>
            <w:hyperlink w:anchor="tNDCP">
              <w:r>
                <w:rPr>
                  <w:rStyle w:val="InternetLink"/>
                  <w:spacing w:val="-1"/>
                </w:rPr>
                <w:t xml:space="preserve">NON-EMPLOYEE DIRECTOR COMPENSATION POLICY </w:t>
              </w:r>
            </w:hyperlink>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377" w:type="dxa"/>
            <w:tcBorders/>
            <w:shd w:fill="auto" w:val="clear"/>
            <w:vAlign w:val="center"/>
          </w:tcPr>
          <w:p>
            <w:pPr>
              <w:pStyle w:val="TableContents"/>
              <w:spacing w:before="0" w:after="283"/>
              <w:jc w:val="right"/>
              <w:rPr/>
            </w:pPr>
            <w:hyperlink w:anchor="tNDCP">
              <w:r>
                <w:rPr>
                  <w:rStyle w:val="InternetLink"/>
                  <w:spacing w:val="-1"/>
                </w:rPr>
                <w:t>17</w:t>
              </w:r>
            </w:hyperlink>
            <w:r>
              <w:rPr/>
              <w:t xml:space="preserve"> </w:t>
            </w:r>
          </w:p>
        </w:tc>
        <w:tc>
          <w:tcPr>
            <w:tcW w:w="109" w:type="dxa"/>
            <w:tcBorders/>
            <w:shd w:fill="auto" w:val="clear"/>
            <w:vAlign w:val="center"/>
          </w:tcPr>
          <w:p>
            <w:pPr>
              <w:pStyle w:val="TableContents"/>
              <w:spacing w:before="0" w:after="283"/>
              <w:rPr/>
            </w:pPr>
            <w:r>
              <w:rPr/>
              <w:t>​</w:t>
            </w:r>
          </w:p>
        </w:tc>
        <w:tc>
          <w:tcPr>
            <w:tcW w:w="155" w:type="dxa"/>
            <w:tcBorders/>
            <w:shd w:fill="auto" w:val="clear"/>
            <w:vAlign w:val="center"/>
          </w:tcPr>
          <w:p>
            <w:pPr>
              <w:pStyle w:val="TableContents"/>
              <w:spacing w:before="0" w:after="283"/>
              <w:rPr/>
            </w:pPr>
            <w:r>
              <w:rPr/>
              <w:t>​</w:t>
            </w:r>
          </w:p>
        </w:tc>
      </w:tr>
      <w:tr>
        <w:trPr/>
        <w:tc>
          <w:tcPr>
            <w:tcW w:w="124" w:type="dxa"/>
            <w:tcBorders/>
            <w:shd w:fill="CCEEFF" w:val="clear"/>
            <w:vAlign w:val="center"/>
          </w:tcPr>
          <w:p>
            <w:pPr>
              <w:pStyle w:val="TableContents"/>
              <w:spacing w:before="0" w:after="283"/>
              <w:rPr/>
            </w:pPr>
            <w:r>
              <w:rPr/>
              <w:t>​</w:t>
            </w:r>
          </w:p>
        </w:tc>
        <w:tc>
          <w:tcPr>
            <w:tcW w:w="8044" w:type="dxa"/>
            <w:tcBorders/>
            <w:shd w:fill="CCEEFF" w:val="clear"/>
            <w:vAlign w:val="center"/>
          </w:tcPr>
          <w:p>
            <w:pPr>
              <w:pStyle w:val="TableContents"/>
              <w:spacing w:before="0" w:after="0"/>
              <w:ind w:left="800" w:right="0" w:hanging="0"/>
              <w:jc w:val="left"/>
              <w:rPr/>
            </w:pPr>
            <w:hyperlink w:anchor="tDCT">
              <w:r>
                <w:rPr>
                  <w:rStyle w:val="InternetLink"/>
                  <w:spacing w:val="-1"/>
                </w:rPr>
                <w:t xml:space="preserve">DIRECTOR COMPENSATION TABLE </w:t>
              </w:r>
            </w:hyperlink>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jc w:val="right"/>
              <w:rPr/>
            </w:pPr>
            <w:r>
              <w:rPr/>
              <w:t>​</w:t>
            </w:r>
          </w:p>
        </w:tc>
        <w:tc>
          <w:tcPr>
            <w:tcW w:w="377" w:type="dxa"/>
            <w:tcBorders/>
            <w:shd w:fill="CCEEFF" w:val="clear"/>
            <w:vAlign w:val="center"/>
          </w:tcPr>
          <w:p>
            <w:pPr>
              <w:pStyle w:val="TableContents"/>
              <w:spacing w:before="0" w:after="283"/>
              <w:jc w:val="right"/>
              <w:rPr/>
            </w:pPr>
            <w:hyperlink w:anchor="tDCT">
              <w:r>
                <w:rPr>
                  <w:rStyle w:val="InternetLink"/>
                  <w:spacing w:val="-1"/>
                </w:rPr>
                <w:t>18</w:t>
              </w:r>
            </w:hyperlink>
            <w:r>
              <w:rPr/>
              <w:t xml:space="preserve"> </w:t>
            </w:r>
          </w:p>
        </w:tc>
        <w:tc>
          <w:tcPr>
            <w:tcW w:w="109" w:type="dxa"/>
            <w:tcBorders/>
            <w:shd w:fill="CCEEFF" w:val="clear"/>
            <w:vAlign w:val="center"/>
          </w:tcPr>
          <w:p>
            <w:pPr>
              <w:pStyle w:val="TableContents"/>
              <w:spacing w:before="0" w:after="283"/>
              <w:rPr/>
            </w:pPr>
            <w:r>
              <w:rPr/>
              <w:t>​</w:t>
            </w:r>
          </w:p>
        </w:tc>
        <w:tc>
          <w:tcPr>
            <w:tcW w:w="155" w:type="dxa"/>
            <w:tcBorders/>
            <w:shd w:fill="CCEEFF"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8044" w:type="dxa"/>
            <w:tcBorders/>
            <w:shd w:fill="auto" w:val="clear"/>
            <w:vAlign w:val="center"/>
          </w:tcPr>
          <w:p>
            <w:pPr>
              <w:pStyle w:val="TableContents"/>
              <w:spacing w:before="0" w:after="0"/>
              <w:jc w:val="left"/>
              <w:rPr/>
            </w:pPr>
            <w:hyperlink w:anchor="tIRPA">
              <w:r>
                <w:rPr>
                  <w:rStyle w:val="InternetLink"/>
                  <w:spacing w:val="-1"/>
                </w:rPr>
                <w:t xml:space="preserve">INDEPENDENT REGISTERED PUBLIC ACCOUNTING FIRM </w:t>
              </w:r>
            </w:hyperlink>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377" w:type="dxa"/>
            <w:tcBorders/>
            <w:shd w:fill="auto" w:val="clear"/>
            <w:vAlign w:val="center"/>
          </w:tcPr>
          <w:p>
            <w:pPr>
              <w:pStyle w:val="TableContents"/>
              <w:spacing w:before="0" w:after="283"/>
              <w:jc w:val="right"/>
              <w:rPr/>
            </w:pPr>
            <w:hyperlink w:anchor="tIRPA">
              <w:r>
                <w:rPr>
                  <w:rStyle w:val="InternetLink"/>
                  <w:spacing w:val="-1"/>
                </w:rPr>
                <w:t>20</w:t>
              </w:r>
            </w:hyperlink>
            <w:r>
              <w:rPr/>
              <w:t xml:space="preserve"> </w:t>
            </w:r>
          </w:p>
        </w:tc>
        <w:tc>
          <w:tcPr>
            <w:tcW w:w="109" w:type="dxa"/>
            <w:tcBorders/>
            <w:shd w:fill="auto" w:val="clear"/>
            <w:vAlign w:val="center"/>
          </w:tcPr>
          <w:p>
            <w:pPr>
              <w:pStyle w:val="TableContents"/>
              <w:spacing w:before="0" w:after="283"/>
              <w:rPr/>
            </w:pPr>
            <w:r>
              <w:rPr/>
              <w:t>​</w:t>
            </w:r>
          </w:p>
        </w:tc>
        <w:tc>
          <w:tcPr>
            <w:tcW w:w="155" w:type="dxa"/>
            <w:tcBorders/>
            <w:shd w:fill="auto" w:val="clear"/>
            <w:vAlign w:val="center"/>
          </w:tcPr>
          <w:p>
            <w:pPr>
              <w:pStyle w:val="TableContents"/>
              <w:spacing w:before="0" w:after="283"/>
              <w:rPr/>
            </w:pPr>
            <w:r>
              <w:rPr/>
              <w:t>​</w:t>
            </w:r>
          </w:p>
        </w:tc>
      </w:tr>
      <w:tr>
        <w:trPr/>
        <w:tc>
          <w:tcPr>
            <w:tcW w:w="124" w:type="dxa"/>
            <w:tcBorders/>
            <w:shd w:fill="CCEEFF" w:val="clear"/>
            <w:vAlign w:val="center"/>
          </w:tcPr>
          <w:p>
            <w:pPr>
              <w:pStyle w:val="TableContents"/>
              <w:spacing w:before="0" w:after="283"/>
              <w:rPr/>
            </w:pPr>
            <w:r>
              <w:rPr/>
              <w:t>​</w:t>
            </w:r>
          </w:p>
        </w:tc>
        <w:tc>
          <w:tcPr>
            <w:tcW w:w="8044" w:type="dxa"/>
            <w:tcBorders/>
            <w:shd w:fill="CCEEFF" w:val="clear"/>
            <w:vAlign w:val="center"/>
          </w:tcPr>
          <w:p>
            <w:pPr>
              <w:pStyle w:val="TableContents"/>
              <w:spacing w:before="0" w:after="0"/>
              <w:ind w:left="800" w:right="0" w:hanging="0"/>
              <w:jc w:val="left"/>
              <w:rPr/>
            </w:pPr>
            <w:hyperlink w:anchor="tIRPA1">
              <w:r>
                <w:rPr>
                  <w:rStyle w:val="InternetLink"/>
                  <w:spacing w:val="-1"/>
                </w:rPr>
                <w:t xml:space="preserve">INDEPENDENT REGISTERED PUBLIC ACCOUNTING FIRM FEES </w:t>
              </w:r>
            </w:hyperlink>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jc w:val="right"/>
              <w:rPr/>
            </w:pPr>
            <w:r>
              <w:rPr/>
              <w:t>​</w:t>
            </w:r>
          </w:p>
        </w:tc>
        <w:tc>
          <w:tcPr>
            <w:tcW w:w="377" w:type="dxa"/>
            <w:tcBorders/>
            <w:shd w:fill="CCEEFF" w:val="clear"/>
            <w:vAlign w:val="center"/>
          </w:tcPr>
          <w:p>
            <w:pPr>
              <w:pStyle w:val="TableContents"/>
              <w:spacing w:before="0" w:after="283"/>
              <w:jc w:val="right"/>
              <w:rPr/>
            </w:pPr>
            <w:hyperlink w:anchor="tIRPA1">
              <w:r>
                <w:rPr>
                  <w:rStyle w:val="InternetLink"/>
                  <w:spacing w:val="-1"/>
                </w:rPr>
                <w:t>20</w:t>
              </w:r>
            </w:hyperlink>
            <w:r>
              <w:rPr/>
              <w:t xml:space="preserve"> </w:t>
            </w:r>
          </w:p>
        </w:tc>
        <w:tc>
          <w:tcPr>
            <w:tcW w:w="109" w:type="dxa"/>
            <w:tcBorders/>
            <w:shd w:fill="CCEEFF" w:val="clear"/>
            <w:vAlign w:val="center"/>
          </w:tcPr>
          <w:p>
            <w:pPr>
              <w:pStyle w:val="TableContents"/>
              <w:spacing w:before="0" w:after="283"/>
              <w:rPr/>
            </w:pPr>
            <w:r>
              <w:rPr/>
              <w:t>​</w:t>
            </w:r>
          </w:p>
        </w:tc>
        <w:tc>
          <w:tcPr>
            <w:tcW w:w="155" w:type="dxa"/>
            <w:tcBorders/>
            <w:shd w:fill="CCEEFF"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8044" w:type="dxa"/>
            <w:tcBorders/>
            <w:shd w:fill="auto" w:val="clear"/>
            <w:vAlign w:val="center"/>
          </w:tcPr>
          <w:p>
            <w:pPr>
              <w:pStyle w:val="TableContents"/>
              <w:spacing w:before="0" w:after="0"/>
              <w:ind w:left="800" w:right="0" w:hanging="0"/>
              <w:jc w:val="left"/>
              <w:rPr/>
            </w:pPr>
            <w:hyperlink w:anchor="tACPP">
              <w:r>
                <w:rPr>
                  <w:rStyle w:val="InternetLink"/>
                  <w:spacing w:val="-1"/>
                </w:rPr>
                <w:t xml:space="preserve">AUDIT COMMITTEE PRE-APPROVAL POLICIES AND PROCEDURES </w:t>
              </w:r>
            </w:hyperlink>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377" w:type="dxa"/>
            <w:tcBorders/>
            <w:shd w:fill="auto" w:val="clear"/>
            <w:vAlign w:val="center"/>
          </w:tcPr>
          <w:p>
            <w:pPr>
              <w:pStyle w:val="TableContents"/>
              <w:spacing w:before="0" w:after="283"/>
              <w:jc w:val="right"/>
              <w:rPr/>
            </w:pPr>
            <w:hyperlink w:anchor="tACPP">
              <w:r>
                <w:rPr>
                  <w:rStyle w:val="InternetLink"/>
                  <w:spacing w:val="-1"/>
                </w:rPr>
                <w:t>20</w:t>
              </w:r>
            </w:hyperlink>
            <w:r>
              <w:rPr/>
              <w:t xml:space="preserve"> </w:t>
            </w:r>
          </w:p>
        </w:tc>
        <w:tc>
          <w:tcPr>
            <w:tcW w:w="109" w:type="dxa"/>
            <w:tcBorders/>
            <w:shd w:fill="auto" w:val="clear"/>
            <w:vAlign w:val="center"/>
          </w:tcPr>
          <w:p>
            <w:pPr>
              <w:pStyle w:val="TableContents"/>
              <w:spacing w:before="0" w:after="283"/>
              <w:rPr/>
            </w:pPr>
            <w:r>
              <w:rPr/>
              <w:t>​</w:t>
            </w:r>
          </w:p>
        </w:tc>
        <w:tc>
          <w:tcPr>
            <w:tcW w:w="155" w:type="dxa"/>
            <w:tcBorders/>
            <w:shd w:fill="auto" w:val="clear"/>
            <w:vAlign w:val="center"/>
          </w:tcPr>
          <w:p>
            <w:pPr>
              <w:pStyle w:val="TableContents"/>
              <w:spacing w:before="0" w:after="283"/>
              <w:rPr/>
            </w:pPr>
            <w:r>
              <w:rPr/>
              <w:t>​</w:t>
            </w:r>
          </w:p>
        </w:tc>
      </w:tr>
    </w:tbl>
    <w:p>
      <w:pPr>
        <w:pStyle w:val="TextBody"/>
        <w:spacing w:lineRule="atLeast" w:line="240" w:before="100" w:after="283"/>
        <w:ind w:left="960" w:right="0" w:hanging="0"/>
        <w:jc w:val="righ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1DA46F"/>
          <w:spacing w:val="0"/>
          <w:sz w:val="20"/>
        </w:rPr>
        <w:t>Notice of Annual Meeting of Stockholders</w:t>
      </w:r>
      <w:r>
        <w:rPr>
          <w:rFonts w:ascii="Arial;Helvetica;sans-serif" w:hAnsi="Arial;Helvetica;sans-serif"/>
          <w:b/>
          <w:i w:val="false"/>
          <w:caps w:val="false"/>
          <w:smallCaps w:val="false"/>
          <w:color w:val="000000"/>
          <w:spacing w:val="0"/>
          <w:sz w:val="20"/>
        </w:rPr>
        <w:t> and 2023 Proxy Statement | </w:t>
      </w:r>
      <w:r>
        <w:rPr>
          <w:rFonts w:ascii="Arial;Helvetica;sans-serif" w:hAnsi="Arial;Helvetica;sans-serif"/>
          <w:b w:val="false"/>
          <w:i w:val="false"/>
          <w:caps w:val="false"/>
          <w:smallCaps w:val="false"/>
          <w:color w:val="000000"/>
          <w:spacing w:val="-1"/>
          <w:sz w:val="20"/>
        </w:rPr>
        <w:t>iv</w:t>
      </w:r>
      <w:r>
        <w:rPr>
          <w:rFonts w:ascii="Arial;Helvetica;sans-serif" w:hAnsi="Arial;Helvetica;sans-serif"/>
          <w:b/>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6" w:name="TOC2"/>
      <w:bookmarkEnd w:id="6"/>
      <w:r>
        <w:rPr>
          <w:rFonts w:ascii="calibri;arial;sans-serif" w:hAnsi="calibri;arial;sans-serif"/>
          <w:b w:val="false"/>
          <w:i w:val="false"/>
          <w:caps w:val="false"/>
          <w:smallCaps w:val="false"/>
          <w:color w:val="000000"/>
          <w:sz w:val="16"/>
        </w:rPr>
        <w:t>​</w:t>
      </w:r>
      <w:bookmarkStart w:id="7" w:name="tPRST"/>
      <w:bookmarkEnd w:id="7"/>
      <w:r>
        <w:rPr>
          <w:rFonts w:ascii="calibri;arial;sans-serif" w:hAnsi="calibri;arial;sans-serif"/>
          <w:b w:val="false"/>
          <w:i w:val="false"/>
          <w:caps w:val="false"/>
          <w:smallCaps w:val="false"/>
          <w:color w:val="000000"/>
          <w:sz w:val="16"/>
        </w:rPr>
        <w:t xml:space="preserve">​ </w:t>
      </w:r>
    </w:p>
    <w:tbl>
      <w:tblPr>
        <w:tblW w:w="2904" w:type="dxa"/>
        <w:jc w:val="left"/>
        <w:tblInd w:w="960" w:type="dxa"/>
        <w:tblCellMar>
          <w:top w:w="0" w:type="dxa"/>
          <w:left w:w="0" w:type="dxa"/>
          <w:bottom w:w="0" w:type="dxa"/>
          <w:right w:w="0" w:type="dxa"/>
        </w:tblCellMar>
      </w:tblPr>
      <w:tblGrid>
        <w:gridCol w:w="124"/>
        <w:gridCol w:w="2626"/>
        <w:gridCol w:w="154"/>
      </w:tblGrid>
      <w:tr>
        <w:trPr/>
        <w:tc>
          <w:tcPr>
            <w:tcW w:w="124" w:type="dxa"/>
            <w:tcBorders/>
            <w:shd w:fill="1DA46F" w:val="clear"/>
            <w:vAlign w:val="center"/>
          </w:tcPr>
          <w:p>
            <w:pPr>
              <w:pStyle w:val="TableContents"/>
              <w:spacing w:before="0" w:after="283"/>
              <w:rPr/>
            </w:pPr>
            <w:r>
              <w:rPr/>
              <w:t>​</w:t>
            </w:r>
          </w:p>
        </w:tc>
        <w:tc>
          <w:tcPr>
            <w:tcW w:w="2626" w:type="dxa"/>
            <w:tcBorders/>
            <w:shd w:fill="1DA46F" w:val="clear"/>
            <w:vAlign w:val="center"/>
          </w:tcPr>
          <w:p>
            <w:pPr>
              <w:pStyle w:val="TableContents"/>
              <w:spacing w:lineRule="atLeast" w:line="360" w:before="0" w:after="0"/>
              <w:rPr/>
            </w:pPr>
            <w:r>
              <w:rPr>
                <w:spacing w:val="-5"/>
              </w:rPr>
              <w:t>TABLE OF CONTENTS</w:t>
            </w:r>
            <w:r>
              <w:rPr/>
              <w:t xml:space="preserve"> </w:t>
            </w:r>
          </w:p>
        </w:tc>
        <w:tc>
          <w:tcPr>
            <w:tcW w:w="154" w:type="dxa"/>
            <w:tcBorders/>
            <w:shd w:fill="1DA46F" w:val="clear"/>
            <w:vAlign w:val="center"/>
          </w:tcPr>
          <w:p>
            <w:pPr>
              <w:pStyle w:val="TableContents"/>
              <w:spacing w:before="0" w:after="283"/>
              <w:rPr/>
            </w:pPr>
            <w:r>
              <w:rPr/>
              <w:t>​</w:t>
            </w:r>
          </w:p>
        </w:tc>
      </w:tr>
    </w:tbl>
    <w:tbl>
      <w:tblPr>
        <w:tblW w:w="9245" w:type="dxa"/>
        <w:jc w:val="left"/>
        <w:tblInd w:w="960" w:type="dxa"/>
        <w:tblCellMar>
          <w:top w:w="0" w:type="dxa"/>
          <w:left w:w="0" w:type="dxa"/>
          <w:bottom w:w="0" w:type="dxa"/>
          <w:right w:w="0" w:type="dxa"/>
        </w:tblCellMar>
      </w:tblPr>
      <w:tblGrid>
        <w:gridCol w:w="124"/>
        <w:gridCol w:w="8053"/>
        <w:gridCol w:w="109"/>
        <w:gridCol w:w="109"/>
        <w:gridCol w:w="109"/>
        <w:gridCol w:w="109"/>
        <w:gridCol w:w="368"/>
        <w:gridCol w:w="109"/>
        <w:gridCol w:w="155"/>
      </w:tblGrid>
      <w:tr>
        <w:trPr/>
        <w:tc>
          <w:tcPr>
            <w:tcW w:w="124" w:type="dxa"/>
            <w:tcBorders/>
            <w:shd w:fill="CCEEFF" w:val="clear"/>
            <w:vAlign w:val="center"/>
          </w:tcPr>
          <w:p>
            <w:pPr>
              <w:pStyle w:val="TableContents"/>
              <w:spacing w:before="0" w:after="283"/>
              <w:rPr/>
            </w:pPr>
            <w:r>
              <w:rPr/>
              <w:t>​</w:t>
            </w:r>
          </w:p>
        </w:tc>
        <w:tc>
          <w:tcPr>
            <w:tcW w:w="8053" w:type="dxa"/>
            <w:tcBorders/>
            <w:shd w:fill="CCEEFF" w:val="clear"/>
            <w:vAlign w:val="center"/>
          </w:tcPr>
          <w:p>
            <w:pPr>
              <w:pStyle w:val="TableContents"/>
              <w:spacing w:before="0" w:after="0"/>
              <w:jc w:val="left"/>
              <w:rPr/>
            </w:pPr>
            <w:hyperlink w:anchor="tACR">
              <w:r>
                <w:rPr>
                  <w:rStyle w:val="InternetLink"/>
                  <w:spacing w:val="-1"/>
                </w:rPr>
                <w:t xml:space="preserve">AUDIT COMMITTEE REPORT </w:t>
              </w:r>
            </w:hyperlink>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jc w:val="right"/>
              <w:rPr/>
            </w:pPr>
            <w:r>
              <w:rPr/>
              <w:t>​</w:t>
            </w:r>
          </w:p>
        </w:tc>
        <w:tc>
          <w:tcPr>
            <w:tcW w:w="368" w:type="dxa"/>
            <w:tcBorders/>
            <w:shd w:fill="CCEEFF" w:val="clear"/>
            <w:vAlign w:val="center"/>
          </w:tcPr>
          <w:p>
            <w:pPr>
              <w:pStyle w:val="TableContents"/>
              <w:spacing w:before="0" w:after="283"/>
              <w:jc w:val="right"/>
              <w:rPr/>
            </w:pPr>
            <w:hyperlink w:anchor="tACR">
              <w:r>
                <w:rPr>
                  <w:rStyle w:val="InternetLink"/>
                  <w:spacing w:val="-1"/>
                </w:rPr>
                <w:t>21</w:t>
              </w:r>
            </w:hyperlink>
            <w:r>
              <w:rPr/>
              <w:t xml:space="preserve"> </w:t>
            </w:r>
          </w:p>
        </w:tc>
        <w:tc>
          <w:tcPr>
            <w:tcW w:w="109" w:type="dxa"/>
            <w:tcBorders/>
            <w:shd w:fill="CCEEFF" w:val="clear"/>
            <w:vAlign w:val="center"/>
          </w:tcPr>
          <w:p>
            <w:pPr>
              <w:pStyle w:val="TableContents"/>
              <w:spacing w:before="0" w:after="283"/>
              <w:rPr/>
            </w:pPr>
            <w:r>
              <w:rPr/>
              <w:t>​</w:t>
            </w:r>
          </w:p>
        </w:tc>
        <w:tc>
          <w:tcPr>
            <w:tcW w:w="155" w:type="dxa"/>
            <w:tcBorders/>
            <w:shd w:fill="CCEEFF"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8053" w:type="dxa"/>
            <w:tcBorders/>
            <w:shd w:fill="auto" w:val="clear"/>
            <w:vAlign w:val="center"/>
          </w:tcPr>
          <w:p>
            <w:pPr>
              <w:pStyle w:val="TableContents"/>
              <w:spacing w:before="0" w:after="0"/>
              <w:jc w:val="left"/>
              <w:rPr/>
            </w:pPr>
            <w:hyperlink w:anchor="tEXOF">
              <w:r>
                <w:rPr>
                  <w:rStyle w:val="InternetLink"/>
                  <w:spacing w:val="-1"/>
                </w:rPr>
                <w:t xml:space="preserve">EXECUTIVE OFFICERS </w:t>
              </w:r>
            </w:hyperlink>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368" w:type="dxa"/>
            <w:tcBorders/>
            <w:shd w:fill="auto" w:val="clear"/>
            <w:vAlign w:val="center"/>
          </w:tcPr>
          <w:p>
            <w:pPr>
              <w:pStyle w:val="TableContents"/>
              <w:spacing w:before="0" w:after="283"/>
              <w:jc w:val="right"/>
              <w:rPr/>
            </w:pPr>
            <w:hyperlink w:anchor="tEXOF">
              <w:r>
                <w:rPr>
                  <w:rStyle w:val="InternetLink"/>
                  <w:spacing w:val="-1"/>
                </w:rPr>
                <w:t>22</w:t>
              </w:r>
            </w:hyperlink>
            <w:r>
              <w:rPr/>
              <w:t xml:space="preserve"> </w:t>
            </w:r>
          </w:p>
        </w:tc>
        <w:tc>
          <w:tcPr>
            <w:tcW w:w="109" w:type="dxa"/>
            <w:tcBorders/>
            <w:shd w:fill="auto" w:val="clear"/>
            <w:vAlign w:val="center"/>
          </w:tcPr>
          <w:p>
            <w:pPr>
              <w:pStyle w:val="TableContents"/>
              <w:spacing w:before="0" w:after="283"/>
              <w:rPr/>
            </w:pPr>
            <w:r>
              <w:rPr/>
              <w:t>​</w:t>
            </w:r>
          </w:p>
        </w:tc>
        <w:tc>
          <w:tcPr>
            <w:tcW w:w="155" w:type="dxa"/>
            <w:tcBorders/>
            <w:shd w:fill="auto" w:val="clear"/>
            <w:vAlign w:val="center"/>
          </w:tcPr>
          <w:p>
            <w:pPr>
              <w:pStyle w:val="TableContents"/>
              <w:spacing w:before="0" w:after="283"/>
              <w:rPr/>
            </w:pPr>
            <w:r>
              <w:rPr/>
              <w:t>​</w:t>
            </w:r>
          </w:p>
        </w:tc>
      </w:tr>
      <w:tr>
        <w:trPr/>
        <w:tc>
          <w:tcPr>
            <w:tcW w:w="124" w:type="dxa"/>
            <w:tcBorders/>
            <w:shd w:fill="CCEEFF" w:val="clear"/>
            <w:vAlign w:val="center"/>
          </w:tcPr>
          <w:p>
            <w:pPr>
              <w:pStyle w:val="TableContents"/>
              <w:spacing w:before="0" w:after="283"/>
              <w:rPr/>
            </w:pPr>
            <w:r>
              <w:rPr/>
              <w:t>​</w:t>
            </w:r>
          </w:p>
        </w:tc>
        <w:tc>
          <w:tcPr>
            <w:tcW w:w="8053" w:type="dxa"/>
            <w:tcBorders/>
            <w:shd w:fill="CCEEFF" w:val="clear"/>
            <w:vAlign w:val="center"/>
          </w:tcPr>
          <w:p>
            <w:pPr>
              <w:pStyle w:val="TableContents"/>
              <w:spacing w:before="0" w:after="0"/>
              <w:ind w:left="800" w:right="0" w:hanging="0"/>
              <w:jc w:val="left"/>
              <w:rPr/>
            </w:pPr>
            <w:hyperlink w:anchor="tSCT">
              <w:r>
                <w:rPr>
                  <w:rStyle w:val="InternetLink"/>
                  <w:spacing w:val="-1"/>
                </w:rPr>
                <w:t xml:space="preserve">SUMMARY COMPENSATION TABLE </w:t>
              </w:r>
            </w:hyperlink>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jc w:val="right"/>
              <w:rPr/>
            </w:pPr>
            <w:r>
              <w:rPr/>
              <w:t>​</w:t>
            </w:r>
          </w:p>
        </w:tc>
        <w:tc>
          <w:tcPr>
            <w:tcW w:w="368" w:type="dxa"/>
            <w:tcBorders/>
            <w:shd w:fill="CCEEFF" w:val="clear"/>
            <w:vAlign w:val="center"/>
          </w:tcPr>
          <w:p>
            <w:pPr>
              <w:pStyle w:val="TableContents"/>
              <w:spacing w:before="0" w:after="283"/>
              <w:jc w:val="right"/>
              <w:rPr/>
            </w:pPr>
            <w:hyperlink w:anchor="tSCT">
              <w:r>
                <w:rPr>
                  <w:rStyle w:val="InternetLink"/>
                  <w:spacing w:val="-1"/>
                </w:rPr>
                <w:t>24</w:t>
              </w:r>
            </w:hyperlink>
            <w:r>
              <w:rPr/>
              <w:t xml:space="preserve"> </w:t>
            </w:r>
          </w:p>
        </w:tc>
        <w:tc>
          <w:tcPr>
            <w:tcW w:w="109" w:type="dxa"/>
            <w:tcBorders/>
            <w:shd w:fill="CCEEFF" w:val="clear"/>
            <w:vAlign w:val="center"/>
          </w:tcPr>
          <w:p>
            <w:pPr>
              <w:pStyle w:val="TableContents"/>
              <w:spacing w:before="0" w:after="283"/>
              <w:rPr/>
            </w:pPr>
            <w:r>
              <w:rPr/>
              <w:t>​</w:t>
            </w:r>
          </w:p>
        </w:tc>
        <w:tc>
          <w:tcPr>
            <w:tcW w:w="155" w:type="dxa"/>
            <w:tcBorders/>
            <w:shd w:fill="CCEEFF"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8053" w:type="dxa"/>
            <w:tcBorders/>
            <w:shd w:fill="auto" w:val="clear"/>
            <w:vAlign w:val="center"/>
          </w:tcPr>
          <w:p>
            <w:pPr>
              <w:pStyle w:val="TableContents"/>
              <w:spacing w:before="0" w:after="0"/>
              <w:ind w:left="800" w:right="0" w:hanging="0"/>
              <w:jc w:val="left"/>
              <w:rPr/>
            </w:pPr>
            <w:hyperlink w:anchor="tPAHP">
              <w:r>
                <w:rPr>
                  <w:rStyle w:val="InternetLink"/>
                  <w:spacing w:val="-1"/>
                </w:rPr>
                <w:t xml:space="preserve">PLEDGING AND HEDGING POLICIES </w:t>
              </w:r>
            </w:hyperlink>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368" w:type="dxa"/>
            <w:tcBorders/>
            <w:shd w:fill="auto" w:val="clear"/>
            <w:vAlign w:val="center"/>
          </w:tcPr>
          <w:p>
            <w:pPr>
              <w:pStyle w:val="TableContents"/>
              <w:spacing w:before="0" w:after="283"/>
              <w:jc w:val="right"/>
              <w:rPr/>
            </w:pPr>
            <w:hyperlink w:anchor="tPAHP">
              <w:r>
                <w:rPr>
                  <w:rStyle w:val="InternetLink"/>
                  <w:spacing w:val="-1"/>
                </w:rPr>
                <w:t>25</w:t>
              </w:r>
            </w:hyperlink>
            <w:r>
              <w:rPr/>
              <w:t xml:space="preserve"> </w:t>
            </w:r>
          </w:p>
        </w:tc>
        <w:tc>
          <w:tcPr>
            <w:tcW w:w="109" w:type="dxa"/>
            <w:tcBorders/>
            <w:shd w:fill="auto" w:val="clear"/>
            <w:vAlign w:val="center"/>
          </w:tcPr>
          <w:p>
            <w:pPr>
              <w:pStyle w:val="TableContents"/>
              <w:spacing w:before="0" w:after="283"/>
              <w:rPr/>
            </w:pPr>
            <w:r>
              <w:rPr/>
              <w:t>​</w:t>
            </w:r>
          </w:p>
        </w:tc>
        <w:tc>
          <w:tcPr>
            <w:tcW w:w="155" w:type="dxa"/>
            <w:tcBorders/>
            <w:shd w:fill="auto" w:val="clear"/>
            <w:vAlign w:val="center"/>
          </w:tcPr>
          <w:p>
            <w:pPr>
              <w:pStyle w:val="TableContents"/>
              <w:spacing w:before="0" w:after="283"/>
              <w:rPr/>
            </w:pPr>
            <w:r>
              <w:rPr/>
              <w:t>​</w:t>
            </w:r>
          </w:p>
        </w:tc>
      </w:tr>
      <w:tr>
        <w:trPr/>
        <w:tc>
          <w:tcPr>
            <w:tcW w:w="124" w:type="dxa"/>
            <w:tcBorders/>
            <w:shd w:fill="CCEEFF" w:val="clear"/>
            <w:vAlign w:val="center"/>
          </w:tcPr>
          <w:p>
            <w:pPr>
              <w:pStyle w:val="TableContents"/>
              <w:spacing w:before="0" w:after="283"/>
              <w:rPr/>
            </w:pPr>
            <w:r>
              <w:rPr/>
              <w:t>​</w:t>
            </w:r>
          </w:p>
        </w:tc>
        <w:tc>
          <w:tcPr>
            <w:tcW w:w="8053" w:type="dxa"/>
            <w:tcBorders/>
            <w:shd w:fill="CCEEFF" w:val="clear"/>
            <w:vAlign w:val="center"/>
          </w:tcPr>
          <w:p>
            <w:pPr>
              <w:pStyle w:val="TableContents"/>
              <w:spacing w:before="0" w:after="0"/>
              <w:ind w:left="800" w:right="0" w:hanging="0"/>
              <w:jc w:val="left"/>
              <w:rPr/>
            </w:pPr>
            <w:hyperlink w:anchor="tOEAA">
              <w:r>
                <w:rPr>
                  <w:rStyle w:val="InternetLink"/>
                  <w:spacing w:val="-1"/>
                </w:rPr>
                <w:t xml:space="preserve">OUTSTANDING EQUITY AWARDS AT FISCAL YEAR-END </w:t>
              </w:r>
            </w:hyperlink>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jc w:val="right"/>
              <w:rPr/>
            </w:pPr>
            <w:r>
              <w:rPr/>
              <w:t>​</w:t>
            </w:r>
          </w:p>
        </w:tc>
        <w:tc>
          <w:tcPr>
            <w:tcW w:w="368" w:type="dxa"/>
            <w:tcBorders/>
            <w:shd w:fill="CCEEFF" w:val="clear"/>
            <w:vAlign w:val="center"/>
          </w:tcPr>
          <w:p>
            <w:pPr>
              <w:pStyle w:val="TableContents"/>
              <w:spacing w:before="0" w:after="283"/>
              <w:jc w:val="right"/>
              <w:rPr/>
            </w:pPr>
            <w:hyperlink w:anchor="tOEAA">
              <w:r>
                <w:rPr>
                  <w:rStyle w:val="InternetLink"/>
                  <w:spacing w:val="-1"/>
                </w:rPr>
                <w:t>25</w:t>
              </w:r>
            </w:hyperlink>
            <w:r>
              <w:rPr/>
              <w:t xml:space="preserve"> </w:t>
            </w:r>
          </w:p>
        </w:tc>
        <w:tc>
          <w:tcPr>
            <w:tcW w:w="109" w:type="dxa"/>
            <w:tcBorders/>
            <w:shd w:fill="CCEEFF" w:val="clear"/>
            <w:vAlign w:val="center"/>
          </w:tcPr>
          <w:p>
            <w:pPr>
              <w:pStyle w:val="TableContents"/>
              <w:spacing w:before="0" w:after="283"/>
              <w:rPr/>
            </w:pPr>
            <w:r>
              <w:rPr/>
              <w:t>​</w:t>
            </w:r>
          </w:p>
        </w:tc>
        <w:tc>
          <w:tcPr>
            <w:tcW w:w="155" w:type="dxa"/>
            <w:tcBorders/>
            <w:shd w:fill="CCEEFF"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8053" w:type="dxa"/>
            <w:tcBorders/>
            <w:shd w:fill="auto" w:val="clear"/>
            <w:vAlign w:val="center"/>
          </w:tcPr>
          <w:p>
            <w:pPr>
              <w:pStyle w:val="TableContents"/>
              <w:spacing w:before="0" w:after="0"/>
              <w:ind w:left="800" w:right="0" w:hanging="0"/>
              <w:jc w:val="left"/>
              <w:rPr/>
            </w:pPr>
            <w:hyperlink w:anchor="tEMAG">
              <w:r>
                <w:rPr>
                  <w:rStyle w:val="InternetLink"/>
                  <w:spacing w:val="-1"/>
                </w:rPr>
                <w:t xml:space="preserve">EMPLOYMENT AGREEMENTS </w:t>
              </w:r>
            </w:hyperlink>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368" w:type="dxa"/>
            <w:tcBorders/>
            <w:shd w:fill="auto" w:val="clear"/>
            <w:vAlign w:val="center"/>
          </w:tcPr>
          <w:p>
            <w:pPr>
              <w:pStyle w:val="TableContents"/>
              <w:spacing w:before="0" w:after="283"/>
              <w:jc w:val="right"/>
              <w:rPr/>
            </w:pPr>
            <w:hyperlink w:anchor="tEMAG">
              <w:r>
                <w:rPr>
                  <w:rStyle w:val="InternetLink"/>
                  <w:spacing w:val="-1"/>
                </w:rPr>
                <w:t>26</w:t>
              </w:r>
            </w:hyperlink>
            <w:r>
              <w:rPr/>
              <w:t xml:space="preserve"> </w:t>
            </w:r>
          </w:p>
        </w:tc>
        <w:tc>
          <w:tcPr>
            <w:tcW w:w="109" w:type="dxa"/>
            <w:tcBorders/>
            <w:shd w:fill="auto" w:val="clear"/>
            <w:vAlign w:val="center"/>
          </w:tcPr>
          <w:p>
            <w:pPr>
              <w:pStyle w:val="TableContents"/>
              <w:spacing w:before="0" w:after="283"/>
              <w:rPr/>
            </w:pPr>
            <w:r>
              <w:rPr/>
              <w:t>​</w:t>
            </w:r>
          </w:p>
        </w:tc>
        <w:tc>
          <w:tcPr>
            <w:tcW w:w="155" w:type="dxa"/>
            <w:tcBorders/>
            <w:shd w:fill="auto" w:val="clear"/>
            <w:vAlign w:val="center"/>
          </w:tcPr>
          <w:p>
            <w:pPr>
              <w:pStyle w:val="TableContents"/>
              <w:spacing w:before="0" w:after="283"/>
              <w:rPr/>
            </w:pPr>
            <w:r>
              <w:rPr/>
              <w:t>​</w:t>
            </w:r>
          </w:p>
        </w:tc>
      </w:tr>
      <w:tr>
        <w:trPr/>
        <w:tc>
          <w:tcPr>
            <w:tcW w:w="124" w:type="dxa"/>
            <w:tcBorders/>
            <w:shd w:fill="CCEEFF" w:val="clear"/>
            <w:vAlign w:val="center"/>
          </w:tcPr>
          <w:p>
            <w:pPr>
              <w:pStyle w:val="TableContents"/>
              <w:spacing w:before="0" w:after="283"/>
              <w:rPr/>
            </w:pPr>
            <w:r>
              <w:rPr/>
              <w:t>​</w:t>
            </w:r>
          </w:p>
        </w:tc>
        <w:tc>
          <w:tcPr>
            <w:tcW w:w="8053" w:type="dxa"/>
            <w:tcBorders/>
            <w:shd w:fill="CCEEFF" w:val="clear"/>
            <w:vAlign w:val="center"/>
          </w:tcPr>
          <w:p>
            <w:pPr>
              <w:pStyle w:val="TableContents"/>
              <w:spacing w:before="0" w:after="0"/>
              <w:jc w:val="left"/>
              <w:rPr/>
            </w:pPr>
            <w:hyperlink w:anchor="tCRAR">
              <w:r>
                <w:rPr>
                  <w:rStyle w:val="InternetLink"/>
                  <w:spacing w:val="-1"/>
                </w:rPr>
                <w:t xml:space="preserve">CERTAIN RELATIONSHIPS AND RELATED PARTY TRANSACTIONS </w:t>
              </w:r>
            </w:hyperlink>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jc w:val="right"/>
              <w:rPr/>
            </w:pPr>
            <w:r>
              <w:rPr/>
              <w:t>​</w:t>
            </w:r>
          </w:p>
        </w:tc>
        <w:tc>
          <w:tcPr>
            <w:tcW w:w="368" w:type="dxa"/>
            <w:tcBorders/>
            <w:shd w:fill="CCEEFF" w:val="clear"/>
            <w:vAlign w:val="center"/>
          </w:tcPr>
          <w:p>
            <w:pPr>
              <w:pStyle w:val="TableContents"/>
              <w:spacing w:before="0" w:after="283"/>
              <w:jc w:val="right"/>
              <w:rPr/>
            </w:pPr>
            <w:hyperlink w:anchor="tCRAR">
              <w:r>
                <w:rPr>
                  <w:rStyle w:val="InternetLink"/>
                  <w:spacing w:val="-1"/>
                </w:rPr>
                <w:t>28</w:t>
              </w:r>
            </w:hyperlink>
            <w:r>
              <w:rPr/>
              <w:t xml:space="preserve"> </w:t>
            </w:r>
          </w:p>
        </w:tc>
        <w:tc>
          <w:tcPr>
            <w:tcW w:w="109" w:type="dxa"/>
            <w:tcBorders/>
            <w:shd w:fill="CCEEFF" w:val="clear"/>
            <w:vAlign w:val="center"/>
          </w:tcPr>
          <w:p>
            <w:pPr>
              <w:pStyle w:val="TableContents"/>
              <w:spacing w:before="0" w:after="283"/>
              <w:rPr/>
            </w:pPr>
            <w:r>
              <w:rPr/>
              <w:t>​</w:t>
            </w:r>
          </w:p>
        </w:tc>
        <w:tc>
          <w:tcPr>
            <w:tcW w:w="155" w:type="dxa"/>
            <w:tcBorders/>
            <w:shd w:fill="CCEEFF"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8053" w:type="dxa"/>
            <w:tcBorders/>
            <w:shd w:fill="auto" w:val="clear"/>
            <w:vAlign w:val="center"/>
          </w:tcPr>
          <w:p>
            <w:pPr>
              <w:pStyle w:val="TableContents"/>
              <w:spacing w:before="0" w:after="0"/>
              <w:jc w:val="left"/>
              <w:rPr/>
            </w:pPr>
            <w:hyperlink w:anchor="tECPI">
              <w:r>
                <w:rPr>
                  <w:rStyle w:val="InternetLink"/>
                  <w:spacing w:val="-1"/>
                </w:rPr>
                <w:t xml:space="preserve">EQUITY COMPENSATION PLAN INFORMATION </w:t>
              </w:r>
            </w:hyperlink>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368" w:type="dxa"/>
            <w:tcBorders/>
            <w:shd w:fill="auto" w:val="clear"/>
            <w:vAlign w:val="center"/>
          </w:tcPr>
          <w:p>
            <w:pPr>
              <w:pStyle w:val="TableContents"/>
              <w:spacing w:before="0" w:after="283"/>
              <w:jc w:val="right"/>
              <w:rPr/>
            </w:pPr>
            <w:hyperlink w:anchor="tECPI">
              <w:r>
                <w:rPr>
                  <w:rStyle w:val="InternetLink"/>
                  <w:spacing w:val="-1"/>
                </w:rPr>
                <w:t>32</w:t>
              </w:r>
            </w:hyperlink>
            <w:r>
              <w:rPr/>
              <w:t xml:space="preserve"> </w:t>
            </w:r>
          </w:p>
        </w:tc>
        <w:tc>
          <w:tcPr>
            <w:tcW w:w="109" w:type="dxa"/>
            <w:tcBorders/>
            <w:shd w:fill="auto" w:val="clear"/>
            <w:vAlign w:val="center"/>
          </w:tcPr>
          <w:p>
            <w:pPr>
              <w:pStyle w:val="TableContents"/>
              <w:spacing w:before="0" w:after="283"/>
              <w:rPr/>
            </w:pPr>
            <w:r>
              <w:rPr/>
              <w:t>​</w:t>
            </w:r>
          </w:p>
        </w:tc>
        <w:tc>
          <w:tcPr>
            <w:tcW w:w="155" w:type="dxa"/>
            <w:tcBorders/>
            <w:shd w:fill="auto" w:val="clear"/>
            <w:vAlign w:val="center"/>
          </w:tcPr>
          <w:p>
            <w:pPr>
              <w:pStyle w:val="TableContents"/>
              <w:spacing w:before="0" w:after="283"/>
              <w:rPr/>
            </w:pPr>
            <w:r>
              <w:rPr/>
              <w:t>​</w:t>
            </w:r>
          </w:p>
        </w:tc>
      </w:tr>
      <w:tr>
        <w:trPr/>
        <w:tc>
          <w:tcPr>
            <w:tcW w:w="124" w:type="dxa"/>
            <w:tcBorders/>
            <w:shd w:fill="CCEEFF" w:val="clear"/>
            <w:vAlign w:val="center"/>
          </w:tcPr>
          <w:p>
            <w:pPr>
              <w:pStyle w:val="TableContents"/>
              <w:spacing w:before="0" w:after="283"/>
              <w:rPr/>
            </w:pPr>
            <w:r>
              <w:rPr/>
              <w:t>​</w:t>
            </w:r>
          </w:p>
        </w:tc>
        <w:tc>
          <w:tcPr>
            <w:tcW w:w="8053" w:type="dxa"/>
            <w:tcBorders/>
            <w:shd w:fill="CCEEFF" w:val="clear"/>
            <w:vAlign w:val="center"/>
          </w:tcPr>
          <w:p>
            <w:pPr>
              <w:pStyle w:val="TableContents"/>
              <w:spacing w:before="0" w:after="0"/>
              <w:jc w:val="left"/>
              <w:rPr/>
            </w:pPr>
            <w:hyperlink w:anchor="tSOOC">
              <w:r>
                <w:rPr>
                  <w:rStyle w:val="InternetLink"/>
                  <w:spacing w:val="-1"/>
                </w:rPr>
                <w:t xml:space="preserve">SECURITY OWNERSHIP OF CERTAIN BENEFICIAL OWNERS AND MANAGEMENT </w:t>
              </w:r>
            </w:hyperlink>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jc w:val="right"/>
              <w:rPr/>
            </w:pPr>
            <w:r>
              <w:rPr/>
              <w:t>​</w:t>
            </w:r>
          </w:p>
        </w:tc>
        <w:tc>
          <w:tcPr>
            <w:tcW w:w="368" w:type="dxa"/>
            <w:tcBorders/>
            <w:shd w:fill="CCEEFF" w:val="clear"/>
            <w:vAlign w:val="center"/>
          </w:tcPr>
          <w:p>
            <w:pPr>
              <w:pStyle w:val="TableContents"/>
              <w:spacing w:before="0" w:after="283"/>
              <w:jc w:val="right"/>
              <w:rPr/>
            </w:pPr>
            <w:hyperlink w:anchor="tSOOC">
              <w:r>
                <w:rPr>
                  <w:rStyle w:val="InternetLink"/>
                  <w:spacing w:val="-1"/>
                </w:rPr>
                <w:t>33</w:t>
              </w:r>
            </w:hyperlink>
            <w:r>
              <w:rPr/>
              <w:t xml:space="preserve"> </w:t>
            </w:r>
          </w:p>
        </w:tc>
        <w:tc>
          <w:tcPr>
            <w:tcW w:w="109" w:type="dxa"/>
            <w:tcBorders/>
            <w:shd w:fill="CCEEFF" w:val="clear"/>
            <w:vAlign w:val="center"/>
          </w:tcPr>
          <w:p>
            <w:pPr>
              <w:pStyle w:val="TableContents"/>
              <w:spacing w:before="0" w:after="283"/>
              <w:rPr/>
            </w:pPr>
            <w:r>
              <w:rPr/>
              <w:t>​</w:t>
            </w:r>
          </w:p>
        </w:tc>
        <w:tc>
          <w:tcPr>
            <w:tcW w:w="155" w:type="dxa"/>
            <w:tcBorders/>
            <w:shd w:fill="CCEEFF"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8053" w:type="dxa"/>
            <w:tcBorders/>
            <w:shd w:fill="auto" w:val="clear"/>
            <w:vAlign w:val="center"/>
          </w:tcPr>
          <w:p>
            <w:pPr>
              <w:pStyle w:val="TableContents"/>
              <w:spacing w:before="0" w:after="0"/>
              <w:jc w:val="left"/>
              <w:rPr/>
            </w:pPr>
            <w:hyperlink w:anchor="tITBV">
              <w:r>
                <w:rPr>
                  <w:rStyle w:val="InternetLink"/>
                  <w:spacing w:val="-1"/>
                </w:rPr>
                <w:t xml:space="preserve">ITEMS TO BE VOTED ON </w:t>
              </w:r>
            </w:hyperlink>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368" w:type="dxa"/>
            <w:tcBorders/>
            <w:shd w:fill="auto" w:val="clear"/>
            <w:vAlign w:val="center"/>
          </w:tcPr>
          <w:p>
            <w:pPr>
              <w:pStyle w:val="TableContents"/>
              <w:spacing w:before="0" w:after="283"/>
              <w:jc w:val="right"/>
              <w:rPr/>
            </w:pPr>
            <w:hyperlink w:anchor="tITBV">
              <w:r>
                <w:rPr>
                  <w:rStyle w:val="InternetLink"/>
                  <w:spacing w:val="-1"/>
                </w:rPr>
                <w:t>35</w:t>
              </w:r>
            </w:hyperlink>
            <w:r>
              <w:rPr/>
              <w:t xml:space="preserve"> </w:t>
            </w:r>
          </w:p>
        </w:tc>
        <w:tc>
          <w:tcPr>
            <w:tcW w:w="109" w:type="dxa"/>
            <w:tcBorders/>
            <w:shd w:fill="auto" w:val="clear"/>
            <w:vAlign w:val="center"/>
          </w:tcPr>
          <w:p>
            <w:pPr>
              <w:pStyle w:val="TableContents"/>
              <w:spacing w:before="0" w:after="283"/>
              <w:rPr/>
            </w:pPr>
            <w:r>
              <w:rPr/>
              <w:t>​</w:t>
            </w:r>
          </w:p>
        </w:tc>
        <w:tc>
          <w:tcPr>
            <w:tcW w:w="155" w:type="dxa"/>
            <w:tcBorders/>
            <w:shd w:fill="auto" w:val="clear"/>
            <w:vAlign w:val="center"/>
          </w:tcPr>
          <w:p>
            <w:pPr>
              <w:pStyle w:val="TableContents"/>
              <w:spacing w:before="0" w:after="283"/>
              <w:rPr/>
            </w:pPr>
            <w:r>
              <w:rPr/>
              <w:t>​</w:t>
            </w:r>
          </w:p>
        </w:tc>
      </w:tr>
      <w:tr>
        <w:trPr/>
        <w:tc>
          <w:tcPr>
            <w:tcW w:w="124" w:type="dxa"/>
            <w:tcBorders/>
            <w:shd w:fill="CCEEFF" w:val="clear"/>
            <w:vAlign w:val="center"/>
          </w:tcPr>
          <w:p>
            <w:pPr>
              <w:pStyle w:val="TableContents"/>
              <w:spacing w:before="0" w:after="283"/>
              <w:rPr/>
            </w:pPr>
            <w:r>
              <w:rPr/>
              <w:t>​</w:t>
            </w:r>
          </w:p>
        </w:tc>
        <w:tc>
          <w:tcPr>
            <w:tcW w:w="8053" w:type="dxa"/>
            <w:tcBorders/>
            <w:shd w:fill="CCEEFF" w:val="clear"/>
            <w:vAlign w:val="center"/>
          </w:tcPr>
          <w:p>
            <w:pPr>
              <w:pStyle w:val="TableContents"/>
              <w:spacing w:before="0" w:after="0"/>
              <w:ind w:left="800" w:right="0" w:hanging="0"/>
              <w:jc w:val="left"/>
              <w:rPr/>
            </w:pPr>
            <w:hyperlink w:anchor="tP1EO">
              <w:r>
                <w:rPr>
                  <w:rStyle w:val="InternetLink"/>
                  <w:spacing w:val="-1"/>
                </w:rPr>
                <w:t xml:space="preserve">PROPOSAL 1: ELECTION OF CLASS II DIRECTORS FOR A THREE-YEAR TERM </w:t>
              </w:r>
            </w:hyperlink>
            <w:hyperlink w:anchor="tP1EO">
              <w:r>
                <w:rPr>
                  <w:rStyle w:val="InternetLink"/>
                </w:rPr>
                <w:br/>
              </w:r>
            </w:hyperlink>
            <w:hyperlink w:anchor="tP1EO">
              <w:r>
                <w:rPr>
                  <w:rStyle w:val="InternetLink"/>
                  <w:spacing w:val="-1"/>
                </w:rPr>
                <w:t xml:space="preserve">EXPIRING IN 2026 </w:t>
              </w:r>
            </w:hyperlink>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jc w:val="right"/>
              <w:rPr/>
            </w:pPr>
            <w:r>
              <w:rPr/>
              <w:t>​</w:t>
            </w:r>
          </w:p>
        </w:tc>
        <w:tc>
          <w:tcPr>
            <w:tcW w:w="368" w:type="dxa"/>
            <w:tcBorders/>
            <w:shd w:fill="CCEEFF" w:val="clear"/>
            <w:vAlign w:val="center"/>
          </w:tcPr>
          <w:p>
            <w:pPr>
              <w:pStyle w:val="TableContents"/>
              <w:spacing w:before="0" w:after="283"/>
              <w:jc w:val="right"/>
              <w:rPr/>
            </w:pPr>
            <w:hyperlink w:anchor="tP1EO">
              <w:r>
                <w:rPr>
                  <w:rStyle w:val="InternetLink"/>
                  <w:spacing w:val="-1"/>
                </w:rPr>
                <w:t>35</w:t>
              </w:r>
            </w:hyperlink>
            <w:r>
              <w:rPr/>
              <w:t xml:space="preserve"> </w:t>
            </w:r>
          </w:p>
        </w:tc>
        <w:tc>
          <w:tcPr>
            <w:tcW w:w="109" w:type="dxa"/>
            <w:tcBorders/>
            <w:shd w:fill="CCEEFF" w:val="clear"/>
            <w:vAlign w:val="center"/>
          </w:tcPr>
          <w:p>
            <w:pPr>
              <w:pStyle w:val="TableContents"/>
              <w:spacing w:before="0" w:after="283"/>
              <w:rPr/>
            </w:pPr>
            <w:r>
              <w:rPr/>
              <w:t>​</w:t>
            </w:r>
          </w:p>
        </w:tc>
        <w:tc>
          <w:tcPr>
            <w:tcW w:w="155" w:type="dxa"/>
            <w:tcBorders/>
            <w:shd w:fill="CCEEFF"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8053" w:type="dxa"/>
            <w:tcBorders/>
            <w:shd w:fill="auto" w:val="clear"/>
            <w:vAlign w:val="center"/>
          </w:tcPr>
          <w:p>
            <w:pPr>
              <w:pStyle w:val="TableContents"/>
              <w:spacing w:before="0" w:after="0"/>
              <w:ind w:left="800" w:right="0" w:hanging="0"/>
              <w:jc w:val="left"/>
              <w:rPr/>
            </w:pPr>
            <w:hyperlink w:anchor="tP2RO">
              <w:r>
                <w:rPr>
                  <w:rStyle w:val="InternetLink"/>
                  <w:spacing w:val="-1"/>
                </w:rPr>
                <w:t xml:space="preserve">PROPOSAL 2: RATIFICATION OF APPOINTMENT OF ERNST &amp; YOUNG LLP AS OUR INDEPENDENT REGISTERED PUBLIC ACCOUNTING FIRM FOR 2023 </w:t>
              </w:r>
            </w:hyperlink>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368" w:type="dxa"/>
            <w:tcBorders/>
            <w:shd w:fill="auto" w:val="clear"/>
            <w:vAlign w:val="center"/>
          </w:tcPr>
          <w:p>
            <w:pPr>
              <w:pStyle w:val="TableContents"/>
              <w:spacing w:before="0" w:after="283"/>
              <w:jc w:val="right"/>
              <w:rPr/>
            </w:pPr>
            <w:hyperlink w:anchor="tP2RO">
              <w:r>
                <w:rPr>
                  <w:rStyle w:val="InternetLink"/>
                  <w:spacing w:val="-1"/>
                </w:rPr>
                <w:t>36</w:t>
              </w:r>
            </w:hyperlink>
            <w:r>
              <w:rPr/>
              <w:t xml:space="preserve"> </w:t>
            </w:r>
          </w:p>
        </w:tc>
        <w:tc>
          <w:tcPr>
            <w:tcW w:w="109" w:type="dxa"/>
            <w:tcBorders/>
            <w:shd w:fill="auto" w:val="clear"/>
            <w:vAlign w:val="center"/>
          </w:tcPr>
          <w:p>
            <w:pPr>
              <w:pStyle w:val="TableContents"/>
              <w:spacing w:before="0" w:after="283"/>
              <w:rPr/>
            </w:pPr>
            <w:r>
              <w:rPr/>
              <w:t>​</w:t>
            </w:r>
          </w:p>
        </w:tc>
        <w:tc>
          <w:tcPr>
            <w:tcW w:w="155" w:type="dxa"/>
            <w:tcBorders/>
            <w:shd w:fill="auto" w:val="clear"/>
            <w:vAlign w:val="center"/>
          </w:tcPr>
          <w:p>
            <w:pPr>
              <w:pStyle w:val="TableContents"/>
              <w:spacing w:before="0" w:after="283"/>
              <w:rPr/>
            </w:pPr>
            <w:r>
              <w:rPr/>
              <w:t>​</w:t>
            </w:r>
          </w:p>
        </w:tc>
      </w:tr>
      <w:tr>
        <w:trPr/>
        <w:tc>
          <w:tcPr>
            <w:tcW w:w="124" w:type="dxa"/>
            <w:tcBorders/>
            <w:shd w:fill="CCEEFF" w:val="clear"/>
            <w:vAlign w:val="center"/>
          </w:tcPr>
          <w:p>
            <w:pPr>
              <w:pStyle w:val="TableContents"/>
              <w:spacing w:before="0" w:after="283"/>
              <w:rPr/>
            </w:pPr>
            <w:r>
              <w:rPr/>
              <w:t>​</w:t>
            </w:r>
          </w:p>
        </w:tc>
        <w:tc>
          <w:tcPr>
            <w:tcW w:w="8053" w:type="dxa"/>
            <w:tcBorders/>
            <w:shd w:fill="CCEEFF" w:val="clear"/>
            <w:vAlign w:val="center"/>
          </w:tcPr>
          <w:p>
            <w:pPr>
              <w:pStyle w:val="TableContents"/>
              <w:spacing w:before="0" w:after="0"/>
              <w:jc w:val="left"/>
              <w:rPr/>
            </w:pPr>
            <w:hyperlink w:anchor="tOTIN">
              <w:r>
                <w:rPr>
                  <w:rStyle w:val="InternetLink"/>
                  <w:spacing w:val="-1"/>
                </w:rPr>
                <w:t xml:space="preserve">OTHER INFORMATION </w:t>
              </w:r>
            </w:hyperlink>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jc w:val="right"/>
              <w:rPr/>
            </w:pPr>
            <w:r>
              <w:rPr/>
              <w:t>​</w:t>
            </w:r>
          </w:p>
        </w:tc>
        <w:tc>
          <w:tcPr>
            <w:tcW w:w="368" w:type="dxa"/>
            <w:tcBorders/>
            <w:shd w:fill="CCEEFF" w:val="clear"/>
            <w:vAlign w:val="center"/>
          </w:tcPr>
          <w:p>
            <w:pPr>
              <w:pStyle w:val="TableContents"/>
              <w:spacing w:before="0" w:after="283"/>
              <w:jc w:val="right"/>
              <w:rPr/>
            </w:pPr>
            <w:hyperlink w:anchor="tOTIN">
              <w:r>
                <w:rPr>
                  <w:rStyle w:val="InternetLink"/>
                  <w:spacing w:val="-1"/>
                </w:rPr>
                <w:t>38</w:t>
              </w:r>
            </w:hyperlink>
            <w:r>
              <w:rPr/>
              <w:t xml:space="preserve"> </w:t>
            </w:r>
          </w:p>
        </w:tc>
        <w:tc>
          <w:tcPr>
            <w:tcW w:w="109" w:type="dxa"/>
            <w:tcBorders/>
            <w:shd w:fill="CCEEFF" w:val="clear"/>
            <w:vAlign w:val="center"/>
          </w:tcPr>
          <w:p>
            <w:pPr>
              <w:pStyle w:val="TableContents"/>
              <w:spacing w:before="0" w:after="283"/>
              <w:rPr/>
            </w:pPr>
            <w:r>
              <w:rPr/>
              <w:t>​</w:t>
            </w:r>
          </w:p>
        </w:tc>
        <w:tc>
          <w:tcPr>
            <w:tcW w:w="155" w:type="dxa"/>
            <w:tcBorders/>
            <w:shd w:fill="CCEEFF"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8053" w:type="dxa"/>
            <w:tcBorders/>
            <w:shd w:fill="auto" w:val="clear"/>
            <w:vAlign w:val="center"/>
          </w:tcPr>
          <w:p>
            <w:pPr>
              <w:pStyle w:val="TableContents"/>
              <w:spacing w:before="0" w:after="0"/>
              <w:ind w:left="800" w:right="0" w:hanging="0"/>
              <w:jc w:val="left"/>
              <w:rPr/>
            </w:pPr>
            <w:hyperlink w:anchor="tOTMA">
              <w:r>
                <w:rPr>
                  <w:rStyle w:val="InternetLink"/>
                  <w:spacing w:val="-1"/>
                </w:rPr>
                <w:t xml:space="preserve">OTHER MATTERS </w:t>
              </w:r>
            </w:hyperlink>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368" w:type="dxa"/>
            <w:tcBorders/>
            <w:shd w:fill="auto" w:val="clear"/>
            <w:vAlign w:val="center"/>
          </w:tcPr>
          <w:p>
            <w:pPr>
              <w:pStyle w:val="TableContents"/>
              <w:spacing w:before="0" w:after="283"/>
              <w:jc w:val="right"/>
              <w:rPr/>
            </w:pPr>
            <w:hyperlink w:anchor="tOTMA">
              <w:r>
                <w:rPr>
                  <w:rStyle w:val="InternetLink"/>
                  <w:spacing w:val="-1"/>
                </w:rPr>
                <w:t>37</w:t>
              </w:r>
            </w:hyperlink>
            <w:r>
              <w:rPr/>
              <w:t xml:space="preserve"> </w:t>
            </w:r>
          </w:p>
        </w:tc>
        <w:tc>
          <w:tcPr>
            <w:tcW w:w="109" w:type="dxa"/>
            <w:tcBorders/>
            <w:shd w:fill="auto" w:val="clear"/>
            <w:vAlign w:val="center"/>
          </w:tcPr>
          <w:p>
            <w:pPr>
              <w:pStyle w:val="TableContents"/>
              <w:spacing w:before="0" w:after="283"/>
              <w:rPr/>
            </w:pPr>
            <w:r>
              <w:rPr/>
              <w:t>​</w:t>
            </w:r>
          </w:p>
        </w:tc>
        <w:tc>
          <w:tcPr>
            <w:tcW w:w="155" w:type="dxa"/>
            <w:tcBorders/>
            <w:shd w:fill="auto" w:val="clear"/>
            <w:vAlign w:val="center"/>
          </w:tcPr>
          <w:p>
            <w:pPr>
              <w:pStyle w:val="TableContents"/>
              <w:spacing w:before="0" w:after="283"/>
              <w:rPr/>
            </w:pPr>
            <w:r>
              <w:rPr/>
              <w:t>​</w:t>
            </w:r>
          </w:p>
        </w:tc>
      </w:tr>
      <w:tr>
        <w:trPr/>
        <w:tc>
          <w:tcPr>
            <w:tcW w:w="124" w:type="dxa"/>
            <w:tcBorders/>
            <w:shd w:fill="CCEEFF" w:val="clear"/>
            <w:vAlign w:val="center"/>
          </w:tcPr>
          <w:p>
            <w:pPr>
              <w:pStyle w:val="TableContents"/>
              <w:spacing w:before="0" w:after="283"/>
              <w:rPr/>
            </w:pPr>
            <w:r>
              <w:rPr/>
              <w:t>​</w:t>
            </w:r>
          </w:p>
        </w:tc>
        <w:tc>
          <w:tcPr>
            <w:tcW w:w="8053" w:type="dxa"/>
            <w:tcBorders/>
            <w:shd w:fill="CCEEFF" w:val="clear"/>
            <w:vAlign w:val="center"/>
          </w:tcPr>
          <w:p>
            <w:pPr>
              <w:pStyle w:val="TableContents"/>
              <w:spacing w:before="0" w:after="0"/>
              <w:ind w:left="800" w:right="0" w:hanging="0"/>
              <w:jc w:val="left"/>
              <w:rPr/>
            </w:pPr>
            <w:hyperlink w:anchor="tRFSO">
              <w:r>
                <w:rPr>
                  <w:rStyle w:val="InternetLink"/>
                  <w:spacing w:val="-1"/>
                </w:rPr>
                <w:t xml:space="preserve">REQUIREMENTS FOR SUBMISSION OF STOCKHOLDER PROPOSALS FOR NEXT YEAR’S ANNUAL MEETING </w:t>
              </w:r>
            </w:hyperlink>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jc w:val="right"/>
              <w:rPr/>
            </w:pPr>
            <w:r>
              <w:rPr/>
              <w:t>​</w:t>
            </w:r>
          </w:p>
        </w:tc>
        <w:tc>
          <w:tcPr>
            <w:tcW w:w="368" w:type="dxa"/>
            <w:tcBorders/>
            <w:shd w:fill="CCEEFF" w:val="clear"/>
            <w:vAlign w:val="center"/>
          </w:tcPr>
          <w:p>
            <w:pPr>
              <w:pStyle w:val="TableContents"/>
              <w:spacing w:before="0" w:after="283"/>
              <w:jc w:val="right"/>
              <w:rPr/>
            </w:pPr>
            <w:hyperlink w:anchor="tRFSO">
              <w:r>
                <w:rPr>
                  <w:rStyle w:val="InternetLink"/>
                  <w:spacing w:val="-1"/>
                </w:rPr>
                <w:t>37</w:t>
              </w:r>
            </w:hyperlink>
            <w:r>
              <w:rPr/>
              <w:t xml:space="preserve"> </w:t>
            </w:r>
          </w:p>
        </w:tc>
        <w:tc>
          <w:tcPr>
            <w:tcW w:w="109" w:type="dxa"/>
            <w:tcBorders/>
            <w:shd w:fill="CCEEFF" w:val="clear"/>
            <w:vAlign w:val="center"/>
          </w:tcPr>
          <w:p>
            <w:pPr>
              <w:pStyle w:val="TableContents"/>
              <w:spacing w:before="0" w:after="283"/>
              <w:rPr/>
            </w:pPr>
            <w:r>
              <w:rPr/>
              <w:t>​</w:t>
            </w:r>
          </w:p>
        </w:tc>
        <w:tc>
          <w:tcPr>
            <w:tcW w:w="155" w:type="dxa"/>
            <w:tcBorders/>
            <w:shd w:fill="CCEEFF"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8053" w:type="dxa"/>
            <w:tcBorders/>
            <w:shd w:fill="auto" w:val="clear"/>
            <w:vAlign w:val="center"/>
          </w:tcPr>
          <w:p>
            <w:pPr>
              <w:pStyle w:val="TableContents"/>
              <w:spacing w:before="0" w:after="0"/>
              <w:ind w:left="800" w:right="0" w:hanging="0"/>
              <w:jc w:val="left"/>
              <w:rPr/>
            </w:pPr>
            <w:hyperlink w:anchor="tSCTT">
              <w:r>
                <w:rPr>
                  <w:rStyle w:val="InternetLink"/>
                  <w:spacing w:val="-1"/>
                </w:rPr>
                <w:t xml:space="preserve">STOCKHOLDER COMMUNICATIONS TO THE BOARD </w:t>
              </w:r>
            </w:hyperlink>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368" w:type="dxa"/>
            <w:tcBorders/>
            <w:shd w:fill="auto" w:val="clear"/>
            <w:vAlign w:val="center"/>
          </w:tcPr>
          <w:p>
            <w:pPr>
              <w:pStyle w:val="TableContents"/>
              <w:spacing w:before="0" w:after="283"/>
              <w:jc w:val="right"/>
              <w:rPr/>
            </w:pPr>
            <w:hyperlink w:anchor="tSCTT">
              <w:r>
                <w:rPr>
                  <w:rStyle w:val="InternetLink"/>
                  <w:spacing w:val="-1"/>
                </w:rPr>
                <w:t>37</w:t>
              </w:r>
            </w:hyperlink>
            <w:r>
              <w:rPr/>
              <w:t xml:space="preserve"> </w:t>
            </w:r>
          </w:p>
        </w:tc>
        <w:tc>
          <w:tcPr>
            <w:tcW w:w="109" w:type="dxa"/>
            <w:tcBorders/>
            <w:shd w:fill="auto" w:val="clear"/>
            <w:vAlign w:val="center"/>
          </w:tcPr>
          <w:p>
            <w:pPr>
              <w:pStyle w:val="TableContents"/>
              <w:spacing w:before="0" w:after="283"/>
              <w:rPr/>
            </w:pPr>
            <w:r>
              <w:rPr/>
              <w:t>​</w:t>
            </w:r>
          </w:p>
        </w:tc>
        <w:tc>
          <w:tcPr>
            <w:tcW w:w="155" w:type="dxa"/>
            <w:tcBorders/>
            <w:shd w:fill="auto" w:val="clear"/>
            <w:vAlign w:val="center"/>
          </w:tcPr>
          <w:p>
            <w:pPr>
              <w:pStyle w:val="TableContents"/>
              <w:spacing w:before="0" w:after="283"/>
              <w:rPr/>
            </w:pPr>
            <w:r>
              <w:rPr/>
              <w:t>​</w:t>
            </w:r>
          </w:p>
        </w:tc>
      </w:tr>
      <w:tr>
        <w:trPr/>
        <w:tc>
          <w:tcPr>
            <w:tcW w:w="124" w:type="dxa"/>
            <w:tcBorders/>
            <w:shd w:fill="CCEEFF" w:val="clear"/>
            <w:vAlign w:val="center"/>
          </w:tcPr>
          <w:p>
            <w:pPr>
              <w:pStyle w:val="TableContents"/>
              <w:spacing w:before="0" w:after="283"/>
              <w:rPr/>
            </w:pPr>
            <w:r>
              <w:rPr/>
              <w:t>​</w:t>
            </w:r>
          </w:p>
        </w:tc>
        <w:tc>
          <w:tcPr>
            <w:tcW w:w="8053" w:type="dxa"/>
            <w:tcBorders/>
            <w:shd w:fill="CCEEFF" w:val="clear"/>
            <w:vAlign w:val="center"/>
          </w:tcPr>
          <w:p>
            <w:pPr>
              <w:pStyle w:val="TableContents"/>
              <w:spacing w:before="0" w:after="0"/>
              <w:ind w:left="800" w:right="0" w:hanging="0"/>
              <w:jc w:val="left"/>
              <w:rPr/>
            </w:pPr>
            <w:hyperlink w:anchor="tAOM">
              <w:r>
                <w:rPr>
                  <w:rStyle w:val="InternetLink"/>
                  <w:spacing w:val="-1"/>
                </w:rPr>
                <w:t xml:space="preserve">AVAILABILITY OF MATERIALS </w:t>
              </w:r>
            </w:hyperlink>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jc w:val="right"/>
              <w:rPr/>
            </w:pPr>
            <w:r>
              <w:rPr/>
              <w:t>​</w:t>
            </w:r>
          </w:p>
        </w:tc>
        <w:tc>
          <w:tcPr>
            <w:tcW w:w="368" w:type="dxa"/>
            <w:tcBorders/>
            <w:shd w:fill="CCEEFF" w:val="clear"/>
            <w:vAlign w:val="center"/>
          </w:tcPr>
          <w:p>
            <w:pPr>
              <w:pStyle w:val="TableContents"/>
              <w:spacing w:before="0" w:after="283"/>
              <w:jc w:val="right"/>
              <w:rPr/>
            </w:pPr>
            <w:hyperlink w:anchor="tAOM">
              <w:r>
                <w:rPr>
                  <w:rStyle w:val="InternetLink"/>
                  <w:spacing w:val="-1"/>
                </w:rPr>
                <w:t>38</w:t>
              </w:r>
            </w:hyperlink>
            <w:r>
              <w:rPr/>
              <w:t xml:space="preserve"> </w:t>
            </w:r>
          </w:p>
        </w:tc>
        <w:tc>
          <w:tcPr>
            <w:tcW w:w="109" w:type="dxa"/>
            <w:tcBorders/>
            <w:shd w:fill="CCEEFF" w:val="clear"/>
            <w:vAlign w:val="center"/>
          </w:tcPr>
          <w:p>
            <w:pPr>
              <w:pStyle w:val="TableContents"/>
              <w:spacing w:before="0" w:after="283"/>
              <w:rPr/>
            </w:pPr>
            <w:r>
              <w:rPr/>
              <w:t>​</w:t>
            </w:r>
          </w:p>
        </w:tc>
        <w:tc>
          <w:tcPr>
            <w:tcW w:w="155" w:type="dxa"/>
            <w:tcBorders/>
            <w:shd w:fill="CCEEFF" w:val="clear"/>
            <w:vAlign w:val="center"/>
          </w:tcPr>
          <w:p>
            <w:pPr>
              <w:pStyle w:val="TableContents"/>
              <w:spacing w:before="0" w:after="283"/>
              <w:rPr/>
            </w:pPr>
            <w:r>
              <w:rPr/>
              <w:t>​</w:t>
            </w:r>
          </w:p>
        </w:tc>
      </w:tr>
    </w:tbl>
    <w:p>
      <w:pPr>
        <w:pStyle w:val="TextBody"/>
        <w:spacing w:lineRule="atLeast" w:line="240" w:before="400" w:after="283"/>
        <w:ind w:left="960" w:right="0" w:hanging="0"/>
        <w:jc w:val="both"/>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3"/>
          <w:sz w:val="20"/>
        </w:rPr>
        <w:t>PROXY STATEMENT</w:t>
      </w:r>
      <w:r>
        <w:rPr>
          <w:rFonts w:ascii="Arial;Helvetica;sans-serif" w:hAnsi="Arial;Helvetica;sans-serif"/>
          <w:b/>
          <w:i w:val="false"/>
          <w:caps w:val="false"/>
          <w:smallCaps w:val="false"/>
          <w:color w:val="000000"/>
          <w:spacing w:val="4"/>
          <w:sz w:val="20"/>
        </w:rPr>
        <w:t xml:space="preserve"> </w:t>
      </w:r>
    </w:p>
    <w:p>
      <w:pPr>
        <w:pStyle w:val="TextBody"/>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This Proxy Statement, with the enclosed proxy card, is being furnished to stockholders of Century Therapeutics, Inc. in connection with the solicitation by our Board of proxies to be voted at our Annual Meeting and at any postponements or adjournments thereof. The Annual Meeting will be held on Tuesday, June 27, 2023, at 9:00 a.m., Eastern Time, via the Internet at https://web.lumiagm.com/265375813, using the password century2023.</w:t>
      </w:r>
      <w:r>
        <w:rPr>
          <w:rFonts w:ascii="Arial;Helvetica;sans-serif" w:hAnsi="Arial;Helvetica;sans-serif"/>
          <w:b w:val="false"/>
          <w:i w:val="false"/>
          <w:caps w:val="false"/>
          <w:smallCaps w:val="false"/>
          <w:color w:val="000000"/>
          <w:spacing w:val="4"/>
          <w:sz w:val="20"/>
        </w:rPr>
        <w:t xml:space="preserve"> </w:t>
      </w:r>
    </w:p>
    <w:p>
      <w:pPr>
        <w:pStyle w:val="TextBody"/>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This Proxy Statement and the enclosed proxy card are first being furnished to our stockholders on or about April 28, 2023. The Notice of Internet Availability of Proxy Materials being mailed to the stockholders is not part of the Proxy Statement.</w:t>
      </w:r>
      <w:r>
        <w:rPr>
          <w:rFonts w:ascii="Arial;Helvetica;sans-serif" w:hAnsi="Arial;Helvetica;sans-serif"/>
          <w:b w:val="false"/>
          <w:i w:val="false"/>
          <w:caps w:val="false"/>
          <w:smallCaps w:val="false"/>
          <w:color w:val="000000"/>
          <w:sz w:val="20"/>
        </w:rPr>
        <w:t xml:space="preserve"> </w:t>
      </w:r>
    </w:p>
    <w:p>
      <w:pPr>
        <w:pStyle w:val="TextBody"/>
        <w:spacing w:lineRule="atLeast" w:line="240" w:before="100" w:after="283"/>
        <w:ind w:left="960" w:right="0" w:hanging="0"/>
        <w:jc w:val="righ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1DA46F"/>
          <w:spacing w:val="0"/>
          <w:sz w:val="20"/>
        </w:rPr>
        <w:t>Notice of Annual Meeting of Stockholders</w:t>
      </w:r>
      <w:r>
        <w:rPr>
          <w:rFonts w:ascii="Arial;Helvetica;sans-serif" w:hAnsi="Arial;Helvetica;sans-serif"/>
          <w:b/>
          <w:i w:val="false"/>
          <w:caps w:val="false"/>
          <w:smallCaps w:val="false"/>
          <w:color w:val="000000"/>
          <w:spacing w:val="0"/>
          <w:sz w:val="20"/>
        </w:rPr>
        <w:t> and 2023 Proxy Statement | </w:t>
      </w:r>
      <w:r>
        <w:rPr>
          <w:rFonts w:ascii="Arial;Helvetica;sans-serif" w:hAnsi="Arial;Helvetica;sans-serif"/>
          <w:b w:val="false"/>
          <w:i w:val="false"/>
          <w:caps w:val="false"/>
          <w:smallCaps w:val="false"/>
          <w:color w:val="000000"/>
          <w:spacing w:val="-1"/>
          <w:sz w:val="20"/>
        </w:rPr>
        <w:t>v</w:t>
      </w:r>
      <w:r>
        <w:rPr>
          <w:rFonts w:ascii="Arial;Helvetica;sans-serif" w:hAnsi="Arial;Helvetica;sans-serif"/>
          <w:b/>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8" w:name="tPRSO"/>
      <w:bookmarkEnd w:id="8"/>
      <w:r>
        <w:rPr>
          <w:rFonts w:ascii="calibri;arial;sans-serif" w:hAnsi="calibri;arial;sans-serif"/>
          <w:b w:val="false"/>
          <w:i w:val="false"/>
          <w:caps w:val="false"/>
          <w:smallCaps w:val="false"/>
          <w:color w:val="000000"/>
          <w:sz w:val="16"/>
        </w:rPr>
        <w:t>​</w:t>
      </w:r>
      <w:bookmarkStart w:id="9" w:name="tGIAT"/>
      <w:bookmarkEnd w:id="9"/>
      <w:r>
        <w:rPr>
          <w:rFonts w:ascii="calibri;arial;sans-serif" w:hAnsi="calibri;arial;sans-serif"/>
          <w:b w:val="false"/>
          <w:i w:val="false"/>
          <w:caps w:val="false"/>
          <w:smallCaps w:val="false"/>
          <w:color w:val="000000"/>
          <w:sz w:val="16"/>
        </w:rPr>
        <w:t>​</w:t>
      </w:r>
      <w:bookmarkStart w:id="10" w:name="tSETV"/>
      <w:bookmarkEnd w:id="10"/>
      <w:r>
        <w:rPr>
          <w:rFonts w:ascii="calibri;arial;sans-serif" w:hAnsi="calibri;arial;sans-serif"/>
          <w:b w:val="false"/>
          <w:i w:val="false"/>
          <w:caps w:val="false"/>
          <w:smallCaps w:val="false"/>
          <w:color w:val="000000"/>
          <w:sz w:val="16"/>
        </w:rPr>
        <w:t>​</w:t>
      </w:r>
      <w:bookmarkStart w:id="11" w:name="tVOME"/>
      <w:bookmarkEnd w:id="11"/>
      <w:r>
        <w:rPr>
          <w:rFonts w:ascii="calibri;arial;sans-serif" w:hAnsi="calibri;arial;sans-serif"/>
          <w:b w:val="false"/>
          <w:i w:val="false"/>
          <w:caps w:val="false"/>
          <w:smallCaps w:val="false"/>
          <w:color w:val="000000"/>
          <w:sz w:val="16"/>
        </w:rPr>
        <w:t>​</w:t>
      </w:r>
      <w:bookmarkStart w:id="12" w:name="tHYSW"/>
      <w:bookmarkEnd w:id="12"/>
      <w:r>
        <w:rPr>
          <w:rFonts w:ascii="calibri;arial;sans-serif" w:hAnsi="calibri;arial;sans-serif"/>
          <w:b w:val="false"/>
          <w:i w:val="false"/>
          <w:caps w:val="false"/>
          <w:smallCaps w:val="false"/>
          <w:color w:val="000000"/>
          <w:sz w:val="16"/>
        </w:rPr>
        <w:t xml:space="preserve">​ </w:t>
      </w:r>
    </w:p>
    <w:tbl>
      <w:tblPr>
        <w:tblW w:w="5839" w:type="dxa"/>
        <w:jc w:val="left"/>
        <w:tblInd w:w="960" w:type="dxa"/>
        <w:tblCellMar>
          <w:top w:w="0" w:type="dxa"/>
          <w:left w:w="0" w:type="dxa"/>
          <w:bottom w:w="0" w:type="dxa"/>
          <w:right w:w="0" w:type="dxa"/>
        </w:tblCellMar>
      </w:tblPr>
      <w:tblGrid>
        <w:gridCol w:w="124"/>
        <w:gridCol w:w="5561"/>
        <w:gridCol w:w="154"/>
      </w:tblGrid>
      <w:tr>
        <w:trPr/>
        <w:tc>
          <w:tcPr>
            <w:tcW w:w="124" w:type="dxa"/>
            <w:tcBorders/>
            <w:shd w:fill="1DA46F" w:val="clear"/>
            <w:vAlign w:val="center"/>
          </w:tcPr>
          <w:p>
            <w:pPr>
              <w:pStyle w:val="TableContents"/>
              <w:spacing w:before="0" w:after="283"/>
              <w:rPr/>
            </w:pPr>
            <w:r>
              <w:rPr/>
              <w:t>​</w:t>
            </w:r>
          </w:p>
        </w:tc>
        <w:tc>
          <w:tcPr>
            <w:tcW w:w="5561" w:type="dxa"/>
            <w:tcBorders/>
            <w:shd w:fill="1DA46F" w:val="clear"/>
            <w:vAlign w:val="center"/>
          </w:tcPr>
          <w:p>
            <w:pPr>
              <w:pStyle w:val="TableContents"/>
              <w:spacing w:lineRule="atLeast" w:line="360" w:before="0" w:after="0"/>
              <w:rPr/>
            </w:pPr>
            <w:r>
              <w:rPr>
                <w:spacing w:val="-5"/>
              </w:rPr>
              <w:t>GENERAL INFORMATION ABOUT THE MEETING</w:t>
            </w:r>
            <w:r>
              <w:rPr/>
              <w:t xml:space="preserve"> </w:t>
            </w:r>
          </w:p>
        </w:tc>
        <w:tc>
          <w:tcPr>
            <w:tcW w:w="154" w:type="dxa"/>
            <w:tcBorders/>
            <w:shd w:fill="1DA46F" w:val="clear"/>
            <w:vAlign w:val="center"/>
          </w:tcPr>
          <w:p>
            <w:pPr>
              <w:pStyle w:val="TableContents"/>
              <w:spacing w:before="0" w:after="283"/>
              <w:rPr/>
            </w:pPr>
            <w:r>
              <w:rPr/>
              <w:t>​</w:t>
            </w:r>
          </w:p>
        </w:tc>
      </w:tr>
    </w:tbl>
    <w:p>
      <w:pPr>
        <w:pStyle w:val="TextBody"/>
        <w:spacing w:lineRule="atLeast" w:line="240" w:before="360" w:after="283"/>
        <w:ind w:left="960" w:right="0" w:hanging="0"/>
        <w:jc w:val="both"/>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3"/>
          <w:sz w:val="20"/>
        </w:rPr>
        <w:t>PROXY SOLICITATION</w:t>
      </w:r>
      <w:r>
        <w:rPr>
          <w:rFonts w:ascii="Arial;Helvetica;sans-serif" w:hAnsi="Arial;Helvetica;sans-serif"/>
          <w:b/>
          <w:i w:val="false"/>
          <w:caps w:val="false"/>
          <w:smallCaps w:val="false"/>
          <w:color w:val="000000"/>
          <w:spacing w:val="4"/>
          <w:sz w:val="20"/>
        </w:rPr>
        <w:t xml:space="preserve"> </w:t>
      </w:r>
    </w:p>
    <w:p>
      <w:pPr>
        <w:pStyle w:val="TextBody"/>
        <w:spacing w:lineRule="atLeast" w:line="240" w:before="240" w:after="283"/>
        <w:jc w:val="both"/>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0"/>
          <w:sz w:val="20"/>
        </w:rPr>
        <w:t>Our Board is soliciting your vote on matters that will be presented at the Annual Meeting and at any adjournment or postponement thereof. This Proxy Statement contains information on these matters to assist you in voting your shares.</w:t>
      </w:r>
      <w:r>
        <w:rPr>
          <w:rFonts w:ascii="Arial;Helvetica;sans-serif" w:hAnsi="Arial;Helvetica;sans-serif"/>
          <w:b/>
          <w:i w:val="false"/>
          <w:caps w:val="false"/>
          <w:smallCaps w:val="false"/>
          <w:color w:val="000000"/>
          <w:spacing w:val="4"/>
          <w:sz w:val="20"/>
        </w:rPr>
        <w:t xml:space="preserve"> </w:t>
      </w:r>
    </w:p>
    <w:p>
      <w:pPr>
        <w:pStyle w:val="TextBody"/>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This Proxy Statement and the proxy card are being furnished to our stockholders on or about April 28, 2023. This Proxy Statement and our 2022 Annual Report are available to holders of our common stock at www.astproxyportal.com/ast/24419. If you would like to receive, without charge, a paper copy of our 2022 Annual Report, including the financial statements, please send your request to Chief Financial Officer, Century Therapeutics, Inc., 3675 Market Street, Philadelphia, PA 19104.</w:t>
      </w:r>
      <w:r>
        <w:rPr>
          <w:rFonts w:ascii="Arial;Helvetica;sans-serif" w:hAnsi="Arial;Helvetica;sans-serif"/>
          <w:b w:val="false"/>
          <w:i w:val="false"/>
          <w:caps w:val="false"/>
          <w:smallCaps w:val="false"/>
          <w:color w:val="000000"/>
          <w:spacing w:val="4"/>
          <w:sz w:val="20"/>
        </w:rPr>
        <w:t xml:space="preserve"> </w:t>
      </w:r>
    </w:p>
    <w:p>
      <w:pPr>
        <w:pStyle w:val="TextBody"/>
        <w:spacing w:lineRule="atLeast" w:line="240" w:before="240" w:after="283"/>
        <w:jc w:val="both"/>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3"/>
          <w:sz w:val="20"/>
        </w:rPr>
        <w:t>STOCKHOLDERS ENTITLED TO VOTE</w:t>
      </w:r>
      <w:r>
        <w:rPr>
          <w:rFonts w:ascii="Arial;Helvetica;sans-serif" w:hAnsi="Arial;Helvetica;sans-serif"/>
          <w:b/>
          <w:i w:val="false"/>
          <w:caps w:val="false"/>
          <w:smallCaps w:val="false"/>
          <w:color w:val="000000"/>
          <w:spacing w:val="4"/>
          <w:sz w:val="20"/>
        </w:rPr>
        <w:t xml:space="preserve"> </w:t>
      </w:r>
    </w:p>
    <w:p>
      <w:pPr>
        <w:pStyle w:val="TextBody"/>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All stockholders of record of our common stock at the close of business on April 28, 2023, or the Record Date, are entitled to receive the Notice and to vote their shares at the Annual Meeting. As of that date, 59,580,817 shares of our common stock were outstanding. Each share is entitled to one vote on each matter properly brought to the meeting.</w:t>
      </w:r>
      <w:r>
        <w:rPr>
          <w:rFonts w:ascii="Arial;Helvetica;sans-serif" w:hAnsi="Arial;Helvetica;sans-serif"/>
          <w:b w:val="false"/>
          <w:i w:val="false"/>
          <w:caps w:val="false"/>
          <w:smallCaps w:val="false"/>
          <w:color w:val="000000"/>
          <w:spacing w:val="4"/>
          <w:sz w:val="20"/>
        </w:rPr>
        <w:t xml:space="preserve"> </w:t>
      </w:r>
    </w:p>
    <w:p>
      <w:pPr>
        <w:pStyle w:val="TextBody"/>
        <w:spacing w:lineRule="atLeast" w:line="240" w:before="240" w:after="283"/>
        <w:jc w:val="both"/>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3"/>
          <w:sz w:val="20"/>
        </w:rPr>
        <w:t>VOTING METHODS</w:t>
      </w:r>
      <w:r>
        <w:rPr>
          <w:rFonts w:ascii="Arial;Helvetica;sans-serif" w:hAnsi="Arial;Helvetica;sans-serif"/>
          <w:b/>
          <w:i w:val="false"/>
          <w:caps w:val="false"/>
          <w:smallCaps w:val="false"/>
          <w:color w:val="000000"/>
          <w:spacing w:val="4"/>
          <w:sz w:val="20"/>
        </w:rPr>
        <w:t xml:space="preserve"> </w:t>
      </w:r>
    </w:p>
    <w:p>
      <w:pPr>
        <w:pStyle w:val="TextBody"/>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You may cast your vote in any of the following ways:</w:t>
      </w:r>
      <w:r>
        <w:rPr>
          <w:rFonts w:ascii="Arial;Helvetica;sans-serif" w:hAnsi="Arial;Helvetica;sans-serif"/>
          <w:b w:val="false"/>
          <w:i w:val="false"/>
          <w:caps w:val="false"/>
          <w:smallCaps w:val="false"/>
          <w:color w:val="000000"/>
          <w:spacing w:val="4"/>
          <w:sz w:val="20"/>
        </w:rPr>
        <w:t xml:space="preserve"> </w:t>
      </w:r>
    </w:p>
    <w:p>
      <w:pPr>
        <w:pStyle w:val="TextBody"/>
        <w:spacing w:before="286" w:after="283"/>
        <w:jc w:val="center"/>
        <w:rPr>
          <w:caps w:val="false"/>
          <w:smallCaps w:val="false"/>
          <w:color w:val="000000"/>
        </w:rPr>
      </w:pPr>
      <w:r>
        <w:rPr>
          <w:caps w:val="false"/>
          <w:smallCaps w:val="false"/>
          <w:color w:val="000000"/>
        </w:rPr>
        <w:drawing>
          <wp:inline distT="0" distB="0" distL="0" distR="0">
            <wp:extent cx="4448175" cy="1714500"/>
            <wp:effectExtent l="0" t="0" r="0" b="0"/>
            <wp:docPr id="1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4" descr=""/>
                    <pic:cNvPicPr>
                      <a:picLocks noChangeAspect="1" noChangeArrowheads="1"/>
                    </pic:cNvPicPr>
                  </pic:nvPicPr>
                  <pic:blipFill>
                    <a:blip r:embed="rId5"/>
                    <a:stretch>
                      <a:fillRect/>
                    </a:stretch>
                  </pic:blipFill>
                  <pic:spPr bwMode="auto">
                    <a:xfrm>
                      <a:off x="0" y="0"/>
                      <a:ext cx="4448175" cy="1714500"/>
                    </a:xfrm>
                    <a:prstGeom prst="rect">
                      <a:avLst/>
                    </a:prstGeom>
                  </pic:spPr>
                </pic:pic>
              </a:graphicData>
            </a:graphic>
          </wp:inline>
        </w:drawing>
      </w:r>
      <w:r>
        <w:rPr>
          <w:caps w:val="false"/>
          <w:smallCaps w:val="false"/>
          <w:color w:val="000000"/>
        </w:rPr>
        <w:t xml:space="preserve"> </w:t>
      </w:r>
    </w:p>
    <w:p>
      <w:pPr>
        <w:pStyle w:val="TextBody"/>
        <w:spacing w:lineRule="atLeast" w:line="240" w:before="346" w:after="283"/>
        <w:jc w:val="both"/>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3"/>
          <w:sz w:val="20"/>
        </w:rPr>
        <w:t>HOW YOUR SHARES WILL BE VOTED</w:t>
      </w:r>
      <w:r>
        <w:rPr>
          <w:rFonts w:ascii="Arial;Helvetica;sans-serif" w:hAnsi="Arial;Helvetica;sans-serif"/>
          <w:b/>
          <w:i w:val="false"/>
          <w:caps w:val="false"/>
          <w:smallCaps w:val="false"/>
          <w:color w:val="000000"/>
          <w:spacing w:val="4"/>
          <w:sz w:val="20"/>
        </w:rPr>
        <w:t xml:space="preserve"> </w:t>
      </w:r>
    </w:p>
    <w:p>
      <w:pPr>
        <w:pStyle w:val="TextBody"/>
        <w:spacing w:lineRule="atLeast" w:line="240" w:before="160" w:after="283"/>
        <w:jc w:val="both"/>
        <w:rPr>
          <w:rFonts w:ascii="Arial;Helvetica;sans-serif" w:hAnsi="Arial;Helvetica;sans-serif"/>
          <w:b w:val="false"/>
          <w:i w:val="false"/>
          <w:caps w:val="false"/>
          <w:smallCaps w:val="false"/>
          <w:color w:val="000000"/>
          <w:spacing w:val="-1"/>
          <w:sz w:val="20"/>
        </w:rPr>
      </w:pPr>
      <w:r>
        <w:rPr>
          <w:rFonts w:ascii="Arial;Helvetica;sans-serif" w:hAnsi="Arial;Helvetica;sans-serif"/>
          <w:b w:val="false"/>
          <w:i w:val="false"/>
          <w:caps w:val="false"/>
          <w:smallCaps w:val="false"/>
          <w:color w:val="000000"/>
          <w:spacing w:val="-1"/>
          <w:sz w:val="20"/>
        </w:rPr>
        <w:t xml:space="preserve">In each case, your shares will be voted as you instruct. If you return a signed card, but do not provide voting instructions, your shares will be voted FOR each of the proposals. If you are the record holder of your shares, you may revoke or change your vote any time before the proxy is exercised. To do so, you must do one of the following: </w:t>
      </w:r>
    </w:p>
    <w:p>
      <w:pPr>
        <w:pStyle w:val="TextBody"/>
        <w:spacing w:lineRule="atLeast" w:line="240" w:before="126" w:after="0"/>
        <w:ind w:left="156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Vote over the Internet or by telephone as instructed above. Only your latest Internet or telephone vote is counted. You may not revoke or change your vote over the Internet or by telephone after 11:59 p.m., Eastern Time, on June 26, 2023.</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80010" distB="0" distL="254000" distR="0" simplePos="0" locked="0" layoutInCell="1" allowOverlap="1" relativeHeight="44">
                <wp:simplePos x="0" y="0"/>
                <wp:positionH relativeFrom="column">
                  <wp:align>left</wp:align>
                </wp:positionH>
                <wp:positionV relativeFrom="line">
                  <wp:align>top</wp:align>
                </wp:positionV>
                <wp:extent cx="127000" cy="350520"/>
                <wp:effectExtent l="0" t="0" r="0" b="0"/>
                <wp:wrapSquare wrapText="largest"/>
                <wp:docPr id="15" name="Frame11"/>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both"/>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spacing w:lineRule="atLeast" w:line="240" w:before="0" w:after="283"/>
                        <w:jc w:val="both"/>
                        <w:rPr/>
                      </w:pPr>
                      <w:r>
                        <w:rPr>
                          <w:spacing w:val="-1"/>
                        </w:rPr>
                        <w:t>•</w:t>
                      </w:r>
                      <w:r>
                        <w:rPr/>
                        <w:t xml:space="preserve"> </w:t>
                      </w:r>
                      <w:r>
                        <w:rPr/>
                        <w:br/>
                      </w:r>
                    </w:p>
                  </w:txbxContent>
                </v:textbox>
                <w10:wrap type="square" side="right"/>
              </v:rect>
            </w:pict>
          </mc:Fallback>
        </mc:AlternateContent>
      </w:r>
    </w:p>
    <w:p>
      <w:pPr>
        <w:pStyle w:val="TextBody"/>
        <w:spacing w:before="0" w:after="0"/>
        <w:ind w:left="960" w:right="0" w:hanging="0"/>
        <w:rPr>
          <w:caps w:val="false"/>
          <w:smallCaps w:val="false"/>
          <w:color w:val="000000"/>
        </w:rPr>
      </w:pPr>
      <w:r>
        <w:rPr>
          <w:caps w:val="false"/>
          <w:smallCaps w:val="false"/>
          <w:color w:val="000000"/>
        </w:rPr>
        <w:t>​</w:t>
      </w:r>
    </w:p>
    <w:p>
      <w:pPr>
        <w:pStyle w:val="TextBody"/>
        <w:spacing w:lineRule="atLeast" w:line="240" w:before="124" w:after="0"/>
        <w:ind w:left="156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Sign a new proxy card and submit it by mail, which must be received no later than June 26, 2023. Only your latest dated proxy card will be counted.</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8740" distB="0" distL="254000" distR="0" simplePos="0" locked="0" layoutInCell="1" allowOverlap="1" relativeHeight="45">
                <wp:simplePos x="0" y="0"/>
                <wp:positionH relativeFrom="column">
                  <wp:align>left</wp:align>
                </wp:positionH>
                <wp:positionV relativeFrom="line">
                  <wp:align>top</wp:align>
                </wp:positionV>
                <wp:extent cx="127000" cy="350520"/>
                <wp:effectExtent l="0" t="0" r="0" b="0"/>
                <wp:wrapSquare wrapText="largest"/>
                <wp:docPr id="16" name="Frame12"/>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both"/>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spacing w:lineRule="atLeast" w:line="240" w:before="0" w:after="283"/>
                        <w:jc w:val="both"/>
                        <w:rPr/>
                      </w:pPr>
                      <w:r>
                        <w:rPr>
                          <w:spacing w:val="-1"/>
                        </w:rPr>
                        <w:t>•</w:t>
                      </w:r>
                      <w:r>
                        <w:rPr/>
                        <w:t xml:space="preserve"> </w:t>
                      </w:r>
                      <w:r>
                        <w:rPr/>
                        <w:br/>
                      </w:r>
                    </w:p>
                  </w:txbxContent>
                </v:textbox>
                <w10:wrap type="square" side="right"/>
              </v:rect>
            </w:pict>
          </mc:Fallback>
        </mc:AlternateContent>
      </w:r>
    </w:p>
    <w:p>
      <w:pPr>
        <w:pStyle w:val="TextBody"/>
        <w:spacing w:before="0" w:after="0"/>
        <w:ind w:left="960" w:right="0" w:hanging="0"/>
        <w:rPr>
          <w:caps w:val="false"/>
          <w:smallCaps w:val="false"/>
          <w:color w:val="000000"/>
        </w:rPr>
      </w:pPr>
      <w:r>
        <w:rPr>
          <w:caps w:val="false"/>
          <w:smallCaps w:val="false"/>
          <w:color w:val="000000"/>
        </w:rPr>
        <w:t>​</w:t>
      </w:r>
    </w:p>
    <w:p>
      <w:pPr>
        <w:pStyle w:val="TextBody"/>
        <w:spacing w:lineRule="atLeast" w:line="240" w:before="124" w:after="0"/>
        <w:ind w:left="1560"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Give our Secretary written notice before or during the meeting that you want to revoke your proxy.</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8740" distB="0" distL="254000" distR="0" simplePos="0" locked="0" layoutInCell="1" allowOverlap="1" relativeHeight="46">
                <wp:simplePos x="0" y="0"/>
                <wp:positionH relativeFrom="column">
                  <wp:align>left</wp:align>
                </wp:positionH>
                <wp:positionV relativeFrom="line">
                  <wp:align>top</wp:align>
                </wp:positionV>
                <wp:extent cx="127000" cy="350520"/>
                <wp:effectExtent l="0" t="0" r="0" b="0"/>
                <wp:wrapSquare wrapText="largest"/>
                <wp:docPr id="17" name="Frame13"/>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spacing w:lineRule="atLeast" w:line="240" w:before="0" w:after="283"/>
                        <w:jc w:val="left"/>
                        <w:rPr/>
                      </w:pPr>
                      <w:r>
                        <w:rPr>
                          <w:spacing w:val="-1"/>
                        </w:rPr>
                        <w:t>•</w:t>
                      </w:r>
                      <w:r>
                        <w:rPr/>
                        <w:t xml:space="preserve"> </w:t>
                      </w:r>
                      <w:r>
                        <w:rPr/>
                        <w:br/>
                      </w:r>
                    </w:p>
                  </w:txbxContent>
                </v:textbox>
                <w10:wrap type="square" side="right"/>
              </v:rect>
            </w:pict>
          </mc:Fallback>
        </mc:AlternateContent>
      </w:r>
    </w:p>
    <w:p>
      <w:pPr>
        <w:pStyle w:val="TextBody"/>
        <w:spacing w:before="0" w:after="0"/>
        <w:ind w:left="960" w:right="0" w:hanging="0"/>
        <w:rPr>
          <w:caps w:val="false"/>
          <w:smallCaps w:val="false"/>
          <w:color w:val="000000"/>
        </w:rPr>
      </w:pPr>
      <w:r>
        <w:rPr>
          <w:caps w:val="false"/>
          <w:smallCaps w:val="false"/>
          <w:color w:val="000000"/>
        </w:rPr>
        <w:t>​</w:t>
      </w:r>
    </w:p>
    <w:p>
      <w:pPr>
        <w:pStyle w:val="TextBody"/>
        <w:spacing w:lineRule="atLeast" w:line="240" w:before="124" w:after="0"/>
        <w:ind w:left="156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Virtually attend the Annual Meeting at https://web.lumiagm.com/265375813, using the password century2023,</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8740" distB="0" distL="254000" distR="0" simplePos="0" locked="0" layoutInCell="1" allowOverlap="1" relativeHeight="47">
                <wp:simplePos x="0" y="0"/>
                <wp:positionH relativeFrom="column">
                  <wp:align>left</wp:align>
                </wp:positionH>
                <wp:positionV relativeFrom="line">
                  <wp:align>top</wp:align>
                </wp:positionV>
                <wp:extent cx="127000" cy="350520"/>
                <wp:effectExtent l="0" t="0" r="0" b="0"/>
                <wp:wrapSquare wrapText="largest"/>
                <wp:docPr id="18" name="Frame14"/>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both"/>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spacing w:lineRule="atLeast" w:line="240" w:before="0" w:after="283"/>
                        <w:jc w:val="both"/>
                        <w:rPr/>
                      </w:pPr>
                      <w:r>
                        <w:rPr>
                          <w:spacing w:val="-1"/>
                        </w:rPr>
                        <w:t>•</w:t>
                      </w:r>
                      <w:r>
                        <w:rPr/>
                        <w:t xml:space="preserve"> </w:t>
                      </w:r>
                      <w:r>
                        <w:rPr/>
                        <w:br/>
                      </w:r>
                    </w:p>
                  </w:txbxContent>
                </v:textbox>
                <w10:wrap type="square" side="right"/>
              </v:rect>
            </w:pict>
          </mc:Fallback>
        </mc:AlternateContent>
      </w:r>
    </w:p>
    <w:p>
      <w:pPr>
        <w:pStyle w:val="TextBody"/>
        <w:spacing w:before="0" w:after="0"/>
        <w:ind w:left="960" w:right="0" w:hanging="0"/>
        <w:rPr>
          <w:caps w:val="false"/>
          <w:smallCaps w:val="false"/>
          <w:color w:val="000000"/>
        </w:rPr>
      </w:pPr>
      <w:r>
        <w:rPr>
          <w:caps w:val="false"/>
          <w:smallCaps w:val="false"/>
          <w:color w:val="000000"/>
        </w:rPr>
        <w:t>​</w:t>
      </w:r>
    </w:p>
    <w:p>
      <w:pPr>
        <w:pStyle w:val="TextBody"/>
        <w:spacing w:lineRule="atLeast" w:line="240" w:before="124" w:after="0"/>
        <w:ind w:left="1560"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Virtually attending the Annual Meeting will not by itself revoke a previously granted proxy.</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8740" distB="0" distL="254000" distR="0" simplePos="0" locked="0" layoutInCell="1" allowOverlap="1" relativeHeight="48">
                <wp:simplePos x="0" y="0"/>
                <wp:positionH relativeFrom="column">
                  <wp:align>left</wp:align>
                </wp:positionH>
                <wp:positionV relativeFrom="line">
                  <wp:align>top</wp:align>
                </wp:positionV>
                <wp:extent cx="127000" cy="350520"/>
                <wp:effectExtent l="0" t="0" r="0" b="0"/>
                <wp:wrapSquare wrapText="largest"/>
                <wp:docPr id="19" name="Frame15"/>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spacing w:lineRule="atLeast" w:line="240" w:before="0" w:after="283"/>
                        <w:jc w:val="left"/>
                        <w:rPr/>
                      </w:pPr>
                      <w:r>
                        <w:rPr>
                          <w:spacing w:val="-1"/>
                        </w:rPr>
                        <w:t>•</w:t>
                      </w:r>
                      <w:r>
                        <w:rPr/>
                        <w:t xml:space="preserve"> </w:t>
                      </w:r>
                      <w:r>
                        <w:rPr/>
                        <w:br/>
                      </w:r>
                    </w:p>
                  </w:txbxContent>
                </v:textbox>
                <w10:wrap type="square" side="right"/>
              </v:rect>
            </w:pict>
          </mc:Fallback>
        </mc:AlternateContent>
      </w:r>
    </w:p>
    <w:p>
      <w:pPr>
        <w:pStyle w:val="TextBody"/>
        <w:spacing w:before="0" w:after="0"/>
        <w:ind w:left="960" w:right="0" w:hanging="0"/>
        <w:rPr>
          <w:caps w:val="false"/>
          <w:smallCaps w:val="false"/>
          <w:color w:val="000000"/>
        </w:rPr>
      </w:pPr>
      <w:r>
        <w:rPr>
          <w:caps w:val="false"/>
          <w:smallCaps w:val="false"/>
          <w:color w:val="000000"/>
        </w:rPr>
        <w:t>​</w:t>
      </w:r>
    </w:p>
    <w:p>
      <w:pPr>
        <w:pStyle w:val="TextBody"/>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If your shares are held by your broker, bank or other holder of record as a nominee or agent (i.e., the shares are held in “street name”), you should follow the instructions provided by your broker, bank or other holder of record.</w:t>
      </w:r>
      <w:r>
        <w:rPr>
          <w:rFonts w:ascii="Arial;Helvetica;sans-serif" w:hAnsi="Arial;Helvetica;sans-serif"/>
          <w:b w:val="false"/>
          <w:i w:val="false"/>
          <w:caps w:val="false"/>
          <w:smallCaps w:val="false"/>
          <w:color w:val="000000"/>
          <w:spacing w:val="4"/>
          <w:sz w:val="20"/>
        </w:rPr>
        <w:t xml:space="preserve"> </w:t>
      </w:r>
    </w:p>
    <w:p>
      <w:pPr>
        <w:pStyle w:val="TextBody"/>
        <w:spacing w:lineRule="atLeast" w:line="240" w:before="100" w:after="283"/>
        <w:ind w:left="960" w:right="0" w:hanging="0"/>
        <w:jc w:val="righ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1DA46F"/>
          <w:spacing w:val="0"/>
          <w:sz w:val="20"/>
        </w:rPr>
        <w:t>Notice of Annual Meeting of Stockholders</w:t>
      </w:r>
      <w:r>
        <w:rPr>
          <w:rFonts w:ascii="Arial;Helvetica;sans-serif" w:hAnsi="Arial;Helvetica;sans-serif"/>
          <w:b/>
          <w:i w:val="false"/>
          <w:caps w:val="false"/>
          <w:smallCaps w:val="false"/>
          <w:color w:val="000000"/>
          <w:spacing w:val="0"/>
          <w:sz w:val="20"/>
        </w:rPr>
        <w:t> and 2023 Proxy Statement | </w:t>
      </w:r>
      <w:r>
        <w:rPr>
          <w:rFonts w:ascii="Arial;Helvetica;sans-serif" w:hAnsi="Arial;Helvetica;sans-serif"/>
          <w:b w:val="false"/>
          <w:i w:val="false"/>
          <w:caps w:val="false"/>
          <w:smallCaps w:val="false"/>
          <w:color w:val="000000"/>
          <w:spacing w:val="-1"/>
          <w:sz w:val="20"/>
        </w:rPr>
        <w:t>1</w:t>
      </w:r>
      <w:r>
        <w:rPr>
          <w:rFonts w:ascii="Arial;Helvetica;sans-serif" w:hAnsi="Arial;Helvetica;sans-serif"/>
          <w:b/>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3" w:name="tBVAV"/>
      <w:bookmarkEnd w:id="13"/>
      <w:r>
        <w:rPr>
          <w:rFonts w:ascii="calibri;arial;sans-serif" w:hAnsi="calibri;arial;sans-serif"/>
          <w:b w:val="false"/>
          <w:i w:val="false"/>
          <w:caps w:val="false"/>
          <w:smallCaps w:val="false"/>
          <w:color w:val="000000"/>
          <w:sz w:val="16"/>
        </w:rPr>
        <w:t>​</w:t>
      </w:r>
      <w:bookmarkStart w:id="14" w:name="tQUO"/>
      <w:bookmarkEnd w:id="14"/>
      <w:r>
        <w:rPr>
          <w:rFonts w:ascii="calibri;arial;sans-serif" w:hAnsi="calibri;arial;sans-serif"/>
          <w:b w:val="false"/>
          <w:i w:val="false"/>
          <w:caps w:val="false"/>
          <w:smallCaps w:val="false"/>
          <w:color w:val="000000"/>
          <w:sz w:val="16"/>
        </w:rPr>
        <w:t>​</w:t>
      </w:r>
      <w:bookmarkStart w:id="15" w:name="tPSC"/>
      <w:bookmarkEnd w:id="15"/>
      <w:r>
        <w:rPr>
          <w:rFonts w:ascii="calibri;arial;sans-serif" w:hAnsi="calibri;arial;sans-serif"/>
          <w:b w:val="false"/>
          <w:i w:val="false"/>
          <w:caps w:val="false"/>
          <w:smallCaps w:val="false"/>
          <w:color w:val="000000"/>
          <w:sz w:val="16"/>
        </w:rPr>
        <w:t xml:space="preserve">​ </w:t>
      </w:r>
    </w:p>
    <w:tbl>
      <w:tblPr>
        <w:tblW w:w="5839" w:type="dxa"/>
        <w:jc w:val="left"/>
        <w:tblInd w:w="960" w:type="dxa"/>
        <w:tblCellMar>
          <w:top w:w="0" w:type="dxa"/>
          <w:left w:w="0" w:type="dxa"/>
          <w:bottom w:w="0" w:type="dxa"/>
          <w:right w:w="0" w:type="dxa"/>
        </w:tblCellMar>
      </w:tblPr>
      <w:tblGrid>
        <w:gridCol w:w="124"/>
        <w:gridCol w:w="5561"/>
        <w:gridCol w:w="154"/>
      </w:tblGrid>
      <w:tr>
        <w:trPr/>
        <w:tc>
          <w:tcPr>
            <w:tcW w:w="124" w:type="dxa"/>
            <w:tcBorders/>
            <w:shd w:fill="1DA46F" w:val="clear"/>
            <w:vAlign w:val="center"/>
          </w:tcPr>
          <w:p>
            <w:pPr>
              <w:pStyle w:val="TableContents"/>
              <w:spacing w:before="0" w:after="283"/>
              <w:rPr/>
            </w:pPr>
            <w:r>
              <w:rPr/>
              <w:t>​</w:t>
            </w:r>
          </w:p>
        </w:tc>
        <w:tc>
          <w:tcPr>
            <w:tcW w:w="5561" w:type="dxa"/>
            <w:tcBorders/>
            <w:shd w:fill="1DA46F" w:val="clear"/>
            <w:vAlign w:val="center"/>
          </w:tcPr>
          <w:p>
            <w:pPr>
              <w:pStyle w:val="TableContents"/>
              <w:spacing w:lineRule="atLeast" w:line="360" w:before="0" w:after="0"/>
              <w:rPr/>
            </w:pPr>
            <w:r>
              <w:rPr>
                <w:spacing w:val="-5"/>
              </w:rPr>
              <w:t>GENERAL INFORMATION ABOUT THE MEETING</w:t>
            </w:r>
            <w:r>
              <w:rPr/>
              <w:t xml:space="preserve"> </w:t>
            </w:r>
          </w:p>
        </w:tc>
        <w:tc>
          <w:tcPr>
            <w:tcW w:w="154" w:type="dxa"/>
            <w:tcBorders/>
            <w:shd w:fill="1DA46F" w:val="clear"/>
            <w:vAlign w:val="center"/>
          </w:tcPr>
          <w:p>
            <w:pPr>
              <w:pStyle w:val="TableContents"/>
              <w:spacing w:before="0" w:after="283"/>
              <w:rPr/>
            </w:pPr>
            <w:r>
              <w:rPr/>
              <w:t>​</w:t>
            </w:r>
          </w:p>
        </w:tc>
      </w:tr>
    </w:tbl>
    <w:p>
      <w:pPr>
        <w:pStyle w:val="TextBody"/>
        <w:spacing w:lineRule="atLeast" w:line="240" w:before="360" w:after="283"/>
        <w:ind w:left="96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caps w:val="false"/>
          <w:smallCaps w:val="false"/>
          <w:color w:val="000000"/>
          <w:sz w:val="20"/>
        </w:rPr>
        <w:t>Deadline for Voting</w:t>
      </w:r>
      <w:r>
        <w:rPr>
          <w:rFonts w:ascii="Arial;Helvetica;sans-serif" w:hAnsi="Arial;Helvetica;sans-serif"/>
          <w:b w:val="false"/>
          <w:i w:val="false"/>
          <w:caps w:val="false"/>
          <w:smallCaps w:val="false"/>
          <w:color w:val="000000"/>
          <w:spacing w:val="-1"/>
          <w:sz w:val="20"/>
        </w:rPr>
        <w:t>. The deadline for voting by telephone or Internet, other than by virtually attending the Annual Meeting, is 11:59 p.m. Eastern Time on June 26, 2023. If you are a registered stockholder and virtually attend the Annual Meeting, you may deliver your vote online during the Annual Meeting. “Street name” stockholders who wish to vote at the Annual Meeting will need to obtain a proxy form from the institution that holds their shares.</w:t>
      </w:r>
      <w:r>
        <w:rPr>
          <w:rFonts w:ascii="Arial;Helvetica;sans-serif" w:hAnsi="Arial;Helvetica;sans-serif"/>
          <w:b w:val="false"/>
          <w:i w:val="false"/>
          <w:caps w:val="false"/>
          <w:smallCaps w:val="false"/>
          <w:color w:val="000000"/>
          <w:spacing w:val="4"/>
          <w:sz w:val="20"/>
        </w:rPr>
        <w:t xml:space="preserve"> </w:t>
      </w:r>
    </w:p>
    <w:p>
      <w:pPr>
        <w:pStyle w:val="TextBody"/>
        <w:spacing w:lineRule="atLeast" w:line="240" w:before="240" w:after="283"/>
        <w:jc w:val="both"/>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3"/>
          <w:sz w:val="20"/>
        </w:rPr>
        <w:t>BROKER VOTING AND VOTES REQUIRED FOR EACH PROPOSAL</w:t>
      </w:r>
      <w:r>
        <w:rPr>
          <w:rFonts w:ascii="Arial;Helvetica;sans-serif" w:hAnsi="Arial;Helvetica;sans-serif"/>
          <w:b/>
          <w:i w:val="false"/>
          <w:caps w:val="false"/>
          <w:smallCaps w:val="false"/>
          <w:color w:val="000000"/>
          <w:spacing w:val="4"/>
          <w:sz w:val="20"/>
        </w:rPr>
        <w:t xml:space="preserve"> </w:t>
      </w:r>
    </w:p>
    <w:p>
      <w:pPr>
        <w:pStyle w:val="TextBody"/>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If your shares are held in a stock brokerage account or by a bank or other holder of record, you are considered the “beneficial owner” of shares held in street name. The Notice has been forwarded to you by your broker, bank or other holder of record who is considered the stockholder of record of those shares. As the beneficial owner, you may direct your broker, bank or other holder of record on how to vote your shares by using the proxy card included in the materials made available or by following their instructions for voting on the Internet.</w:t>
      </w:r>
      <w:r>
        <w:rPr>
          <w:rFonts w:ascii="Arial;Helvetica;sans-serif" w:hAnsi="Arial;Helvetica;sans-serif"/>
          <w:b w:val="false"/>
          <w:i w:val="false"/>
          <w:caps w:val="false"/>
          <w:smallCaps w:val="false"/>
          <w:color w:val="000000"/>
          <w:spacing w:val="4"/>
          <w:sz w:val="20"/>
        </w:rPr>
        <w:t xml:space="preserve"> </w:t>
      </w:r>
    </w:p>
    <w:p>
      <w:pPr>
        <w:pStyle w:val="TextBody"/>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A broker non-vote occurs when a broker or other nominee that holds shares for another does not vote on a particular item because the nominee does not have discretionary voting authority for that item and has not received instructions from the beneficial owner of the shares. The following table summarizes how votes withheld, broker non-votes and abstentions are treated with respect to our proposals:</w:t>
      </w:r>
      <w:r>
        <w:rPr>
          <w:rFonts w:ascii="Arial;Helvetica;sans-serif" w:hAnsi="Arial;Helvetica;sans-serif"/>
          <w:b w:val="false"/>
          <w:i w:val="false"/>
          <w:caps w:val="false"/>
          <w:smallCaps w:val="false"/>
          <w:color w:val="000000"/>
          <w:spacing w:val="4"/>
          <w:sz w:val="20"/>
        </w:rPr>
        <w:t xml:space="preserve"> </w:t>
      </w:r>
    </w:p>
    <w:tbl>
      <w:tblPr>
        <w:tblW w:w="9245" w:type="dxa"/>
        <w:jc w:val="left"/>
        <w:tblInd w:w="960" w:type="dxa"/>
        <w:tblCellMar>
          <w:top w:w="0" w:type="dxa"/>
          <w:left w:w="0" w:type="dxa"/>
          <w:bottom w:w="0" w:type="dxa"/>
          <w:right w:w="0" w:type="dxa"/>
        </w:tblCellMar>
      </w:tblPr>
      <w:tblGrid>
        <w:gridCol w:w="124"/>
        <w:gridCol w:w="109"/>
        <w:gridCol w:w="2207"/>
        <w:gridCol w:w="109"/>
        <w:gridCol w:w="109"/>
        <w:gridCol w:w="1505"/>
        <w:gridCol w:w="109"/>
        <w:gridCol w:w="109"/>
        <w:gridCol w:w="2314"/>
        <w:gridCol w:w="109"/>
        <w:gridCol w:w="109"/>
        <w:gridCol w:w="2066"/>
        <w:gridCol w:w="109"/>
        <w:gridCol w:w="157"/>
      </w:tblGrid>
      <w:tr>
        <w:trPr/>
        <w:tc>
          <w:tcPr>
            <w:tcW w:w="124" w:type="dxa"/>
            <w:tcBorders/>
            <w:shd w:fill="auto" w:val="clear"/>
            <w:vAlign w:val="center"/>
          </w:tcPr>
          <w:p>
            <w:pPr>
              <w:pStyle w:val="TableContents"/>
              <w:spacing w:before="0" w:after="283"/>
              <w:rPr/>
            </w:pPr>
            <w:r>
              <w:rPr/>
              <w:t>​</w:t>
            </w:r>
          </w:p>
        </w:tc>
        <w:tc>
          <w:tcPr>
            <w:tcW w:w="109" w:type="dxa"/>
            <w:tcBorders>
              <w:bottom w:val="single" w:sz="2" w:space="0" w:color="000000"/>
            </w:tcBorders>
            <w:shd w:fill="148CD9" w:val="clear"/>
            <w:tcMar>
              <w:bottom w:w="28" w:type="dxa"/>
            </w:tcMar>
            <w:vAlign w:val="center"/>
          </w:tcPr>
          <w:p>
            <w:pPr>
              <w:pStyle w:val="TableContents"/>
              <w:spacing w:before="0" w:after="283"/>
              <w:rPr/>
            </w:pPr>
            <w:r>
              <w:rPr/>
              <w:t>​</w:t>
            </w:r>
          </w:p>
        </w:tc>
        <w:tc>
          <w:tcPr>
            <w:tcW w:w="2207" w:type="dxa"/>
            <w:tcBorders>
              <w:bottom w:val="single" w:sz="2" w:space="0" w:color="000000"/>
            </w:tcBorders>
            <w:shd w:fill="148CD9" w:val="clear"/>
            <w:tcMar>
              <w:bottom w:w="28" w:type="dxa"/>
            </w:tcMar>
            <w:vAlign w:val="center"/>
          </w:tcPr>
          <w:p>
            <w:pPr>
              <w:pStyle w:val="TableContents"/>
              <w:spacing w:lineRule="atLeast" w:line="200" w:before="0" w:after="0"/>
              <w:jc w:val="center"/>
              <w:rPr/>
            </w:pPr>
            <w:r>
              <w:rPr>
                <w:caps/>
                <w:spacing w:val="-2"/>
              </w:rPr>
              <w:t>VOTING MATTERS</w:t>
            </w:r>
            <w:r>
              <w:rPr/>
              <w:t xml:space="preserve"> </w:t>
            </w:r>
          </w:p>
        </w:tc>
        <w:tc>
          <w:tcPr>
            <w:tcW w:w="109" w:type="dxa"/>
            <w:tcBorders>
              <w:bottom w:val="single" w:sz="2" w:space="0" w:color="000000"/>
            </w:tcBorders>
            <w:shd w:fill="148CD9" w:val="clear"/>
            <w:tcMar>
              <w:bottom w:w="28" w:type="dxa"/>
            </w:tcMar>
            <w:vAlign w:val="center"/>
          </w:tcPr>
          <w:p>
            <w:pPr>
              <w:pStyle w:val="TableContents"/>
              <w:spacing w:before="0" w:after="283"/>
              <w:rPr/>
            </w:pPr>
            <w:r>
              <w:rPr/>
              <w:t>​</w:t>
            </w:r>
          </w:p>
        </w:tc>
        <w:tc>
          <w:tcPr>
            <w:tcW w:w="109" w:type="dxa"/>
            <w:tcBorders>
              <w:bottom w:val="single" w:sz="2" w:space="0" w:color="000000"/>
            </w:tcBorders>
            <w:shd w:fill="148CD9" w:val="clear"/>
            <w:tcMar>
              <w:bottom w:w="28" w:type="dxa"/>
            </w:tcMar>
            <w:vAlign w:val="center"/>
          </w:tcPr>
          <w:p>
            <w:pPr>
              <w:pStyle w:val="TableContents"/>
              <w:spacing w:before="0" w:after="283"/>
              <w:rPr/>
            </w:pPr>
            <w:r>
              <w:rPr/>
              <w:t>​</w:t>
            </w:r>
          </w:p>
        </w:tc>
        <w:tc>
          <w:tcPr>
            <w:tcW w:w="1505" w:type="dxa"/>
            <w:tcBorders>
              <w:bottom w:val="single" w:sz="2" w:space="0" w:color="000000"/>
            </w:tcBorders>
            <w:shd w:fill="148CD9" w:val="clear"/>
            <w:tcMar>
              <w:bottom w:w="28" w:type="dxa"/>
            </w:tcMar>
            <w:vAlign w:val="center"/>
          </w:tcPr>
          <w:p>
            <w:pPr>
              <w:pStyle w:val="TableContents"/>
              <w:spacing w:lineRule="atLeast" w:line="200" w:before="0" w:after="0"/>
              <w:jc w:val="center"/>
              <w:rPr/>
            </w:pPr>
            <w:r>
              <w:rPr>
                <w:caps/>
                <w:spacing w:val="-2"/>
              </w:rPr>
              <w:t>VOTES REQUIRED</w:t>
            </w:r>
            <w:r>
              <w:rPr/>
              <w:t xml:space="preserve"> </w:t>
            </w:r>
          </w:p>
        </w:tc>
        <w:tc>
          <w:tcPr>
            <w:tcW w:w="109" w:type="dxa"/>
            <w:tcBorders>
              <w:bottom w:val="single" w:sz="2" w:space="0" w:color="000000"/>
            </w:tcBorders>
            <w:shd w:fill="148CD9" w:val="clear"/>
            <w:tcMar>
              <w:bottom w:w="28" w:type="dxa"/>
            </w:tcMar>
            <w:vAlign w:val="center"/>
          </w:tcPr>
          <w:p>
            <w:pPr>
              <w:pStyle w:val="TableContents"/>
              <w:spacing w:before="0" w:after="283"/>
              <w:rPr/>
            </w:pPr>
            <w:r>
              <w:rPr/>
              <w:t>​</w:t>
            </w:r>
          </w:p>
        </w:tc>
        <w:tc>
          <w:tcPr>
            <w:tcW w:w="109" w:type="dxa"/>
            <w:tcBorders>
              <w:bottom w:val="single" w:sz="2" w:space="0" w:color="000000"/>
            </w:tcBorders>
            <w:shd w:fill="148CD9" w:val="clear"/>
            <w:tcMar>
              <w:bottom w:w="28" w:type="dxa"/>
            </w:tcMar>
            <w:vAlign w:val="center"/>
          </w:tcPr>
          <w:p>
            <w:pPr>
              <w:pStyle w:val="TableContents"/>
              <w:spacing w:before="0" w:after="283"/>
              <w:rPr/>
            </w:pPr>
            <w:r>
              <w:rPr/>
              <w:t>​</w:t>
            </w:r>
          </w:p>
        </w:tc>
        <w:tc>
          <w:tcPr>
            <w:tcW w:w="2314" w:type="dxa"/>
            <w:tcBorders>
              <w:bottom w:val="single" w:sz="2" w:space="0" w:color="000000"/>
            </w:tcBorders>
            <w:shd w:fill="148CD9" w:val="clear"/>
            <w:tcMar>
              <w:bottom w:w="28" w:type="dxa"/>
            </w:tcMar>
            <w:vAlign w:val="center"/>
          </w:tcPr>
          <w:p>
            <w:pPr>
              <w:pStyle w:val="TableContents"/>
              <w:spacing w:lineRule="atLeast" w:line="180" w:before="0" w:after="0"/>
              <w:jc w:val="center"/>
              <w:rPr/>
            </w:pPr>
            <w:r>
              <w:rPr>
                <w:caps/>
                <w:spacing w:val="-2"/>
              </w:rPr>
              <w:t>TREATMENT OF</w:t>
            </w:r>
            <w:r>
              <w:rPr/>
              <w:t xml:space="preserve"> </w:t>
              <w:br/>
            </w:r>
            <w:r>
              <w:rPr>
                <w:caps/>
                <w:spacing w:val="-2"/>
              </w:rPr>
              <w:t xml:space="preserve">ABSTENTIONS AND </w:t>
            </w:r>
            <w:r>
              <w:rPr/>
              <w:br/>
            </w:r>
            <w:r>
              <w:rPr>
                <w:caps/>
                <w:spacing w:val="-2"/>
              </w:rPr>
              <w:t>BROKER</w:t>
            </w:r>
            <w:r>
              <w:rPr/>
              <w:t xml:space="preserve"> </w:t>
              <w:br/>
            </w:r>
            <w:r>
              <w:rPr>
                <w:caps/>
                <w:spacing w:val="-2"/>
              </w:rPr>
              <w:t>NON-VOTES</w:t>
            </w:r>
            <w:r>
              <w:rPr/>
              <w:t xml:space="preserve"> </w:t>
            </w:r>
          </w:p>
        </w:tc>
        <w:tc>
          <w:tcPr>
            <w:tcW w:w="109" w:type="dxa"/>
            <w:tcBorders>
              <w:bottom w:val="single" w:sz="2" w:space="0" w:color="000000"/>
            </w:tcBorders>
            <w:shd w:fill="148CD9" w:val="clear"/>
            <w:tcMar>
              <w:bottom w:w="28" w:type="dxa"/>
            </w:tcMar>
            <w:vAlign w:val="center"/>
          </w:tcPr>
          <w:p>
            <w:pPr>
              <w:pStyle w:val="TableContents"/>
              <w:spacing w:before="0" w:after="283"/>
              <w:rPr/>
            </w:pPr>
            <w:r>
              <w:rPr/>
              <w:t>​</w:t>
            </w:r>
          </w:p>
        </w:tc>
        <w:tc>
          <w:tcPr>
            <w:tcW w:w="109" w:type="dxa"/>
            <w:tcBorders>
              <w:bottom w:val="single" w:sz="2" w:space="0" w:color="000000"/>
            </w:tcBorders>
            <w:shd w:fill="148CD9" w:val="clear"/>
            <w:tcMar>
              <w:bottom w:w="28" w:type="dxa"/>
            </w:tcMar>
            <w:vAlign w:val="center"/>
          </w:tcPr>
          <w:p>
            <w:pPr>
              <w:pStyle w:val="TableContents"/>
              <w:spacing w:before="0" w:after="283"/>
              <w:rPr/>
            </w:pPr>
            <w:r>
              <w:rPr/>
              <w:t>​</w:t>
            </w:r>
          </w:p>
        </w:tc>
        <w:tc>
          <w:tcPr>
            <w:tcW w:w="2066" w:type="dxa"/>
            <w:tcBorders>
              <w:bottom w:val="single" w:sz="2" w:space="0" w:color="000000"/>
            </w:tcBorders>
            <w:shd w:fill="148CD9" w:val="clear"/>
            <w:tcMar>
              <w:bottom w:w="28" w:type="dxa"/>
            </w:tcMar>
            <w:vAlign w:val="center"/>
          </w:tcPr>
          <w:p>
            <w:pPr>
              <w:pStyle w:val="TableContents"/>
              <w:spacing w:lineRule="atLeast" w:line="180" w:before="0" w:after="0"/>
              <w:jc w:val="center"/>
              <w:rPr/>
            </w:pPr>
            <w:r>
              <w:rPr>
                <w:caps/>
                <w:spacing w:val="-2"/>
              </w:rPr>
              <w:t>BROKER</w:t>
            </w:r>
            <w:r>
              <w:rPr/>
              <w:t xml:space="preserve"> </w:t>
              <w:br/>
            </w:r>
            <w:r>
              <w:rPr>
                <w:caps/>
                <w:spacing w:val="-2"/>
              </w:rPr>
              <w:t>DISCRETIONARY</w:t>
            </w:r>
            <w:r>
              <w:rPr/>
              <w:t xml:space="preserve"> </w:t>
              <w:br/>
            </w:r>
            <w:r>
              <w:rPr>
                <w:caps/>
                <w:spacing w:val="-2"/>
              </w:rPr>
              <w:t>VOTING</w:t>
            </w:r>
            <w:r>
              <w:rPr/>
              <w:t xml:space="preserve"> </w:t>
            </w:r>
          </w:p>
        </w:tc>
        <w:tc>
          <w:tcPr>
            <w:tcW w:w="109" w:type="dxa"/>
            <w:tcBorders>
              <w:bottom w:val="single" w:sz="2" w:space="0" w:color="000000"/>
            </w:tcBorders>
            <w:shd w:fill="148CD9" w:val="clear"/>
            <w:tcMar>
              <w:bottom w:w="28" w:type="dxa"/>
            </w:tcMar>
            <w:vAlign w:val="center"/>
          </w:tcPr>
          <w:p>
            <w:pPr>
              <w:pStyle w:val="TableContents"/>
              <w:spacing w:before="0" w:after="283"/>
              <w:rPr/>
            </w:pPr>
            <w:r>
              <w:rPr/>
              <w:t>​</w:t>
            </w:r>
          </w:p>
        </w:tc>
        <w:tc>
          <w:tcPr>
            <w:tcW w:w="157" w:type="dxa"/>
            <w:tcBorders/>
            <w:shd w:fill="auto"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2207" w:type="dxa"/>
            <w:tcBorders>
              <w:bottom w:val="single" w:sz="2" w:space="0" w:color="000000"/>
            </w:tcBorders>
            <w:shd w:fill="auto" w:val="clear"/>
            <w:tcMar>
              <w:bottom w:w="28" w:type="dxa"/>
            </w:tcMar>
            <w:vAlign w:val="center"/>
          </w:tcPr>
          <w:p>
            <w:pPr>
              <w:pStyle w:val="TableContents"/>
              <w:spacing w:before="0" w:after="0"/>
              <w:jc w:val="left"/>
              <w:rPr>
                <w:color w:val="1DA46F"/>
              </w:rPr>
            </w:pPr>
            <w:r>
              <w:rPr>
                <w:b/>
                <w:color w:val="1DA46F"/>
                <w:spacing w:val="-3"/>
              </w:rPr>
              <w:t>PROPOSAL 1</w:t>
            </w:r>
            <w:r>
              <w:rPr>
                <w:color w:val="1DA46F"/>
                <w:spacing w:val="-1"/>
              </w:rPr>
              <w:t>: Election of Class II Directors for a Three-Year Term Expiring in 2026</w:t>
            </w:r>
            <w:r>
              <w:rPr>
                <w:color w:val="1DA46F"/>
              </w:rPr>
              <w:t xml:space="preserve"> </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505" w:type="dxa"/>
            <w:tcBorders>
              <w:bottom w:val="single" w:sz="2" w:space="0" w:color="000000"/>
            </w:tcBorders>
            <w:shd w:fill="auto" w:val="clear"/>
            <w:tcMar>
              <w:bottom w:w="28" w:type="dxa"/>
            </w:tcMar>
            <w:vAlign w:val="center"/>
          </w:tcPr>
          <w:p>
            <w:pPr>
              <w:pStyle w:val="TableContents"/>
              <w:spacing w:before="0" w:after="0"/>
              <w:jc w:val="center"/>
              <w:rPr>
                <w:spacing w:val="-1"/>
              </w:rPr>
            </w:pPr>
            <w:r>
              <w:rPr>
                <w:spacing w:val="-1"/>
              </w:rPr>
              <w:t xml:space="preserve">Plurality of the votes properly cast </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2314" w:type="dxa"/>
            <w:tcBorders>
              <w:bottom w:val="single" w:sz="2" w:space="0" w:color="000000"/>
            </w:tcBorders>
            <w:shd w:fill="auto" w:val="clear"/>
            <w:tcMar>
              <w:bottom w:w="28" w:type="dxa"/>
            </w:tcMar>
            <w:vAlign w:val="center"/>
          </w:tcPr>
          <w:p>
            <w:pPr>
              <w:pStyle w:val="TableContents"/>
              <w:spacing w:before="0" w:after="0"/>
              <w:jc w:val="center"/>
              <w:rPr>
                <w:spacing w:val="-1"/>
              </w:rPr>
            </w:pPr>
            <w:r>
              <w:rPr>
                <w:spacing w:val="-1"/>
              </w:rPr>
              <w:t xml:space="preserve">Votes withheld and broker non-votes will have no effect on the outcome of the proposal </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2066" w:type="dxa"/>
            <w:tcBorders>
              <w:bottom w:val="single" w:sz="2" w:space="0" w:color="000000"/>
            </w:tcBorders>
            <w:shd w:fill="auto" w:val="clear"/>
            <w:tcMar>
              <w:bottom w:w="28" w:type="dxa"/>
            </w:tcMar>
            <w:vAlign w:val="center"/>
          </w:tcPr>
          <w:p>
            <w:pPr>
              <w:pStyle w:val="TableContents"/>
              <w:spacing w:before="0" w:after="0"/>
              <w:jc w:val="center"/>
              <w:rPr>
                <w:spacing w:val="-1"/>
              </w:rPr>
            </w:pPr>
            <w:r>
              <w:rPr>
                <w:spacing w:val="-1"/>
              </w:rPr>
              <w:t xml:space="preserve">No </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57" w:type="dxa"/>
            <w:tcBorders/>
            <w:shd w:fill="auto"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2207" w:type="dxa"/>
            <w:tcBorders>
              <w:bottom w:val="single" w:sz="2" w:space="0" w:color="000000"/>
            </w:tcBorders>
            <w:shd w:fill="auto" w:val="clear"/>
            <w:tcMar>
              <w:bottom w:w="40" w:type="dxa"/>
            </w:tcMar>
            <w:vAlign w:val="center"/>
          </w:tcPr>
          <w:p>
            <w:pPr>
              <w:pStyle w:val="TableContents"/>
              <w:spacing w:before="0" w:after="0"/>
              <w:jc w:val="left"/>
              <w:rPr>
                <w:color w:val="1DA46F"/>
              </w:rPr>
            </w:pPr>
            <w:r>
              <w:rPr>
                <w:b/>
                <w:color w:val="1DA46F"/>
                <w:spacing w:val="-3"/>
              </w:rPr>
              <w:t>PROPOSAL 2</w:t>
            </w:r>
            <w:r>
              <w:rPr>
                <w:color w:val="1DA46F"/>
                <w:spacing w:val="-1"/>
              </w:rPr>
              <w:t>: Ratification of Appointment of EY as our Independent Registered Public Accounting Firm for 2023</w:t>
            </w:r>
            <w:r>
              <w:rPr>
                <w:color w:val="1DA46F"/>
              </w:rPr>
              <w:t xml:space="preserve"> </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505" w:type="dxa"/>
            <w:tcBorders>
              <w:bottom w:val="single" w:sz="2" w:space="0" w:color="000000"/>
            </w:tcBorders>
            <w:shd w:fill="auto" w:val="clear"/>
            <w:tcMar>
              <w:bottom w:w="28" w:type="dxa"/>
            </w:tcMar>
            <w:vAlign w:val="center"/>
          </w:tcPr>
          <w:p>
            <w:pPr>
              <w:pStyle w:val="TableContents"/>
              <w:spacing w:before="0" w:after="0"/>
              <w:jc w:val="center"/>
              <w:rPr>
                <w:spacing w:val="-1"/>
              </w:rPr>
            </w:pPr>
            <w:r>
              <w:rPr>
                <w:spacing w:val="-1"/>
              </w:rPr>
              <w:t xml:space="preserve">Majority of the votes properly cast </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2314" w:type="dxa"/>
            <w:tcBorders>
              <w:bottom w:val="single" w:sz="2" w:space="0" w:color="000000"/>
            </w:tcBorders>
            <w:shd w:fill="auto" w:val="clear"/>
            <w:tcMar>
              <w:bottom w:w="28" w:type="dxa"/>
            </w:tcMar>
            <w:vAlign w:val="center"/>
          </w:tcPr>
          <w:p>
            <w:pPr>
              <w:pStyle w:val="TableContents"/>
              <w:spacing w:before="0" w:after="0"/>
              <w:jc w:val="center"/>
              <w:rPr>
                <w:spacing w:val="-1"/>
              </w:rPr>
            </w:pPr>
            <w:r>
              <w:rPr>
                <w:spacing w:val="-1"/>
              </w:rPr>
              <w:t xml:space="preserve">Abstentions and broker non-votes will have no effect on the outcome of the proposal </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2066" w:type="dxa"/>
            <w:tcBorders>
              <w:bottom w:val="single" w:sz="2" w:space="0" w:color="000000"/>
            </w:tcBorders>
            <w:shd w:fill="auto" w:val="clear"/>
            <w:tcMar>
              <w:bottom w:w="28" w:type="dxa"/>
            </w:tcMar>
            <w:vAlign w:val="center"/>
          </w:tcPr>
          <w:p>
            <w:pPr>
              <w:pStyle w:val="TableContents"/>
              <w:spacing w:before="0" w:after="0"/>
              <w:jc w:val="center"/>
              <w:rPr/>
            </w:pPr>
            <w:r>
              <w:rPr>
                <w:spacing w:val="-1"/>
              </w:rPr>
              <w:t>Yes</w:t>
            </w:r>
            <w:r>
              <w:rPr/>
              <w:t xml:space="preserve"> </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57" w:type="dxa"/>
            <w:tcBorders/>
            <w:shd w:fill="auto" w:val="clear"/>
            <w:vAlign w:val="center"/>
          </w:tcPr>
          <w:p>
            <w:pPr>
              <w:pStyle w:val="TableContents"/>
              <w:spacing w:before="0" w:after="283"/>
              <w:rPr/>
            </w:pPr>
            <w:r>
              <w:rPr/>
              <w:t>​</w:t>
            </w:r>
          </w:p>
        </w:tc>
      </w:tr>
    </w:tbl>
    <w:p>
      <w:pPr>
        <w:pStyle w:val="TextBody"/>
        <w:spacing w:lineRule="atLeast" w:line="240" w:before="230" w:after="283"/>
        <w:ind w:left="960" w:right="0" w:hanging="0"/>
        <w:jc w:val="both"/>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3"/>
          <w:sz w:val="20"/>
        </w:rPr>
        <w:t>QUORUM</w:t>
      </w:r>
      <w:r>
        <w:rPr>
          <w:rFonts w:ascii="Arial;Helvetica;sans-serif" w:hAnsi="Arial;Helvetica;sans-serif"/>
          <w:b/>
          <w:i w:val="false"/>
          <w:caps w:val="false"/>
          <w:smallCaps w:val="false"/>
          <w:color w:val="000000"/>
          <w:spacing w:val="4"/>
          <w:sz w:val="20"/>
        </w:rPr>
        <w:t xml:space="preserve"> </w:t>
      </w:r>
    </w:p>
    <w:p>
      <w:pPr>
        <w:pStyle w:val="TextBody"/>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We must have a quorum to conduct business at the Annual Meeting. A quorum consists of the presence at the Annual Meeting, either attending the meeting virtually or represented by proxy, of the holders of shares of capital stock representing a majority of the voting power of all outstanding shares of capital stock entitled to vote. For the purpose of establishing a quorum, votes withheld, abstentions, including brokers holding customers’ shares of record who cause abstentions to be recorded at the meeting, and broker non-votes count toward the quorum. If there is no quorum, the holders of shares of capital stock representing a majority of the voting power virtually attending the Annual Meeting or represented by proxy or the presiding officer of the meeting may adjourn the Annual Meeting to another date.</w:t>
      </w:r>
      <w:r>
        <w:rPr>
          <w:rFonts w:ascii="Arial;Helvetica;sans-serif" w:hAnsi="Arial;Helvetica;sans-serif"/>
          <w:b w:val="false"/>
          <w:i w:val="false"/>
          <w:caps w:val="false"/>
          <w:smallCaps w:val="false"/>
          <w:color w:val="000000"/>
          <w:spacing w:val="4"/>
          <w:sz w:val="20"/>
        </w:rPr>
        <w:t xml:space="preserve"> </w:t>
      </w:r>
    </w:p>
    <w:p>
      <w:pPr>
        <w:pStyle w:val="TextBody"/>
        <w:spacing w:lineRule="atLeast" w:line="240" w:before="240" w:after="283"/>
        <w:jc w:val="both"/>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3"/>
          <w:sz w:val="20"/>
        </w:rPr>
        <w:t>PROXY SOLICITATION COSTS</w:t>
      </w:r>
      <w:r>
        <w:rPr>
          <w:rFonts w:ascii="Arial;Helvetica;sans-serif" w:hAnsi="Arial;Helvetica;sans-serif"/>
          <w:b/>
          <w:i w:val="false"/>
          <w:caps w:val="false"/>
          <w:smallCaps w:val="false"/>
          <w:color w:val="000000"/>
          <w:spacing w:val="4"/>
          <w:sz w:val="20"/>
        </w:rPr>
        <w:t xml:space="preserve"> </w:t>
      </w:r>
    </w:p>
    <w:p>
      <w:pPr>
        <w:pStyle w:val="TextBody"/>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We pay the cost of soliciting proxies. Proxies will be solicited on behalf of the Board by mail, telephone, and other electronic means or in person. Directors and employees will not be paid any additional compensation for soliciting proxies. We may reimburse brokerage firms, banks and other agents for the cost of forwarding proxy materials to beneficial owners.</w:t>
      </w:r>
      <w:r>
        <w:rPr>
          <w:rFonts w:ascii="Arial;Helvetica;sans-serif" w:hAnsi="Arial;Helvetica;sans-serif"/>
          <w:b w:val="false"/>
          <w:i w:val="false"/>
          <w:caps w:val="false"/>
          <w:smallCaps w:val="false"/>
          <w:color w:val="000000"/>
          <w:sz w:val="20"/>
        </w:rPr>
        <w:t xml:space="preserve"> </w:t>
      </w:r>
    </w:p>
    <w:p>
      <w:pPr>
        <w:pStyle w:val="TextBody"/>
        <w:spacing w:lineRule="atLeast" w:line="240" w:before="100" w:after="283"/>
        <w:ind w:left="960" w:right="0" w:hanging="0"/>
        <w:jc w:val="righ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1DA46F"/>
          <w:spacing w:val="0"/>
          <w:sz w:val="20"/>
        </w:rPr>
        <w:t>Notice of Annual Meeting of Stockholders</w:t>
      </w:r>
      <w:r>
        <w:rPr>
          <w:rFonts w:ascii="Arial;Helvetica;sans-serif" w:hAnsi="Arial;Helvetica;sans-serif"/>
          <w:b/>
          <w:i w:val="false"/>
          <w:caps w:val="false"/>
          <w:smallCaps w:val="false"/>
          <w:color w:val="000000"/>
          <w:spacing w:val="0"/>
          <w:sz w:val="20"/>
        </w:rPr>
        <w:t> and 2023 Proxy Statement | </w:t>
      </w:r>
      <w:r>
        <w:rPr>
          <w:rFonts w:ascii="Arial;Helvetica;sans-serif" w:hAnsi="Arial;Helvetica;sans-serif"/>
          <w:b w:val="false"/>
          <w:i w:val="false"/>
          <w:caps w:val="false"/>
          <w:smallCaps w:val="false"/>
          <w:color w:val="000000"/>
          <w:spacing w:val="-1"/>
          <w:sz w:val="20"/>
        </w:rPr>
        <w:t>2</w:t>
      </w:r>
      <w:r>
        <w:rPr>
          <w:rFonts w:ascii="Arial;Helvetica;sans-serif" w:hAnsi="Arial;Helvetica;sans-serif"/>
          <w:b/>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6" w:name="tBOD"/>
      <w:bookmarkEnd w:id="16"/>
      <w:r>
        <w:rPr>
          <w:rFonts w:ascii="calibri;arial;sans-serif" w:hAnsi="calibri;arial;sans-serif"/>
          <w:b w:val="false"/>
          <w:i w:val="false"/>
          <w:caps w:val="false"/>
          <w:smallCaps w:val="false"/>
          <w:color w:val="000000"/>
          <w:sz w:val="16"/>
        </w:rPr>
        <w:t>​</w:t>
      </w:r>
      <w:bookmarkStart w:id="17" w:name="tBSAC"/>
      <w:bookmarkEnd w:id="17"/>
      <w:r>
        <w:rPr>
          <w:rFonts w:ascii="calibri;arial;sans-serif" w:hAnsi="calibri;arial;sans-serif"/>
          <w:b w:val="false"/>
          <w:i w:val="false"/>
          <w:caps w:val="false"/>
          <w:smallCaps w:val="false"/>
          <w:color w:val="000000"/>
          <w:sz w:val="16"/>
        </w:rPr>
        <w:t>​</w:t>
      </w:r>
      <w:bookmarkStart w:id="18" w:name="tCFBM"/>
      <w:bookmarkEnd w:id="18"/>
      <w:r>
        <w:rPr>
          <w:rFonts w:ascii="calibri;arial;sans-serif" w:hAnsi="calibri;arial;sans-serif"/>
          <w:b w:val="false"/>
          <w:i w:val="false"/>
          <w:caps w:val="false"/>
          <w:smallCaps w:val="false"/>
          <w:color w:val="000000"/>
          <w:sz w:val="16"/>
        </w:rPr>
        <w:t xml:space="preserve">​ </w:t>
      </w:r>
    </w:p>
    <w:tbl>
      <w:tblPr>
        <w:tblW w:w="3049" w:type="dxa"/>
        <w:jc w:val="left"/>
        <w:tblInd w:w="960" w:type="dxa"/>
        <w:tblCellMar>
          <w:top w:w="0" w:type="dxa"/>
          <w:left w:w="0" w:type="dxa"/>
          <w:bottom w:w="0" w:type="dxa"/>
          <w:right w:w="0" w:type="dxa"/>
        </w:tblCellMar>
      </w:tblPr>
      <w:tblGrid>
        <w:gridCol w:w="124"/>
        <w:gridCol w:w="2771"/>
        <w:gridCol w:w="154"/>
      </w:tblGrid>
      <w:tr>
        <w:trPr/>
        <w:tc>
          <w:tcPr>
            <w:tcW w:w="124" w:type="dxa"/>
            <w:tcBorders/>
            <w:shd w:fill="1DA46F" w:val="clear"/>
            <w:vAlign w:val="center"/>
          </w:tcPr>
          <w:p>
            <w:pPr>
              <w:pStyle w:val="TableContents"/>
              <w:spacing w:before="0" w:after="283"/>
              <w:rPr/>
            </w:pPr>
            <w:r>
              <w:rPr/>
              <w:t>​</w:t>
            </w:r>
          </w:p>
        </w:tc>
        <w:tc>
          <w:tcPr>
            <w:tcW w:w="2771" w:type="dxa"/>
            <w:tcBorders/>
            <w:shd w:fill="1DA46F" w:val="clear"/>
            <w:vAlign w:val="center"/>
          </w:tcPr>
          <w:p>
            <w:pPr>
              <w:pStyle w:val="TableContents"/>
              <w:spacing w:lineRule="atLeast" w:line="360" w:before="0" w:after="0"/>
              <w:rPr/>
            </w:pPr>
            <w:r>
              <w:rPr>
                <w:spacing w:val="-5"/>
              </w:rPr>
              <w:t>BOARD OF DIRECTORS</w:t>
            </w:r>
            <w:r>
              <w:rPr/>
              <w:t xml:space="preserve"> </w:t>
            </w:r>
          </w:p>
        </w:tc>
        <w:tc>
          <w:tcPr>
            <w:tcW w:w="154" w:type="dxa"/>
            <w:tcBorders/>
            <w:shd w:fill="1DA46F" w:val="clear"/>
            <w:vAlign w:val="center"/>
          </w:tcPr>
          <w:p>
            <w:pPr>
              <w:pStyle w:val="TableContents"/>
              <w:spacing w:before="0" w:after="283"/>
              <w:rPr/>
            </w:pPr>
            <w:r>
              <w:rPr/>
              <w:t>​</w:t>
            </w:r>
          </w:p>
        </w:tc>
      </w:tr>
    </w:tbl>
    <w:p>
      <w:pPr>
        <w:pStyle w:val="TextBody"/>
        <w:spacing w:lineRule="atLeast" w:line="240" w:before="360" w:after="283"/>
        <w:ind w:left="960" w:right="0" w:hanging="0"/>
        <w:jc w:val="both"/>
        <w:rPr>
          <w:rFonts w:ascii="Arial;Helvetica;sans-serif" w:hAnsi="Arial;Helvetica;sans-serif"/>
          <w:b w:val="false"/>
          <w:i w:val="false"/>
          <w:caps w:val="false"/>
          <w:smallCaps w:val="false"/>
          <w:color w:val="148CD9"/>
          <w:sz w:val="20"/>
        </w:rPr>
      </w:pPr>
      <w:r>
        <w:rPr>
          <w:rFonts w:ascii="Arial;Helvetica;sans-serif" w:hAnsi="Arial;Helvetica;sans-serif"/>
          <w:b w:val="false"/>
          <w:i w:val="false"/>
          <w:caps w:val="false"/>
          <w:smallCaps w:val="false"/>
          <w:color w:val="148CD9"/>
          <w:spacing w:val="-1"/>
          <w:sz w:val="20"/>
        </w:rPr>
        <w:t>Our Board has nominated Cynthia Butitta, Timothy Walbert and Alessandro Riva, M.D. for election as Class II directors at our Annual Meeting to hold office until our 2026 Annual Meeting of Stockholders.</w:t>
      </w:r>
      <w:r>
        <w:rPr>
          <w:rFonts w:ascii="Arial;Helvetica;sans-serif" w:hAnsi="Arial;Helvetica;sans-serif"/>
          <w:b w:val="false"/>
          <w:i w:val="false"/>
          <w:caps w:val="false"/>
          <w:smallCaps w:val="false"/>
          <w:color w:val="148CD9"/>
          <w:sz w:val="20"/>
        </w:rPr>
        <w:t xml:space="preserve"> </w:t>
      </w:r>
    </w:p>
    <w:p>
      <w:pPr>
        <w:pStyle w:val="TextBody"/>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Our Board has nominated Cynthia Butitta, Timothy Walbert and Alessandro Riva, M.D. for election as Class II directors at our Annual Meeting to hold office until our 2026 Annual Meeting of Stockholders.</w:t>
      </w:r>
      <w:r>
        <w:rPr>
          <w:rFonts w:ascii="Arial;Helvetica;sans-serif" w:hAnsi="Arial;Helvetica;sans-serif"/>
          <w:b w:val="false"/>
          <w:i w:val="false"/>
          <w:caps w:val="false"/>
          <w:smallCaps w:val="false"/>
          <w:color w:val="000000"/>
          <w:spacing w:val="4"/>
          <w:sz w:val="20"/>
        </w:rPr>
        <w:t xml:space="preserve"> </w:t>
      </w:r>
    </w:p>
    <w:p>
      <w:pPr>
        <w:pStyle w:val="TextBody"/>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Our Board is the Company’s ultimate decision-making body, except with respect to those matters reserved to the stockholders. Our Board selects the members of our senior management team, who in turn are responsible for our day-to-day operations. Our Board acts as an advisor and counselor to senior management and oversees their performance.</w:t>
      </w:r>
      <w:r>
        <w:rPr>
          <w:rFonts w:ascii="Arial;Helvetica;sans-serif" w:hAnsi="Arial;Helvetica;sans-serif"/>
          <w:b w:val="false"/>
          <w:i w:val="false"/>
          <w:caps w:val="false"/>
          <w:smallCaps w:val="false"/>
          <w:color w:val="000000"/>
          <w:spacing w:val="4"/>
          <w:sz w:val="20"/>
        </w:rPr>
        <w:t xml:space="preserve"> </w:t>
      </w:r>
    </w:p>
    <w:p>
      <w:pPr>
        <w:pStyle w:val="TextBody"/>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Our Board consists of directors divided into three classes, with each class holding office for a three-year term. Cynthia Butitta, Timothy Walbert and Alessandro Riva, M.D., current Class II directors, have been nominated by our Board for election at the Annual Meeting for three-year terms that will expire at the 2026 Annual Meeting of Stockholders and until their successors, if any, are elected or appointed, or their earlier death, resignation, retirement, disqualification or removal. Each of the nominees has agreed to be named and to serve, and we expect each nominee to be able to serve if elected. If any nominee is unable to serve, the Nominating and Corporate Governance Committee will recommend to our Board a replacement nominee. The Board may then designate the other nominee to stand for election. If you voted for the unavailable nominee, your vote will be cast for his or her replacement.</w:t>
      </w:r>
      <w:r>
        <w:rPr>
          <w:rFonts w:ascii="Arial;Helvetica;sans-serif" w:hAnsi="Arial;Helvetica;sans-serif"/>
          <w:b w:val="false"/>
          <w:i w:val="false"/>
          <w:caps w:val="false"/>
          <w:smallCaps w:val="false"/>
          <w:color w:val="000000"/>
          <w:spacing w:val="4"/>
          <w:sz w:val="20"/>
        </w:rPr>
        <w:t xml:space="preserve"> </w:t>
      </w:r>
    </w:p>
    <w:p>
      <w:pPr>
        <w:pStyle w:val="TextBody"/>
        <w:spacing w:lineRule="atLeast" w:line="240" w:before="240" w:after="283"/>
        <w:jc w:val="both"/>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3"/>
          <w:sz w:val="20"/>
        </w:rPr>
        <w:t>BOARD STRUCTURE AND COMPOSITION</w:t>
      </w:r>
      <w:r>
        <w:rPr>
          <w:rFonts w:ascii="Arial;Helvetica;sans-serif" w:hAnsi="Arial;Helvetica;sans-serif"/>
          <w:b/>
          <w:i w:val="false"/>
          <w:caps w:val="false"/>
          <w:smallCaps w:val="false"/>
          <w:color w:val="000000"/>
          <w:spacing w:val="4"/>
          <w:sz w:val="20"/>
        </w:rPr>
        <w:t xml:space="preserve"> </w:t>
      </w:r>
    </w:p>
    <w:p>
      <w:pPr>
        <w:pStyle w:val="TextBody"/>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The Nominating and Corporate Governance Committee is responsible for recommending the composition and structure of our Board and for developing criteria for Board membership. The Nominating and Corporate Governance Committee regularly reviews director competencies, qualities and experiences, with the goal of ensuring that our Board is comprised of an effective team of directors who function collegially and who are able to apply their experience toward meaningful contributions to our business strategy and oversight of our performance, risk management, organizational development and succession planning.</w:t>
      </w:r>
      <w:r>
        <w:rPr>
          <w:rFonts w:ascii="Arial;Helvetica;sans-serif" w:hAnsi="Arial;Helvetica;sans-serif"/>
          <w:b w:val="false"/>
          <w:i w:val="false"/>
          <w:caps w:val="false"/>
          <w:smallCaps w:val="false"/>
          <w:color w:val="000000"/>
          <w:spacing w:val="4"/>
          <w:sz w:val="20"/>
        </w:rPr>
        <w:t xml:space="preserve"> </w:t>
      </w:r>
    </w:p>
    <w:p>
      <w:pPr>
        <w:pStyle w:val="TextBody"/>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Our Amended and Restated Bylaws, or Bylaws, provide that the number of members of our Board shall be fixed by the Board from time to time. Our Board is currently fixed at seven members. Our Board is divided into three classes with staggered three-year terms. The Nominating and Corporate Governance Committee is responsible for identifying individuals that it believes are qualified to become Board members.</w:t>
      </w:r>
      <w:r>
        <w:rPr>
          <w:rFonts w:ascii="Arial;Helvetica;sans-serif" w:hAnsi="Arial;Helvetica;sans-serif"/>
          <w:b w:val="false"/>
          <w:i w:val="false"/>
          <w:caps w:val="false"/>
          <w:smallCaps w:val="false"/>
          <w:color w:val="000000"/>
          <w:spacing w:val="4"/>
          <w:sz w:val="20"/>
        </w:rPr>
        <w:t xml:space="preserve"> </w:t>
      </w:r>
    </w:p>
    <w:p>
      <w:pPr>
        <w:pStyle w:val="TextBody"/>
        <w:spacing w:lineRule="atLeast" w:line="240" w:before="240" w:after="283"/>
        <w:jc w:val="both"/>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3"/>
          <w:sz w:val="20"/>
        </w:rPr>
        <w:t>CRITERIA FOR BOARD MEMBERSHIP</w:t>
      </w:r>
      <w:r>
        <w:rPr>
          <w:rFonts w:ascii="Arial;Helvetica;sans-serif" w:hAnsi="Arial;Helvetica;sans-serif"/>
          <w:b/>
          <w:i w:val="false"/>
          <w:caps w:val="false"/>
          <w:smallCaps w:val="false"/>
          <w:color w:val="000000"/>
          <w:spacing w:val="4"/>
          <w:sz w:val="20"/>
        </w:rPr>
        <w:t xml:space="preserve"> </w:t>
      </w:r>
    </w:p>
    <w:p>
      <w:pPr>
        <w:pStyle w:val="TextBody"/>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The Nominating and Corporate Governance Committee has identified certain criteria that it will consider in identifying director nominees. Important general criteria and considerations for Board membership include:</w:t>
      </w:r>
      <w:r>
        <w:rPr>
          <w:rFonts w:ascii="Arial;Helvetica;sans-serif" w:hAnsi="Arial;Helvetica;sans-serif"/>
          <w:b w:val="false"/>
          <w:i w:val="false"/>
          <w:caps w:val="false"/>
          <w:smallCaps w:val="false"/>
          <w:color w:val="000000"/>
          <w:spacing w:val="4"/>
          <w:sz w:val="20"/>
        </w:rPr>
        <w:t xml:space="preserve"> </w:t>
      </w:r>
    </w:p>
    <w:tbl>
      <w:tblPr>
        <w:tblW w:w="9245" w:type="dxa"/>
        <w:jc w:val="left"/>
        <w:tblInd w:w="960" w:type="dxa"/>
        <w:tblCellMar>
          <w:top w:w="0" w:type="dxa"/>
          <w:left w:w="0" w:type="dxa"/>
          <w:bottom w:w="28" w:type="dxa"/>
          <w:right w:w="0" w:type="dxa"/>
        </w:tblCellMar>
      </w:tblPr>
      <w:tblGrid>
        <w:gridCol w:w="124"/>
        <w:gridCol w:w="8967"/>
        <w:gridCol w:w="154"/>
      </w:tblGrid>
      <w:tr>
        <w:trPr/>
        <w:tc>
          <w:tcPr>
            <w:tcW w:w="124" w:type="dxa"/>
            <w:tcBorders>
              <w:bottom w:val="single" w:sz="12" w:space="0" w:color="1DA46F"/>
            </w:tcBorders>
            <w:shd w:fill="auto" w:val="clear"/>
            <w:vAlign w:val="center"/>
          </w:tcPr>
          <w:p>
            <w:pPr>
              <w:pStyle w:val="TableContents"/>
              <w:spacing w:before="0" w:after="283"/>
              <w:rPr/>
            </w:pPr>
            <w:r>
              <w:rPr/>
              <w:t>​</w:t>
            </w:r>
          </w:p>
        </w:tc>
        <w:tc>
          <w:tcPr>
            <w:tcW w:w="8967" w:type="dxa"/>
            <w:tcBorders>
              <w:bottom w:val="single" w:sz="12" w:space="0" w:color="1DA46F"/>
            </w:tcBorders>
            <w:shd w:fill="auto" w:val="clear"/>
            <w:tcMar>
              <w:bottom w:w="40" w:type="dxa"/>
            </w:tcMar>
            <w:vAlign w:val="center"/>
          </w:tcPr>
          <w:p>
            <w:pPr>
              <w:pStyle w:val="TableContents"/>
              <w:spacing w:before="0" w:after="0"/>
              <w:jc w:val="center"/>
              <w:rPr>
                <w:spacing w:val="-3"/>
              </w:rPr>
            </w:pPr>
            <w:r>
              <w:rPr>
                <w:spacing w:val="-3"/>
              </w:rPr>
              <w:t xml:space="preserve">GENERAL CRITERIA </w:t>
            </w:r>
          </w:p>
        </w:tc>
        <w:tc>
          <w:tcPr>
            <w:tcW w:w="154" w:type="dxa"/>
            <w:tcBorders>
              <w:bottom w:val="single" w:sz="12" w:space="0" w:color="1DA46F"/>
            </w:tcBorders>
            <w:shd w:fill="auto" w:val="clear"/>
            <w:vAlign w:val="center"/>
          </w:tcPr>
          <w:p>
            <w:pPr>
              <w:pStyle w:val="TableContents"/>
              <w:spacing w:before="0" w:after="283"/>
              <w:rPr/>
            </w:pPr>
            <w:r>
              <w:rPr/>
              <w:t>​</w:t>
            </w:r>
          </w:p>
        </w:tc>
      </w:tr>
      <w:tr>
        <w:trPr/>
        <w:tc>
          <w:tcPr>
            <w:tcW w:w="124" w:type="dxa"/>
            <w:tcBorders/>
            <w:shd w:fill="auto" w:val="clear"/>
            <w:tcMar>
              <w:bottom w:w="0" w:type="dxa"/>
            </w:tcMar>
            <w:vAlign w:val="center"/>
          </w:tcPr>
          <w:p>
            <w:pPr>
              <w:pStyle w:val="TableContents"/>
              <w:spacing w:before="0" w:after="283"/>
              <w:rPr/>
            </w:pPr>
            <w:r>
              <w:rPr/>
              <w:t>​</w:t>
            </w:r>
          </w:p>
        </w:tc>
        <w:tc>
          <w:tcPr>
            <w:tcW w:w="8967" w:type="dxa"/>
            <w:tcBorders/>
            <w:shd w:fill="auto" w:val="clear"/>
            <w:tcMar>
              <w:bottom w:w="0" w:type="dxa"/>
            </w:tcMar>
            <w:vAlign w:val="center"/>
          </w:tcPr>
          <w:p>
            <w:pPr>
              <w:pStyle w:val="TableContents"/>
              <w:spacing w:lineRule="atLeast" w:line="200" w:before="0" w:after="0"/>
              <w:ind w:left="740" w:right="0" w:hanging="0"/>
              <w:jc w:val="left"/>
              <w:rPr/>
            </w:pPr>
            <w:r>
              <w:rPr>
                <w:spacing w:val="-1"/>
              </w:rPr>
              <w:t>Proven integrity</w:t>
            </w:r>
            <w:r>
              <w:rPr/>
              <w:t xml:space="preserve"> </w:t>
            </w:r>
            <w:r>
              <mc:AlternateContent>
                <mc:Choice Requires="wps">
                  <w:drawing>
                    <wp:anchor behindDoc="0" distT="0" distB="0" distL="254000" distR="0" simplePos="0" locked="0" layoutInCell="1" allowOverlap="1" relativeHeight="4">
                      <wp:simplePos x="0" y="0"/>
                      <wp:positionH relativeFrom="column">
                        <wp:align>left</wp:align>
                      </wp:positionH>
                      <wp:positionV relativeFrom="line">
                        <wp:posOffset>635</wp:posOffset>
                      </wp:positionV>
                      <wp:extent cx="215900" cy="185420"/>
                      <wp:effectExtent l="0" t="0" r="0" b="0"/>
                      <wp:wrapSquare wrapText="largest"/>
                      <wp:docPr id="20" name="Frame16"/>
                      <a:graphic xmlns:a="http://schemas.openxmlformats.org/drawingml/2006/main">
                        <a:graphicData uri="http://schemas.microsoft.com/office/word/2010/wordprocessingShape">
                          <wps:wsp>
                            <wps:cNvSpPr txBox="1"/>
                            <wps:spPr>
                              <a:xfrm>
                                <a:off x="0" y="0"/>
                                <a:ext cx="215900" cy="185420"/>
                              </a:xfrm>
                              <a:prstGeom prst="rect"/>
                            </wps:spPr>
                            <wps:txbx>
                              <w:txbxContent>
                                <w:p>
                                  <w:pPr>
                                    <w:pStyle w:val="TextBody"/>
                                    <w:spacing w:lineRule="atLeast" w:line="200" w:before="0" w:after="283"/>
                                    <w:jc w:val="left"/>
                                    <w:rPr/>
                                  </w:pPr>
                                  <w:r>
                                    <w:rPr/>
                                    <w:drawing>
                                      <wp:inline distT="0" distB="0" distL="0" distR="0">
                                        <wp:extent cx="85725" cy="85725"/>
                                        <wp:effectExtent l="0" t="0" r="0" b="0"/>
                                        <wp:docPr id="21"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5" descr=""/>
                                                <pic:cNvPicPr>
                                                  <a:picLocks noChangeAspect="1" noChangeArrowheads="1"/>
                                                </pic:cNvPicPr>
                                              </pic:nvPicPr>
                                              <pic:blipFill>
                                                <a:blip r:embed="rId6"/>
                                                <a:stretch>
                                                  <a:fillRect/>
                                                </a:stretch>
                                              </pic:blipFill>
                                              <pic:spPr bwMode="auto">
                                                <a:xfrm>
                                                  <a:off x="0" y="0"/>
                                                  <a:ext cx="85725" cy="85725"/>
                                                </a:xfrm>
                                                <a:prstGeom prst="rect">
                                                  <a:avLst/>
                                                </a:prstGeom>
                                              </pic:spPr>
                                            </pic:pic>
                                          </a:graphicData>
                                        </a:graphic>
                                      </wp:inline>
                                    </w:drawing>
                                  </w:r>
                                  <w:r>
                                    <w:rPr/>
                                    <w:t xml:space="preserve"> </w:t>
                                  </w:r>
                                </w:p>
                              </w:txbxContent>
                            </wps:txbx>
                            <wps:bodyPr anchor="t" lIns="0" tIns="0" rIns="0" bIns="0">
                              <a:noAutofit/>
                            </wps:bodyPr>
                          </wps:wsp>
                        </a:graphicData>
                      </a:graphic>
                    </wp:anchor>
                  </w:drawing>
                </mc:Choice>
                <mc:Fallback>
                  <w:pict>
                    <v:rect style="position:absolute;rotation:0;width:17pt;height:14.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spacing w:lineRule="atLeast" w:line="200" w:before="0" w:after="283"/>
                              <w:jc w:val="left"/>
                              <w:rPr/>
                            </w:pPr>
                            <w:r>
                              <w:rPr/>
                              <w:drawing>
                                <wp:inline distT="0" distB="0" distL="0" distR="0">
                                  <wp:extent cx="85725" cy="85725"/>
                                  <wp:effectExtent l="0" t="0" r="0" b="0"/>
                                  <wp:docPr id="22"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5" descr=""/>
                                          <pic:cNvPicPr>
                                            <a:picLocks noChangeAspect="1" noChangeArrowheads="1"/>
                                          </pic:cNvPicPr>
                                        </pic:nvPicPr>
                                        <pic:blipFill>
                                          <a:blip r:embed="rId6"/>
                                          <a:stretch>
                                            <a:fillRect/>
                                          </a:stretch>
                                        </pic:blipFill>
                                        <pic:spPr bwMode="auto">
                                          <a:xfrm>
                                            <a:off x="0" y="0"/>
                                            <a:ext cx="85725" cy="85725"/>
                                          </a:xfrm>
                                          <a:prstGeom prst="rect">
                                            <a:avLst/>
                                          </a:prstGeom>
                                        </pic:spPr>
                                      </pic:pic>
                                    </a:graphicData>
                                  </a:graphic>
                                </wp:inline>
                              </w:drawing>
                            </w:r>
                            <w:r>
                              <w:rPr/>
                              <w:t xml:space="preserve"> </w:t>
                            </w:r>
                          </w:p>
                        </w:txbxContent>
                      </v:textbox>
                      <w10:wrap type="square" side="right"/>
                    </v:rect>
                  </w:pict>
                </mc:Fallback>
              </mc:AlternateContent>
            </w:r>
          </w:p>
          <w:p>
            <w:pPr>
              <w:pStyle w:val="TableContents"/>
              <w:spacing w:before="0" w:after="0"/>
              <w:ind w:left="0" w:right="0" w:hanging="0"/>
              <w:rPr/>
            </w:pPr>
            <w:r>
              <w:rPr/>
              <w:t>​</w:t>
            </w:r>
          </w:p>
          <w:p>
            <w:pPr>
              <w:pStyle w:val="TableContents"/>
              <w:spacing w:lineRule="atLeast" w:line="200" w:before="20" w:after="0"/>
              <w:ind w:left="740" w:right="0" w:hanging="0"/>
              <w:jc w:val="left"/>
              <w:rPr/>
            </w:pPr>
            <w:r>
              <w:rPr>
                <w:spacing w:val="-1"/>
              </w:rPr>
              <w:t>Ability to make a meaningful contribution to the Board’s advising, counseling and oversight roles</w:t>
            </w:r>
            <w:r>
              <w:rPr/>
              <w:t xml:space="preserve"> </w:t>
            </w:r>
            <w:r>
              <mc:AlternateContent>
                <mc:Choice Requires="wps">
                  <w:drawing>
                    <wp:anchor behindDoc="0" distT="25400" distB="0" distL="254000" distR="0" simplePos="0" locked="0" layoutInCell="1" allowOverlap="1" relativeHeight="5">
                      <wp:simplePos x="0" y="0"/>
                      <wp:positionH relativeFrom="column">
                        <wp:align>left</wp:align>
                      </wp:positionH>
                      <wp:positionV relativeFrom="line">
                        <wp:align>top</wp:align>
                      </wp:positionV>
                      <wp:extent cx="215900" cy="185420"/>
                      <wp:effectExtent l="0" t="0" r="0" b="0"/>
                      <wp:wrapSquare wrapText="largest"/>
                      <wp:docPr id="23" name="Frame17"/>
                      <a:graphic xmlns:a="http://schemas.openxmlformats.org/drawingml/2006/main">
                        <a:graphicData uri="http://schemas.microsoft.com/office/word/2010/wordprocessingShape">
                          <wps:wsp>
                            <wps:cNvSpPr txBox="1"/>
                            <wps:spPr>
                              <a:xfrm>
                                <a:off x="0" y="0"/>
                                <a:ext cx="215900" cy="185420"/>
                              </a:xfrm>
                              <a:prstGeom prst="rect"/>
                            </wps:spPr>
                            <wps:txbx>
                              <w:txbxContent>
                                <w:p>
                                  <w:pPr>
                                    <w:pStyle w:val="TextBody"/>
                                    <w:spacing w:lineRule="atLeast" w:line="200" w:before="0" w:after="283"/>
                                    <w:jc w:val="left"/>
                                    <w:rPr/>
                                  </w:pPr>
                                  <w:r>
                                    <w:rPr/>
                                    <w:drawing>
                                      <wp:inline distT="0" distB="0" distL="0" distR="0">
                                        <wp:extent cx="85725" cy="85725"/>
                                        <wp:effectExtent l="0" t="0" r="0" b="0"/>
                                        <wp:docPr id="24"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6" descr=""/>
                                                <pic:cNvPicPr>
                                                  <a:picLocks noChangeAspect="1" noChangeArrowheads="1"/>
                                                </pic:cNvPicPr>
                                              </pic:nvPicPr>
                                              <pic:blipFill>
                                                <a:blip r:embed="rId7"/>
                                                <a:stretch>
                                                  <a:fillRect/>
                                                </a:stretch>
                                              </pic:blipFill>
                                              <pic:spPr bwMode="auto">
                                                <a:xfrm>
                                                  <a:off x="0" y="0"/>
                                                  <a:ext cx="85725" cy="85725"/>
                                                </a:xfrm>
                                                <a:prstGeom prst="rect">
                                                  <a:avLst/>
                                                </a:prstGeom>
                                              </pic:spPr>
                                            </pic:pic>
                                          </a:graphicData>
                                        </a:graphic>
                                      </wp:inline>
                                    </w:drawing>
                                  </w:r>
                                  <w:r>
                                    <w:rPr/>
                                    <w:t xml:space="preserve"> </w:t>
                                  </w:r>
                                </w:p>
                              </w:txbxContent>
                            </wps:txbx>
                            <wps:bodyPr anchor="t" lIns="0" tIns="0" rIns="0" bIns="0">
                              <a:noAutofit/>
                            </wps:bodyPr>
                          </wps:wsp>
                        </a:graphicData>
                      </a:graphic>
                    </wp:anchor>
                  </w:drawing>
                </mc:Choice>
                <mc:Fallback>
                  <w:pict>
                    <v:rect style="position:absolute;rotation:0;width:17pt;height:14.6pt;mso-wrap-distance-left:20pt;mso-wrap-distance-right:0pt;mso-wrap-distance-top:2pt;mso-wrap-distance-bottom:0pt;margin-top:2pt;mso-position-vertical:top;mso-position-vertical-relative:text;margin-left:20pt;mso-position-horizontal:left;mso-position-horizontal-relative:text">
                      <v:textbox>
                        <w:txbxContent>
                          <w:p>
                            <w:pPr>
                              <w:pStyle w:val="TextBody"/>
                              <w:spacing w:lineRule="atLeast" w:line="200" w:before="0" w:after="283"/>
                              <w:jc w:val="left"/>
                              <w:rPr/>
                            </w:pPr>
                            <w:r>
                              <w:rPr/>
                              <w:drawing>
                                <wp:inline distT="0" distB="0" distL="0" distR="0">
                                  <wp:extent cx="85725" cy="85725"/>
                                  <wp:effectExtent l="0" t="0" r="0" b="0"/>
                                  <wp:docPr id="25"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6" descr=""/>
                                          <pic:cNvPicPr>
                                            <a:picLocks noChangeAspect="1" noChangeArrowheads="1"/>
                                          </pic:cNvPicPr>
                                        </pic:nvPicPr>
                                        <pic:blipFill>
                                          <a:blip r:embed="rId7"/>
                                          <a:stretch>
                                            <a:fillRect/>
                                          </a:stretch>
                                        </pic:blipFill>
                                        <pic:spPr bwMode="auto">
                                          <a:xfrm>
                                            <a:off x="0" y="0"/>
                                            <a:ext cx="85725" cy="85725"/>
                                          </a:xfrm>
                                          <a:prstGeom prst="rect">
                                            <a:avLst/>
                                          </a:prstGeom>
                                        </pic:spPr>
                                      </pic:pic>
                                    </a:graphicData>
                                  </a:graphic>
                                </wp:inline>
                              </w:drawing>
                            </w:r>
                            <w:r>
                              <w:rPr/>
                              <w:t xml:space="preserve"> </w:t>
                            </w:r>
                          </w:p>
                        </w:txbxContent>
                      </v:textbox>
                      <w10:wrap type="square" side="right"/>
                    </v:rect>
                  </w:pict>
                </mc:Fallback>
              </mc:AlternateContent>
            </w:r>
          </w:p>
          <w:p>
            <w:pPr>
              <w:pStyle w:val="TableContents"/>
              <w:spacing w:before="0" w:after="0"/>
              <w:ind w:left="0" w:right="0" w:hanging="0"/>
              <w:rPr/>
            </w:pPr>
            <w:r>
              <w:rPr/>
              <w:t>​</w:t>
            </w:r>
          </w:p>
          <w:p>
            <w:pPr>
              <w:pStyle w:val="TableContents"/>
              <w:spacing w:lineRule="atLeast" w:line="200" w:before="20" w:after="0"/>
              <w:ind w:left="740" w:right="0" w:hanging="0"/>
              <w:jc w:val="left"/>
              <w:rPr/>
            </w:pPr>
            <w:r>
              <w:rPr>
                <w:spacing w:val="-1"/>
              </w:rPr>
              <w:t>Capability to fairly and equally act in the best interest of our stockholders</w:t>
            </w:r>
            <w:r>
              <w:rPr/>
              <w:t xml:space="preserve"> </w:t>
            </w:r>
            <w:r>
              <mc:AlternateContent>
                <mc:Choice Requires="wps">
                  <w:drawing>
                    <wp:anchor behindDoc="0" distT="25400" distB="0" distL="254000" distR="0" simplePos="0" locked="0" layoutInCell="1" allowOverlap="1" relativeHeight="6">
                      <wp:simplePos x="0" y="0"/>
                      <wp:positionH relativeFrom="column">
                        <wp:align>left</wp:align>
                      </wp:positionH>
                      <wp:positionV relativeFrom="line">
                        <wp:align>top</wp:align>
                      </wp:positionV>
                      <wp:extent cx="215900" cy="185420"/>
                      <wp:effectExtent l="0" t="0" r="0" b="0"/>
                      <wp:wrapSquare wrapText="largest"/>
                      <wp:docPr id="26" name="Frame18"/>
                      <a:graphic xmlns:a="http://schemas.openxmlformats.org/drawingml/2006/main">
                        <a:graphicData uri="http://schemas.microsoft.com/office/word/2010/wordprocessingShape">
                          <wps:wsp>
                            <wps:cNvSpPr txBox="1"/>
                            <wps:spPr>
                              <a:xfrm>
                                <a:off x="0" y="0"/>
                                <a:ext cx="215900" cy="185420"/>
                              </a:xfrm>
                              <a:prstGeom prst="rect"/>
                            </wps:spPr>
                            <wps:txbx>
                              <w:txbxContent>
                                <w:p>
                                  <w:pPr>
                                    <w:pStyle w:val="TextBody"/>
                                    <w:spacing w:lineRule="atLeast" w:line="200" w:before="0" w:after="283"/>
                                    <w:jc w:val="left"/>
                                    <w:rPr/>
                                  </w:pPr>
                                  <w:r>
                                    <w:rPr/>
                                    <w:drawing>
                                      <wp:inline distT="0" distB="0" distL="0" distR="0">
                                        <wp:extent cx="85725" cy="85725"/>
                                        <wp:effectExtent l="0" t="0" r="0" b="0"/>
                                        <wp:docPr id="2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7" descr=""/>
                                                <pic:cNvPicPr>
                                                  <a:picLocks noChangeAspect="1" noChangeArrowheads="1"/>
                                                </pic:cNvPicPr>
                                              </pic:nvPicPr>
                                              <pic:blipFill>
                                                <a:blip r:embed="rId8"/>
                                                <a:stretch>
                                                  <a:fillRect/>
                                                </a:stretch>
                                              </pic:blipFill>
                                              <pic:spPr bwMode="auto">
                                                <a:xfrm>
                                                  <a:off x="0" y="0"/>
                                                  <a:ext cx="85725" cy="85725"/>
                                                </a:xfrm>
                                                <a:prstGeom prst="rect">
                                                  <a:avLst/>
                                                </a:prstGeom>
                                              </pic:spPr>
                                            </pic:pic>
                                          </a:graphicData>
                                        </a:graphic>
                                      </wp:inline>
                                    </w:drawing>
                                  </w:r>
                                  <w:r>
                                    <w:rPr/>
                                    <w:t xml:space="preserve"> </w:t>
                                  </w:r>
                                </w:p>
                              </w:txbxContent>
                            </wps:txbx>
                            <wps:bodyPr anchor="t" lIns="0" tIns="0" rIns="0" bIns="0">
                              <a:noAutofit/>
                            </wps:bodyPr>
                          </wps:wsp>
                        </a:graphicData>
                      </a:graphic>
                    </wp:anchor>
                  </w:drawing>
                </mc:Choice>
                <mc:Fallback>
                  <w:pict>
                    <v:rect style="position:absolute;rotation:0;width:17pt;height:14.6pt;mso-wrap-distance-left:20pt;mso-wrap-distance-right:0pt;mso-wrap-distance-top:2pt;mso-wrap-distance-bottom:0pt;margin-top:2pt;mso-position-vertical:top;mso-position-vertical-relative:text;margin-left:20pt;mso-position-horizontal:left;mso-position-horizontal-relative:text">
                      <v:textbox>
                        <w:txbxContent>
                          <w:p>
                            <w:pPr>
                              <w:pStyle w:val="TextBody"/>
                              <w:spacing w:lineRule="atLeast" w:line="200" w:before="0" w:after="283"/>
                              <w:jc w:val="left"/>
                              <w:rPr/>
                            </w:pPr>
                            <w:r>
                              <w:rPr/>
                              <w:drawing>
                                <wp:inline distT="0" distB="0" distL="0" distR="0">
                                  <wp:extent cx="85725" cy="85725"/>
                                  <wp:effectExtent l="0" t="0" r="0" b="0"/>
                                  <wp:docPr id="28"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7" descr=""/>
                                          <pic:cNvPicPr>
                                            <a:picLocks noChangeAspect="1" noChangeArrowheads="1"/>
                                          </pic:cNvPicPr>
                                        </pic:nvPicPr>
                                        <pic:blipFill>
                                          <a:blip r:embed="rId8"/>
                                          <a:stretch>
                                            <a:fillRect/>
                                          </a:stretch>
                                        </pic:blipFill>
                                        <pic:spPr bwMode="auto">
                                          <a:xfrm>
                                            <a:off x="0" y="0"/>
                                            <a:ext cx="85725" cy="85725"/>
                                          </a:xfrm>
                                          <a:prstGeom prst="rect">
                                            <a:avLst/>
                                          </a:prstGeom>
                                        </pic:spPr>
                                      </pic:pic>
                                    </a:graphicData>
                                  </a:graphic>
                                </wp:inline>
                              </w:drawing>
                            </w:r>
                            <w:r>
                              <w:rPr/>
                              <w:t xml:space="preserve"> </w:t>
                            </w:r>
                          </w:p>
                        </w:txbxContent>
                      </v:textbox>
                      <w10:wrap type="square" side="right"/>
                    </v:rect>
                  </w:pict>
                </mc:Fallback>
              </mc:AlternateContent>
            </w:r>
          </w:p>
          <w:p>
            <w:pPr>
              <w:pStyle w:val="TableContents"/>
              <w:spacing w:before="0" w:after="0"/>
              <w:ind w:left="0" w:right="0" w:hanging="0"/>
              <w:rPr/>
            </w:pPr>
            <w:r>
              <w:rPr/>
              <w:t>​</w:t>
            </w:r>
          </w:p>
          <w:p>
            <w:pPr>
              <w:pStyle w:val="TableContents"/>
              <w:spacing w:lineRule="atLeast" w:line="240" w:before="20" w:after="0"/>
              <w:ind w:left="740" w:right="0" w:hanging="0"/>
              <w:jc w:val="left"/>
              <w:rPr/>
            </w:pPr>
            <w:r>
              <w:rPr>
                <w:spacing w:val="-1"/>
              </w:rPr>
              <w:t>Prior or current leadership experience, including within the biotechnology and biopharmaceutical spheres</w:t>
            </w:r>
            <w:r>
              <w:rPr/>
              <w:t xml:space="preserve"> </w:t>
            </w:r>
            <w:r>
              <mc:AlternateContent>
                <mc:Choice Requires="wps">
                  <w:drawing>
                    <wp:anchor behindDoc="0" distT="25400" distB="0" distL="254000" distR="0" simplePos="0" locked="0" layoutInCell="1" allowOverlap="1" relativeHeight="7">
                      <wp:simplePos x="0" y="0"/>
                      <wp:positionH relativeFrom="column">
                        <wp:align>left</wp:align>
                      </wp:positionH>
                      <wp:positionV relativeFrom="line">
                        <wp:align>top</wp:align>
                      </wp:positionV>
                      <wp:extent cx="215900" cy="185420"/>
                      <wp:effectExtent l="0" t="0" r="0" b="0"/>
                      <wp:wrapSquare wrapText="largest"/>
                      <wp:docPr id="29" name="Frame19"/>
                      <a:graphic xmlns:a="http://schemas.openxmlformats.org/drawingml/2006/main">
                        <a:graphicData uri="http://schemas.microsoft.com/office/word/2010/wordprocessingShape">
                          <wps:wsp>
                            <wps:cNvSpPr txBox="1"/>
                            <wps:spPr>
                              <a:xfrm>
                                <a:off x="0" y="0"/>
                                <a:ext cx="215900" cy="185420"/>
                              </a:xfrm>
                              <a:prstGeom prst="rect"/>
                            </wps:spPr>
                            <wps:txbx>
                              <w:txbxContent>
                                <w:p>
                                  <w:pPr>
                                    <w:pStyle w:val="TextBody"/>
                                    <w:spacing w:lineRule="atLeast" w:line="240" w:before="0" w:after="283"/>
                                    <w:jc w:val="left"/>
                                    <w:rPr/>
                                  </w:pPr>
                                  <w:r>
                                    <w:rPr/>
                                    <w:drawing>
                                      <wp:inline distT="0" distB="0" distL="0" distR="0">
                                        <wp:extent cx="85725" cy="85725"/>
                                        <wp:effectExtent l="0" t="0" r="0" b="0"/>
                                        <wp:docPr id="30"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8" descr=""/>
                                                <pic:cNvPicPr>
                                                  <a:picLocks noChangeAspect="1" noChangeArrowheads="1"/>
                                                </pic:cNvPicPr>
                                              </pic:nvPicPr>
                                              <pic:blipFill>
                                                <a:blip r:embed="rId9"/>
                                                <a:stretch>
                                                  <a:fillRect/>
                                                </a:stretch>
                                              </pic:blipFill>
                                              <pic:spPr bwMode="auto">
                                                <a:xfrm>
                                                  <a:off x="0" y="0"/>
                                                  <a:ext cx="85725" cy="85725"/>
                                                </a:xfrm>
                                                <a:prstGeom prst="rect">
                                                  <a:avLst/>
                                                </a:prstGeom>
                                              </pic:spPr>
                                            </pic:pic>
                                          </a:graphicData>
                                        </a:graphic>
                                      </wp:inline>
                                    </w:drawing>
                                  </w:r>
                                  <w:r>
                                    <w:rPr/>
                                    <w:t xml:space="preserve"> </w:t>
                                  </w:r>
                                </w:p>
                              </w:txbxContent>
                            </wps:txbx>
                            <wps:bodyPr anchor="t" lIns="0" tIns="0" rIns="0" bIns="0">
                              <a:noAutofit/>
                            </wps:bodyPr>
                          </wps:wsp>
                        </a:graphicData>
                      </a:graphic>
                    </wp:anchor>
                  </w:drawing>
                </mc:Choice>
                <mc:Fallback>
                  <w:pict>
                    <v:rect style="position:absolute;rotation:0;width:17pt;height:14.6pt;mso-wrap-distance-left:20pt;mso-wrap-distance-right:0pt;mso-wrap-distance-top:2pt;mso-wrap-distance-bottom:0pt;margin-top:2pt;mso-position-vertical:top;mso-position-vertical-relative:text;margin-left:20pt;mso-position-horizontal:left;mso-position-horizontal-relative:text">
                      <v:textbox>
                        <w:txbxContent>
                          <w:p>
                            <w:pPr>
                              <w:pStyle w:val="TextBody"/>
                              <w:spacing w:lineRule="atLeast" w:line="240" w:before="0" w:after="283"/>
                              <w:jc w:val="left"/>
                              <w:rPr/>
                            </w:pPr>
                            <w:r>
                              <w:rPr/>
                              <w:drawing>
                                <wp:inline distT="0" distB="0" distL="0" distR="0">
                                  <wp:extent cx="85725" cy="85725"/>
                                  <wp:effectExtent l="0" t="0" r="0" b="0"/>
                                  <wp:docPr id="31"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8" descr=""/>
                                          <pic:cNvPicPr>
                                            <a:picLocks noChangeAspect="1" noChangeArrowheads="1"/>
                                          </pic:cNvPicPr>
                                        </pic:nvPicPr>
                                        <pic:blipFill>
                                          <a:blip r:embed="rId9"/>
                                          <a:stretch>
                                            <a:fillRect/>
                                          </a:stretch>
                                        </pic:blipFill>
                                        <pic:spPr bwMode="auto">
                                          <a:xfrm>
                                            <a:off x="0" y="0"/>
                                            <a:ext cx="85725" cy="85725"/>
                                          </a:xfrm>
                                          <a:prstGeom prst="rect">
                                            <a:avLst/>
                                          </a:prstGeom>
                                        </pic:spPr>
                                      </pic:pic>
                                    </a:graphicData>
                                  </a:graphic>
                                </wp:inline>
                              </w:drawing>
                            </w:r>
                            <w:r>
                              <w:rPr/>
                              <w:t xml:space="preserve"> </w:t>
                            </w:r>
                          </w:p>
                        </w:txbxContent>
                      </v:textbox>
                      <w10:wrap type="square" side="right"/>
                    </v:rect>
                  </w:pict>
                </mc:Fallback>
              </mc:AlternateContent>
            </w:r>
          </w:p>
          <w:p>
            <w:pPr>
              <w:pStyle w:val="TableContents"/>
              <w:spacing w:before="0" w:after="0"/>
              <w:ind w:left="0" w:right="0" w:hanging="0"/>
              <w:rPr/>
            </w:pPr>
            <w:r>
              <w:rPr/>
              <w:t>​</w:t>
            </w:r>
          </w:p>
          <w:p>
            <w:pPr>
              <w:pStyle w:val="TableContents"/>
              <w:spacing w:lineRule="atLeast" w:line="240" w:before="20" w:after="0"/>
              <w:ind w:left="740" w:right="0" w:hanging="0"/>
              <w:jc w:val="left"/>
              <w:rPr/>
            </w:pPr>
            <w:r>
              <w:rPr>
                <w:spacing w:val="-1"/>
              </w:rPr>
              <w:t>Broad experience, diverse perspectives, and the ability to exercise sound judgment, and a judicious and critical temperament that will enable objective appraisal of management’s plans and programs</w:t>
            </w:r>
            <w:r>
              <w:rPr/>
              <w:t xml:space="preserve"> </w:t>
            </w:r>
            <w:r>
              <mc:AlternateContent>
                <mc:Choice Requires="wps">
                  <w:drawing>
                    <wp:anchor behindDoc="0" distT="25400" distB="0" distL="254000" distR="0" simplePos="0" locked="0" layoutInCell="1" allowOverlap="1" relativeHeight="8">
                      <wp:simplePos x="0" y="0"/>
                      <wp:positionH relativeFrom="column">
                        <wp:align>left</wp:align>
                      </wp:positionH>
                      <wp:positionV relativeFrom="line">
                        <wp:align>top</wp:align>
                      </wp:positionV>
                      <wp:extent cx="215900" cy="185420"/>
                      <wp:effectExtent l="0" t="0" r="0" b="0"/>
                      <wp:wrapSquare wrapText="largest"/>
                      <wp:docPr id="32" name="Frame20"/>
                      <a:graphic xmlns:a="http://schemas.openxmlformats.org/drawingml/2006/main">
                        <a:graphicData uri="http://schemas.microsoft.com/office/word/2010/wordprocessingShape">
                          <wps:wsp>
                            <wps:cNvSpPr txBox="1"/>
                            <wps:spPr>
                              <a:xfrm>
                                <a:off x="0" y="0"/>
                                <a:ext cx="215900" cy="185420"/>
                              </a:xfrm>
                              <a:prstGeom prst="rect"/>
                            </wps:spPr>
                            <wps:txbx>
                              <w:txbxContent>
                                <w:p>
                                  <w:pPr>
                                    <w:pStyle w:val="TextBody"/>
                                    <w:spacing w:lineRule="atLeast" w:line="240" w:before="0" w:after="283"/>
                                    <w:jc w:val="left"/>
                                    <w:rPr/>
                                  </w:pPr>
                                  <w:r>
                                    <w:rPr/>
                                    <w:drawing>
                                      <wp:inline distT="0" distB="0" distL="0" distR="0">
                                        <wp:extent cx="85725" cy="85725"/>
                                        <wp:effectExtent l="0" t="0" r="0" b="0"/>
                                        <wp:docPr id="33"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9" descr=""/>
                                                <pic:cNvPicPr>
                                                  <a:picLocks noChangeAspect="1" noChangeArrowheads="1"/>
                                                </pic:cNvPicPr>
                                              </pic:nvPicPr>
                                              <pic:blipFill>
                                                <a:blip r:embed="rId10"/>
                                                <a:stretch>
                                                  <a:fillRect/>
                                                </a:stretch>
                                              </pic:blipFill>
                                              <pic:spPr bwMode="auto">
                                                <a:xfrm>
                                                  <a:off x="0" y="0"/>
                                                  <a:ext cx="85725" cy="85725"/>
                                                </a:xfrm>
                                                <a:prstGeom prst="rect">
                                                  <a:avLst/>
                                                </a:prstGeom>
                                              </pic:spPr>
                                            </pic:pic>
                                          </a:graphicData>
                                        </a:graphic>
                                      </wp:inline>
                                    </w:drawing>
                                  </w:r>
                                  <w:r>
                                    <w:rPr/>
                                    <w:t xml:space="preserve"> </w:t>
                                  </w:r>
                                </w:p>
                              </w:txbxContent>
                            </wps:txbx>
                            <wps:bodyPr anchor="t" lIns="0" tIns="0" rIns="0" bIns="0">
                              <a:noAutofit/>
                            </wps:bodyPr>
                          </wps:wsp>
                        </a:graphicData>
                      </a:graphic>
                    </wp:anchor>
                  </w:drawing>
                </mc:Choice>
                <mc:Fallback>
                  <w:pict>
                    <v:rect style="position:absolute;rotation:0;width:17pt;height:14.6pt;mso-wrap-distance-left:20pt;mso-wrap-distance-right:0pt;mso-wrap-distance-top:2pt;mso-wrap-distance-bottom:0pt;margin-top:2pt;mso-position-vertical:top;mso-position-vertical-relative:text;margin-left:20pt;mso-position-horizontal:left;mso-position-horizontal-relative:text">
                      <v:textbox>
                        <w:txbxContent>
                          <w:p>
                            <w:pPr>
                              <w:pStyle w:val="TextBody"/>
                              <w:spacing w:lineRule="atLeast" w:line="240" w:before="0" w:after="283"/>
                              <w:jc w:val="left"/>
                              <w:rPr/>
                            </w:pPr>
                            <w:r>
                              <w:rPr/>
                              <w:drawing>
                                <wp:inline distT="0" distB="0" distL="0" distR="0">
                                  <wp:extent cx="85725" cy="85725"/>
                                  <wp:effectExtent l="0" t="0" r="0" b="0"/>
                                  <wp:docPr id="34"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9" descr=""/>
                                          <pic:cNvPicPr>
                                            <a:picLocks noChangeAspect="1" noChangeArrowheads="1"/>
                                          </pic:cNvPicPr>
                                        </pic:nvPicPr>
                                        <pic:blipFill>
                                          <a:blip r:embed="rId10"/>
                                          <a:stretch>
                                            <a:fillRect/>
                                          </a:stretch>
                                        </pic:blipFill>
                                        <pic:spPr bwMode="auto">
                                          <a:xfrm>
                                            <a:off x="0" y="0"/>
                                            <a:ext cx="85725" cy="85725"/>
                                          </a:xfrm>
                                          <a:prstGeom prst="rect">
                                            <a:avLst/>
                                          </a:prstGeom>
                                        </pic:spPr>
                                      </pic:pic>
                                    </a:graphicData>
                                  </a:graphic>
                                </wp:inline>
                              </w:drawing>
                            </w:r>
                            <w:r>
                              <w:rPr/>
                              <w:t xml:space="preserve"> </w:t>
                            </w:r>
                          </w:p>
                        </w:txbxContent>
                      </v:textbox>
                      <w10:wrap type="square" side="right"/>
                    </v:rect>
                  </w:pict>
                </mc:Fallback>
              </mc:AlternateContent>
            </w:r>
          </w:p>
          <w:p>
            <w:pPr>
              <w:pStyle w:val="TableContents"/>
              <w:spacing w:before="0" w:after="0"/>
              <w:ind w:left="0" w:right="0" w:hanging="0"/>
              <w:rPr/>
            </w:pPr>
            <w:r>
              <w:rPr/>
              <w:t>​</w:t>
            </w:r>
          </w:p>
          <w:p>
            <w:pPr>
              <w:pStyle w:val="TableContents"/>
              <w:spacing w:lineRule="atLeast" w:line="200" w:before="20" w:after="0"/>
              <w:ind w:left="740" w:right="0" w:hanging="0"/>
              <w:jc w:val="left"/>
              <w:rPr/>
            </w:pPr>
            <w:r>
              <w:rPr>
                <w:spacing w:val="-1"/>
              </w:rPr>
              <w:t>Willingness and ability to devote sufficient time to Board responsibilities</w:t>
            </w:r>
            <w:r>
              <w:rPr/>
              <w:t xml:space="preserve"> </w:t>
            </w:r>
            <w:r>
              <mc:AlternateContent>
                <mc:Choice Requires="wps">
                  <w:drawing>
                    <wp:anchor behindDoc="0" distT="25400" distB="0" distL="254000" distR="0" simplePos="0" locked="0" layoutInCell="1" allowOverlap="1" relativeHeight="9">
                      <wp:simplePos x="0" y="0"/>
                      <wp:positionH relativeFrom="column">
                        <wp:align>left</wp:align>
                      </wp:positionH>
                      <wp:positionV relativeFrom="line">
                        <wp:align>top</wp:align>
                      </wp:positionV>
                      <wp:extent cx="215900" cy="185420"/>
                      <wp:effectExtent l="0" t="0" r="0" b="0"/>
                      <wp:wrapSquare wrapText="largest"/>
                      <wp:docPr id="35" name="Frame21"/>
                      <a:graphic xmlns:a="http://schemas.openxmlformats.org/drawingml/2006/main">
                        <a:graphicData uri="http://schemas.microsoft.com/office/word/2010/wordprocessingShape">
                          <wps:wsp>
                            <wps:cNvSpPr txBox="1"/>
                            <wps:spPr>
                              <a:xfrm>
                                <a:off x="0" y="0"/>
                                <a:ext cx="215900" cy="185420"/>
                              </a:xfrm>
                              <a:prstGeom prst="rect"/>
                            </wps:spPr>
                            <wps:txbx>
                              <w:txbxContent>
                                <w:p>
                                  <w:pPr>
                                    <w:pStyle w:val="TextBody"/>
                                    <w:spacing w:lineRule="atLeast" w:line="200" w:before="0" w:after="283"/>
                                    <w:jc w:val="left"/>
                                    <w:rPr/>
                                  </w:pPr>
                                  <w:r>
                                    <w:rPr/>
                                    <w:drawing>
                                      <wp:inline distT="0" distB="0" distL="0" distR="0">
                                        <wp:extent cx="85725" cy="85725"/>
                                        <wp:effectExtent l="0" t="0" r="0" b="0"/>
                                        <wp:docPr id="36"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10" descr=""/>
                                                <pic:cNvPicPr>
                                                  <a:picLocks noChangeAspect="1" noChangeArrowheads="1"/>
                                                </pic:cNvPicPr>
                                              </pic:nvPicPr>
                                              <pic:blipFill>
                                                <a:blip r:embed="rId11"/>
                                                <a:stretch>
                                                  <a:fillRect/>
                                                </a:stretch>
                                              </pic:blipFill>
                                              <pic:spPr bwMode="auto">
                                                <a:xfrm>
                                                  <a:off x="0" y="0"/>
                                                  <a:ext cx="85725" cy="85725"/>
                                                </a:xfrm>
                                                <a:prstGeom prst="rect">
                                                  <a:avLst/>
                                                </a:prstGeom>
                                              </pic:spPr>
                                            </pic:pic>
                                          </a:graphicData>
                                        </a:graphic>
                                      </wp:inline>
                                    </w:drawing>
                                  </w:r>
                                  <w:r>
                                    <w:rPr/>
                                    <w:t xml:space="preserve"> </w:t>
                                  </w:r>
                                </w:p>
                              </w:txbxContent>
                            </wps:txbx>
                            <wps:bodyPr anchor="t" lIns="0" tIns="0" rIns="0" bIns="0">
                              <a:noAutofit/>
                            </wps:bodyPr>
                          </wps:wsp>
                        </a:graphicData>
                      </a:graphic>
                    </wp:anchor>
                  </w:drawing>
                </mc:Choice>
                <mc:Fallback>
                  <w:pict>
                    <v:rect style="position:absolute;rotation:0;width:17pt;height:14.6pt;mso-wrap-distance-left:20pt;mso-wrap-distance-right:0pt;mso-wrap-distance-top:2pt;mso-wrap-distance-bottom:0pt;margin-top:2pt;mso-position-vertical:top;mso-position-vertical-relative:text;margin-left:20pt;mso-position-horizontal:left;mso-position-horizontal-relative:text">
                      <v:textbox>
                        <w:txbxContent>
                          <w:p>
                            <w:pPr>
                              <w:pStyle w:val="TextBody"/>
                              <w:spacing w:lineRule="atLeast" w:line="200" w:before="0" w:after="283"/>
                              <w:jc w:val="left"/>
                              <w:rPr/>
                            </w:pPr>
                            <w:r>
                              <w:rPr/>
                              <w:drawing>
                                <wp:inline distT="0" distB="0" distL="0" distR="0">
                                  <wp:extent cx="85725" cy="85725"/>
                                  <wp:effectExtent l="0" t="0" r="0" b="0"/>
                                  <wp:docPr id="37"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10" descr=""/>
                                          <pic:cNvPicPr>
                                            <a:picLocks noChangeAspect="1" noChangeArrowheads="1"/>
                                          </pic:cNvPicPr>
                                        </pic:nvPicPr>
                                        <pic:blipFill>
                                          <a:blip r:embed="rId11"/>
                                          <a:stretch>
                                            <a:fillRect/>
                                          </a:stretch>
                                        </pic:blipFill>
                                        <pic:spPr bwMode="auto">
                                          <a:xfrm>
                                            <a:off x="0" y="0"/>
                                            <a:ext cx="85725" cy="85725"/>
                                          </a:xfrm>
                                          <a:prstGeom prst="rect">
                                            <a:avLst/>
                                          </a:prstGeom>
                                        </pic:spPr>
                                      </pic:pic>
                                    </a:graphicData>
                                  </a:graphic>
                                </wp:inline>
                              </w:drawing>
                            </w:r>
                            <w:r>
                              <w:rPr/>
                              <w:t xml:space="preserve"> </w:t>
                            </w:r>
                          </w:p>
                        </w:txbxContent>
                      </v:textbox>
                      <w10:wrap type="square" side="right"/>
                    </v:rect>
                  </w:pict>
                </mc:Fallback>
              </mc:AlternateContent>
            </w:r>
          </w:p>
          <w:p>
            <w:pPr>
              <w:pStyle w:val="TableContents"/>
              <w:spacing w:before="0" w:after="0"/>
              <w:ind w:left="0" w:right="0" w:hanging="0"/>
              <w:rPr/>
            </w:pPr>
            <w:r>
              <w:rPr/>
              <w:t>​</w:t>
            </w:r>
          </w:p>
          <w:p>
            <w:pPr>
              <w:pStyle w:val="TableContents"/>
              <w:spacing w:lineRule="atLeast" w:line="240" w:before="20" w:after="0"/>
              <w:ind w:left="740" w:right="0" w:hanging="0"/>
              <w:jc w:val="left"/>
              <w:rPr/>
            </w:pPr>
            <w:r>
              <w:rPr>
                <w:spacing w:val="-1"/>
              </w:rPr>
              <w:t>Diversity with respect to gender, age, race, ethnicity, background, professional experience and perspectives</w:t>
            </w:r>
            <w:r>
              <w:rPr/>
              <w:t xml:space="preserve"> </w:t>
            </w:r>
            <w:r>
              <mc:AlternateContent>
                <mc:Choice Requires="wps">
                  <w:drawing>
                    <wp:anchor behindDoc="0" distT="25400" distB="0" distL="254000" distR="0" simplePos="0" locked="0" layoutInCell="1" allowOverlap="1" relativeHeight="10">
                      <wp:simplePos x="0" y="0"/>
                      <wp:positionH relativeFrom="column">
                        <wp:align>left</wp:align>
                      </wp:positionH>
                      <wp:positionV relativeFrom="line">
                        <wp:align>top</wp:align>
                      </wp:positionV>
                      <wp:extent cx="215900" cy="185420"/>
                      <wp:effectExtent l="0" t="0" r="0" b="0"/>
                      <wp:wrapSquare wrapText="largest"/>
                      <wp:docPr id="38" name="Frame22"/>
                      <a:graphic xmlns:a="http://schemas.openxmlformats.org/drawingml/2006/main">
                        <a:graphicData uri="http://schemas.microsoft.com/office/word/2010/wordprocessingShape">
                          <wps:wsp>
                            <wps:cNvSpPr txBox="1"/>
                            <wps:spPr>
                              <a:xfrm>
                                <a:off x="0" y="0"/>
                                <a:ext cx="215900" cy="185420"/>
                              </a:xfrm>
                              <a:prstGeom prst="rect"/>
                            </wps:spPr>
                            <wps:txbx>
                              <w:txbxContent>
                                <w:p>
                                  <w:pPr>
                                    <w:pStyle w:val="TextBody"/>
                                    <w:spacing w:lineRule="atLeast" w:line="240" w:before="0" w:after="283"/>
                                    <w:jc w:val="left"/>
                                    <w:rPr/>
                                  </w:pPr>
                                  <w:r>
                                    <w:rPr/>
                                    <w:drawing>
                                      <wp:inline distT="0" distB="0" distL="0" distR="0">
                                        <wp:extent cx="85725" cy="85725"/>
                                        <wp:effectExtent l="0" t="0" r="0" b="0"/>
                                        <wp:docPr id="39"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11" descr=""/>
                                                <pic:cNvPicPr>
                                                  <a:picLocks noChangeAspect="1" noChangeArrowheads="1"/>
                                                </pic:cNvPicPr>
                                              </pic:nvPicPr>
                                              <pic:blipFill>
                                                <a:blip r:embed="rId12"/>
                                                <a:stretch>
                                                  <a:fillRect/>
                                                </a:stretch>
                                              </pic:blipFill>
                                              <pic:spPr bwMode="auto">
                                                <a:xfrm>
                                                  <a:off x="0" y="0"/>
                                                  <a:ext cx="85725" cy="85725"/>
                                                </a:xfrm>
                                                <a:prstGeom prst="rect">
                                                  <a:avLst/>
                                                </a:prstGeom>
                                              </pic:spPr>
                                            </pic:pic>
                                          </a:graphicData>
                                        </a:graphic>
                                      </wp:inline>
                                    </w:drawing>
                                  </w:r>
                                  <w:r>
                                    <w:rPr/>
                                    <w:t xml:space="preserve"> </w:t>
                                  </w:r>
                                </w:p>
                              </w:txbxContent>
                            </wps:txbx>
                            <wps:bodyPr anchor="t" lIns="0" tIns="0" rIns="0" bIns="0">
                              <a:noAutofit/>
                            </wps:bodyPr>
                          </wps:wsp>
                        </a:graphicData>
                      </a:graphic>
                    </wp:anchor>
                  </w:drawing>
                </mc:Choice>
                <mc:Fallback>
                  <w:pict>
                    <v:rect style="position:absolute;rotation:0;width:17pt;height:14.6pt;mso-wrap-distance-left:20pt;mso-wrap-distance-right:0pt;mso-wrap-distance-top:2pt;mso-wrap-distance-bottom:0pt;margin-top:2pt;mso-position-vertical:top;mso-position-vertical-relative:text;margin-left:20pt;mso-position-horizontal:left;mso-position-horizontal-relative:text">
                      <v:textbox>
                        <w:txbxContent>
                          <w:p>
                            <w:pPr>
                              <w:pStyle w:val="TextBody"/>
                              <w:spacing w:lineRule="atLeast" w:line="240" w:before="0" w:after="283"/>
                              <w:jc w:val="left"/>
                              <w:rPr/>
                            </w:pPr>
                            <w:r>
                              <w:rPr/>
                              <w:drawing>
                                <wp:inline distT="0" distB="0" distL="0" distR="0">
                                  <wp:extent cx="85725" cy="85725"/>
                                  <wp:effectExtent l="0" t="0" r="0" b="0"/>
                                  <wp:docPr id="40"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11" descr=""/>
                                          <pic:cNvPicPr>
                                            <a:picLocks noChangeAspect="1" noChangeArrowheads="1"/>
                                          </pic:cNvPicPr>
                                        </pic:nvPicPr>
                                        <pic:blipFill>
                                          <a:blip r:embed="rId12"/>
                                          <a:stretch>
                                            <a:fillRect/>
                                          </a:stretch>
                                        </pic:blipFill>
                                        <pic:spPr bwMode="auto">
                                          <a:xfrm>
                                            <a:off x="0" y="0"/>
                                            <a:ext cx="85725" cy="85725"/>
                                          </a:xfrm>
                                          <a:prstGeom prst="rect">
                                            <a:avLst/>
                                          </a:prstGeom>
                                        </pic:spPr>
                                      </pic:pic>
                                    </a:graphicData>
                                  </a:graphic>
                                </wp:inline>
                              </w:drawing>
                            </w:r>
                            <w:r>
                              <w:rPr/>
                              <w:t xml:space="preserve"> </w:t>
                            </w:r>
                          </w:p>
                        </w:txbxContent>
                      </v:textbox>
                      <w10:wrap type="square" side="right"/>
                    </v:rect>
                  </w:pict>
                </mc:Fallback>
              </mc:AlternateContent>
            </w:r>
          </w:p>
          <w:p>
            <w:pPr>
              <w:pStyle w:val="TableContents"/>
              <w:spacing w:before="0" w:after="0"/>
              <w:ind w:left="0" w:right="0" w:hanging="0"/>
              <w:rPr/>
            </w:pPr>
            <w:r>
              <w:rPr/>
              <w:t>​</w:t>
            </w:r>
          </w:p>
        </w:tc>
        <w:tc>
          <w:tcPr>
            <w:tcW w:w="154" w:type="dxa"/>
            <w:tcBorders/>
            <w:shd w:fill="auto" w:val="clear"/>
            <w:tcMar>
              <w:bottom w:w="0" w:type="dxa"/>
            </w:tcMar>
            <w:vAlign w:val="center"/>
          </w:tcPr>
          <w:p>
            <w:pPr>
              <w:pStyle w:val="TableContents"/>
              <w:spacing w:before="0" w:after="283"/>
              <w:rPr/>
            </w:pPr>
            <w:r>
              <w:rPr/>
              <w:t>​</w:t>
            </w:r>
          </w:p>
        </w:tc>
      </w:tr>
    </w:tbl>
    <w:p>
      <w:pPr>
        <w:pStyle w:val="TextBody"/>
        <w:spacing w:lineRule="atLeast" w:line="240" w:before="164" w:after="283"/>
        <w:ind w:left="96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The Nominating and Corporate Governance Committee also considers, on an ongoing basis, the background, experience and skills of the incumbent directors that are important to our current and future business needs, and evaluates the experience and skills that would be valuable in new Board members.</w:t>
      </w:r>
      <w:r>
        <w:rPr>
          <w:rFonts w:ascii="Arial;Helvetica;sans-serif" w:hAnsi="Arial;Helvetica;sans-serif"/>
          <w:b w:val="false"/>
          <w:i w:val="false"/>
          <w:caps w:val="false"/>
          <w:smallCaps w:val="false"/>
          <w:color w:val="000000"/>
          <w:spacing w:val="4"/>
          <w:sz w:val="20"/>
        </w:rPr>
        <w:t xml:space="preserve"> </w:t>
      </w:r>
    </w:p>
    <w:p>
      <w:pPr>
        <w:pStyle w:val="TextBody"/>
        <w:spacing w:lineRule="atLeast" w:line="240" w:before="100" w:after="283"/>
        <w:ind w:left="960" w:right="0" w:hanging="0"/>
        <w:jc w:val="righ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1DA46F"/>
          <w:spacing w:val="0"/>
          <w:sz w:val="20"/>
        </w:rPr>
        <w:t>Notice of Annual Meeting of Stockholders</w:t>
      </w:r>
      <w:r>
        <w:rPr>
          <w:rFonts w:ascii="Arial;Helvetica;sans-serif" w:hAnsi="Arial;Helvetica;sans-serif"/>
          <w:b/>
          <w:i w:val="false"/>
          <w:caps w:val="false"/>
          <w:smallCaps w:val="false"/>
          <w:color w:val="000000"/>
          <w:spacing w:val="0"/>
          <w:sz w:val="20"/>
        </w:rPr>
        <w:t> and 2023 Proxy Statement | </w:t>
      </w:r>
      <w:r>
        <w:rPr>
          <w:rFonts w:ascii="Arial;Helvetica;sans-serif" w:hAnsi="Arial;Helvetica;sans-serif"/>
          <w:b w:val="false"/>
          <w:i w:val="false"/>
          <w:caps w:val="false"/>
          <w:smallCaps w:val="false"/>
          <w:color w:val="000000"/>
          <w:spacing w:val="-1"/>
          <w:sz w:val="20"/>
        </w:rPr>
        <w:t>3</w:t>
      </w:r>
      <w:r>
        <w:rPr>
          <w:rFonts w:ascii="Arial;Helvetica;sans-serif" w:hAnsi="Arial;Helvetica;sans-serif"/>
          <w:b/>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9" w:name="tSOC"/>
      <w:bookmarkEnd w:id="19"/>
      <w:r>
        <w:rPr>
          <w:rFonts w:ascii="calibri;arial;sans-serif" w:hAnsi="calibri;arial;sans-serif"/>
          <w:b w:val="false"/>
          <w:i w:val="false"/>
          <w:caps w:val="false"/>
          <w:smallCaps w:val="false"/>
          <w:color w:val="000000"/>
          <w:sz w:val="16"/>
        </w:rPr>
        <w:t xml:space="preserve">​ </w:t>
      </w:r>
    </w:p>
    <w:tbl>
      <w:tblPr>
        <w:tblW w:w="3049" w:type="dxa"/>
        <w:jc w:val="left"/>
        <w:tblInd w:w="960" w:type="dxa"/>
        <w:tblCellMar>
          <w:top w:w="0" w:type="dxa"/>
          <w:left w:w="0" w:type="dxa"/>
          <w:bottom w:w="0" w:type="dxa"/>
          <w:right w:w="0" w:type="dxa"/>
        </w:tblCellMar>
      </w:tblPr>
      <w:tblGrid>
        <w:gridCol w:w="124"/>
        <w:gridCol w:w="2771"/>
        <w:gridCol w:w="154"/>
      </w:tblGrid>
      <w:tr>
        <w:trPr/>
        <w:tc>
          <w:tcPr>
            <w:tcW w:w="124" w:type="dxa"/>
            <w:tcBorders/>
            <w:shd w:fill="1DA46F" w:val="clear"/>
            <w:vAlign w:val="center"/>
          </w:tcPr>
          <w:p>
            <w:pPr>
              <w:pStyle w:val="TableContents"/>
              <w:spacing w:before="0" w:after="283"/>
              <w:rPr/>
            </w:pPr>
            <w:r>
              <w:rPr/>
              <w:t>​</w:t>
            </w:r>
          </w:p>
        </w:tc>
        <w:tc>
          <w:tcPr>
            <w:tcW w:w="2771" w:type="dxa"/>
            <w:tcBorders/>
            <w:shd w:fill="1DA46F" w:val="clear"/>
            <w:vAlign w:val="center"/>
          </w:tcPr>
          <w:p>
            <w:pPr>
              <w:pStyle w:val="TableContents"/>
              <w:spacing w:lineRule="atLeast" w:line="360" w:before="0" w:after="0"/>
              <w:rPr/>
            </w:pPr>
            <w:r>
              <w:rPr>
                <w:spacing w:val="-5"/>
              </w:rPr>
              <w:t>BOARD OF DIRECTORS</w:t>
            </w:r>
            <w:r>
              <w:rPr/>
              <w:t xml:space="preserve"> </w:t>
            </w:r>
          </w:p>
        </w:tc>
        <w:tc>
          <w:tcPr>
            <w:tcW w:w="154" w:type="dxa"/>
            <w:tcBorders/>
            <w:shd w:fill="1DA46F" w:val="clear"/>
            <w:vAlign w:val="center"/>
          </w:tcPr>
          <w:p>
            <w:pPr>
              <w:pStyle w:val="TableContents"/>
              <w:spacing w:before="0" w:after="283"/>
              <w:rPr/>
            </w:pPr>
            <w:r>
              <w:rPr/>
              <w:t>​</w:t>
            </w:r>
          </w:p>
        </w:tc>
      </w:tr>
    </w:tbl>
    <w:p>
      <w:pPr>
        <w:pStyle w:val="TextBody"/>
        <w:spacing w:lineRule="atLeast" w:line="240" w:before="360" w:after="283"/>
        <w:ind w:left="960" w:right="0" w:hanging="0"/>
        <w:jc w:val="both"/>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3"/>
          <w:sz w:val="20"/>
        </w:rPr>
        <w:t>SELECTION OF CANDIDATES</w:t>
      </w:r>
      <w:r>
        <w:rPr>
          <w:rFonts w:ascii="Arial;Helvetica;sans-serif" w:hAnsi="Arial;Helvetica;sans-serif"/>
          <w:b/>
          <w:i w:val="false"/>
          <w:caps w:val="false"/>
          <w:smallCaps w:val="false"/>
          <w:color w:val="000000"/>
          <w:spacing w:val="4"/>
          <w:sz w:val="20"/>
        </w:rPr>
        <w:t xml:space="preserve"> </w:t>
      </w:r>
    </w:p>
    <w:p>
      <w:pPr>
        <w:pStyle w:val="TextBody"/>
        <w:spacing w:lineRule="atLeast" w:line="240" w:before="240" w:after="283"/>
        <w:jc w:val="both"/>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0"/>
          <w:sz w:val="20"/>
        </w:rPr>
        <w:t>Director Skill Set Considerations; Use of Skills Matrix</w:t>
      </w:r>
      <w:r>
        <w:rPr>
          <w:rFonts w:ascii="Arial;Helvetica;sans-serif" w:hAnsi="Arial;Helvetica;sans-serif"/>
          <w:b/>
          <w:i w:val="false"/>
          <w:caps w:val="false"/>
          <w:smallCaps w:val="false"/>
          <w:color w:val="000000"/>
          <w:spacing w:val="4"/>
          <w:sz w:val="20"/>
        </w:rPr>
        <w:t xml:space="preserve"> </w:t>
      </w:r>
    </w:p>
    <w:p>
      <w:pPr>
        <w:pStyle w:val="TextBody"/>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To assist with determining the needs of the Board, the Nominating and Corporate Governance Committee utilizes a skills matrix for the purpose of recruiting and selecting Board candidates. The expertise and experience included in the skills matrix are tied to our strategic goals, and the intent of the skills matrix is to ensure that the directors collectively possess qualities that facilitate effective oversight of our strategic plans. While the matrix is useful for determining the collective skills of the Board as a whole, it is not a comparative measure of the value of each individual director; a director with more focused experience could nonetheless contribute broadly and effectively. The Nominating and Corporate Governance Committee also considers a wide range of additional factors including other positions the director or candidate holds, including other boards of directors on which he or she serves, and the independence of each director and candidate, to ensure that a substantial majority of the Board is independent. The matrix below displays the current Board’s balance.</w:t>
      </w:r>
      <w:r>
        <w:rPr>
          <w:rFonts w:ascii="Arial;Helvetica;sans-serif" w:hAnsi="Arial;Helvetica;sans-serif"/>
          <w:b w:val="false"/>
          <w:i w:val="false"/>
          <w:caps w:val="false"/>
          <w:smallCaps w:val="false"/>
          <w:color w:val="000000"/>
          <w:spacing w:val="4"/>
          <w:sz w:val="20"/>
        </w:rPr>
        <w:t xml:space="preserve"> </w:t>
      </w:r>
    </w:p>
    <w:p>
      <w:pPr>
        <w:pStyle w:val="TextBody"/>
        <w:spacing w:before="200" w:after="283"/>
        <w:jc w:val="center"/>
        <w:rPr>
          <w:caps w:val="false"/>
          <w:smallCaps w:val="false"/>
          <w:color w:val="000000"/>
        </w:rPr>
      </w:pPr>
      <w:r>
        <w:rPr>
          <w:caps w:val="false"/>
          <w:smallCaps w:val="false"/>
          <w:color w:val="000000"/>
        </w:rPr>
        <w:drawing>
          <wp:inline distT="0" distB="0" distL="0" distR="0">
            <wp:extent cx="5495925" cy="3209925"/>
            <wp:effectExtent l="0" t="0" r="0" b="0"/>
            <wp:docPr id="41"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12" descr=""/>
                    <pic:cNvPicPr>
                      <a:picLocks noChangeAspect="1" noChangeArrowheads="1"/>
                    </pic:cNvPicPr>
                  </pic:nvPicPr>
                  <pic:blipFill>
                    <a:blip r:embed="rId13"/>
                    <a:stretch>
                      <a:fillRect/>
                    </a:stretch>
                  </pic:blipFill>
                  <pic:spPr bwMode="auto">
                    <a:xfrm>
                      <a:off x="0" y="0"/>
                      <a:ext cx="5495925" cy="3209925"/>
                    </a:xfrm>
                    <a:prstGeom prst="rect">
                      <a:avLst/>
                    </a:prstGeom>
                  </pic:spPr>
                </pic:pic>
              </a:graphicData>
            </a:graphic>
          </wp:inline>
        </w:drawing>
      </w:r>
      <w:r>
        <w:rPr>
          <w:caps w:val="false"/>
          <w:smallCaps w:val="false"/>
          <w:color w:val="000000"/>
        </w:rPr>
        <w:t xml:space="preserve"> </w:t>
      </w:r>
    </w:p>
    <w:p>
      <w:pPr>
        <w:pStyle w:val="TextBody"/>
        <w:spacing w:lineRule="atLeast" w:line="240" w:before="340" w:after="283"/>
        <w:jc w:val="both"/>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0"/>
          <w:sz w:val="20"/>
        </w:rPr>
        <w:t>Potential Director Candidates</w:t>
      </w:r>
      <w:r>
        <w:rPr>
          <w:rFonts w:ascii="Arial;Helvetica;sans-serif" w:hAnsi="Arial;Helvetica;sans-serif"/>
          <w:b/>
          <w:i w:val="false"/>
          <w:caps w:val="false"/>
          <w:smallCaps w:val="false"/>
          <w:color w:val="000000"/>
          <w:spacing w:val="4"/>
          <w:sz w:val="20"/>
        </w:rPr>
        <w:t xml:space="preserve"> </w:t>
      </w:r>
    </w:p>
    <w:p>
      <w:pPr>
        <w:pStyle w:val="TextBody"/>
        <w:spacing w:lineRule="atLeast" w:line="240" w:before="160" w:after="283"/>
        <w:jc w:val="both"/>
        <w:rPr>
          <w:rFonts w:ascii="Arial;Helvetica;sans-serif" w:hAnsi="Arial;Helvetica;sans-serif"/>
          <w:b w:val="false"/>
          <w:i w:val="false"/>
          <w:caps w:val="false"/>
          <w:smallCaps w:val="false"/>
          <w:color w:val="000000"/>
          <w:spacing w:val="-1"/>
          <w:sz w:val="20"/>
        </w:rPr>
      </w:pPr>
      <w:r>
        <w:rPr>
          <w:rFonts w:ascii="Arial;Helvetica;sans-serif" w:hAnsi="Arial;Helvetica;sans-serif"/>
          <w:b w:val="false"/>
          <w:i w:val="false"/>
          <w:caps w:val="false"/>
          <w:smallCaps w:val="false"/>
          <w:color w:val="000000"/>
          <w:spacing w:val="-1"/>
          <w:sz w:val="20"/>
        </w:rPr>
        <w:t xml:space="preserve">On an ongoing basis, the Nominating and Corporate Governance Committee considers potential director candidates identified on its own initiative, as well as candidates referred or recommended to it by other directors, members of management, search firms, stockholders and others (including individuals seeking to join the Board). Stockholders who wish to recommend candidates may contact the Nominating and Corporate Governance Committee in the manner described in “Stockholder Communications to the Board.” Stockholder nominations must be made according to the procedures required under our Bylaws and described in this Proxy Statement under the heading “Requirements for Submission of Stockholder Proposals for Next Year’s Annual Meeting.” Stockholder-recommended candidates and stockholder nominees whose nominations comply with these procedures and who meet the criteria referred to above will be evaluated by the Nominating and Corporate Governance Committee in the same manner as the Board’s nominees. </w:t>
      </w:r>
    </w:p>
    <w:p>
      <w:pPr>
        <w:pStyle w:val="TextBody"/>
        <w:spacing w:lineRule="atLeast" w:line="240" w:before="100" w:after="283"/>
        <w:ind w:left="960" w:right="0" w:hanging="0"/>
        <w:jc w:val="righ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1DA46F"/>
          <w:spacing w:val="0"/>
          <w:sz w:val="20"/>
        </w:rPr>
        <w:t>Notice of Annual Meeting of Stockholders</w:t>
      </w:r>
      <w:r>
        <w:rPr>
          <w:rFonts w:ascii="Arial;Helvetica;sans-serif" w:hAnsi="Arial;Helvetica;sans-serif"/>
          <w:b/>
          <w:i w:val="false"/>
          <w:caps w:val="false"/>
          <w:smallCaps w:val="false"/>
          <w:color w:val="000000"/>
          <w:spacing w:val="0"/>
          <w:sz w:val="20"/>
        </w:rPr>
        <w:t> and 2023 Proxy Statement | </w:t>
      </w:r>
      <w:r>
        <w:rPr>
          <w:rFonts w:ascii="Arial;Helvetica;sans-serif" w:hAnsi="Arial;Helvetica;sans-serif"/>
          <w:b w:val="false"/>
          <w:i w:val="false"/>
          <w:caps w:val="false"/>
          <w:smallCaps w:val="false"/>
          <w:color w:val="000000"/>
          <w:spacing w:val="-1"/>
          <w:sz w:val="20"/>
        </w:rPr>
        <w:t>4</w:t>
      </w:r>
      <w:r>
        <w:rPr>
          <w:rFonts w:ascii="Arial;Helvetica;sans-serif" w:hAnsi="Arial;Helvetica;sans-serif"/>
          <w:b/>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0" w:name="tBODI"/>
      <w:bookmarkEnd w:id="20"/>
      <w:r>
        <w:rPr>
          <w:rFonts w:ascii="calibri;arial;sans-serif" w:hAnsi="calibri;arial;sans-serif"/>
          <w:b w:val="false"/>
          <w:i w:val="false"/>
          <w:caps w:val="false"/>
          <w:smallCaps w:val="false"/>
          <w:color w:val="000000"/>
          <w:sz w:val="16"/>
        </w:rPr>
        <w:t xml:space="preserve">​ </w:t>
      </w:r>
    </w:p>
    <w:tbl>
      <w:tblPr>
        <w:tblW w:w="3049" w:type="dxa"/>
        <w:jc w:val="left"/>
        <w:tblInd w:w="960" w:type="dxa"/>
        <w:tblCellMar>
          <w:top w:w="0" w:type="dxa"/>
          <w:left w:w="0" w:type="dxa"/>
          <w:bottom w:w="0" w:type="dxa"/>
          <w:right w:w="0" w:type="dxa"/>
        </w:tblCellMar>
      </w:tblPr>
      <w:tblGrid>
        <w:gridCol w:w="124"/>
        <w:gridCol w:w="2771"/>
        <w:gridCol w:w="154"/>
      </w:tblGrid>
      <w:tr>
        <w:trPr/>
        <w:tc>
          <w:tcPr>
            <w:tcW w:w="124" w:type="dxa"/>
            <w:tcBorders/>
            <w:shd w:fill="1DA46F" w:val="clear"/>
            <w:vAlign w:val="center"/>
          </w:tcPr>
          <w:p>
            <w:pPr>
              <w:pStyle w:val="TableContents"/>
              <w:spacing w:before="0" w:after="283"/>
              <w:rPr/>
            </w:pPr>
            <w:r>
              <w:rPr/>
              <w:t>​</w:t>
            </w:r>
          </w:p>
        </w:tc>
        <w:tc>
          <w:tcPr>
            <w:tcW w:w="2771" w:type="dxa"/>
            <w:tcBorders/>
            <w:shd w:fill="1DA46F" w:val="clear"/>
            <w:vAlign w:val="center"/>
          </w:tcPr>
          <w:p>
            <w:pPr>
              <w:pStyle w:val="TableContents"/>
              <w:spacing w:lineRule="atLeast" w:line="360" w:before="0" w:after="0"/>
              <w:rPr/>
            </w:pPr>
            <w:r>
              <w:rPr>
                <w:spacing w:val="-5"/>
              </w:rPr>
              <w:t>BOARD OF DIRECTORS</w:t>
            </w:r>
            <w:r>
              <w:rPr/>
              <w:t xml:space="preserve"> </w:t>
            </w:r>
          </w:p>
        </w:tc>
        <w:tc>
          <w:tcPr>
            <w:tcW w:w="154" w:type="dxa"/>
            <w:tcBorders/>
            <w:shd w:fill="1DA46F" w:val="clear"/>
            <w:vAlign w:val="center"/>
          </w:tcPr>
          <w:p>
            <w:pPr>
              <w:pStyle w:val="TableContents"/>
              <w:spacing w:before="0" w:after="283"/>
              <w:rPr/>
            </w:pPr>
            <w:r>
              <w:rPr/>
              <w:t>​</w:t>
            </w:r>
          </w:p>
        </w:tc>
      </w:tr>
    </w:tbl>
    <w:p>
      <w:pPr>
        <w:pStyle w:val="TextBody"/>
        <w:spacing w:lineRule="atLeast" w:line="240" w:before="360" w:after="283"/>
        <w:ind w:left="960" w:right="0" w:hanging="0"/>
        <w:jc w:val="both"/>
        <w:rPr>
          <w:rFonts w:ascii="Arial;Helvetica;sans-serif" w:hAnsi="Arial;Helvetica;sans-serif"/>
          <w:b/>
          <w:i w:val="false"/>
          <w:caps w:val="false"/>
          <w:smallCaps w:val="false"/>
          <w:color w:val="000000"/>
          <w:spacing w:val="-3"/>
          <w:sz w:val="20"/>
        </w:rPr>
      </w:pPr>
      <w:r>
        <w:rPr>
          <w:rFonts w:ascii="Arial;Helvetica;sans-serif" w:hAnsi="Arial;Helvetica;sans-serif"/>
          <w:b/>
          <w:i w:val="false"/>
          <w:caps w:val="false"/>
          <w:smallCaps w:val="false"/>
          <w:color w:val="000000"/>
          <w:spacing w:val="-3"/>
          <w:sz w:val="20"/>
        </w:rPr>
        <w:t xml:space="preserve">BOARD DIVERSITY </w:t>
      </w:r>
    </w:p>
    <w:p>
      <w:pPr>
        <w:pStyle w:val="TextBody"/>
        <w:spacing w:before="0" w:after="0"/>
        <w:rPr>
          <w:caps w:val="false"/>
          <w:smallCaps w:val="false"/>
          <w:color w:val="000000"/>
        </w:rPr>
      </w:pPr>
      <w:r>
        <w:rPr>
          <w:caps w:val="false"/>
          <w:smallCaps w:val="false"/>
          <w:color w:val="000000"/>
        </w:rPr>
        <w:t>​</w:t>
      </w:r>
      <w:r>
        <mc:AlternateContent>
          <mc:Choice Requires="wps">
            <w:drawing>
              <wp:anchor behindDoc="0" distT="0" distB="0" distL="152400" distR="0" simplePos="0" locked="0" layoutInCell="1" allowOverlap="1" relativeHeight="12">
                <wp:simplePos x="0" y="0"/>
                <wp:positionH relativeFrom="column">
                  <wp:align>left</wp:align>
                </wp:positionH>
                <wp:positionV relativeFrom="line">
                  <wp:posOffset>635</wp:posOffset>
                </wp:positionV>
                <wp:extent cx="3092450" cy="2430780"/>
                <wp:effectExtent l="0" t="0" r="0" b="0"/>
                <wp:wrapSquare wrapText="largest"/>
                <wp:docPr id="42" name="Frame24"/>
                <a:graphic xmlns:a="http://schemas.openxmlformats.org/drawingml/2006/main">
                  <a:graphicData uri="http://schemas.microsoft.com/office/word/2010/wordprocessingShape">
                    <wps:wsp>
                      <wps:cNvSpPr txBox="1"/>
                      <wps:spPr>
                        <a:xfrm>
                          <a:off x="0" y="0"/>
                          <a:ext cx="3092450" cy="2430780"/>
                        </a:xfrm>
                        <a:prstGeom prst="rect"/>
                      </wps:spPr>
                      <wps:txbx>
                        <w:txbxContent>
                          <w:p>
                            <w:pPr>
                              <w:pStyle w:val="TextBody"/>
                              <w:spacing w:lineRule="atLeast" w:line="240" w:before="0" w:after="0"/>
                              <w:jc w:val="center"/>
                              <w:rPr>
                                <w:b/>
                                <w:color w:val="148CD9"/>
                              </w:rPr>
                            </w:pPr>
                            <w:r>
                              <w:rPr>
                                <w:b/>
                                <w:color w:val="148CD9"/>
                                <w:spacing w:val="-3"/>
                              </w:rPr>
                              <w:t>CURRENT DIVERSITY BREAKDOWN</w:t>
                            </w:r>
                            <w:r>
                              <w:rPr>
                                <w:b/>
                                <w:color w:val="000000"/>
                                <w:spacing w:val="4"/>
                              </w:rPr>
                              <w:t xml:space="preserve"> </w:t>
                            </w:r>
                          </w:p>
                          <w:p>
                            <w:pPr>
                              <w:pStyle w:val="TextBody"/>
                              <w:spacing w:before="200" w:after="283"/>
                              <w:jc w:val="center"/>
                              <w:rPr/>
                            </w:pPr>
                            <w:r>
                              <w:rPr/>
                              <w:drawing>
                                <wp:inline distT="0" distB="0" distL="0" distR="0">
                                  <wp:extent cx="2971800" cy="2095500"/>
                                  <wp:effectExtent l="0" t="0" r="0" b="0"/>
                                  <wp:docPr id="4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13" descr=""/>
                                          <pic:cNvPicPr>
                                            <a:picLocks noChangeAspect="1" noChangeArrowheads="1"/>
                                          </pic:cNvPicPr>
                                        </pic:nvPicPr>
                                        <pic:blipFill>
                                          <a:blip r:embed="rId14"/>
                                          <a:stretch>
                                            <a:fillRect/>
                                          </a:stretch>
                                        </pic:blipFill>
                                        <pic:spPr bwMode="auto">
                                          <a:xfrm>
                                            <a:off x="0" y="0"/>
                                            <a:ext cx="2971800" cy="2095500"/>
                                          </a:xfrm>
                                          <a:prstGeom prst="rect">
                                            <a:avLst/>
                                          </a:prstGeom>
                                        </pic:spPr>
                                      </pic:pic>
                                    </a:graphicData>
                                  </a:graphic>
                                </wp:inline>
                              </w:drawing>
                            </w:r>
                            <w:r>
                              <w:rPr/>
                              <w:t xml:space="preserve"> </w:t>
                            </w:r>
                          </w:p>
                        </w:txbxContent>
                      </wps:txbx>
                      <wps:bodyPr anchor="t" lIns="0" tIns="0" rIns="0" bIns="0">
                        <a:noAutofit/>
                      </wps:bodyPr>
                    </wps:wsp>
                  </a:graphicData>
                </a:graphic>
              </wp:anchor>
            </w:drawing>
          </mc:Choice>
          <mc:Fallback>
            <w:pict>
              <v:rect style="position:absolute;rotation:0;width:243.5pt;height:191.4pt;mso-wrap-distance-left:12pt;mso-wrap-distance-right:0pt;mso-wrap-distance-top:0pt;mso-wrap-distance-bottom:0pt;margin-top:0pt;mso-position-vertical:top;mso-position-vertical-relative:text;margin-left:12pt;mso-position-horizontal:left;mso-position-horizontal-relative:text">
                <v:textbox>
                  <w:txbxContent>
                    <w:p>
                      <w:pPr>
                        <w:pStyle w:val="TextBody"/>
                        <w:spacing w:lineRule="atLeast" w:line="240" w:before="0" w:after="0"/>
                        <w:jc w:val="center"/>
                        <w:rPr>
                          <w:b/>
                          <w:color w:val="148CD9"/>
                        </w:rPr>
                      </w:pPr>
                      <w:r>
                        <w:rPr>
                          <w:b/>
                          <w:color w:val="148CD9"/>
                          <w:spacing w:val="-3"/>
                        </w:rPr>
                        <w:t>CURRENT DIVERSITY BREAKDOWN</w:t>
                      </w:r>
                      <w:r>
                        <w:rPr>
                          <w:b/>
                          <w:color w:val="000000"/>
                          <w:spacing w:val="4"/>
                        </w:rPr>
                        <w:t xml:space="preserve"> </w:t>
                      </w:r>
                    </w:p>
                    <w:p>
                      <w:pPr>
                        <w:pStyle w:val="TextBody"/>
                        <w:spacing w:before="200" w:after="283"/>
                        <w:jc w:val="center"/>
                        <w:rPr/>
                      </w:pPr>
                      <w:r>
                        <w:rPr/>
                        <w:drawing>
                          <wp:inline distT="0" distB="0" distL="0" distR="0">
                            <wp:extent cx="2971800" cy="2095500"/>
                            <wp:effectExtent l="0" t="0" r="0" b="0"/>
                            <wp:docPr id="44"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13" descr=""/>
                                    <pic:cNvPicPr>
                                      <a:picLocks noChangeAspect="1" noChangeArrowheads="1"/>
                                    </pic:cNvPicPr>
                                  </pic:nvPicPr>
                                  <pic:blipFill>
                                    <a:blip r:embed="rId14"/>
                                    <a:stretch>
                                      <a:fillRect/>
                                    </a:stretch>
                                  </pic:blipFill>
                                  <pic:spPr bwMode="auto">
                                    <a:xfrm>
                                      <a:off x="0" y="0"/>
                                      <a:ext cx="2971800" cy="2095500"/>
                                    </a:xfrm>
                                    <a:prstGeom prst="rect">
                                      <a:avLst/>
                                    </a:prstGeom>
                                  </pic:spPr>
                                </pic:pic>
                              </a:graphicData>
                            </a:graphic>
                          </wp:inline>
                        </w:drawing>
                      </w:r>
                      <w:r>
                        <w:rPr/>
                        <w:t xml:space="preserve"> </w:t>
                      </w:r>
                    </w:p>
                  </w:txbxContent>
                </v:textbox>
                <w10:wrap type="square" side="right"/>
              </v:rect>
            </w:pict>
          </mc:Fallback>
        </mc:AlternateContent>
      </w:r>
      <w:r>
        <mc:AlternateContent>
          <mc:Choice Requires="wps">
            <w:drawing>
              <wp:anchor behindDoc="0" distT="0" distB="0" distL="609600" distR="0" simplePos="0" locked="0" layoutInCell="1" allowOverlap="1" relativeHeight="52">
                <wp:simplePos x="0" y="0"/>
                <wp:positionH relativeFrom="column">
                  <wp:align>left</wp:align>
                </wp:positionH>
                <wp:positionV relativeFrom="line">
                  <wp:posOffset>635</wp:posOffset>
                </wp:positionV>
                <wp:extent cx="3092450" cy="3154680"/>
                <wp:effectExtent l="0" t="0" r="0" b="0"/>
                <wp:wrapSquare wrapText="largest"/>
                <wp:docPr id="45" name="Frame23"/>
                <a:graphic xmlns:a="http://schemas.openxmlformats.org/drawingml/2006/main">
                  <a:graphicData uri="http://schemas.microsoft.com/office/word/2010/wordprocessingShape">
                    <wps:wsp>
                      <wps:cNvSpPr txBox="1"/>
                      <wps:spPr>
                        <a:xfrm>
                          <a:off x="0" y="0"/>
                          <a:ext cx="3092450" cy="3154680"/>
                        </a:xfrm>
                        <a:prstGeom prst="rect"/>
                      </wps:spPr>
                      <wps:txbx>
                        <w:txbxContent>
                          <w:p>
                            <w:pPr>
                              <w:pStyle w:val="TextBody"/>
                              <w:spacing w:lineRule="atLeast" w:line="240" w:before="0" w:after="0"/>
                              <w:jc w:val="both"/>
                              <w:rPr>
                                <w:spacing w:val="-1"/>
                              </w:rPr>
                            </w:pPr>
                            <w:r>
                              <w:rPr>
                                <w:spacing w:val="-1"/>
                              </w:rPr>
                              <w:t xml:space="preserve">Board diversity and inclusion is critical to the our success. While we do not have a formal policy on Board diversity, the Board is committed to building a Board that consists of the optimal mix of skills, expertise, and diversity capable of effectively overseeing the execution of our business and meeting our evolving needs, with diversity reflecting gender, age, race, ethnicity, background, professional experience and perspectives. The Nominating and Corporate Governance Committee considers the value of diversity on the Board in evaluating director nominees. Accordingly, the Nominating and Corporate Governance Committee’s evaluation of director nominees includes consideration of their ability to contribute to the diversity of personal and professional experiences, opinions, perspectives and backgrounds on the Board. </w:t>
                            </w:r>
                          </w:p>
                        </w:txbxContent>
                      </wps:txbx>
                      <wps:bodyPr anchor="t" lIns="0" tIns="0" rIns="0" bIns="0">
                        <a:noAutofit/>
                      </wps:bodyPr>
                    </wps:wsp>
                  </a:graphicData>
                </a:graphic>
              </wp:anchor>
            </w:drawing>
          </mc:Choice>
          <mc:Fallback>
            <w:pict>
              <v:rect style="position:absolute;rotation:0;width:243.5pt;height:248.4pt;mso-wrap-distance-left:48pt;mso-wrap-distance-right:0pt;mso-wrap-distance-top:0pt;mso-wrap-distance-bottom:0pt;margin-top:0pt;mso-position-vertical:top;mso-position-vertical-relative:text;margin-left:48pt;mso-position-horizontal:left;mso-position-horizontal-relative:text">
                <v:textbox>
                  <w:txbxContent>
                    <w:p>
                      <w:pPr>
                        <w:pStyle w:val="TextBody"/>
                        <w:spacing w:lineRule="atLeast" w:line="240" w:before="0" w:after="0"/>
                        <w:jc w:val="both"/>
                        <w:rPr>
                          <w:spacing w:val="-1"/>
                        </w:rPr>
                      </w:pPr>
                      <w:r>
                        <w:rPr>
                          <w:spacing w:val="-1"/>
                        </w:rPr>
                        <w:t xml:space="preserve">Board diversity and inclusion is critical to the our success. While we do not have a formal policy on Board diversity, the Board is committed to building a Board that consists of the optimal mix of skills, expertise, and diversity capable of effectively overseeing the execution of our business and meeting our evolving needs, with diversity reflecting gender, age, race, ethnicity, background, professional experience and perspectives. The Nominating and Corporate Governance Committee considers the value of diversity on the Board in evaluating director nominees. Accordingly, the Nominating and Corporate Governance Committee’s evaluation of director nominees includes consideration of their ability to contribute to the diversity of personal and professional experiences, opinions, perspectives and backgrounds on the Board. </w:t>
                      </w:r>
                    </w:p>
                  </w:txbxContent>
                </v:textbox>
                <w10:wrap type="square" side="right"/>
              </v:rect>
            </w:pict>
          </mc:Fallback>
        </mc:AlternateContent>
      </w:r>
    </w:p>
    <w:p>
      <w:pPr>
        <w:pStyle w:val="TextBody"/>
        <w:spacing w:lineRule="atLeast" w:line="240" w:before="180" w:after="283"/>
        <w:ind w:left="96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As presently constituted, the Board represents a deliberate mix of members who have a deep understanding of our business as well as members who have different skill sets and points of view. The listing requirements of the Nasdaq Stock Market LLC, or Nasdaq, require each listed company to have, or explain why it does not have, two diverse directors on the board, including at least one diverse director who self-identifies as female and at least one diverse director who self-identifies as an underrepresented minority or LGBTQ+, or for smaller reporting companies, two female directors. Our current board composition is in compliance with this requirement. We are particularly proud of the diversity on our Board, which includes three Board members who self-identify as diverse, including our Chairman of the Board, Chair of the Nominating and Corporate Governance Committee and Chair of the Audit Committee.</w:t>
      </w:r>
      <w:r>
        <w:rPr>
          <w:rFonts w:ascii="Arial;Helvetica;sans-serif" w:hAnsi="Arial;Helvetica;sans-serif"/>
          <w:b w:val="false"/>
          <w:i w:val="false"/>
          <w:caps w:val="false"/>
          <w:smallCaps w:val="false"/>
          <w:color w:val="000000"/>
          <w:spacing w:val="4"/>
          <w:sz w:val="20"/>
        </w:rPr>
        <w:t xml:space="preserve"> </w:t>
      </w:r>
    </w:p>
    <w:p>
      <w:pPr>
        <w:pStyle w:val="TextBody"/>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The matrix below provides certain highlights of the composition of our Board members based on self-identification. Each term used above and in the matrix below has the meaning given to it in Nasdaq Listing Rule 5605(f).</w:t>
      </w:r>
      <w:r>
        <w:rPr>
          <w:rFonts w:ascii="Arial;Helvetica;sans-serif" w:hAnsi="Arial;Helvetica;sans-serif"/>
          <w:b w:val="false"/>
          <w:i w:val="false"/>
          <w:caps w:val="false"/>
          <w:smallCaps w:val="false"/>
          <w:color w:val="000000"/>
          <w:spacing w:val="4"/>
          <w:sz w:val="20"/>
        </w:rPr>
        <w:t xml:space="preserve"> </w:t>
      </w:r>
    </w:p>
    <w:tbl>
      <w:tblPr>
        <w:tblW w:w="5055" w:type="dxa"/>
        <w:jc w:val="left"/>
        <w:tblInd w:w="960" w:type="dxa"/>
        <w:tblCellMar>
          <w:top w:w="0" w:type="dxa"/>
          <w:left w:w="0" w:type="dxa"/>
          <w:bottom w:w="0" w:type="dxa"/>
          <w:right w:w="0" w:type="dxa"/>
        </w:tblCellMar>
      </w:tblPr>
      <w:tblGrid>
        <w:gridCol w:w="124"/>
        <w:gridCol w:w="109"/>
        <w:gridCol w:w="3836"/>
        <w:gridCol w:w="156"/>
        <w:gridCol w:w="156"/>
        <w:gridCol w:w="411"/>
        <w:gridCol w:w="109"/>
        <w:gridCol w:w="154"/>
      </w:tblGrid>
      <w:tr>
        <w:trPr/>
        <w:tc>
          <w:tcPr>
            <w:tcW w:w="124" w:type="dxa"/>
            <w:tcBorders/>
            <w:shd w:fill="auto" w:val="clear"/>
            <w:vAlign w:val="center"/>
          </w:tcPr>
          <w:p>
            <w:pPr>
              <w:pStyle w:val="TableContents"/>
              <w:spacing w:before="0" w:after="283"/>
              <w:rPr/>
            </w:pPr>
            <w:r>
              <w:rPr/>
              <w:t>​</w:t>
            </w:r>
          </w:p>
        </w:tc>
        <w:tc>
          <w:tcPr>
            <w:tcW w:w="109" w:type="dxa"/>
            <w:tcBorders>
              <w:bottom w:val="single" w:sz="2" w:space="0" w:color="000000"/>
            </w:tcBorders>
            <w:shd w:fill="148CD9" w:val="clear"/>
            <w:tcMar>
              <w:bottom w:w="28" w:type="dxa"/>
            </w:tcMar>
            <w:vAlign w:val="center"/>
          </w:tcPr>
          <w:p>
            <w:pPr>
              <w:pStyle w:val="TableContents"/>
              <w:spacing w:before="0" w:after="283"/>
              <w:rPr/>
            </w:pPr>
            <w:r>
              <w:rPr/>
              <w:t>​</w:t>
            </w:r>
          </w:p>
        </w:tc>
        <w:tc>
          <w:tcPr>
            <w:tcW w:w="4559" w:type="dxa"/>
            <w:gridSpan w:val="4"/>
            <w:tcBorders>
              <w:bottom w:val="single" w:sz="2" w:space="0" w:color="000000"/>
            </w:tcBorders>
            <w:shd w:fill="148CD9" w:val="clear"/>
            <w:tcMar>
              <w:bottom w:w="50" w:type="dxa"/>
            </w:tcMar>
            <w:vAlign w:val="center"/>
          </w:tcPr>
          <w:p>
            <w:pPr>
              <w:pStyle w:val="TableContents"/>
              <w:spacing w:before="0" w:after="0"/>
              <w:jc w:val="center"/>
              <w:rPr>
                <w:spacing w:val="0"/>
              </w:rPr>
            </w:pPr>
            <w:r>
              <w:rPr>
                <w:spacing w:val="0"/>
              </w:rPr>
              <w:t xml:space="preserve">Board Diversity Matrix (As of April 28, 2023) </w:t>
            </w:r>
          </w:p>
        </w:tc>
        <w:tc>
          <w:tcPr>
            <w:tcW w:w="109" w:type="dxa"/>
            <w:tcBorders>
              <w:bottom w:val="single" w:sz="2" w:space="0" w:color="000000"/>
            </w:tcBorders>
            <w:shd w:fill="148CD9" w:val="clear"/>
            <w:tcMar>
              <w:bottom w:w="28" w:type="dxa"/>
            </w:tcMar>
            <w:vAlign w:val="center"/>
          </w:tcPr>
          <w:p>
            <w:pPr>
              <w:pStyle w:val="TableContents"/>
              <w:spacing w:before="0" w:after="283"/>
              <w:rPr/>
            </w:pPr>
            <w:r>
              <w:rPr/>
              <w:t>​</w:t>
            </w:r>
          </w:p>
        </w:tc>
        <w:tc>
          <w:tcPr>
            <w:tcW w:w="154" w:type="dxa"/>
            <w:tcBorders/>
            <w:shd w:fill="auto"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3836" w:type="dxa"/>
            <w:tcBorders>
              <w:bottom w:val="single" w:sz="2" w:space="0" w:color="000000"/>
            </w:tcBorders>
            <w:shd w:fill="auto" w:val="clear"/>
            <w:tcMar>
              <w:bottom w:w="50" w:type="dxa"/>
            </w:tcMar>
            <w:vAlign w:val="center"/>
          </w:tcPr>
          <w:p>
            <w:pPr>
              <w:pStyle w:val="TableContents"/>
              <w:spacing w:before="0" w:after="283"/>
              <w:rPr>
                <w:spacing w:val="-1"/>
              </w:rPr>
            </w:pPr>
            <w:r>
              <w:rPr>
                <w:spacing w:val="-1"/>
              </w:rPr>
              <w:t xml:space="preserve">Total Number of Directors </w:t>
            </w:r>
          </w:p>
        </w:tc>
        <w:tc>
          <w:tcPr>
            <w:tcW w:w="156" w:type="dxa"/>
            <w:tcBorders>
              <w:bottom w:val="single" w:sz="2" w:space="0" w:color="000000"/>
            </w:tcBorders>
            <w:shd w:fill="auto" w:val="clear"/>
            <w:tcMar>
              <w:bottom w:w="28" w:type="dxa"/>
            </w:tcMar>
            <w:vAlign w:val="center"/>
          </w:tcPr>
          <w:p>
            <w:pPr>
              <w:pStyle w:val="TableContents"/>
              <w:spacing w:before="0" w:after="283"/>
              <w:rPr/>
            </w:pPr>
            <w:r>
              <w:rPr/>
              <w:t>​</w:t>
            </w:r>
          </w:p>
        </w:tc>
        <w:tc>
          <w:tcPr>
            <w:tcW w:w="156" w:type="dxa"/>
            <w:tcBorders>
              <w:bottom w:val="single" w:sz="2" w:space="0" w:color="000000"/>
            </w:tcBorders>
            <w:shd w:fill="auto" w:val="clear"/>
            <w:tcMar>
              <w:bottom w:w="28" w:type="dxa"/>
            </w:tcMar>
            <w:vAlign w:val="center"/>
          </w:tcPr>
          <w:p>
            <w:pPr>
              <w:pStyle w:val="TableContents"/>
              <w:spacing w:before="0" w:after="283"/>
              <w:rPr/>
            </w:pPr>
            <w:r>
              <w:rPr/>
              <w:t>​</w:t>
            </w:r>
          </w:p>
        </w:tc>
        <w:tc>
          <w:tcPr>
            <w:tcW w:w="411" w:type="dxa"/>
            <w:tcBorders>
              <w:bottom w:val="single" w:sz="2" w:space="0" w:color="000000"/>
            </w:tcBorders>
            <w:shd w:fill="auto" w:val="clear"/>
            <w:tcMar>
              <w:bottom w:w="50" w:type="dxa"/>
            </w:tcMar>
            <w:vAlign w:val="center"/>
          </w:tcPr>
          <w:p>
            <w:pPr>
              <w:pStyle w:val="TableContents"/>
              <w:spacing w:before="0" w:after="283"/>
              <w:rPr/>
            </w:pPr>
            <w:r>
              <w:rPr>
                <w:spacing w:val="-1"/>
              </w:rPr>
              <w:t>7</w:t>
            </w:r>
            <w:r>
              <w:rPr/>
              <w:t xml:space="preserve"> </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54" w:type="dxa"/>
            <w:tcBorders/>
            <w:shd w:fill="auto" w:val="clear"/>
            <w:vAlign w:val="center"/>
          </w:tcPr>
          <w:p>
            <w:pPr>
              <w:pStyle w:val="TableContents"/>
              <w:spacing w:before="0" w:after="283"/>
              <w:rPr/>
            </w:pPr>
            <w:r>
              <w:rPr/>
              <w:t>​</w:t>
            </w:r>
          </w:p>
        </w:tc>
      </w:tr>
    </w:tbl>
    <w:tbl>
      <w:tblPr>
        <w:tblW w:w="9245" w:type="dxa"/>
        <w:jc w:val="left"/>
        <w:tblInd w:w="960" w:type="dxa"/>
        <w:tblCellMar>
          <w:top w:w="0" w:type="dxa"/>
          <w:left w:w="0" w:type="dxa"/>
          <w:bottom w:w="0" w:type="dxa"/>
          <w:right w:w="0" w:type="dxa"/>
        </w:tblCellMar>
      </w:tblPr>
      <w:tblGrid>
        <w:gridCol w:w="124"/>
        <w:gridCol w:w="109"/>
        <w:gridCol w:w="3709"/>
        <w:gridCol w:w="109"/>
        <w:gridCol w:w="109"/>
        <w:gridCol w:w="109"/>
        <w:gridCol w:w="842"/>
        <w:gridCol w:w="109"/>
        <w:gridCol w:w="109"/>
        <w:gridCol w:w="109"/>
        <w:gridCol w:w="632"/>
        <w:gridCol w:w="109"/>
        <w:gridCol w:w="109"/>
        <w:gridCol w:w="109"/>
        <w:gridCol w:w="1292"/>
        <w:gridCol w:w="109"/>
        <w:gridCol w:w="109"/>
        <w:gridCol w:w="109"/>
        <w:gridCol w:w="962"/>
        <w:gridCol w:w="109"/>
        <w:gridCol w:w="158"/>
      </w:tblGrid>
      <w:tr>
        <w:trPr/>
        <w:tc>
          <w:tcPr>
            <w:tcW w:w="124" w:type="dxa"/>
            <w:tcBorders/>
            <w:shd w:fill="148CD9" w:val="clear"/>
            <w:vAlign w:val="center"/>
          </w:tcPr>
          <w:p>
            <w:pPr>
              <w:pStyle w:val="TableContents"/>
              <w:spacing w:before="0" w:after="283"/>
              <w:rPr/>
            </w:pPr>
            <w:r>
              <w:rPr/>
              <w:t>​</w:t>
            </w:r>
          </w:p>
        </w:tc>
        <w:tc>
          <w:tcPr>
            <w:tcW w:w="109" w:type="dxa"/>
            <w:tcBorders/>
            <w:shd w:fill="148CD9" w:val="clear"/>
            <w:vAlign w:val="center"/>
          </w:tcPr>
          <w:p>
            <w:pPr>
              <w:pStyle w:val="TableContents"/>
              <w:spacing w:before="0" w:after="283"/>
              <w:rPr/>
            </w:pPr>
            <w:r>
              <w:rPr/>
              <w:t>​</w:t>
            </w:r>
          </w:p>
        </w:tc>
        <w:tc>
          <w:tcPr>
            <w:tcW w:w="3709" w:type="dxa"/>
            <w:tcBorders/>
            <w:shd w:fill="148CD9" w:val="clear"/>
            <w:vAlign w:val="center"/>
          </w:tcPr>
          <w:p>
            <w:pPr>
              <w:pStyle w:val="TableContents"/>
              <w:spacing w:before="0" w:after="0"/>
              <w:jc w:val="left"/>
              <w:rPr/>
            </w:pPr>
            <w:r>
              <w:rPr>
                <w:spacing w:val="0"/>
              </w:rPr>
              <w:t>Part I: Gender Identity</w:t>
            </w:r>
            <w:r>
              <w:rPr/>
              <w:t xml:space="preserve"> </w:t>
            </w:r>
          </w:p>
        </w:tc>
        <w:tc>
          <w:tcPr>
            <w:tcW w:w="109" w:type="dxa"/>
            <w:tcBorders/>
            <w:shd w:fill="148CD9" w:val="clear"/>
            <w:vAlign w:val="center"/>
          </w:tcPr>
          <w:p>
            <w:pPr>
              <w:pStyle w:val="TableContents"/>
              <w:spacing w:before="0" w:after="283"/>
              <w:rPr/>
            </w:pPr>
            <w:r>
              <w:rPr/>
              <w:t>​</w:t>
            </w:r>
          </w:p>
        </w:tc>
        <w:tc>
          <w:tcPr>
            <w:tcW w:w="109" w:type="dxa"/>
            <w:tcBorders/>
            <w:shd w:fill="148CD9" w:val="clear"/>
            <w:vAlign w:val="center"/>
          </w:tcPr>
          <w:p>
            <w:pPr>
              <w:pStyle w:val="TableContents"/>
              <w:spacing w:before="0" w:after="283"/>
              <w:rPr/>
            </w:pPr>
            <w:r>
              <w:rPr/>
              <w:t>​</w:t>
            </w:r>
          </w:p>
        </w:tc>
        <w:tc>
          <w:tcPr>
            <w:tcW w:w="109" w:type="dxa"/>
            <w:tcBorders/>
            <w:shd w:fill="148CD9" w:val="clear"/>
            <w:vAlign w:val="center"/>
          </w:tcPr>
          <w:p>
            <w:pPr>
              <w:pStyle w:val="TableContents"/>
              <w:spacing w:before="0" w:after="283"/>
              <w:rPr/>
            </w:pPr>
            <w:r>
              <w:rPr/>
              <w:t>​</w:t>
            </w:r>
          </w:p>
        </w:tc>
        <w:tc>
          <w:tcPr>
            <w:tcW w:w="842" w:type="dxa"/>
            <w:tcBorders/>
            <w:shd w:fill="148CD9" w:val="clear"/>
            <w:vAlign w:val="center"/>
          </w:tcPr>
          <w:p>
            <w:pPr>
              <w:pStyle w:val="TableContents"/>
              <w:spacing w:before="0" w:after="0"/>
              <w:jc w:val="center"/>
              <w:rPr>
                <w:spacing w:val="0"/>
              </w:rPr>
            </w:pPr>
            <w:r>
              <w:rPr>
                <w:spacing w:val="0"/>
              </w:rPr>
              <w:t xml:space="preserve">Female </w:t>
            </w:r>
          </w:p>
        </w:tc>
        <w:tc>
          <w:tcPr>
            <w:tcW w:w="109" w:type="dxa"/>
            <w:tcBorders/>
            <w:shd w:fill="148CD9" w:val="clear"/>
            <w:vAlign w:val="center"/>
          </w:tcPr>
          <w:p>
            <w:pPr>
              <w:pStyle w:val="TableContents"/>
              <w:spacing w:before="0" w:after="283"/>
              <w:rPr/>
            </w:pPr>
            <w:r>
              <w:rPr/>
              <w:t>​</w:t>
            </w:r>
          </w:p>
        </w:tc>
        <w:tc>
          <w:tcPr>
            <w:tcW w:w="109" w:type="dxa"/>
            <w:tcBorders/>
            <w:shd w:fill="148CD9" w:val="clear"/>
            <w:vAlign w:val="center"/>
          </w:tcPr>
          <w:p>
            <w:pPr>
              <w:pStyle w:val="TableContents"/>
              <w:spacing w:before="0" w:after="283"/>
              <w:rPr/>
            </w:pPr>
            <w:r>
              <w:rPr/>
              <w:t>​</w:t>
            </w:r>
          </w:p>
        </w:tc>
        <w:tc>
          <w:tcPr>
            <w:tcW w:w="109" w:type="dxa"/>
            <w:tcBorders/>
            <w:shd w:fill="148CD9" w:val="clear"/>
            <w:vAlign w:val="center"/>
          </w:tcPr>
          <w:p>
            <w:pPr>
              <w:pStyle w:val="TableContents"/>
              <w:spacing w:before="0" w:after="283"/>
              <w:rPr/>
            </w:pPr>
            <w:r>
              <w:rPr/>
              <w:t>​</w:t>
            </w:r>
          </w:p>
        </w:tc>
        <w:tc>
          <w:tcPr>
            <w:tcW w:w="632" w:type="dxa"/>
            <w:tcBorders/>
            <w:shd w:fill="148CD9" w:val="clear"/>
            <w:vAlign w:val="center"/>
          </w:tcPr>
          <w:p>
            <w:pPr>
              <w:pStyle w:val="TableContents"/>
              <w:spacing w:before="0" w:after="0"/>
              <w:jc w:val="center"/>
              <w:rPr>
                <w:spacing w:val="0"/>
              </w:rPr>
            </w:pPr>
            <w:r>
              <w:rPr>
                <w:spacing w:val="0"/>
              </w:rPr>
              <w:t xml:space="preserve">Male </w:t>
            </w:r>
          </w:p>
        </w:tc>
        <w:tc>
          <w:tcPr>
            <w:tcW w:w="109" w:type="dxa"/>
            <w:tcBorders/>
            <w:shd w:fill="148CD9" w:val="clear"/>
            <w:vAlign w:val="center"/>
          </w:tcPr>
          <w:p>
            <w:pPr>
              <w:pStyle w:val="TableContents"/>
              <w:spacing w:before="0" w:after="283"/>
              <w:rPr/>
            </w:pPr>
            <w:r>
              <w:rPr/>
              <w:t>​</w:t>
            </w:r>
          </w:p>
        </w:tc>
        <w:tc>
          <w:tcPr>
            <w:tcW w:w="109" w:type="dxa"/>
            <w:tcBorders/>
            <w:shd w:fill="148CD9" w:val="clear"/>
            <w:vAlign w:val="center"/>
          </w:tcPr>
          <w:p>
            <w:pPr>
              <w:pStyle w:val="TableContents"/>
              <w:spacing w:before="0" w:after="283"/>
              <w:rPr/>
            </w:pPr>
            <w:r>
              <w:rPr/>
              <w:t>​</w:t>
            </w:r>
          </w:p>
        </w:tc>
        <w:tc>
          <w:tcPr>
            <w:tcW w:w="109" w:type="dxa"/>
            <w:tcBorders/>
            <w:shd w:fill="148CD9" w:val="clear"/>
            <w:vAlign w:val="center"/>
          </w:tcPr>
          <w:p>
            <w:pPr>
              <w:pStyle w:val="TableContents"/>
              <w:spacing w:before="0" w:after="283"/>
              <w:rPr/>
            </w:pPr>
            <w:r>
              <w:rPr/>
              <w:t>​</w:t>
            </w:r>
          </w:p>
        </w:tc>
        <w:tc>
          <w:tcPr>
            <w:tcW w:w="1292" w:type="dxa"/>
            <w:tcBorders/>
            <w:shd w:fill="148CD9" w:val="clear"/>
            <w:vAlign w:val="center"/>
          </w:tcPr>
          <w:p>
            <w:pPr>
              <w:pStyle w:val="TableContents"/>
              <w:spacing w:before="0" w:after="0"/>
              <w:jc w:val="center"/>
              <w:rPr>
                <w:spacing w:val="0"/>
              </w:rPr>
            </w:pPr>
            <w:r>
              <w:rPr>
                <w:spacing w:val="0"/>
              </w:rPr>
              <w:t xml:space="preserve">Non-Binary </w:t>
            </w:r>
          </w:p>
        </w:tc>
        <w:tc>
          <w:tcPr>
            <w:tcW w:w="109" w:type="dxa"/>
            <w:tcBorders/>
            <w:shd w:fill="148CD9" w:val="clear"/>
            <w:vAlign w:val="center"/>
          </w:tcPr>
          <w:p>
            <w:pPr>
              <w:pStyle w:val="TableContents"/>
              <w:spacing w:before="0" w:after="283"/>
              <w:rPr/>
            </w:pPr>
            <w:r>
              <w:rPr/>
              <w:t>​</w:t>
            </w:r>
          </w:p>
        </w:tc>
        <w:tc>
          <w:tcPr>
            <w:tcW w:w="109" w:type="dxa"/>
            <w:tcBorders/>
            <w:shd w:fill="148CD9" w:val="clear"/>
            <w:vAlign w:val="center"/>
          </w:tcPr>
          <w:p>
            <w:pPr>
              <w:pStyle w:val="TableContents"/>
              <w:spacing w:before="0" w:after="283"/>
              <w:rPr/>
            </w:pPr>
            <w:r>
              <w:rPr/>
              <w:t>​</w:t>
            </w:r>
          </w:p>
        </w:tc>
        <w:tc>
          <w:tcPr>
            <w:tcW w:w="109" w:type="dxa"/>
            <w:tcBorders/>
            <w:shd w:fill="148CD9" w:val="clear"/>
            <w:vAlign w:val="center"/>
          </w:tcPr>
          <w:p>
            <w:pPr>
              <w:pStyle w:val="TableContents"/>
              <w:spacing w:before="0" w:after="283"/>
              <w:rPr/>
            </w:pPr>
            <w:r>
              <w:rPr/>
              <w:t>​</w:t>
            </w:r>
          </w:p>
        </w:tc>
        <w:tc>
          <w:tcPr>
            <w:tcW w:w="962" w:type="dxa"/>
            <w:tcBorders/>
            <w:shd w:fill="148CD9" w:val="clear"/>
            <w:vAlign w:val="center"/>
          </w:tcPr>
          <w:p>
            <w:pPr>
              <w:pStyle w:val="TableContents"/>
              <w:spacing w:before="0" w:after="0"/>
              <w:jc w:val="center"/>
              <w:rPr/>
            </w:pPr>
            <w:r>
              <w:rPr>
                <w:spacing w:val="0"/>
              </w:rPr>
              <w:t xml:space="preserve">Did Not </w:t>
            </w:r>
            <w:r>
              <w:rPr/>
              <w:br/>
            </w:r>
            <w:r>
              <w:rPr>
                <w:spacing w:val="0"/>
              </w:rPr>
              <w:t xml:space="preserve">Disclose </w:t>
            </w:r>
            <w:r>
              <w:rPr/>
              <w:br/>
            </w:r>
            <w:r>
              <w:rPr>
                <w:spacing w:val="0"/>
              </w:rPr>
              <w:t xml:space="preserve">Gender </w:t>
            </w:r>
          </w:p>
        </w:tc>
        <w:tc>
          <w:tcPr>
            <w:tcW w:w="109" w:type="dxa"/>
            <w:tcBorders/>
            <w:shd w:fill="148CD9" w:val="clear"/>
            <w:vAlign w:val="center"/>
          </w:tcPr>
          <w:p>
            <w:pPr>
              <w:pStyle w:val="TableContents"/>
              <w:spacing w:before="0" w:after="283"/>
              <w:rPr/>
            </w:pPr>
            <w:r>
              <w:rPr/>
              <w:t>​</w:t>
            </w:r>
          </w:p>
        </w:tc>
        <w:tc>
          <w:tcPr>
            <w:tcW w:w="158" w:type="dxa"/>
            <w:tcBorders/>
            <w:shd w:fill="148CD9"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3709" w:type="dxa"/>
            <w:tcBorders>
              <w:bottom w:val="single" w:sz="2" w:space="0" w:color="000000"/>
            </w:tcBorders>
            <w:shd w:fill="auto" w:val="clear"/>
            <w:tcMar>
              <w:bottom w:w="50" w:type="dxa"/>
            </w:tcMar>
            <w:vAlign w:val="center"/>
          </w:tcPr>
          <w:p>
            <w:pPr>
              <w:pStyle w:val="TableContents"/>
              <w:spacing w:before="0" w:after="283"/>
              <w:jc w:val="left"/>
              <w:rPr>
                <w:spacing w:val="-1"/>
              </w:rPr>
            </w:pPr>
            <w:r>
              <w:rPr>
                <w:spacing w:val="-1"/>
              </w:rPr>
              <w:t xml:space="preserve">Directors </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000000" w:val="clear"/>
            <w:tcMar>
              <w:bottom w:w="28" w:type="dxa"/>
            </w:tcM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842" w:type="dxa"/>
            <w:tcBorders>
              <w:bottom w:val="single" w:sz="2" w:space="0" w:color="000000"/>
            </w:tcBorders>
            <w:shd w:fill="auto" w:val="clear"/>
            <w:tcMar>
              <w:bottom w:w="50" w:type="dxa"/>
            </w:tcMar>
            <w:vAlign w:val="center"/>
          </w:tcPr>
          <w:p>
            <w:pPr>
              <w:pStyle w:val="TableContents"/>
              <w:spacing w:before="0" w:after="0"/>
              <w:jc w:val="center"/>
              <w:rPr>
                <w:spacing w:val="-1"/>
              </w:rPr>
            </w:pPr>
            <w:r>
              <w:rPr>
                <w:spacing w:val="-1"/>
              </w:rPr>
              <w:t xml:space="preserve">3 </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000000" w:val="clear"/>
            <w:tcMar>
              <w:bottom w:w="28" w:type="dxa"/>
            </w:tcM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632" w:type="dxa"/>
            <w:tcBorders>
              <w:bottom w:val="single" w:sz="2" w:space="0" w:color="000000"/>
            </w:tcBorders>
            <w:shd w:fill="auto" w:val="clear"/>
            <w:tcMar>
              <w:bottom w:w="50" w:type="dxa"/>
            </w:tcMar>
            <w:vAlign w:val="center"/>
          </w:tcPr>
          <w:p>
            <w:pPr>
              <w:pStyle w:val="TableContents"/>
              <w:spacing w:before="0" w:after="0"/>
              <w:jc w:val="center"/>
              <w:rPr>
                <w:spacing w:val="-1"/>
              </w:rPr>
            </w:pPr>
            <w:r>
              <w:rPr>
                <w:spacing w:val="-1"/>
              </w:rPr>
              <w:t xml:space="preserve">4 </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000000" w:val="clear"/>
            <w:tcMar>
              <w:bottom w:w="28" w:type="dxa"/>
            </w:tcM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292" w:type="dxa"/>
            <w:tcBorders>
              <w:bottom w:val="single" w:sz="2" w:space="0" w:color="000000"/>
            </w:tcBorders>
            <w:shd w:fill="auto" w:val="clear"/>
            <w:tcMar>
              <w:bottom w:w="50" w:type="dxa"/>
            </w:tcMar>
            <w:vAlign w:val="center"/>
          </w:tcPr>
          <w:p>
            <w:pPr>
              <w:pStyle w:val="TableContents"/>
              <w:spacing w:before="0" w:after="0"/>
              <w:jc w:val="center"/>
              <w:rPr/>
            </w:pPr>
            <w:r>
              <w:rPr>
                <w:spacing w:val="-1"/>
              </w:rPr>
              <w:t>—</w:t>
            </w:r>
            <w:r>
              <w:rPr/>
              <w:t xml:space="preserve"> </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000000" w:val="clear"/>
            <w:tcMar>
              <w:bottom w:w="28" w:type="dxa"/>
            </w:tcM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962" w:type="dxa"/>
            <w:tcBorders>
              <w:bottom w:val="single" w:sz="2" w:space="0" w:color="000000"/>
            </w:tcBorders>
            <w:shd w:fill="auto" w:val="clear"/>
            <w:tcMar>
              <w:bottom w:w="50" w:type="dxa"/>
            </w:tcMar>
            <w:vAlign w:val="center"/>
          </w:tcPr>
          <w:p>
            <w:pPr>
              <w:pStyle w:val="TableContents"/>
              <w:spacing w:before="0" w:after="0"/>
              <w:jc w:val="center"/>
              <w:rPr/>
            </w:pPr>
            <w:r>
              <w:rPr>
                <w:spacing w:val="-1"/>
              </w:rPr>
              <w:t>—</w:t>
            </w:r>
            <w:r>
              <w:rPr/>
              <w:t xml:space="preserve"> </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58" w:type="dxa"/>
            <w:tcBorders>
              <w:bottom w:val="single" w:sz="2" w:space="0" w:color="000000"/>
            </w:tcBorders>
            <w:shd w:fill="000000" w:val="clear"/>
            <w:tcMar>
              <w:bottom w:w="28" w:type="dxa"/>
            </w:tcMar>
            <w:vAlign w:val="center"/>
          </w:tcPr>
          <w:p>
            <w:pPr>
              <w:pStyle w:val="TableContents"/>
              <w:spacing w:before="0" w:after="283"/>
              <w:rPr/>
            </w:pPr>
            <w:r>
              <w:rPr/>
              <w:t>​</w:t>
            </w:r>
          </w:p>
        </w:tc>
      </w:tr>
      <w:tr>
        <w:trPr/>
        <w:tc>
          <w:tcPr>
            <w:tcW w:w="124" w:type="dxa"/>
            <w:tcBorders>
              <w:bottom w:val="single" w:sz="2" w:space="0" w:color="000000"/>
            </w:tcBorders>
            <w:shd w:fill="148CD9" w:val="clear"/>
            <w:tcMar>
              <w:bottom w:w="28" w:type="dxa"/>
            </w:tcMar>
            <w:vAlign w:val="center"/>
          </w:tcPr>
          <w:p>
            <w:pPr>
              <w:pStyle w:val="TableContents"/>
              <w:spacing w:before="0" w:after="283"/>
              <w:rPr/>
            </w:pPr>
            <w:r>
              <w:rPr/>
              <w:t>​</w:t>
            </w:r>
          </w:p>
        </w:tc>
        <w:tc>
          <w:tcPr>
            <w:tcW w:w="109" w:type="dxa"/>
            <w:tcBorders>
              <w:bottom w:val="single" w:sz="2" w:space="0" w:color="000000"/>
            </w:tcBorders>
            <w:shd w:fill="148CD9" w:val="clear"/>
            <w:tcMar>
              <w:bottom w:w="28" w:type="dxa"/>
            </w:tcMar>
            <w:vAlign w:val="center"/>
          </w:tcPr>
          <w:p>
            <w:pPr>
              <w:pStyle w:val="TableContents"/>
              <w:spacing w:before="0" w:after="283"/>
              <w:rPr/>
            </w:pPr>
            <w:r>
              <w:rPr/>
              <w:t>​</w:t>
            </w:r>
          </w:p>
        </w:tc>
        <w:tc>
          <w:tcPr>
            <w:tcW w:w="5837" w:type="dxa"/>
            <w:gridSpan w:val="9"/>
            <w:tcBorders>
              <w:bottom w:val="single" w:sz="2" w:space="0" w:color="000000"/>
            </w:tcBorders>
            <w:shd w:fill="148CD9" w:val="clear"/>
            <w:tcMar>
              <w:bottom w:w="50" w:type="dxa"/>
            </w:tcMar>
            <w:vAlign w:val="center"/>
          </w:tcPr>
          <w:p>
            <w:pPr>
              <w:pStyle w:val="TableContents"/>
              <w:spacing w:before="0" w:after="283"/>
              <w:jc w:val="left"/>
              <w:rPr/>
            </w:pPr>
            <w:r>
              <w:rPr>
                <w:spacing w:val="0"/>
              </w:rPr>
              <w:t>Part II: Demographic Background</w:t>
            </w:r>
            <w:r>
              <w:rPr/>
              <w:t xml:space="preserve"> </w:t>
            </w:r>
          </w:p>
        </w:tc>
        <w:tc>
          <w:tcPr>
            <w:tcW w:w="109" w:type="dxa"/>
            <w:tcBorders>
              <w:bottom w:val="single" w:sz="2" w:space="0" w:color="000000"/>
            </w:tcBorders>
            <w:shd w:fill="148CD9" w:val="clear"/>
            <w:tcMar>
              <w:bottom w:w="28" w:type="dxa"/>
            </w:tcMar>
            <w:vAlign w:val="center"/>
          </w:tcPr>
          <w:p>
            <w:pPr>
              <w:pStyle w:val="TableContents"/>
              <w:spacing w:before="0" w:after="283"/>
              <w:rPr/>
            </w:pPr>
            <w:r>
              <w:rPr/>
              <w:t>​</w:t>
            </w:r>
          </w:p>
        </w:tc>
        <w:tc>
          <w:tcPr>
            <w:tcW w:w="109" w:type="dxa"/>
            <w:tcBorders>
              <w:bottom w:val="single" w:sz="2" w:space="0" w:color="000000"/>
            </w:tcBorders>
            <w:shd w:fill="148CD9" w:val="clear"/>
            <w:tcMar>
              <w:bottom w:w="28" w:type="dxa"/>
            </w:tcMar>
            <w:vAlign w:val="center"/>
          </w:tcPr>
          <w:p>
            <w:pPr>
              <w:pStyle w:val="TableContents"/>
              <w:spacing w:before="0" w:after="283"/>
              <w:rPr/>
            </w:pPr>
            <w:r>
              <w:rPr/>
              <w:t>​</w:t>
            </w:r>
          </w:p>
        </w:tc>
        <w:tc>
          <w:tcPr>
            <w:tcW w:w="109" w:type="dxa"/>
            <w:tcBorders>
              <w:bottom w:val="single" w:sz="2" w:space="0" w:color="000000"/>
            </w:tcBorders>
            <w:shd w:fill="148CD9" w:val="clear"/>
            <w:tcMar>
              <w:bottom w:w="28" w:type="dxa"/>
            </w:tcMar>
            <w:vAlign w:val="center"/>
          </w:tcPr>
          <w:p>
            <w:pPr>
              <w:pStyle w:val="TableContents"/>
              <w:spacing w:before="0" w:after="283"/>
              <w:rPr/>
            </w:pPr>
            <w:r>
              <w:rPr/>
              <w:t>​</w:t>
            </w:r>
          </w:p>
        </w:tc>
        <w:tc>
          <w:tcPr>
            <w:tcW w:w="1292" w:type="dxa"/>
            <w:tcBorders>
              <w:bottom w:val="single" w:sz="2" w:space="0" w:color="000000"/>
            </w:tcBorders>
            <w:shd w:fill="148CD9" w:val="clear"/>
            <w:tcMar>
              <w:bottom w:w="50" w:type="dxa"/>
            </w:tcMar>
            <w:vAlign w:val="center"/>
          </w:tcPr>
          <w:p>
            <w:pPr>
              <w:pStyle w:val="TableContents"/>
              <w:spacing w:before="0" w:after="283"/>
              <w:rPr/>
            </w:pPr>
            <w:r>
              <w:rPr/>
              <w:t>​</w:t>
            </w:r>
          </w:p>
        </w:tc>
        <w:tc>
          <w:tcPr>
            <w:tcW w:w="109" w:type="dxa"/>
            <w:tcBorders>
              <w:bottom w:val="single" w:sz="2" w:space="0" w:color="000000"/>
            </w:tcBorders>
            <w:shd w:fill="148CD9" w:val="clear"/>
            <w:tcMar>
              <w:bottom w:w="28" w:type="dxa"/>
            </w:tcMar>
            <w:vAlign w:val="center"/>
          </w:tcPr>
          <w:p>
            <w:pPr>
              <w:pStyle w:val="TableContents"/>
              <w:spacing w:before="0" w:after="283"/>
              <w:rPr/>
            </w:pPr>
            <w:r>
              <w:rPr/>
              <w:t>​</w:t>
            </w:r>
          </w:p>
        </w:tc>
        <w:tc>
          <w:tcPr>
            <w:tcW w:w="109" w:type="dxa"/>
            <w:tcBorders>
              <w:bottom w:val="single" w:sz="2" w:space="0" w:color="000000"/>
            </w:tcBorders>
            <w:shd w:fill="148CD9" w:val="clear"/>
            <w:tcMar>
              <w:bottom w:w="28" w:type="dxa"/>
            </w:tcMar>
            <w:vAlign w:val="center"/>
          </w:tcPr>
          <w:p>
            <w:pPr>
              <w:pStyle w:val="TableContents"/>
              <w:spacing w:before="0" w:after="283"/>
              <w:rPr/>
            </w:pPr>
            <w:r>
              <w:rPr/>
              <w:t>​</w:t>
            </w:r>
          </w:p>
        </w:tc>
        <w:tc>
          <w:tcPr>
            <w:tcW w:w="109" w:type="dxa"/>
            <w:tcBorders>
              <w:bottom w:val="single" w:sz="2" w:space="0" w:color="000000"/>
            </w:tcBorders>
            <w:shd w:fill="148CD9" w:val="clear"/>
            <w:tcMar>
              <w:bottom w:w="28" w:type="dxa"/>
            </w:tcMar>
            <w:vAlign w:val="center"/>
          </w:tcPr>
          <w:p>
            <w:pPr>
              <w:pStyle w:val="TableContents"/>
              <w:spacing w:before="0" w:after="283"/>
              <w:rPr/>
            </w:pPr>
            <w:r>
              <w:rPr/>
              <w:t>​</w:t>
            </w:r>
          </w:p>
        </w:tc>
        <w:tc>
          <w:tcPr>
            <w:tcW w:w="962" w:type="dxa"/>
            <w:tcBorders>
              <w:bottom w:val="single" w:sz="2" w:space="0" w:color="000000"/>
            </w:tcBorders>
            <w:shd w:fill="148CD9" w:val="clear"/>
            <w:tcMar>
              <w:bottom w:w="50" w:type="dxa"/>
            </w:tcMar>
            <w:vAlign w:val="center"/>
          </w:tcPr>
          <w:p>
            <w:pPr>
              <w:pStyle w:val="TableContents"/>
              <w:spacing w:before="0" w:after="283"/>
              <w:rPr/>
            </w:pPr>
            <w:r>
              <w:rPr/>
              <w:t>​</w:t>
            </w:r>
          </w:p>
        </w:tc>
        <w:tc>
          <w:tcPr>
            <w:tcW w:w="109" w:type="dxa"/>
            <w:tcBorders>
              <w:bottom w:val="single" w:sz="2" w:space="0" w:color="000000"/>
            </w:tcBorders>
            <w:shd w:fill="148CD9" w:val="clear"/>
            <w:tcMar>
              <w:bottom w:w="28" w:type="dxa"/>
            </w:tcMar>
            <w:vAlign w:val="center"/>
          </w:tcPr>
          <w:p>
            <w:pPr>
              <w:pStyle w:val="TableContents"/>
              <w:spacing w:before="0" w:after="283"/>
              <w:rPr/>
            </w:pPr>
            <w:r>
              <w:rPr/>
              <w:t>​</w:t>
            </w:r>
          </w:p>
        </w:tc>
        <w:tc>
          <w:tcPr>
            <w:tcW w:w="158" w:type="dxa"/>
            <w:tcBorders>
              <w:bottom w:val="single" w:sz="2" w:space="0" w:color="000000"/>
            </w:tcBorders>
            <w:shd w:fill="148CD9" w:val="clear"/>
            <w:tcMar>
              <w:bottom w:w="28" w:type="dxa"/>
            </w:tcM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3709" w:type="dxa"/>
            <w:tcBorders>
              <w:bottom w:val="single" w:sz="2" w:space="0" w:color="000000"/>
            </w:tcBorders>
            <w:shd w:fill="auto" w:val="clear"/>
            <w:tcMar>
              <w:bottom w:w="50" w:type="dxa"/>
            </w:tcMar>
            <w:vAlign w:val="center"/>
          </w:tcPr>
          <w:p>
            <w:pPr>
              <w:pStyle w:val="TableContents"/>
              <w:spacing w:before="0" w:after="283"/>
              <w:jc w:val="left"/>
              <w:rPr>
                <w:spacing w:val="-1"/>
              </w:rPr>
            </w:pPr>
            <w:r>
              <w:rPr>
                <w:spacing w:val="-1"/>
              </w:rPr>
              <w:t xml:space="preserve">African American or Black </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000000" w:val="clear"/>
            <w:tcMar>
              <w:bottom w:w="28" w:type="dxa"/>
            </w:tcM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842" w:type="dxa"/>
            <w:tcBorders>
              <w:bottom w:val="single" w:sz="2" w:space="0" w:color="000000"/>
            </w:tcBorders>
            <w:shd w:fill="auto" w:val="clear"/>
            <w:tcMar>
              <w:bottom w:w="50" w:type="dxa"/>
            </w:tcMar>
            <w:vAlign w:val="center"/>
          </w:tcPr>
          <w:p>
            <w:pPr>
              <w:pStyle w:val="TableContents"/>
              <w:spacing w:before="0" w:after="0"/>
              <w:jc w:val="center"/>
              <w:rPr/>
            </w:pPr>
            <w:r>
              <w:rPr>
                <w:spacing w:val="-1"/>
              </w:rPr>
              <w:t>—</w:t>
            </w:r>
            <w:r>
              <w:rPr/>
              <w:t xml:space="preserve"> </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000000" w:val="clear"/>
            <w:tcMar>
              <w:bottom w:w="28" w:type="dxa"/>
            </w:tcM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632" w:type="dxa"/>
            <w:tcBorders>
              <w:bottom w:val="single" w:sz="2" w:space="0" w:color="000000"/>
            </w:tcBorders>
            <w:shd w:fill="auto" w:val="clear"/>
            <w:tcMar>
              <w:bottom w:w="50" w:type="dxa"/>
            </w:tcMar>
            <w:vAlign w:val="center"/>
          </w:tcPr>
          <w:p>
            <w:pPr>
              <w:pStyle w:val="TableContents"/>
              <w:spacing w:before="0" w:after="0"/>
              <w:jc w:val="center"/>
              <w:rPr/>
            </w:pPr>
            <w:r>
              <w:rPr>
                <w:spacing w:val="-1"/>
              </w:rPr>
              <w:t>—</w:t>
            </w:r>
            <w:r>
              <w:rPr/>
              <w:t xml:space="preserve"> </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000000" w:val="clear"/>
            <w:tcMar>
              <w:bottom w:w="28" w:type="dxa"/>
            </w:tcM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292" w:type="dxa"/>
            <w:tcBorders>
              <w:bottom w:val="single" w:sz="2" w:space="0" w:color="000000"/>
            </w:tcBorders>
            <w:shd w:fill="auto" w:val="clear"/>
            <w:tcMar>
              <w:bottom w:w="50" w:type="dxa"/>
            </w:tcMar>
            <w:vAlign w:val="center"/>
          </w:tcPr>
          <w:p>
            <w:pPr>
              <w:pStyle w:val="TableContents"/>
              <w:spacing w:before="0" w:after="0"/>
              <w:jc w:val="center"/>
              <w:rPr/>
            </w:pPr>
            <w:r>
              <w:rPr>
                <w:spacing w:val="-1"/>
              </w:rPr>
              <w:t>—</w:t>
            </w:r>
            <w:r>
              <w:rPr/>
              <w:t xml:space="preserve"> </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000000" w:val="clear"/>
            <w:tcMar>
              <w:bottom w:w="28" w:type="dxa"/>
            </w:tcM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962" w:type="dxa"/>
            <w:tcBorders>
              <w:bottom w:val="single" w:sz="2" w:space="0" w:color="000000"/>
            </w:tcBorders>
            <w:shd w:fill="auto" w:val="clear"/>
            <w:tcMar>
              <w:bottom w:w="50" w:type="dxa"/>
            </w:tcMar>
            <w:vAlign w:val="center"/>
          </w:tcPr>
          <w:p>
            <w:pPr>
              <w:pStyle w:val="TableContents"/>
              <w:spacing w:before="0" w:after="0"/>
              <w:jc w:val="center"/>
              <w:rPr/>
            </w:pPr>
            <w:r>
              <w:rPr>
                <w:spacing w:val="-1"/>
              </w:rPr>
              <w:t>—</w:t>
            </w:r>
            <w:r>
              <w:rPr/>
              <w:t xml:space="preserve"> </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58" w:type="dxa"/>
            <w:tcBorders>
              <w:bottom w:val="single" w:sz="2" w:space="0" w:color="000000"/>
            </w:tcBorders>
            <w:shd w:fill="000000" w:val="clear"/>
            <w:tcMar>
              <w:bottom w:w="28" w:type="dxa"/>
            </w:tcM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3709" w:type="dxa"/>
            <w:tcBorders>
              <w:bottom w:val="single" w:sz="2" w:space="0" w:color="000000"/>
            </w:tcBorders>
            <w:shd w:fill="auto" w:val="clear"/>
            <w:tcMar>
              <w:bottom w:w="50" w:type="dxa"/>
            </w:tcMar>
            <w:vAlign w:val="center"/>
          </w:tcPr>
          <w:p>
            <w:pPr>
              <w:pStyle w:val="TableContents"/>
              <w:spacing w:before="0" w:after="283"/>
              <w:jc w:val="left"/>
              <w:rPr>
                <w:spacing w:val="-1"/>
              </w:rPr>
            </w:pPr>
            <w:r>
              <w:rPr>
                <w:spacing w:val="-1"/>
              </w:rPr>
              <w:t xml:space="preserve">Alaskan Native or Native American </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000000" w:val="clear"/>
            <w:tcMar>
              <w:bottom w:w="28" w:type="dxa"/>
            </w:tcM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842" w:type="dxa"/>
            <w:tcBorders>
              <w:bottom w:val="single" w:sz="2" w:space="0" w:color="000000"/>
            </w:tcBorders>
            <w:shd w:fill="auto" w:val="clear"/>
            <w:tcMar>
              <w:bottom w:w="50" w:type="dxa"/>
            </w:tcMar>
            <w:vAlign w:val="center"/>
          </w:tcPr>
          <w:p>
            <w:pPr>
              <w:pStyle w:val="TableContents"/>
              <w:spacing w:before="0" w:after="0"/>
              <w:jc w:val="center"/>
              <w:rPr/>
            </w:pPr>
            <w:r>
              <w:rPr>
                <w:spacing w:val="-1"/>
              </w:rPr>
              <w:t>—</w:t>
            </w:r>
            <w:r>
              <w:rPr/>
              <w:t xml:space="preserve"> </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000000" w:val="clear"/>
            <w:tcMar>
              <w:bottom w:w="28" w:type="dxa"/>
            </w:tcM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632" w:type="dxa"/>
            <w:tcBorders>
              <w:bottom w:val="single" w:sz="2" w:space="0" w:color="000000"/>
            </w:tcBorders>
            <w:shd w:fill="auto" w:val="clear"/>
            <w:tcMar>
              <w:bottom w:w="50" w:type="dxa"/>
            </w:tcMar>
            <w:vAlign w:val="center"/>
          </w:tcPr>
          <w:p>
            <w:pPr>
              <w:pStyle w:val="TableContents"/>
              <w:spacing w:before="0" w:after="0"/>
              <w:jc w:val="center"/>
              <w:rPr/>
            </w:pPr>
            <w:r>
              <w:rPr>
                <w:spacing w:val="-1"/>
              </w:rPr>
              <w:t>—</w:t>
            </w:r>
            <w:r>
              <w:rPr/>
              <w:t xml:space="preserve"> </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000000" w:val="clear"/>
            <w:tcMar>
              <w:bottom w:w="28" w:type="dxa"/>
            </w:tcM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292" w:type="dxa"/>
            <w:tcBorders>
              <w:bottom w:val="single" w:sz="2" w:space="0" w:color="000000"/>
            </w:tcBorders>
            <w:shd w:fill="auto" w:val="clear"/>
            <w:tcMar>
              <w:bottom w:w="50" w:type="dxa"/>
            </w:tcMar>
            <w:vAlign w:val="center"/>
          </w:tcPr>
          <w:p>
            <w:pPr>
              <w:pStyle w:val="TableContents"/>
              <w:spacing w:before="0" w:after="0"/>
              <w:jc w:val="center"/>
              <w:rPr/>
            </w:pPr>
            <w:r>
              <w:rPr>
                <w:spacing w:val="-1"/>
              </w:rPr>
              <w:t>—</w:t>
            </w:r>
            <w:r>
              <w:rPr/>
              <w:t xml:space="preserve"> </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000000" w:val="clear"/>
            <w:tcMar>
              <w:bottom w:w="28" w:type="dxa"/>
            </w:tcM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962" w:type="dxa"/>
            <w:tcBorders>
              <w:bottom w:val="single" w:sz="2" w:space="0" w:color="000000"/>
            </w:tcBorders>
            <w:shd w:fill="auto" w:val="clear"/>
            <w:tcMar>
              <w:bottom w:w="50" w:type="dxa"/>
            </w:tcMar>
            <w:vAlign w:val="center"/>
          </w:tcPr>
          <w:p>
            <w:pPr>
              <w:pStyle w:val="TableContents"/>
              <w:spacing w:before="0" w:after="0"/>
              <w:jc w:val="center"/>
              <w:rPr/>
            </w:pPr>
            <w:r>
              <w:rPr>
                <w:spacing w:val="-1"/>
              </w:rPr>
              <w:t>—</w:t>
            </w:r>
            <w:r>
              <w:rPr/>
              <w:t xml:space="preserve"> </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58" w:type="dxa"/>
            <w:tcBorders>
              <w:bottom w:val="single" w:sz="2" w:space="0" w:color="000000"/>
            </w:tcBorders>
            <w:shd w:fill="000000" w:val="clear"/>
            <w:tcMar>
              <w:bottom w:w="28" w:type="dxa"/>
            </w:tcM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3709" w:type="dxa"/>
            <w:tcBorders>
              <w:bottom w:val="single" w:sz="2" w:space="0" w:color="000000"/>
            </w:tcBorders>
            <w:shd w:fill="auto" w:val="clear"/>
            <w:tcMar>
              <w:bottom w:w="50" w:type="dxa"/>
            </w:tcMar>
            <w:vAlign w:val="center"/>
          </w:tcPr>
          <w:p>
            <w:pPr>
              <w:pStyle w:val="TableContents"/>
              <w:spacing w:before="0" w:after="283"/>
              <w:jc w:val="left"/>
              <w:rPr>
                <w:spacing w:val="-1"/>
              </w:rPr>
            </w:pPr>
            <w:r>
              <w:rPr>
                <w:spacing w:val="-1"/>
              </w:rPr>
              <w:t xml:space="preserve">Asian </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000000" w:val="clear"/>
            <w:tcMar>
              <w:bottom w:w="28" w:type="dxa"/>
            </w:tcM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842" w:type="dxa"/>
            <w:tcBorders>
              <w:bottom w:val="single" w:sz="2" w:space="0" w:color="000000"/>
            </w:tcBorders>
            <w:shd w:fill="auto" w:val="clear"/>
            <w:tcMar>
              <w:bottom w:w="50" w:type="dxa"/>
            </w:tcMar>
            <w:vAlign w:val="center"/>
          </w:tcPr>
          <w:p>
            <w:pPr>
              <w:pStyle w:val="TableContents"/>
              <w:spacing w:before="0" w:after="0"/>
              <w:jc w:val="center"/>
              <w:rPr/>
            </w:pPr>
            <w:r>
              <w:rPr>
                <w:spacing w:val="-1"/>
              </w:rPr>
              <w:t>—</w:t>
            </w:r>
            <w:r>
              <w:rPr/>
              <w:t xml:space="preserve"> </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000000" w:val="clear"/>
            <w:tcMar>
              <w:bottom w:w="28" w:type="dxa"/>
            </w:tcM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632" w:type="dxa"/>
            <w:tcBorders>
              <w:bottom w:val="single" w:sz="2" w:space="0" w:color="000000"/>
            </w:tcBorders>
            <w:shd w:fill="auto" w:val="clear"/>
            <w:tcMar>
              <w:bottom w:w="50" w:type="dxa"/>
            </w:tcMar>
            <w:vAlign w:val="center"/>
          </w:tcPr>
          <w:p>
            <w:pPr>
              <w:pStyle w:val="TableContents"/>
              <w:spacing w:before="0" w:after="0"/>
              <w:jc w:val="center"/>
              <w:rPr/>
            </w:pPr>
            <w:r>
              <w:rPr>
                <w:spacing w:val="-1"/>
              </w:rPr>
              <w:t>—</w:t>
            </w:r>
            <w:r>
              <w:rPr/>
              <w:t xml:space="preserve"> </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000000" w:val="clear"/>
            <w:tcMar>
              <w:bottom w:w="28" w:type="dxa"/>
            </w:tcM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292" w:type="dxa"/>
            <w:tcBorders>
              <w:bottom w:val="single" w:sz="2" w:space="0" w:color="000000"/>
            </w:tcBorders>
            <w:shd w:fill="auto" w:val="clear"/>
            <w:tcMar>
              <w:bottom w:w="50" w:type="dxa"/>
            </w:tcMar>
            <w:vAlign w:val="center"/>
          </w:tcPr>
          <w:p>
            <w:pPr>
              <w:pStyle w:val="TableContents"/>
              <w:spacing w:before="0" w:after="0"/>
              <w:jc w:val="center"/>
              <w:rPr/>
            </w:pPr>
            <w:r>
              <w:rPr>
                <w:spacing w:val="-1"/>
              </w:rPr>
              <w:t>—</w:t>
            </w:r>
            <w:r>
              <w:rPr/>
              <w:t xml:space="preserve"> </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000000" w:val="clear"/>
            <w:tcMar>
              <w:bottom w:w="28" w:type="dxa"/>
            </w:tcM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962" w:type="dxa"/>
            <w:tcBorders>
              <w:bottom w:val="single" w:sz="2" w:space="0" w:color="000000"/>
            </w:tcBorders>
            <w:shd w:fill="auto" w:val="clear"/>
            <w:tcMar>
              <w:bottom w:w="50" w:type="dxa"/>
            </w:tcMar>
            <w:vAlign w:val="center"/>
          </w:tcPr>
          <w:p>
            <w:pPr>
              <w:pStyle w:val="TableContents"/>
              <w:spacing w:before="0" w:after="0"/>
              <w:jc w:val="center"/>
              <w:rPr/>
            </w:pPr>
            <w:r>
              <w:rPr>
                <w:spacing w:val="-1"/>
              </w:rPr>
              <w:t>—</w:t>
            </w:r>
            <w:r>
              <w:rPr/>
              <w:t xml:space="preserve"> </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58" w:type="dxa"/>
            <w:tcBorders>
              <w:bottom w:val="single" w:sz="2" w:space="0" w:color="000000"/>
            </w:tcBorders>
            <w:shd w:fill="000000" w:val="clear"/>
            <w:tcMar>
              <w:bottom w:w="28" w:type="dxa"/>
            </w:tcM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3709" w:type="dxa"/>
            <w:tcBorders>
              <w:bottom w:val="single" w:sz="2" w:space="0" w:color="000000"/>
            </w:tcBorders>
            <w:shd w:fill="auto" w:val="clear"/>
            <w:tcMar>
              <w:bottom w:w="50" w:type="dxa"/>
            </w:tcMar>
            <w:vAlign w:val="center"/>
          </w:tcPr>
          <w:p>
            <w:pPr>
              <w:pStyle w:val="TableContents"/>
              <w:spacing w:before="0" w:after="283"/>
              <w:jc w:val="left"/>
              <w:rPr>
                <w:spacing w:val="-1"/>
              </w:rPr>
            </w:pPr>
            <w:r>
              <w:rPr>
                <w:spacing w:val="-1"/>
              </w:rPr>
              <w:t xml:space="preserve">Hispanic or Latinx </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000000" w:val="clear"/>
            <w:tcMar>
              <w:bottom w:w="28" w:type="dxa"/>
            </w:tcM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842" w:type="dxa"/>
            <w:tcBorders>
              <w:bottom w:val="single" w:sz="2" w:space="0" w:color="000000"/>
            </w:tcBorders>
            <w:shd w:fill="auto" w:val="clear"/>
            <w:tcMar>
              <w:bottom w:w="50" w:type="dxa"/>
            </w:tcMar>
            <w:vAlign w:val="center"/>
          </w:tcPr>
          <w:p>
            <w:pPr>
              <w:pStyle w:val="TableContents"/>
              <w:spacing w:before="0" w:after="0"/>
              <w:jc w:val="center"/>
              <w:rPr>
                <w:spacing w:val="-1"/>
              </w:rPr>
            </w:pPr>
            <w:r>
              <w:rPr>
                <w:spacing w:val="-1"/>
              </w:rPr>
              <w:t xml:space="preserve">1 </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000000" w:val="clear"/>
            <w:tcMar>
              <w:bottom w:w="28" w:type="dxa"/>
            </w:tcM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632" w:type="dxa"/>
            <w:tcBorders>
              <w:bottom w:val="single" w:sz="2" w:space="0" w:color="000000"/>
            </w:tcBorders>
            <w:shd w:fill="auto" w:val="clear"/>
            <w:tcMar>
              <w:bottom w:w="50" w:type="dxa"/>
            </w:tcMar>
            <w:vAlign w:val="center"/>
          </w:tcPr>
          <w:p>
            <w:pPr>
              <w:pStyle w:val="TableContents"/>
              <w:spacing w:before="0" w:after="0"/>
              <w:jc w:val="center"/>
              <w:rPr>
                <w:spacing w:val="-1"/>
              </w:rPr>
            </w:pPr>
            <w:r>
              <w:rPr>
                <w:spacing w:val="-1"/>
              </w:rPr>
              <w:t xml:space="preserve">1 </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000000" w:val="clear"/>
            <w:tcMar>
              <w:bottom w:w="28" w:type="dxa"/>
            </w:tcM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292" w:type="dxa"/>
            <w:tcBorders>
              <w:bottom w:val="single" w:sz="2" w:space="0" w:color="000000"/>
            </w:tcBorders>
            <w:shd w:fill="auto" w:val="clear"/>
            <w:tcMar>
              <w:bottom w:w="50" w:type="dxa"/>
            </w:tcMar>
            <w:vAlign w:val="center"/>
          </w:tcPr>
          <w:p>
            <w:pPr>
              <w:pStyle w:val="TableContents"/>
              <w:spacing w:before="0" w:after="0"/>
              <w:jc w:val="center"/>
              <w:rPr/>
            </w:pPr>
            <w:r>
              <w:rPr>
                <w:spacing w:val="-1"/>
              </w:rPr>
              <w:t>—</w:t>
            </w:r>
            <w:r>
              <w:rPr/>
              <w:t xml:space="preserve"> </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000000" w:val="clear"/>
            <w:tcMar>
              <w:bottom w:w="28" w:type="dxa"/>
            </w:tcM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962" w:type="dxa"/>
            <w:tcBorders>
              <w:bottom w:val="single" w:sz="2" w:space="0" w:color="000000"/>
            </w:tcBorders>
            <w:shd w:fill="auto" w:val="clear"/>
            <w:tcMar>
              <w:bottom w:w="50" w:type="dxa"/>
            </w:tcMar>
            <w:vAlign w:val="center"/>
          </w:tcPr>
          <w:p>
            <w:pPr>
              <w:pStyle w:val="TableContents"/>
              <w:spacing w:before="0" w:after="0"/>
              <w:jc w:val="center"/>
              <w:rPr/>
            </w:pPr>
            <w:r>
              <w:rPr>
                <w:spacing w:val="-1"/>
              </w:rPr>
              <w:t>—</w:t>
            </w:r>
            <w:r>
              <w:rPr/>
              <w:t xml:space="preserve"> </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58" w:type="dxa"/>
            <w:tcBorders>
              <w:bottom w:val="single" w:sz="2" w:space="0" w:color="000000"/>
            </w:tcBorders>
            <w:shd w:fill="000000" w:val="clear"/>
            <w:tcMar>
              <w:bottom w:w="28" w:type="dxa"/>
            </w:tcM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3709" w:type="dxa"/>
            <w:tcBorders>
              <w:bottom w:val="single" w:sz="2" w:space="0" w:color="000000"/>
            </w:tcBorders>
            <w:shd w:fill="auto" w:val="clear"/>
            <w:tcMar>
              <w:bottom w:w="50" w:type="dxa"/>
            </w:tcMar>
            <w:vAlign w:val="center"/>
          </w:tcPr>
          <w:p>
            <w:pPr>
              <w:pStyle w:val="TableContents"/>
              <w:spacing w:before="0" w:after="283"/>
              <w:jc w:val="left"/>
              <w:rPr>
                <w:spacing w:val="-1"/>
              </w:rPr>
            </w:pPr>
            <w:r>
              <w:rPr>
                <w:spacing w:val="-1"/>
              </w:rPr>
              <w:t xml:space="preserve">Native Hawaiian or Pacific Islander </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000000" w:val="clear"/>
            <w:tcMar>
              <w:bottom w:w="28" w:type="dxa"/>
            </w:tcM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842" w:type="dxa"/>
            <w:tcBorders>
              <w:bottom w:val="single" w:sz="2" w:space="0" w:color="000000"/>
            </w:tcBorders>
            <w:shd w:fill="auto" w:val="clear"/>
            <w:tcMar>
              <w:bottom w:w="50" w:type="dxa"/>
            </w:tcMar>
            <w:vAlign w:val="center"/>
          </w:tcPr>
          <w:p>
            <w:pPr>
              <w:pStyle w:val="TableContents"/>
              <w:spacing w:before="0" w:after="0"/>
              <w:jc w:val="center"/>
              <w:rPr/>
            </w:pPr>
            <w:r>
              <w:rPr>
                <w:spacing w:val="-1"/>
              </w:rPr>
              <w:t>—</w:t>
            </w:r>
            <w:r>
              <w:rPr/>
              <w:t xml:space="preserve"> </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000000" w:val="clear"/>
            <w:tcMar>
              <w:bottom w:w="28" w:type="dxa"/>
            </w:tcM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632" w:type="dxa"/>
            <w:tcBorders>
              <w:bottom w:val="single" w:sz="2" w:space="0" w:color="000000"/>
            </w:tcBorders>
            <w:shd w:fill="auto" w:val="clear"/>
            <w:tcMar>
              <w:bottom w:w="50" w:type="dxa"/>
            </w:tcMar>
            <w:vAlign w:val="center"/>
          </w:tcPr>
          <w:p>
            <w:pPr>
              <w:pStyle w:val="TableContents"/>
              <w:spacing w:before="0" w:after="0"/>
              <w:jc w:val="center"/>
              <w:rPr/>
            </w:pPr>
            <w:r>
              <w:rPr>
                <w:spacing w:val="-1"/>
              </w:rPr>
              <w:t>—</w:t>
            </w:r>
            <w:r>
              <w:rPr/>
              <w:t xml:space="preserve"> </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000000" w:val="clear"/>
            <w:tcMar>
              <w:bottom w:w="28" w:type="dxa"/>
            </w:tcM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292" w:type="dxa"/>
            <w:tcBorders>
              <w:bottom w:val="single" w:sz="2" w:space="0" w:color="000000"/>
            </w:tcBorders>
            <w:shd w:fill="auto" w:val="clear"/>
            <w:tcMar>
              <w:bottom w:w="50" w:type="dxa"/>
            </w:tcMar>
            <w:vAlign w:val="center"/>
          </w:tcPr>
          <w:p>
            <w:pPr>
              <w:pStyle w:val="TableContents"/>
              <w:spacing w:before="0" w:after="0"/>
              <w:jc w:val="center"/>
              <w:rPr/>
            </w:pPr>
            <w:r>
              <w:rPr>
                <w:spacing w:val="-1"/>
              </w:rPr>
              <w:t>—</w:t>
            </w:r>
            <w:r>
              <w:rPr/>
              <w:t xml:space="preserve"> </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000000" w:val="clear"/>
            <w:tcMar>
              <w:bottom w:w="28" w:type="dxa"/>
            </w:tcM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962" w:type="dxa"/>
            <w:tcBorders>
              <w:bottom w:val="single" w:sz="2" w:space="0" w:color="000000"/>
            </w:tcBorders>
            <w:shd w:fill="auto" w:val="clear"/>
            <w:tcMar>
              <w:bottom w:w="50" w:type="dxa"/>
            </w:tcMar>
            <w:vAlign w:val="center"/>
          </w:tcPr>
          <w:p>
            <w:pPr>
              <w:pStyle w:val="TableContents"/>
              <w:spacing w:before="0" w:after="0"/>
              <w:jc w:val="center"/>
              <w:rPr/>
            </w:pPr>
            <w:r>
              <w:rPr>
                <w:spacing w:val="-1"/>
              </w:rPr>
              <w:t>—</w:t>
            </w:r>
            <w:r>
              <w:rPr/>
              <w:t xml:space="preserve"> </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58" w:type="dxa"/>
            <w:tcBorders>
              <w:bottom w:val="single" w:sz="2" w:space="0" w:color="000000"/>
            </w:tcBorders>
            <w:shd w:fill="000000" w:val="clear"/>
            <w:tcMar>
              <w:bottom w:w="28" w:type="dxa"/>
            </w:tcM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3709" w:type="dxa"/>
            <w:tcBorders>
              <w:bottom w:val="single" w:sz="2" w:space="0" w:color="000000"/>
            </w:tcBorders>
            <w:shd w:fill="auto" w:val="clear"/>
            <w:tcMar>
              <w:bottom w:w="50" w:type="dxa"/>
            </w:tcMar>
            <w:vAlign w:val="center"/>
          </w:tcPr>
          <w:p>
            <w:pPr>
              <w:pStyle w:val="TableContents"/>
              <w:spacing w:before="0" w:after="283"/>
              <w:jc w:val="left"/>
              <w:rPr>
                <w:spacing w:val="-1"/>
              </w:rPr>
            </w:pPr>
            <w:r>
              <w:rPr>
                <w:spacing w:val="-1"/>
              </w:rPr>
              <w:t xml:space="preserve">White </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000000" w:val="clear"/>
            <w:tcMar>
              <w:bottom w:w="28" w:type="dxa"/>
            </w:tcM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842" w:type="dxa"/>
            <w:tcBorders>
              <w:bottom w:val="single" w:sz="2" w:space="0" w:color="000000"/>
            </w:tcBorders>
            <w:shd w:fill="auto" w:val="clear"/>
            <w:tcMar>
              <w:bottom w:w="50" w:type="dxa"/>
            </w:tcMar>
            <w:vAlign w:val="center"/>
          </w:tcPr>
          <w:p>
            <w:pPr>
              <w:pStyle w:val="TableContents"/>
              <w:spacing w:before="0" w:after="0"/>
              <w:jc w:val="center"/>
              <w:rPr>
                <w:spacing w:val="-1"/>
              </w:rPr>
            </w:pPr>
            <w:r>
              <w:rPr>
                <w:spacing w:val="-1"/>
              </w:rPr>
              <w:t xml:space="preserve">2 </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000000" w:val="clear"/>
            <w:tcMar>
              <w:bottom w:w="28" w:type="dxa"/>
            </w:tcM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632" w:type="dxa"/>
            <w:tcBorders>
              <w:bottom w:val="single" w:sz="2" w:space="0" w:color="000000"/>
            </w:tcBorders>
            <w:shd w:fill="auto" w:val="clear"/>
            <w:tcMar>
              <w:bottom w:w="50" w:type="dxa"/>
            </w:tcMar>
            <w:vAlign w:val="center"/>
          </w:tcPr>
          <w:p>
            <w:pPr>
              <w:pStyle w:val="TableContents"/>
              <w:spacing w:before="0" w:after="0"/>
              <w:jc w:val="center"/>
              <w:rPr>
                <w:spacing w:val="-1"/>
              </w:rPr>
            </w:pPr>
            <w:r>
              <w:rPr>
                <w:spacing w:val="-1"/>
              </w:rPr>
              <w:t xml:space="preserve">3 </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000000" w:val="clear"/>
            <w:tcMar>
              <w:bottom w:w="28" w:type="dxa"/>
            </w:tcM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292" w:type="dxa"/>
            <w:tcBorders>
              <w:bottom w:val="single" w:sz="2" w:space="0" w:color="000000"/>
            </w:tcBorders>
            <w:shd w:fill="auto" w:val="clear"/>
            <w:tcMar>
              <w:bottom w:w="50" w:type="dxa"/>
            </w:tcMar>
            <w:vAlign w:val="center"/>
          </w:tcPr>
          <w:p>
            <w:pPr>
              <w:pStyle w:val="TableContents"/>
              <w:spacing w:before="0" w:after="0"/>
              <w:jc w:val="center"/>
              <w:rPr/>
            </w:pPr>
            <w:r>
              <w:rPr>
                <w:spacing w:val="-1"/>
              </w:rPr>
              <w:t>—</w:t>
            </w:r>
            <w:r>
              <w:rPr/>
              <w:t xml:space="preserve"> </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000000" w:val="clear"/>
            <w:tcMar>
              <w:bottom w:w="28" w:type="dxa"/>
            </w:tcM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962" w:type="dxa"/>
            <w:tcBorders>
              <w:bottom w:val="single" w:sz="2" w:space="0" w:color="000000"/>
            </w:tcBorders>
            <w:shd w:fill="auto" w:val="clear"/>
            <w:tcMar>
              <w:bottom w:w="50" w:type="dxa"/>
            </w:tcMar>
            <w:vAlign w:val="center"/>
          </w:tcPr>
          <w:p>
            <w:pPr>
              <w:pStyle w:val="TableContents"/>
              <w:spacing w:before="0" w:after="0"/>
              <w:jc w:val="center"/>
              <w:rPr/>
            </w:pPr>
            <w:r>
              <w:rPr>
                <w:spacing w:val="-1"/>
              </w:rPr>
              <w:t>—</w:t>
            </w:r>
            <w:r>
              <w:rPr/>
              <w:t xml:space="preserve"> </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58" w:type="dxa"/>
            <w:tcBorders>
              <w:bottom w:val="single" w:sz="2" w:space="0" w:color="000000"/>
            </w:tcBorders>
            <w:shd w:fill="000000" w:val="clear"/>
            <w:tcMar>
              <w:bottom w:w="28" w:type="dxa"/>
            </w:tcM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3709" w:type="dxa"/>
            <w:tcBorders>
              <w:bottom w:val="single" w:sz="2" w:space="0" w:color="000000"/>
            </w:tcBorders>
            <w:shd w:fill="auto" w:val="clear"/>
            <w:tcMar>
              <w:bottom w:w="50" w:type="dxa"/>
            </w:tcMar>
            <w:vAlign w:val="center"/>
          </w:tcPr>
          <w:p>
            <w:pPr>
              <w:pStyle w:val="TableContents"/>
              <w:spacing w:before="0" w:after="283"/>
              <w:jc w:val="left"/>
              <w:rPr>
                <w:spacing w:val="-1"/>
              </w:rPr>
            </w:pPr>
            <w:r>
              <w:rPr>
                <w:spacing w:val="-1"/>
              </w:rPr>
              <w:t xml:space="preserve">Two or More Races or Ethnicities </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000000" w:val="clear"/>
            <w:tcMar>
              <w:bottom w:w="28" w:type="dxa"/>
            </w:tcM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842" w:type="dxa"/>
            <w:tcBorders>
              <w:bottom w:val="single" w:sz="2" w:space="0" w:color="000000"/>
            </w:tcBorders>
            <w:shd w:fill="auto" w:val="clear"/>
            <w:tcMar>
              <w:bottom w:w="50" w:type="dxa"/>
            </w:tcMar>
            <w:vAlign w:val="center"/>
          </w:tcPr>
          <w:p>
            <w:pPr>
              <w:pStyle w:val="TableContents"/>
              <w:spacing w:before="0" w:after="0"/>
              <w:jc w:val="center"/>
              <w:rPr/>
            </w:pPr>
            <w:r>
              <w:rPr>
                <w:spacing w:val="-1"/>
              </w:rPr>
              <w:t>—</w:t>
            </w:r>
            <w:r>
              <w:rPr/>
              <w:t xml:space="preserve"> </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000000" w:val="clear"/>
            <w:tcMar>
              <w:bottom w:w="28" w:type="dxa"/>
            </w:tcM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632" w:type="dxa"/>
            <w:tcBorders>
              <w:bottom w:val="single" w:sz="2" w:space="0" w:color="000000"/>
            </w:tcBorders>
            <w:shd w:fill="auto" w:val="clear"/>
            <w:tcMar>
              <w:bottom w:w="50" w:type="dxa"/>
            </w:tcMar>
            <w:vAlign w:val="center"/>
          </w:tcPr>
          <w:p>
            <w:pPr>
              <w:pStyle w:val="TableContents"/>
              <w:spacing w:before="0" w:after="0"/>
              <w:jc w:val="center"/>
              <w:rPr/>
            </w:pPr>
            <w:r>
              <w:rPr>
                <w:spacing w:val="-1"/>
              </w:rPr>
              <w:t>—</w:t>
            </w:r>
            <w:r>
              <w:rPr/>
              <w:t xml:space="preserve"> </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000000" w:val="clear"/>
            <w:tcMar>
              <w:bottom w:w="28" w:type="dxa"/>
            </w:tcM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292" w:type="dxa"/>
            <w:tcBorders>
              <w:bottom w:val="single" w:sz="2" w:space="0" w:color="000000"/>
            </w:tcBorders>
            <w:shd w:fill="auto" w:val="clear"/>
            <w:tcMar>
              <w:bottom w:w="50" w:type="dxa"/>
            </w:tcMar>
            <w:vAlign w:val="center"/>
          </w:tcPr>
          <w:p>
            <w:pPr>
              <w:pStyle w:val="TableContents"/>
              <w:spacing w:before="0" w:after="0"/>
              <w:jc w:val="center"/>
              <w:rPr/>
            </w:pPr>
            <w:r>
              <w:rPr>
                <w:spacing w:val="-1"/>
              </w:rPr>
              <w:t>—</w:t>
            </w:r>
            <w:r>
              <w:rPr/>
              <w:t xml:space="preserve"> </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000000" w:val="clear"/>
            <w:tcMar>
              <w:bottom w:w="28" w:type="dxa"/>
            </w:tcM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962" w:type="dxa"/>
            <w:tcBorders>
              <w:bottom w:val="single" w:sz="2" w:space="0" w:color="000000"/>
            </w:tcBorders>
            <w:shd w:fill="auto" w:val="clear"/>
            <w:tcMar>
              <w:bottom w:w="50" w:type="dxa"/>
            </w:tcMar>
            <w:vAlign w:val="center"/>
          </w:tcPr>
          <w:p>
            <w:pPr>
              <w:pStyle w:val="TableContents"/>
              <w:spacing w:before="0" w:after="0"/>
              <w:jc w:val="center"/>
              <w:rPr/>
            </w:pPr>
            <w:r>
              <w:rPr>
                <w:spacing w:val="-1"/>
              </w:rPr>
              <w:t>—</w:t>
            </w:r>
            <w:r>
              <w:rPr/>
              <w:t xml:space="preserve"> </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58" w:type="dxa"/>
            <w:tcBorders>
              <w:bottom w:val="single" w:sz="2" w:space="0" w:color="000000"/>
            </w:tcBorders>
            <w:shd w:fill="000000" w:val="clear"/>
            <w:tcMar>
              <w:bottom w:w="28" w:type="dxa"/>
            </w:tcM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3709" w:type="dxa"/>
            <w:tcBorders>
              <w:bottom w:val="single" w:sz="2" w:space="0" w:color="000000"/>
            </w:tcBorders>
            <w:shd w:fill="auto" w:val="clear"/>
            <w:tcMar>
              <w:bottom w:w="50" w:type="dxa"/>
            </w:tcMar>
            <w:vAlign w:val="center"/>
          </w:tcPr>
          <w:p>
            <w:pPr>
              <w:pStyle w:val="TableContents"/>
              <w:spacing w:before="0" w:after="283"/>
              <w:jc w:val="left"/>
              <w:rPr>
                <w:spacing w:val="-1"/>
              </w:rPr>
            </w:pPr>
            <w:r>
              <w:rPr>
                <w:spacing w:val="-1"/>
              </w:rPr>
              <w:t xml:space="preserve">LGBTQ+ </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000000" w:val="clear"/>
            <w:tcMar>
              <w:bottom w:w="28" w:type="dxa"/>
            </w:tcM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842" w:type="dxa"/>
            <w:tcBorders>
              <w:bottom w:val="single" w:sz="2" w:space="0" w:color="000000"/>
            </w:tcBorders>
            <w:shd w:fill="auto" w:val="clear"/>
            <w:tcMar>
              <w:bottom w:w="50" w:type="dxa"/>
            </w:tcMar>
            <w:vAlign w:val="center"/>
          </w:tcPr>
          <w:p>
            <w:pPr>
              <w:pStyle w:val="TableContents"/>
              <w:spacing w:before="0" w:after="0"/>
              <w:jc w:val="center"/>
              <w:rPr/>
            </w:pPr>
            <w:r>
              <w:rPr>
                <w:spacing w:val="-1"/>
              </w:rPr>
              <w:t>—</w:t>
            </w:r>
            <w:r>
              <w:rPr/>
              <w:t xml:space="preserve"> </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000000" w:val="clear"/>
            <w:tcMar>
              <w:bottom w:w="28" w:type="dxa"/>
            </w:tcM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632" w:type="dxa"/>
            <w:tcBorders>
              <w:bottom w:val="single" w:sz="2" w:space="0" w:color="000000"/>
            </w:tcBorders>
            <w:shd w:fill="auto" w:val="clear"/>
            <w:tcMar>
              <w:bottom w:w="50" w:type="dxa"/>
            </w:tcMar>
            <w:vAlign w:val="center"/>
          </w:tcPr>
          <w:p>
            <w:pPr>
              <w:pStyle w:val="TableContents"/>
              <w:spacing w:before="0" w:after="0"/>
              <w:jc w:val="center"/>
              <w:rPr>
                <w:spacing w:val="-1"/>
              </w:rPr>
            </w:pPr>
            <w:r>
              <w:rPr>
                <w:spacing w:val="-1"/>
              </w:rPr>
              <w:t xml:space="preserve">1 </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000000" w:val="clear"/>
            <w:tcMar>
              <w:bottom w:w="28" w:type="dxa"/>
            </w:tcM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292" w:type="dxa"/>
            <w:tcBorders>
              <w:bottom w:val="single" w:sz="2" w:space="0" w:color="000000"/>
            </w:tcBorders>
            <w:shd w:fill="auto" w:val="clear"/>
            <w:tcMar>
              <w:bottom w:w="50" w:type="dxa"/>
            </w:tcMar>
            <w:vAlign w:val="center"/>
          </w:tcPr>
          <w:p>
            <w:pPr>
              <w:pStyle w:val="TableContents"/>
              <w:spacing w:before="0" w:after="0"/>
              <w:jc w:val="center"/>
              <w:rPr/>
            </w:pPr>
            <w:r>
              <w:rPr>
                <w:spacing w:val="-1"/>
              </w:rPr>
              <w:t>—</w:t>
            </w:r>
            <w:r>
              <w:rPr/>
              <w:t xml:space="preserve"> </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000000" w:val="clear"/>
            <w:tcMar>
              <w:bottom w:w="28" w:type="dxa"/>
            </w:tcM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962" w:type="dxa"/>
            <w:tcBorders>
              <w:bottom w:val="single" w:sz="2" w:space="0" w:color="000000"/>
            </w:tcBorders>
            <w:shd w:fill="auto" w:val="clear"/>
            <w:tcMar>
              <w:bottom w:w="50" w:type="dxa"/>
            </w:tcMar>
            <w:vAlign w:val="center"/>
          </w:tcPr>
          <w:p>
            <w:pPr>
              <w:pStyle w:val="TableContents"/>
              <w:spacing w:before="0" w:after="0"/>
              <w:jc w:val="center"/>
              <w:rPr/>
            </w:pPr>
            <w:r>
              <w:rPr>
                <w:spacing w:val="-1"/>
              </w:rPr>
              <w:t>—</w:t>
            </w:r>
            <w:r>
              <w:rPr/>
              <w:t xml:space="preserve"> </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58" w:type="dxa"/>
            <w:tcBorders>
              <w:bottom w:val="single" w:sz="2" w:space="0" w:color="000000"/>
            </w:tcBorders>
            <w:shd w:fill="000000" w:val="clear"/>
            <w:tcMar>
              <w:bottom w:w="28" w:type="dxa"/>
            </w:tcM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3709" w:type="dxa"/>
            <w:tcBorders>
              <w:bottom w:val="single" w:sz="2" w:space="0" w:color="000000"/>
            </w:tcBorders>
            <w:shd w:fill="auto" w:val="clear"/>
            <w:tcMar>
              <w:bottom w:w="50" w:type="dxa"/>
            </w:tcMar>
            <w:vAlign w:val="center"/>
          </w:tcPr>
          <w:p>
            <w:pPr>
              <w:pStyle w:val="TableContents"/>
              <w:spacing w:before="0" w:after="0"/>
              <w:jc w:val="left"/>
              <w:rPr>
                <w:spacing w:val="-1"/>
              </w:rPr>
            </w:pPr>
            <w:r>
              <w:rPr>
                <w:spacing w:val="-1"/>
              </w:rPr>
              <w:t xml:space="preserve">Did Not Disclose Demographic Background </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000000" w:val="clear"/>
            <w:tcMar>
              <w:bottom w:w="28" w:type="dxa"/>
            </w:tcM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842" w:type="dxa"/>
            <w:tcBorders>
              <w:bottom w:val="single" w:sz="2" w:space="0" w:color="000000"/>
            </w:tcBorders>
            <w:shd w:fill="auto" w:val="clear"/>
            <w:tcMar>
              <w:bottom w:w="50" w:type="dxa"/>
            </w:tcMar>
            <w:vAlign w:val="center"/>
          </w:tcPr>
          <w:p>
            <w:pPr>
              <w:pStyle w:val="TableContents"/>
              <w:spacing w:before="0" w:after="0"/>
              <w:jc w:val="center"/>
              <w:rPr/>
            </w:pPr>
            <w:r>
              <w:rPr>
                <w:spacing w:val="-1"/>
              </w:rPr>
              <w:t>—</w:t>
            </w:r>
            <w:r>
              <w:rPr/>
              <w:t xml:space="preserve"> </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000000" w:val="clear"/>
            <w:tcMar>
              <w:bottom w:w="28" w:type="dxa"/>
            </w:tcM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632" w:type="dxa"/>
            <w:tcBorders>
              <w:bottom w:val="single" w:sz="2" w:space="0" w:color="000000"/>
            </w:tcBorders>
            <w:shd w:fill="auto" w:val="clear"/>
            <w:tcMar>
              <w:bottom w:w="50" w:type="dxa"/>
            </w:tcMar>
            <w:vAlign w:val="center"/>
          </w:tcPr>
          <w:p>
            <w:pPr>
              <w:pStyle w:val="TableContents"/>
              <w:spacing w:before="0" w:after="0"/>
              <w:jc w:val="center"/>
              <w:rPr/>
            </w:pPr>
            <w:r>
              <w:rPr>
                <w:spacing w:val="-1"/>
              </w:rPr>
              <w:t>—</w:t>
            </w:r>
            <w:r>
              <w:rPr/>
              <w:t xml:space="preserve"> </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000000" w:val="clear"/>
            <w:tcMar>
              <w:bottom w:w="28" w:type="dxa"/>
            </w:tcM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292" w:type="dxa"/>
            <w:tcBorders>
              <w:bottom w:val="single" w:sz="2" w:space="0" w:color="000000"/>
            </w:tcBorders>
            <w:shd w:fill="auto" w:val="clear"/>
            <w:tcMar>
              <w:bottom w:w="50" w:type="dxa"/>
            </w:tcMar>
            <w:vAlign w:val="center"/>
          </w:tcPr>
          <w:p>
            <w:pPr>
              <w:pStyle w:val="TableContents"/>
              <w:spacing w:before="0" w:after="0"/>
              <w:jc w:val="center"/>
              <w:rPr/>
            </w:pPr>
            <w:r>
              <w:rPr>
                <w:spacing w:val="-1"/>
              </w:rPr>
              <w:t>—</w:t>
            </w:r>
            <w:r>
              <w:rPr/>
              <w:t xml:space="preserve"> </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000000" w:val="clear"/>
            <w:tcMar>
              <w:bottom w:w="28" w:type="dxa"/>
            </w:tcM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962" w:type="dxa"/>
            <w:tcBorders>
              <w:bottom w:val="single" w:sz="2" w:space="0" w:color="000000"/>
            </w:tcBorders>
            <w:shd w:fill="auto" w:val="clear"/>
            <w:tcMar>
              <w:bottom w:w="50" w:type="dxa"/>
            </w:tcMar>
            <w:vAlign w:val="center"/>
          </w:tcPr>
          <w:p>
            <w:pPr>
              <w:pStyle w:val="TableContents"/>
              <w:spacing w:before="0" w:after="0"/>
              <w:jc w:val="center"/>
              <w:rPr/>
            </w:pPr>
            <w:r>
              <w:rPr>
                <w:spacing w:val="-1"/>
              </w:rPr>
              <w:t>—</w:t>
            </w:r>
            <w:r>
              <w:rPr/>
              <w:t xml:space="preserve"> </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58" w:type="dxa"/>
            <w:tcBorders>
              <w:bottom w:val="single" w:sz="2" w:space="0" w:color="000000"/>
            </w:tcBorders>
            <w:shd w:fill="000000" w:val="clear"/>
            <w:tcMar>
              <w:bottom w:w="28" w:type="dxa"/>
            </w:tcMar>
            <w:vAlign w:val="center"/>
          </w:tcPr>
          <w:p>
            <w:pPr>
              <w:pStyle w:val="TableContents"/>
              <w:spacing w:before="0" w:after="283"/>
              <w:rPr/>
            </w:pPr>
            <w:r>
              <w:rPr/>
              <w:t>​</w:t>
            </w:r>
          </w:p>
        </w:tc>
      </w:tr>
    </w:tbl>
    <w:p>
      <w:pPr>
        <w:pStyle w:val="TextBody"/>
        <w:spacing w:lineRule="atLeast" w:line="240" w:before="100" w:after="283"/>
        <w:ind w:left="960" w:right="0" w:hanging="0"/>
        <w:jc w:val="righ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1DA46F"/>
          <w:spacing w:val="0"/>
          <w:sz w:val="20"/>
        </w:rPr>
        <w:t>Notice of Annual Meeting of Stockholders</w:t>
      </w:r>
      <w:r>
        <w:rPr>
          <w:rFonts w:ascii="Arial;Helvetica;sans-serif" w:hAnsi="Arial;Helvetica;sans-serif"/>
          <w:b/>
          <w:i w:val="false"/>
          <w:caps w:val="false"/>
          <w:smallCaps w:val="false"/>
          <w:color w:val="000000"/>
          <w:spacing w:val="0"/>
          <w:sz w:val="20"/>
        </w:rPr>
        <w:t> and 2023 Proxy Statement | </w:t>
      </w:r>
      <w:r>
        <w:rPr>
          <w:rFonts w:ascii="Arial;Helvetica;sans-serif" w:hAnsi="Arial;Helvetica;sans-serif"/>
          <w:b w:val="false"/>
          <w:i w:val="false"/>
          <w:caps w:val="false"/>
          <w:smallCaps w:val="false"/>
          <w:color w:val="000000"/>
          <w:spacing w:val="-1"/>
          <w:sz w:val="20"/>
        </w:rPr>
        <w:t>5</w:t>
      </w:r>
      <w:r>
        <w:rPr>
          <w:rFonts w:ascii="Arial;Helvetica;sans-serif" w:hAnsi="Arial;Helvetica;sans-serif"/>
          <w:b/>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1" w:name="tBOOC"/>
      <w:bookmarkEnd w:id="21"/>
      <w:r>
        <w:rPr>
          <w:rFonts w:ascii="calibri;arial;sans-serif" w:hAnsi="calibri;arial;sans-serif"/>
          <w:b w:val="false"/>
          <w:i w:val="false"/>
          <w:caps w:val="false"/>
          <w:smallCaps w:val="false"/>
          <w:color w:val="000000"/>
          <w:sz w:val="16"/>
        </w:rPr>
        <w:t xml:space="preserve">​ </w:t>
      </w:r>
    </w:p>
    <w:tbl>
      <w:tblPr>
        <w:tblW w:w="3049" w:type="dxa"/>
        <w:jc w:val="left"/>
        <w:tblInd w:w="960" w:type="dxa"/>
        <w:tblCellMar>
          <w:top w:w="0" w:type="dxa"/>
          <w:left w:w="0" w:type="dxa"/>
          <w:bottom w:w="0" w:type="dxa"/>
          <w:right w:w="0" w:type="dxa"/>
        </w:tblCellMar>
      </w:tblPr>
      <w:tblGrid>
        <w:gridCol w:w="124"/>
        <w:gridCol w:w="2771"/>
        <w:gridCol w:w="154"/>
      </w:tblGrid>
      <w:tr>
        <w:trPr/>
        <w:tc>
          <w:tcPr>
            <w:tcW w:w="124" w:type="dxa"/>
            <w:tcBorders/>
            <w:shd w:fill="1DA46F" w:val="clear"/>
            <w:vAlign w:val="center"/>
          </w:tcPr>
          <w:p>
            <w:pPr>
              <w:pStyle w:val="TableContents"/>
              <w:spacing w:before="0" w:after="283"/>
              <w:rPr/>
            </w:pPr>
            <w:r>
              <w:rPr/>
              <w:t>​</w:t>
            </w:r>
          </w:p>
        </w:tc>
        <w:tc>
          <w:tcPr>
            <w:tcW w:w="2771" w:type="dxa"/>
            <w:tcBorders/>
            <w:shd w:fill="1DA46F" w:val="clear"/>
            <w:vAlign w:val="center"/>
          </w:tcPr>
          <w:p>
            <w:pPr>
              <w:pStyle w:val="TableContents"/>
              <w:spacing w:lineRule="atLeast" w:line="360" w:before="0" w:after="0"/>
              <w:rPr/>
            </w:pPr>
            <w:r>
              <w:rPr>
                <w:spacing w:val="-5"/>
              </w:rPr>
              <w:t>BOARD OF DIRECTORS</w:t>
            </w:r>
            <w:r>
              <w:rPr/>
              <w:t xml:space="preserve"> </w:t>
            </w:r>
          </w:p>
        </w:tc>
        <w:tc>
          <w:tcPr>
            <w:tcW w:w="154" w:type="dxa"/>
            <w:tcBorders/>
            <w:shd w:fill="1DA46F" w:val="clear"/>
            <w:vAlign w:val="center"/>
          </w:tcPr>
          <w:p>
            <w:pPr>
              <w:pStyle w:val="TableContents"/>
              <w:spacing w:before="0" w:after="283"/>
              <w:rPr/>
            </w:pPr>
            <w:r>
              <w:rPr/>
              <w:t>​</w:t>
            </w:r>
          </w:p>
        </w:tc>
      </w:tr>
    </w:tbl>
    <w:p>
      <w:pPr>
        <w:pStyle w:val="TextBody"/>
        <w:spacing w:lineRule="atLeast" w:line="240" w:before="360" w:after="283"/>
        <w:ind w:left="960" w:right="0" w:hanging="0"/>
        <w:jc w:val="both"/>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3"/>
          <w:sz w:val="20"/>
        </w:rPr>
        <w:t>BOARD OVERSIGHT OF COMPANY CULTURE AND ENVIRONMENTAL, SOCIAL AND GOVERNANCE HIGHLIGHTS</w:t>
      </w:r>
      <w:r>
        <w:rPr>
          <w:rFonts w:ascii="Arial;Helvetica;sans-serif" w:hAnsi="Arial;Helvetica;sans-serif"/>
          <w:b/>
          <w:i w:val="false"/>
          <w:caps w:val="false"/>
          <w:smallCaps w:val="false"/>
          <w:color w:val="000000"/>
          <w:spacing w:val="4"/>
          <w:sz w:val="20"/>
        </w:rPr>
        <w:t xml:space="preserve"> </w:t>
      </w:r>
    </w:p>
    <w:p>
      <w:pPr>
        <w:pStyle w:val="TextBody"/>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Our Board is committed to fostering a strong culture of compliance and ethical conduct and has structured its committees and their activities to support its commitment. Our Board supports management’s promotion of a corporate culture of integrity, ethical behavior and compliance with laws and regulations and for ensuring that our culture and strategy are aligned. Our Board expects all directors, as well as officers and employees, to conduct themselves in a manner consistent with our Code of Business Conduct and Ethics, or the Code of Conduct, and our values. Our Board believes that a strong culture of integrity, ethics and compliance is fundamental to the conduct of our business, and is necessary for effective risk management, maintaining investor trust, and successful corporate governance.</w:t>
      </w:r>
      <w:r>
        <w:rPr>
          <w:rFonts w:ascii="Arial;Helvetica;sans-serif" w:hAnsi="Arial;Helvetica;sans-serif"/>
          <w:b w:val="false"/>
          <w:i w:val="false"/>
          <w:caps w:val="false"/>
          <w:smallCaps w:val="false"/>
          <w:color w:val="000000"/>
          <w:spacing w:val="4"/>
          <w:sz w:val="20"/>
        </w:rPr>
        <w:t xml:space="preserve"> </w:t>
      </w:r>
    </w:p>
    <w:p>
      <w:pPr>
        <w:pStyle w:val="TextBody"/>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We understand corporate responsibility is essential for good governance because it strengthens the accountability of our Board and management team. We view Environmental, Social and Governance, or ESG, initiatives as long-term value drivers for the Company and our stockholders. Our focus on and commitment to ESG is tied to our belief that achieving and sustaining business excellence goes hand-in-hand with strong corporate leadership and stewardship. Our Board is primarily responsible for overseeing our corporate strategy, which includes the oversight of ESG matters that impact our business and related risks. Though our current ESG initiatives are broad, we continue to focus on our people, culture and strong corporate governance. We are committed to advancing a series of new ESG initiatives and performance targets, which will evolve over time.</w:t>
      </w:r>
      <w:r>
        <w:rPr>
          <w:rFonts w:ascii="Arial;Helvetica;sans-serif" w:hAnsi="Arial;Helvetica;sans-serif"/>
          <w:b w:val="false"/>
          <w:i w:val="false"/>
          <w:caps w:val="false"/>
          <w:smallCaps w:val="false"/>
          <w:color w:val="000000"/>
          <w:spacing w:val="4"/>
          <w:sz w:val="20"/>
        </w:rPr>
        <w:t xml:space="preserve"> </w:t>
      </w:r>
    </w:p>
    <w:p>
      <w:pPr>
        <w:pStyle w:val="TextBody"/>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The following is a summary of our current ESG policies and practices:</w:t>
      </w:r>
      <w:r>
        <w:rPr>
          <w:rFonts w:ascii="Arial;Helvetica;sans-serif" w:hAnsi="Arial;Helvetica;sans-serif"/>
          <w:b w:val="false"/>
          <w:i w:val="false"/>
          <w:caps w:val="false"/>
          <w:smallCaps w:val="false"/>
          <w:color w:val="000000"/>
          <w:spacing w:val="4"/>
          <w:sz w:val="20"/>
        </w:rPr>
        <w:t xml:space="preserve"> </w:t>
      </w:r>
    </w:p>
    <w:p>
      <w:pPr>
        <w:pStyle w:val="TextBody"/>
        <w:spacing w:lineRule="atLeast" w:line="240" w:before="120" w:after="0"/>
        <w:ind w:left="156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i w:val="false"/>
          <w:caps w:val="false"/>
          <w:smallCaps w:val="false"/>
          <w:color w:val="000000"/>
          <w:spacing w:val="0"/>
          <w:sz w:val="20"/>
        </w:rPr>
        <w:t>Separate Chairperson of the Board and Chief Executive Officer:</w:t>
      </w:r>
      <w:r>
        <w:rPr>
          <w:rFonts w:ascii="Arial;Helvetica;sans-serif" w:hAnsi="Arial;Helvetica;sans-serif"/>
          <w:b w:val="false"/>
          <w:i w:val="false"/>
          <w:caps w:val="false"/>
          <w:smallCaps w:val="false"/>
          <w:color w:val="000000"/>
          <w:spacing w:val="-1"/>
          <w:sz w:val="20"/>
        </w:rPr>
        <w:t xml:space="preserve"> The offices of Chief Executive Officer and Chairperson of the Board are separated, which reinforces the independence of the Board from management and creates an environment that encourages objective oversight of management’s performance, which we believe enhances the effectiveness of our Board as a whole. While historically our Chief Executive Officer has served as a member of the Board, our current interim Chief Executive Officer does not serve on the Board.</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53">
                <wp:simplePos x="0" y="0"/>
                <wp:positionH relativeFrom="column">
                  <wp:align>left</wp:align>
                </wp:positionH>
                <wp:positionV relativeFrom="line">
                  <wp:align>top</wp:align>
                </wp:positionV>
                <wp:extent cx="127000" cy="350520"/>
                <wp:effectExtent l="0" t="0" r="0" b="0"/>
                <wp:wrapSquare wrapText="largest"/>
                <wp:docPr id="46" name="Frame25"/>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both"/>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spacing w:lineRule="atLeast" w:line="240" w:before="0" w:after="283"/>
                        <w:jc w:val="both"/>
                        <w:rPr/>
                      </w:pPr>
                      <w:r>
                        <w:rPr>
                          <w:spacing w:val="-1"/>
                        </w:rPr>
                        <w:t>•</w:t>
                      </w:r>
                      <w:r>
                        <w:rPr/>
                        <w:t xml:space="preserve"> </w:t>
                      </w:r>
                      <w:r>
                        <w:rPr/>
                        <w:br/>
                      </w:r>
                    </w:p>
                  </w:txbxContent>
                </v:textbox>
                <w10:wrap type="square" side="right"/>
              </v:rect>
            </w:pict>
          </mc:Fallback>
        </mc:AlternateContent>
      </w:r>
    </w:p>
    <w:p>
      <w:pPr>
        <w:pStyle w:val="TextBody"/>
        <w:spacing w:before="0" w:after="0"/>
        <w:ind w:left="960" w:right="0" w:hanging="0"/>
        <w:rPr>
          <w:caps w:val="false"/>
          <w:smallCaps w:val="false"/>
          <w:color w:val="000000"/>
        </w:rPr>
      </w:pPr>
      <w:r>
        <w:rPr>
          <w:caps w:val="false"/>
          <w:smallCaps w:val="false"/>
          <w:color w:val="000000"/>
        </w:rPr>
        <w:t>​</w:t>
      </w:r>
    </w:p>
    <w:p>
      <w:pPr>
        <w:pStyle w:val="TextBody"/>
        <w:spacing w:lineRule="atLeast" w:line="240" w:before="120" w:after="0"/>
        <w:ind w:left="156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i w:val="false"/>
          <w:caps w:val="false"/>
          <w:smallCaps w:val="false"/>
          <w:color w:val="000000"/>
          <w:spacing w:val="0"/>
          <w:sz w:val="20"/>
        </w:rPr>
        <w:t>Independent Committees:</w:t>
      </w:r>
      <w:r>
        <w:rPr>
          <w:rFonts w:ascii="Arial;Helvetica;sans-serif" w:hAnsi="Arial;Helvetica;sans-serif"/>
          <w:b w:val="false"/>
          <w:i w:val="false"/>
          <w:caps w:val="false"/>
          <w:smallCaps w:val="false"/>
          <w:color w:val="000000"/>
          <w:spacing w:val="-1"/>
          <w:sz w:val="20"/>
        </w:rPr>
        <w:t xml:space="preserve"> Each of our Board committees consist entirely of independent directors. In addition, our Board as a whole is currently comprised of independent directors.</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54">
                <wp:simplePos x="0" y="0"/>
                <wp:positionH relativeFrom="column">
                  <wp:align>left</wp:align>
                </wp:positionH>
                <wp:positionV relativeFrom="line">
                  <wp:align>top</wp:align>
                </wp:positionV>
                <wp:extent cx="127000" cy="350520"/>
                <wp:effectExtent l="0" t="0" r="0" b="0"/>
                <wp:wrapSquare wrapText="largest"/>
                <wp:docPr id="47" name="Frame26"/>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both"/>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spacing w:lineRule="atLeast" w:line="240" w:before="0" w:after="283"/>
                        <w:jc w:val="both"/>
                        <w:rPr/>
                      </w:pPr>
                      <w:r>
                        <w:rPr>
                          <w:spacing w:val="-1"/>
                        </w:rPr>
                        <w:t>•</w:t>
                      </w:r>
                      <w:r>
                        <w:rPr/>
                        <w:t xml:space="preserve"> </w:t>
                      </w:r>
                      <w:r>
                        <w:rPr/>
                        <w:br/>
                      </w:r>
                    </w:p>
                  </w:txbxContent>
                </v:textbox>
                <w10:wrap type="square" side="right"/>
              </v:rect>
            </w:pict>
          </mc:Fallback>
        </mc:AlternateContent>
      </w:r>
    </w:p>
    <w:p>
      <w:pPr>
        <w:pStyle w:val="TextBody"/>
        <w:spacing w:before="0" w:after="0"/>
        <w:ind w:left="960" w:right="0" w:hanging="0"/>
        <w:rPr>
          <w:caps w:val="false"/>
          <w:smallCaps w:val="false"/>
          <w:color w:val="000000"/>
        </w:rPr>
      </w:pPr>
      <w:r>
        <w:rPr>
          <w:caps w:val="false"/>
          <w:smallCaps w:val="false"/>
          <w:color w:val="000000"/>
        </w:rPr>
        <w:t>​</w:t>
      </w:r>
    </w:p>
    <w:p>
      <w:pPr>
        <w:pStyle w:val="TextBody"/>
        <w:spacing w:lineRule="atLeast" w:line="240" w:before="120" w:after="0"/>
        <w:ind w:left="156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i w:val="false"/>
          <w:caps w:val="false"/>
          <w:smallCaps w:val="false"/>
          <w:color w:val="000000"/>
          <w:spacing w:val="0"/>
          <w:sz w:val="20"/>
        </w:rPr>
        <w:t>Regularly Held Executive Sessions:</w:t>
      </w:r>
      <w:r>
        <w:rPr>
          <w:rFonts w:ascii="Arial;Helvetica;sans-serif" w:hAnsi="Arial;Helvetica;sans-serif"/>
          <w:b w:val="false"/>
          <w:i w:val="false"/>
          <w:caps w:val="false"/>
          <w:smallCaps w:val="false"/>
          <w:color w:val="000000"/>
          <w:spacing w:val="-1"/>
          <w:sz w:val="20"/>
        </w:rPr>
        <w:t xml:space="preserve"> The independent directors of our Board meet separately in executive session on a regular basis to discuss matters relating to the Company and the Board, without members of the management team present.</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55">
                <wp:simplePos x="0" y="0"/>
                <wp:positionH relativeFrom="column">
                  <wp:align>left</wp:align>
                </wp:positionH>
                <wp:positionV relativeFrom="line">
                  <wp:align>top</wp:align>
                </wp:positionV>
                <wp:extent cx="127000" cy="350520"/>
                <wp:effectExtent l="0" t="0" r="0" b="0"/>
                <wp:wrapSquare wrapText="largest"/>
                <wp:docPr id="48" name="Frame27"/>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both"/>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spacing w:lineRule="atLeast" w:line="240" w:before="0" w:after="283"/>
                        <w:jc w:val="both"/>
                        <w:rPr/>
                      </w:pPr>
                      <w:r>
                        <w:rPr>
                          <w:spacing w:val="-1"/>
                        </w:rPr>
                        <w:t>•</w:t>
                      </w:r>
                      <w:r>
                        <w:rPr/>
                        <w:t xml:space="preserve"> </w:t>
                      </w:r>
                      <w:r>
                        <w:rPr/>
                        <w:br/>
                      </w:r>
                    </w:p>
                  </w:txbxContent>
                </v:textbox>
                <w10:wrap type="square" side="right"/>
              </v:rect>
            </w:pict>
          </mc:Fallback>
        </mc:AlternateContent>
      </w:r>
    </w:p>
    <w:p>
      <w:pPr>
        <w:pStyle w:val="TextBody"/>
        <w:spacing w:before="0" w:after="0"/>
        <w:ind w:left="960" w:right="0" w:hanging="0"/>
        <w:rPr>
          <w:caps w:val="false"/>
          <w:smallCaps w:val="false"/>
          <w:color w:val="000000"/>
        </w:rPr>
      </w:pPr>
      <w:r>
        <w:rPr>
          <w:caps w:val="false"/>
          <w:smallCaps w:val="false"/>
          <w:color w:val="000000"/>
        </w:rPr>
        <w:t>​</w:t>
      </w:r>
    </w:p>
    <w:p>
      <w:pPr>
        <w:pStyle w:val="TextBody"/>
        <w:spacing w:lineRule="atLeast" w:line="240" w:before="120" w:after="0"/>
        <w:ind w:left="156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i w:val="false"/>
          <w:caps w:val="false"/>
          <w:smallCaps w:val="false"/>
          <w:color w:val="000000"/>
          <w:spacing w:val="0"/>
          <w:sz w:val="20"/>
        </w:rPr>
        <w:t>Code of Conduct:</w:t>
      </w:r>
      <w:r>
        <w:rPr>
          <w:rFonts w:ascii="Arial;Helvetica;sans-serif" w:hAnsi="Arial;Helvetica;sans-serif"/>
          <w:b w:val="false"/>
          <w:i w:val="false"/>
          <w:caps w:val="false"/>
          <w:smallCaps w:val="false"/>
          <w:color w:val="000000"/>
          <w:spacing w:val="-1"/>
          <w:sz w:val="20"/>
        </w:rPr>
        <w:t xml:space="preserve"> All of our directors, officers and employees are subject to the Code of Conduct, which is available on our website at www.centurytx.com.</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56">
                <wp:simplePos x="0" y="0"/>
                <wp:positionH relativeFrom="column">
                  <wp:align>left</wp:align>
                </wp:positionH>
                <wp:positionV relativeFrom="line">
                  <wp:align>top</wp:align>
                </wp:positionV>
                <wp:extent cx="127000" cy="350520"/>
                <wp:effectExtent l="0" t="0" r="0" b="0"/>
                <wp:wrapSquare wrapText="largest"/>
                <wp:docPr id="49" name="Frame28"/>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both"/>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spacing w:lineRule="atLeast" w:line="240" w:before="0" w:after="283"/>
                        <w:jc w:val="both"/>
                        <w:rPr/>
                      </w:pPr>
                      <w:r>
                        <w:rPr>
                          <w:spacing w:val="-1"/>
                        </w:rPr>
                        <w:t>•</w:t>
                      </w:r>
                      <w:r>
                        <w:rPr/>
                        <w:t xml:space="preserve"> </w:t>
                      </w:r>
                      <w:r>
                        <w:rPr/>
                        <w:br/>
                      </w:r>
                    </w:p>
                  </w:txbxContent>
                </v:textbox>
                <w10:wrap type="square" side="right"/>
              </v:rect>
            </w:pict>
          </mc:Fallback>
        </mc:AlternateContent>
      </w:r>
    </w:p>
    <w:p>
      <w:pPr>
        <w:pStyle w:val="TextBody"/>
        <w:spacing w:before="0" w:after="0"/>
        <w:ind w:left="960" w:right="0" w:hanging="0"/>
        <w:rPr>
          <w:caps w:val="false"/>
          <w:smallCaps w:val="false"/>
          <w:color w:val="000000"/>
        </w:rPr>
      </w:pPr>
      <w:r>
        <w:rPr>
          <w:caps w:val="false"/>
          <w:smallCaps w:val="false"/>
          <w:color w:val="000000"/>
        </w:rPr>
        <w:t>​</w:t>
      </w:r>
    </w:p>
    <w:p>
      <w:pPr>
        <w:pStyle w:val="TextBody"/>
        <w:spacing w:lineRule="atLeast" w:line="240" w:before="120" w:after="0"/>
        <w:ind w:left="156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i w:val="false"/>
          <w:caps w:val="false"/>
          <w:smallCaps w:val="false"/>
          <w:color w:val="000000"/>
          <w:spacing w:val="0"/>
          <w:sz w:val="20"/>
        </w:rPr>
        <w:t>Human Capital Management:</w:t>
      </w:r>
      <w:r>
        <w:rPr>
          <w:rFonts w:ascii="Arial;Helvetica;sans-serif" w:hAnsi="Arial;Helvetica;sans-serif"/>
          <w:b w:val="false"/>
          <w:i w:val="false"/>
          <w:caps w:val="false"/>
          <w:smallCaps w:val="false"/>
          <w:color w:val="000000"/>
          <w:spacing w:val="-1"/>
          <w:sz w:val="20"/>
        </w:rPr>
        <w:t xml:space="preserve"> We are committed to the health and welfare of our employees. We support the development of our employees with a competitive compensation and benefits package, internal advancement, and individualized development opportunities.</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57">
                <wp:simplePos x="0" y="0"/>
                <wp:positionH relativeFrom="column">
                  <wp:align>left</wp:align>
                </wp:positionH>
                <wp:positionV relativeFrom="line">
                  <wp:align>top</wp:align>
                </wp:positionV>
                <wp:extent cx="127000" cy="350520"/>
                <wp:effectExtent l="0" t="0" r="0" b="0"/>
                <wp:wrapSquare wrapText="largest"/>
                <wp:docPr id="50" name="Frame29"/>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both"/>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spacing w:lineRule="atLeast" w:line="240" w:before="0" w:after="283"/>
                        <w:jc w:val="both"/>
                        <w:rPr/>
                      </w:pPr>
                      <w:r>
                        <w:rPr>
                          <w:spacing w:val="-1"/>
                        </w:rPr>
                        <w:t>•</w:t>
                      </w:r>
                      <w:r>
                        <w:rPr/>
                        <w:t xml:space="preserve"> </w:t>
                      </w:r>
                      <w:r>
                        <w:rPr/>
                        <w:br/>
                      </w:r>
                    </w:p>
                  </w:txbxContent>
                </v:textbox>
                <w10:wrap type="square" side="right"/>
              </v:rect>
            </w:pict>
          </mc:Fallback>
        </mc:AlternateContent>
      </w:r>
    </w:p>
    <w:p>
      <w:pPr>
        <w:pStyle w:val="TextBody"/>
        <w:spacing w:before="0" w:after="0"/>
        <w:ind w:left="960" w:right="0" w:hanging="0"/>
        <w:rPr>
          <w:caps w:val="false"/>
          <w:smallCaps w:val="false"/>
          <w:color w:val="000000"/>
        </w:rPr>
      </w:pPr>
      <w:r>
        <w:rPr>
          <w:caps w:val="false"/>
          <w:smallCaps w:val="false"/>
          <w:color w:val="000000"/>
        </w:rPr>
        <w:t>​</w:t>
      </w:r>
    </w:p>
    <w:p>
      <w:pPr>
        <w:pStyle w:val="TextBody"/>
        <w:spacing w:lineRule="atLeast" w:line="240" w:before="120" w:after="0"/>
        <w:ind w:left="156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i w:val="false"/>
          <w:caps w:val="false"/>
          <w:smallCaps w:val="false"/>
          <w:color w:val="000000"/>
          <w:spacing w:val="0"/>
          <w:sz w:val="20"/>
        </w:rPr>
        <w:t>Diversity and Inclusion</w:t>
      </w:r>
      <w:r>
        <w:rPr>
          <w:rFonts w:ascii="Arial;Helvetica;sans-serif" w:hAnsi="Arial;Helvetica;sans-serif"/>
          <w:b w:val="false"/>
          <w:i w:val="false"/>
          <w:caps w:val="false"/>
          <w:smallCaps w:val="false"/>
          <w:color w:val="000000"/>
          <w:spacing w:val="-1"/>
          <w:sz w:val="20"/>
        </w:rPr>
        <w:t xml:space="preserve">: We strive to create a workplace culture that supports a diverse, multi-cultural workforce, treats individuals fairly, and provides an inclusive environment where everyone can bring their whole self to work and feel supported in reaching their full potential. We are embarking on an organization-wide learning initiative to ensure we each have the competence and confidence to contribute to this culture. The executive committee, senior leadership, people leaders and colleagues have engaged in a highly interactive Unconscious Bias Training to identify and adjust for bias at the individual and organizational level. Our goal through this initiative is to empower our team to grow self-awareness, collaborate inclusively, and ultimately support higher performance. As of March 2023, Century had a diverse workforce consisting of 49% female employees, consistent with data from the 2022 annual report of the Biotechnology Innovation Organization. In addition, 34% percent of the workforce identifies as a race/ethnicity other than white. </w:t>
      </w:r>
      <w:r>
        <mc:AlternateContent>
          <mc:Choice Requires="wps">
            <w:drawing>
              <wp:anchor behindDoc="0" distT="76200" distB="0" distL="254000" distR="0" simplePos="0" locked="0" layoutInCell="1" allowOverlap="1" relativeHeight="58">
                <wp:simplePos x="0" y="0"/>
                <wp:positionH relativeFrom="column">
                  <wp:align>left</wp:align>
                </wp:positionH>
                <wp:positionV relativeFrom="line">
                  <wp:align>top</wp:align>
                </wp:positionV>
                <wp:extent cx="127000" cy="350520"/>
                <wp:effectExtent l="0" t="0" r="0" b="0"/>
                <wp:wrapSquare wrapText="largest"/>
                <wp:docPr id="51" name="Frame30"/>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both"/>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spacing w:lineRule="atLeast" w:line="240" w:before="0" w:after="283"/>
                        <w:jc w:val="both"/>
                        <w:rPr/>
                      </w:pPr>
                      <w:r>
                        <w:rPr>
                          <w:spacing w:val="-1"/>
                        </w:rPr>
                        <w:t>•</w:t>
                      </w:r>
                      <w:r>
                        <w:rPr/>
                        <w:t xml:space="preserve"> </w:t>
                      </w:r>
                      <w:r>
                        <w:rPr/>
                        <w:br/>
                      </w:r>
                    </w:p>
                  </w:txbxContent>
                </v:textbox>
                <w10:wrap type="square" side="right"/>
              </v:rect>
            </w:pict>
          </mc:Fallback>
        </mc:AlternateContent>
      </w:r>
    </w:p>
    <w:p>
      <w:pPr>
        <w:pStyle w:val="TextBody"/>
        <w:spacing w:before="0" w:after="0"/>
        <w:ind w:left="960" w:right="0" w:hanging="0"/>
        <w:rPr>
          <w:caps w:val="false"/>
          <w:smallCaps w:val="false"/>
          <w:color w:val="000000"/>
        </w:rPr>
      </w:pPr>
      <w:r>
        <w:rPr>
          <w:caps w:val="false"/>
          <w:smallCaps w:val="false"/>
          <w:color w:val="000000"/>
        </w:rPr>
        <w:t>​</w:t>
      </w:r>
    </w:p>
    <w:p>
      <w:pPr>
        <w:pStyle w:val="TextBody"/>
        <w:spacing w:lineRule="atLeast" w:line="240" w:before="100" w:after="283"/>
        <w:ind w:left="960" w:right="0" w:hanging="0"/>
        <w:jc w:val="righ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1DA46F"/>
          <w:spacing w:val="0"/>
          <w:sz w:val="20"/>
        </w:rPr>
        <w:t>Notice of Annual Meeting of Stockholders</w:t>
      </w:r>
      <w:r>
        <w:rPr>
          <w:rFonts w:ascii="Arial;Helvetica;sans-serif" w:hAnsi="Arial;Helvetica;sans-serif"/>
          <w:b/>
          <w:i w:val="false"/>
          <w:caps w:val="false"/>
          <w:smallCaps w:val="false"/>
          <w:color w:val="000000"/>
          <w:spacing w:val="0"/>
          <w:sz w:val="20"/>
        </w:rPr>
        <w:t> and 2023 Proxy Statement | </w:t>
      </w:r>
      <w:r>
        <w:rPr>
          <w:rFonts w:ascii="Arial;Helvetica;sans-serif" w:hAnsi="Arial;Helvetica;sans-serif"/>
          <w:b w:val="false"/>
          <w:i w:val="false"/>
          <w:caps w:val="false"/>
          <w:smallCaps w:val="false"/>
          <w:color w:val="000000"/>
          <w:spacing w:val="-1"/>
          <w:sz w:val="20"/>
        </w:rPr>
        <w:t>6</w:t>
      </w:r>
      <w:r>
        <w:rPr>
          <w:rFonts w:ascii="Arial;Helvetica;sans-serif" w:hAnsi="Arial;Helvetica;sans-serif"/>
          <w:b/>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2" w:name="tDINO"/>
      <w:bookmarkEnd w:id="22"/>
      <w:r>
        <w:rPr>
          <w:rFonts w:ascii="calibri;arial;sans-serif" w:hAnsi="calibri;arial;sans-serif"/>
          <w:b w:val="false"/>
          <w:i w:val="false"/>
          <w:caps w:val="false"/>
          <w:smallCaps w:val="false"/>
          <w:color w:val="000000"/>
          <w:sz w:val="16"/>
        </w:rPr>
        <w:t xml:space="preserve">​ </w:t>
      </w:r>
    </w:p>
    <w:tbl>
      <w:tblPr>
        <w:tblW w:w="3049" w:type="dxa"/>
        <w:jc w:val="left"/>
        <w:tblInd w:w="960" w:type="dxa"/>
        <w:tblCellMar>
          <w:top w:w="0" w:type="dxa"/>
          <w:left w:w="0" w:type="dxa"/>
          <w:bottom w:w="0" w:type="dxa"/>
          <w:right w:w="0" w:type="dxa"/>
        </w:tblCellMar>
      </w:tblPr>
      <w:tblGrid>
        <w:gridCol w:w="124"/>
        <w:gridCol w:w="2771"/>
        <w:gridCol w:w="154"/>
      </w:tblGrid>
      <w:tr>
        <w:trPr/>
        <w:tc>
          <w:tcPr>
            <w:tcW w:w="124" w:type="dxa"/>
            <w:tcBorders/>
            <w:shd w:fill="1DA46F" w:val="clear"/>
            <w:vAlign w:val="center"/>
          </w:tcPr>
          <w:p>
            <w:pPr>
              <w:pStyle w:val="TableContents"/>
              <w:spacing w:before="0" w:after="283"/>
              <w:rPr/>
            </w:pPr>
            <w:r>
              <w:rPr/>
              <w:t>​</w:t>
            </w:r>
          </w:p>
        </w:tc>
        <w:tc>
          <w:tcPr>
            <w:tcW w:w="2771" w:type="dxa"/>
            <w:tcBorders/>
            <w:shd w:fill="1DA46F" w:val="clear"/>
            <w:vAlign w:val="center"/>
          </w:tcPr>
          <w:p>
            <w:pPr>
              <w:pStyle w:val="TableContents"/>
              <w:spacing w:lineRule="atLeast" w:line="360" w:before="0" w:after="0"/>
              <w:rPr/>
            </w:pPr>
            <w:r>
              <w:rPr>
                <w:spacing w:val="-5"/>
              </w:rPr>
              <w:t>BOARD OF DIRECTORS</w:t>
            </w:r>
            <w:r>
              <w:rPr/>
              <w:t xml:space="preserve"> </w:t>
            </w:r>
          </w:p>
        </w:tc>
        <w:tc>
          <w:tcPr>
            <w:tcW w:w="154" w:type="dxa"/>
            <w:tcBorders/>
            <w:shd w:fill="1DA46F" w:val="clear"/>
            <w:vAlign w:val="center"/>
          </w:tcPr>
          <w:p>
            <w:pPr>
              <w:pStyle w:val="TableContents"/>
              <w:spacing w:before="0" w:after="283"/>
              <w:rPr/>
            </w:pPr>
            <w:r>
              <w:rPr/>
              <w:t>​</w:t>
            </w:r>
          </w:p>
        </w:tc>
      </w:tr>
    </w:tbl>
    <w:p>
      <w:pPr>
        <w:pStyle w:val="TextBody"/>
        <w:spacing w:lineRule="atLeast" w:line="250" w:before="360" w:after="283"/>
        <w:ind w:left="960" w:right="0" w:hanging="0"/>
        <w:jc w:val="both"/>
        <w:rPr>
          <w:rFonts w:ascii="Arial;Helvetica;sans-serif" w:hAnsi="Arial;Helvetica;sans-serif"/>
          <w:b w:val="false"/>
          <w:i w:val="false"/>
          <w:caps w:val="false"/>
          <w:smallCaps w:val="false"/>
          <w:color w:val="148CD9"/>
          <w:sz w:val="20"/>
        </w:rPr>
      </w:pPr>
      <w:r>
        <w:rPr>
          <w:rFonts w:ascii="Arial;Helvetica;sans-serif" w:hAnsi="Arial;Helvetica;sans-serif"/>
          <w:b w:val="false"/>
          <w:i w:val="false"/>
          <w:caps w:val="false"/>
          <w:smallCaps w:val="false"/>
          <w:color w:val="148CD9"/>
          <w:spacing w:val="-1"/>
          <w:sz w:val="20"/>
        </w:rPr>
        <w:t>In each of the director nominee and continuing director biographies that follow, we highlight the specific experience, qualifications, attributes and skills that led the Board to conclude that the director nominee or continuing director should serve on our Board at this time.</w:t>
      </w:r>
      <w:r>
        <w:rPr>
          <w:rFonts w:ascii="Arial;Helvetica;sans-serif" w:hAnsi="Arial;Helvetica;sans-serif"/>
          <w:b w:val="false"/>
          <w:i w:val="false"/>
          <w:caps w:val="false"/>
          <w:smallCaps w:val="false"/>
          <w:color w:val="000000"/>
          <w:spacing w:val="4"/>
          <w:sz w:val="20"/>
        </w:rPr>
        <w:t xml:space="preserve"> </w:t>
      </w:r>
    </w:p>
    <w:p>
      <w:pPr>
        <w:pStyle w:val="TextBody"/>
        <w:spacing w:lineRule="atLeast" w:line="240" w:before="240" w:after="283"/>
        <w:jc w:val="both"/>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3"/>
          <w:sz w:val="20"/>
        </w:rPr>
        <w:t>DIRECTOR NOMINEES</w:t>
      </w:r>
      <w:r>
        <w:rPr>
          <w:rFonts w:ascii="Arial;Helvetica;sans-serif" w:hAnsi="Arial;Helvetica;sans-serif"/>
          <w:b/>
          <w:i w:val="false"/>
          <w:caps w:val="false"/>
          <w:smallCaps w:val="false"/>
          <w:color w:val="000000"/>
          <w:spacing w:val="4"/>
          <w:sz w:val="20"/>
        </w:rPr>
        <w:t xml:space="preserve"> </w:t>
      </w:r>
    </w:p>
    <w:p>
      <w:pPr>
        <w:pStyle w:val="TextBody"/>
        <w:spacing w:lineRule="atLeast" w:line="240" w:before="240" w:after="283"/>
        <w:jc w:val="both"/>
        <w:rPr>
          <w:rFonts w:ascii="Arial;Helvetica;sans-serif" w:hAnsi="Arial;Helvetica;sans-serif"/>
          <w:b/>
          <w:i/>
          <w:caps w:val="false"/>
          <w:smallCaps w:val="false"/>
          <w:color w:val="000000"/>
          <w:sz w:val="20"/>
        </w:rPr>
      </w:pPr>
      <w:r>
        <w:rPr>
          <w:rFonts w:ascii="Arial;Helvetica;sans-serif" w:hAnsi="Arial;Helvetica;sans-serif"/>
          <w:b/>
          <w:i/>
          <w:caps w:val="false"/>
          <w:smallCaps w:val="false"/>
          <w:color w:val="000000"/>
          <w:sz w:val="20"/>
        </w:rPr>
        <w:t>CLASS II DIRECTORS — PRESENT TERMS EXPIRING AT THE ANNUAL MEETING AND PROPOSED TERMS TO EXPIRE IN 2026</w:t>
      </w:r>
      <w:r>
        <w:rPr>
          <w:rFonts w:ascii="Arial;Helvetica;sans-serif" w:hAnsi="Arial;Helvetica;sans-serif"/>
          <w:b/>
          <w:i/>
          <w:caps w:val="false"/>
          <w:smallCaps w:val="false"/>
          <w:color w:val="000000"/>
          <w:spacing w:val="4"/>
          <w:sz w:val="20"/>
        </w:rPr>
        <w:t xml:space="preserve"> </w:t>
      </w:r>
    </w:p>
    <w:tbl>
      <w:tblPr>
        <w:tblW w:w="9245" w:type="dxa"/>
        <w:jc w:val="left"/>
        <w:tblInd w:w="960" w:type="dxa"/>
        <w:tblCellMar>
          <w:top w:w="0" w:type="dxa"/>
          <w:left w:w="0" w:type="dxa"/>
          <w:bottom w:w="0" w:type="dxa"/>
          <w:right w:w="0" w:type="dxa"/>
        </w:tblCellMar>
      </w:tblPr>
      <w:tblGrid>
        <w:gridCol w:w="124"/>
        <w:gridCol w:w="109"/>
        <w:gridCol w:w="1669"/>
        <w:gridCol w:w="128"/>
        <w:gridCol w:w="128"/>
        <w:gridCol w:w="2723"/>
        <w:gridCol w:w="128"/>
        <w:gridCol w:w="128"/>
        <w:gridCol w:w="3842"/>
        <w:gridCol w:w="109"/>
        <w:gridCol w:w="157"/>
      </w:tblGrid>
      <w:tr>
        <w:trPr/>
        <w:tc>
          <w:tcPr>
            <w:tcW w:w="124" w:type="dxa"/>
            <w:tcBorders/>
            <w:shd w:fill="auto" w:val="clear"/>
            <w:vAlign w:val="center"/>
          </w:tcPr>
          <w:p>
            <w:pPr>
              <w:pStyle w:val="TableContents"/>
              <w:spacing w:before="0" w:after="283"/>
              <w:rPr/>
            </w:pPr>
            <w:r>
              <w:rPr/>
              <w:t>​</w:t>
            </w:r>
          </w:p>
        </w:tc>
        <w:tc>
          <w:tcPr>
            <w:tcW w:w="109" w:type="dxa"/>
            <w:tcBorders/>
            <w:shd w:fill="148CD9" w:val="clear"/>
            <w:vAlign w:val="center"/>
          </w:tcPr>
          <w:p>
            <w:pPr>
              <w:pStyle w:val="TableContents"/>
              <w:spacing w:before="0" w:after="283"/>
              <w:rPr/>
            </w:pPr>
            <w:r>
              <w:rPr/>
              <w:t>​</w:t>
            </w:r>
          </w:p>
        </w:tc>
        <w:tc>
          <w:tcPr>
            <w:tcW w:w="1669" w:type="dxa"/>
            <w:tcBorders/>
            <w:shd w:fill="148CD9" w:val="clear"/>
            <w:vAlign w:val="center"/>
          </w:tcPr>
          <w:p>
            <w:pPr>
              <w:pStyle w:val="TableContents"/>
              <w:spacing w:before="0" w:after="0"/>
              <w:rPr>
                <w:spacing w:val="-2"/>
              </w:rPr>
            </w:pPr>
            <w:r>
              <w:rPr>
                <w:spacing w:val="-2"/>
              </w:rPr>
              <w:t xml:space="preserve">CYNTHIA BUTITTA </w:t>
            </w:r>
          </w:p>
        </w:tc>
        <w:tc>
          <w:tcPr>
            <w:tcW w:w="128" w:type="dxa"/>
            <w:tcBorders/>
            <w:shd w:fill="148CD9" w:val="clear"/>
            <w:vAlign w:val="center"/>
          </w:tcPr>
          <w:p>
            <w:pPr>
              <w:pStyle w:val="TableContents"/>
              <w:spacing w:before="0" w:after="283"/>
              <w:rPr/>
            </w:pPr>
            <w:r>
              <w:rPr/>
              <w:t>​</w:t>
            </w:r>
          </w:p>
        </w:tc>
        <w:tc>
          <w:tcPr>
            <w:tcW w:w="128" w:type="dxa"/>
            <w:tcBorders/>
            <w:shd w:fill="148CD9" w:val="clear"/>
            <w:vAlign w:val="center"/>
          </w:tcPr>
          <w:p>
            <w:pPr>
              <w:pStyle w:val="TableContents"/>
              <w:spacing w:before="0" w:after="283"/>
              <w:rPr/>
            </w:pPr>
            <w:r>
              <w:rPr/>
              <w:t>​</w:t>
            </w:r>
          </w:p>
        </w:tc>
        <w:tc>
          <w:tcPr>
            <w:tcW w:w="2723" w:type="dxa"/>
            <w:tcBorders/>
            <w:shd w:fill="148CD9" w:val="clear"/>
            <w:vAlign w:val="center"/>
          </w:tcPr>
          <w:p>
            <w:pPr>
              <w:pStyle w:val="TableContents"/>
              <w:spacing w:before="0" w:after="283"/>
              <w:jc w:val="center"/>
              <w:rPr/>
            </w:pPr>
            <w:r>
              <w:rPr/>
              <w:t>​</w:t>
            </w:r>
          </w:p>
        </w:tc>
        <w:tc>
          <w:tcPr>
            <w:tcW w:w="128" w:type="dxa"/>
            <w:tcBorders/>
            <w:shd w:fill="148CD9" w:val="clear"/>
            <w:vAlign w:val="center"/>
          </w:tcPr>
          <w:p>
            <w:pPr>
              <w:pStyle w:val="TableContents"/>
              <w:spacing w:before="0" w:after="283"/>
              <w:rPr/>
            </w:pPr>
            <w:r>
              <w:rPr/>
              <w:t>​</w:t>
            </w:r>
          </w:p>
        </w:tc>
        <w:tc>
          <w:tcPr>
            <w:tcW w:w="128" w:type="dxa"/>
            <w:tcBorders/>
            <w:shd w:fill="148CD9" w:val="clear"/>
            <w:vAlign w:val="center"/>
          </w:tcPr>
          <w:p>
            <w:pPr>
              <w:pStyle w:val="TableContents"/>
              <w:spacing w:before="0" w:after="283"/>
              <w:rPr/>
            </w:pPr>
            <w:r>
              <w:rPr/>
              <w:t>​</w:t>
            </w:r>
          </w:p>
        </w:tc>
        <w:tc>
          <w:tcPr>
            <w:tcW w:w="3842" w:type="dxa"/>
            <w:tcBorders/>
            <w:shd w:fill="148CD9" w:val="clear"/>
            <w:vAlign w:val="center"/>
          </w:tcPr>
          <w:p>
            <w:pPr>
              <w:pStyle w:val="TableContents"/>
              <w:spacing w:before="0" w:after="0"/>
              <w:jc w:val="both"/>
              <w:rPr>
                <w:b w:val="false"/>
              </w:rPr>
            </w:pPr>
            <w:r>
              <w:rPr>
                <w:b/>
                <w:spacing w:val="0"/>
              </w:rPr>
              <w:t>Key Skills:</w:t>
            </w:r>
            <w:r>
              <w:rPr>
                <w:b w:val="false"/>
                <w:spacing w:val="0"/>
              </w:rPr>
              <w:t xml:space="preserve"> Senior Executive and Public Company Experience </w:t>
            </w:r>
          </w:p>
        </w:tc>
        <w:tc>
          <w:tcPr>
            <w:tcW w:w="109" w:type="dxa"/>
            <w:tcBorders/>
            <w:shd w:fill="148CD9" w:val="clear"/>
            <w:vAlign w:val="center"/>
          </w:tcPr>
          <w:p>
            <w:pPr>
              <w:pStyle w:val="TableContents"/>
              <w:spacing w:before="0" w:after="283"/>
              <w:rPr/>
            </w:pPr>
            <w:r>
              <w:rPr/>
              <w:t>​</w:t>
            </w:r>
          </w:p>
        </w:tc>
        <w:tc>
          <w:tcPr>
            <w:tcW w:w="157" w:type="dxa"/>
            <w:tcBorders/>
            <w:shd w:fill="auto"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669" w:type="dxa"/>
            <w:tcBorders>
              <w:bottom w:val="single" w:sz="2" w:space="0" w:color="000000"/>
            </w:tcBorders>
            <w:shd w:fill="auto" w:val="clear"/>
            <w:tcMar>
              <w:bottom w:w="28" w:type="dxa"/>
            </w:tcMar>
            <w:vAlign w:val="center"/>
          </w:tcPr>
          <w:p>
            <w:pPr>
              <w:pStyle w:val="TableContents"/>
              <w:spacing w:before="0" w:after="0"/>
              <w:rPr>
                <w:b/>
              </w:rPr>
            </w:pPr>
            <w:r>
              <w:rPr>
                <w:b/>
                <w:spacing w:val="0"/>
              </w:rPr>
              <w:t>Age</w:t>
            </w:r>
            <w:r>
              <w:rPr>
                <w:b w:val="false"/>
                <w:spacing w:val="-1"/>
              </w:rPr>
              <w:t>: 68</w:t>
            </w:r>
            <w:r>
              <w:rPr>
                <w:b/>
              </w:rPr>
              <w:t xml:space="preserve"> </w:t>
              <w:br/>
            </w:r>
            <w:r>
              <w:rPr>
                <w:b/>
                <w:spacing w:val="0"/>
              </w:rPr>
              <w:t>Director Since</w:t>
            </w:r>
            <w:r>
              <w:rPr>
                <w:b w:val="false"/>
                <w:spacing w:val="-1"/>
              </w:rPr>
              <w:t xml:space="preserve">: 2021 </w:t>
            </w:r>
          </w:p>
        </w:tc>
        <w:tc>
          <w:tcPr>
            <w:tcW w:w="128" w:type="dxa"/>
            <w:tcBorders>
              <w:bottom w:val="single" w:sz="2" w:space="0" w:color="000000"/>
            </w:tcBorders>
            <w:shd w:fill="auto" w:val="clear"/>
            <w:tcMar>
              <w:bottom w:w="28" w:type="dxa"/>
            </w:tcMar>
            <w:vAlign w:val="center"/>
          </w:tcPr>
          <w:p>
            <w:pPr>
              <w:pStyle w:val="TableContents"/>
              <w:spacing w:before="0" w:after="283"/>
              <w:rPr/>
            </w:pPr>
            <w:r>
              <w:rPr/>
              <w:t>​</w:t>
            </w:r>
          </w:p>
        </w:tc>
        <w:tc>
          <w:tcPr>
            <w:tcW w:w="128" w:type="dxa"/>
            <w:tcBorders>
              <w:bottom w:val="single" w:sz="2" w:space="0" w:color="000000"/>
            </w:tcBorders>
            <w:shd w:fill="auto" w:val="clear"/>
            <w:tcMar>
              <w:bottom w:w="28" w:type="dxa"/>
            </w:tcMar>
            <w:vAlign w:val="center"/>
          </w:tcPr>
          <w:p>
            <w:pPr>
              <w:pStyle w:val="TableContents"/>
              <w:spacing w:before="0" w:after="283"/>
              <w:rPr/>
            </w:pPr>
            <w:r>
              <w:rPr/>
              <w:t>​</w:t>
            </w:r>
          </w:p>
        </w:tc>
        <w:tc>
          <w:tcPr>
            <w:tcW w:w="2723" w:type="dxa"/>
            <w:tcBorders>
              <w:bottom w:val="single" w:sz="2" w:space="0" w:color="000000"/>
            </w:tcBorders>
            <w:shd w:fill="auto" w:val="clear"/>
            <w:tcMar>
              <w:bottom w:w="28" w:type="dxa"/>
            </w:tcMar>
            <w:vAlign w:val="center"/>
          </w:tcPr>
          <w:p>
            <w:pPr>
              <w:pStyle w:val="TableContents"/>
              <w:spacing w:before="0" w:after="283"/>
              <w:rPr/>
            </w:pPr>
            <w:r>
              <w:rPr>
                <w:b/>
                <w:spacing w:val="0"/>
              </w:rPr>
              <w:t>Committee Memberships</w:t>
            </w:r>
            <w:r>
              <w:rPr>
                <w:spacing w:val="-1"/>
              </w:rPr>
              <w:t xml:space="preserve">: Audit (Chair), Compensation </w:t>
            </w:r>
          </w:p>
        </w:tc>
        <w:tc>
          <w:tcPr>
            <w:tcW w:w="128" w:type="dxa"/>
            <w:tcBorders>
              <w:bottom w:val="single" w:sz="2" w:space="0" w:color="000000"/>
            </w:tcBorders>
            <w:shd w:fill="auto" w:val="clear"/>
            <w:tcMar>
              <w:bottom w:w="28" w:type="dxa"/>
            </w:tcMar>
            <w:vAlign w:val="center"/>
          </w:tcPr>
          <w:p>
            <w:pPr>
              <w:pStyle w:val="TableContents"/>
              <w:spacing w:before="0" w:after="283"/>
              <w:rPr/>
            </w:pPr>
            <w:r>
              <w:rPr/>
              <w:t>​</w:t>
            </w:r>
          </w:p>
        </w:tc>
        <w:tc>
          <w:tcPr>
            <w:tcW w:w="128" w:type="dxa"/>
            <w:tcBorders>
              <w:bottom w:val="single" w:sz="2" w:space="0" w:color="000000"/>
            </w:tcBorders>
            <w:shd w:fill="auto" w:val="clear"/>
            <w:tcMar>
              <w:bottom w:w="28" w:type="dxa"/>
            </w:tcMar>
            <w:vAlign w:val="center"/>
          </w:tcPr>
          <w:p>
            <w:pPr>
              <w:pStyle w:val="TableContents"/>
              <w:spacing w:before="0" w:after="283"/>
              <w:rPr/>
            </w:pPr>
            <w:r>
              <w:rPr/>
              <w:t>​</w:t>
            </w:r>
          </w:p>
        </w:tc>
        <w:tc>
          <w:tcPr>
            <w:tcW w:w="3842" w:type="dxa"/>
            <w:tcBorders>
              <w:bottom w:val="single" w:sz="2" w:space="0" w:color="000000"/>
            </w:tcBorders>
            <w:shd w:fill="auto" w:val="clear"/>
            <w:tcMar>
              <w:bottom w:w="28" w:type="dxa"/>
            </w:tcMar>
            <w:vAlign w:val="center"/>
          </w:tcPr>
          <w:p>
            <w:pPr>
              <w:pStyle w:val="TableContents"/>
              <w:spacing w:before="0" w:after="283"/>
              <w:rPr/>
            </w:pPr>
            <w:r>
              <w:rPr>
                <w:b/>
                <w:spacing w:val="0"/>
              </w:rPr>
              <w:t>Other Public Directorships</w:t>
            </w:r>
            <w:r>
              <w:rPr>
                <w:spacing w:val="-1"/>
              </w:rPr>
              <w:t xml:space="preserve">: Olema Pharmaceuticals, Inc., UroGen Pharma Ltd., Autolus Therapeutics plc </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57" w:type="dxa"/>
            <w:tcBorders/>
            <w:shd w:fill="auto"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8746" w:type="dxa"/>
            <w:gridSpan w:val="7"/>
            <w:tcBorders>
              <w:bottom w:val="single" w:sz="2" w:space="0" w:color="000000"/>
            </w:tcBorders>
            <w:shd w:fill="auto" w:val="clear"/>
            <w:tcMar>
              <w:bottom w:w="43" w:type="dxa"/>
            </w:tcMar>
            <w:vAlign w:val="center"/>
          </w:tcPr>
          <w:p>
            <w:pPr>
              <w:pStyle w:val="TableContents"/>
              <w:spacing w:before="0" w:after="0"/>
              <w:jc w:val="both"/>
              <w:rPr/>
            </w:pPr>
            <w:r>
              <w:rPr>
                <w:b/>
                <w:spacing w:val="0"/>
              </w:rPr>
              <w:t>Ms. Butitta</w:t>
            </w:r>
            <w:r>
              <w:rPr>
                <w:spacing w:val="-1"/>
              </w:rPr>
              <w:t xml:space="preserve"> has been a member of our Board since February 2021. Ms. Butitta has served as a member of the board of directors of Olema Pharmaceuticals, Inc., Autolus Therapeutics plc, and UroGen Pharma Ltd., publicly traded biopharmaceutical companies, since August 2020, March 2018 and October 2017, respectively. Ms. Butitta previously served as the Chief Operating Officer of Kite Pharma Inc., a biopharmaceutical company, from December 2013 to September 2017 and as its Executive Vice President and Chief Financial Officer from January 2014 to May 2016. From May 2011 to December 2012, Ms. Butitta was Senior Vice President and Chief Financial Officer at NextWave Pharmaceuticals, Inc., a specialty pharmaceutical company. Prior to that, Ms. Butitta served in senior leadership roles at Telik, Inc., a biopharmaceutical company, from 1998 to 2010, including Chief Operating Officer and Chief Financial Officer. Ms. Butitta received a B.S. with honors in business and accounting from Edgewood College in Madison, Wisconsin and an M.B.A. in finance from the University of Wisconsin, Madison. </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57" w:type="dxa"/>
            <w:tcBorders/>
            <w:shd w:fill="auto"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8746" w:type="dxa"/>
            <w:gridSpan w:val="7"/>
            <w:tcBorders>
              <w:bottom w:val="single" w:sz="2" w:space="0" w:color="000000"/>
            </w:tcBorders>
            <w:shd w:fill="auto" w:val="clear"/>
            <w:tcMar>
              <w:bottom w:w="43" w:type="dxa"/>
            </w:tcMar>
            <w:vAlign w:val="center"/>
          </w:tcPr>
          <w:p>
            <w:pPr>
              <w:pStyle w:val="TableContents"/>
              <w:spacing w:before="0" w:after="0"/>
              <w:jc w:val="both"/>
              <w:rPr/>
            </w:pPr>
            <w:r>
              <w:rPr>
                <w:b/>
                <w:i/>
              </w:rPr>
              <w:t>Skills &amp; Qualifications</w:t>
            </w:r>
            <w:r>
              <w:rPr>
                <w:spacing w:val="-1"/>
              </w:rPr>
              <w:t>: We believe that Ms. Butitta is qualified to serve on our Board due to her extensive experience as a public company director, her knowledge of corporate finance and accounting, and her experience as a biopharmaceutical company executive.</w:t>
            </w:r>
            <w:r>
              <w:rPr/>
              <w:t xml:space="preserve"> </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57" w:type="dxa"/>
            <w:tcBorders/>
            <w:shd w:fill="auto" w:val="clear"/>
            <w:vAlign w:val="center"/>
          </w:tcPr>
          <w:p>
            <w:pPr>
              <w:pStyle w:val="TableContents"/>
              <w:spacing w:before="0" w:after="283"/>
              <w:rPr/>
            </w:pPr>
            <w:r>
              <w:rPr/>
              <w:t>​</w:t>
            </w:r>
          </w:p>
        </w:tc>
      </w:tr>
    </w:tbl>
    <w:tbl>
      <w:tblPr>
        <w:tblW w:w="9245" w:type="dxa"/>
        <w:jc w:val="left"/>
        <w:tblInd w:w="960" w:type="dxa"/>
        <w:tblCellMar>
          <w:top w:w="0" w:type="dxa"/>
          <w:left w:w="0" w:type="dxa"/>
          <w:bottom w:w="0" w:type="dxa"/>
          <w:right w:w="0" w:type="dxa"/>
        </w:tblCellMar>
      </w:tblPr>
      <w:tblGrid>
        <w:gridCol w:w="124"/>
        <w:gridCol w:w="109"/>
        <w:gridCol w:w="2445"/>
        <w:gridCol w:w="133"/>
        <w:gridCol w:w="133"/>
        <w:gridCol w:w="2354"/>
        <w:gridCol w:w="133"/>
        <w:gridCol w:w="133"/>
        <w:gridCol w:w="3417"/>
        <w:gridCol w:w="109"/>
        <w:gridCol w:w="155"/>
      </w:tblGrid>
      <w:tr>
        <w:trPr/>
        <w:tc>
          <w:tcPr>
            <w:tcW w:w="124" w:type="dxa"/>
            <w:tcBorders/>
            <w:shd w:fill="auto" w:val="clear"/>
            <w:vAlign w:val="center"/>
          </w:tcPr>
          <w:p>
            <w:pPr>
              <w:pStyle w:val="TableContents"/>
              <w:spacing w:before="0" w:after="283"/>
              <w:rPr/>
            </w:pPr>
            <w:r>
              <w:rPr/>
              <w:t>​</w:t>
            </w:r>
          </w:p>
        </w:tc>
        <w:tc>
          <w:tcPr>
            <w:tcW w:w="109" w:type="dxa"/>
            <w:tcBorders/>
            <w:shd w:fill="148CD9" w:val="clear"/>
            <w:vAlign w:val="center"/>
          </w:tcPr>
          <w:p>
            <w:pPr>
              <w:pStyle w:val="TableContents"/>
              <w:spacing w:before="0" w:after="283"/>
              <w:rPr/>
            </w:pPr>
            <w:r>
              <w:rPr/>
              <w:t>​</w:t>
            </w:r>
          </w:p>
        </w:tc>
        <w:tc>
          <w:tcPr>
            <w:tcW w:w="2445" w:type="dxa"/>
            <w:tcBorders/>
            <w:shd w:fill="148CD9" w:val="clear"/>
            <w:vAlign w:val="center"/>
          </w:tcPr>
          <w:p>
            <w:pPr>
              <w:pStyle w:val="TableContents"/>
              <w:spacing w:before="0" w:after="0"/>
              <w:jc w:val="both"/>
              <w:rPr>
                <w:spacing w:val="-2"/>
              </w:rPr>
            </w:pPr>
            <w:r>
              <w:rPr>
                <w:spacing w:val="-2"/>
              </w:rPr>
              <w:t xml:space="preserve">ALESSANDRO RIVA, M.D. </w:t>
            </w:r>
          </w:p>
        </w:tc>
        <w:tc>
          <w:tcPr>
            <w:tcW w:w="133" w:type="dxa"/>
            <w:tcBorders/>
            <w:shd w:fill="148CD9" w:val="clear"/>
            <w:vAlign w:val="center"/>
          </w:tcPr>
          <w:p>
            <w:pPr>
              <w:pStyle w:val="TableContents"/>
              <w:spacing w:before="0" w:after="283"/>
              <w:rPr/>
            </w:pPr>
            <w:r>
              <w:rPr/>
              <w:t>​</w:t>
            </w:r>
          </w:p>
        </w:tc>
        <w:tc>
          <w:tcPr>
            <w:tcW w:w="133" w:type="dxa"/>
            <w:tcBorders/>
            <w:shd w:fill="148CD9" w:val="clear"/>
            <w:vAlign w:val="center"/>
          </w:tcPr>
          <w:p>
            <w:pPr>
              <w:pStyle w:val="TableContents"/>
              <w:spacing w:before="0" w:after="283"/>
              <w:rPr/>
            </w:pPr>
            <w:r>
              <w:rPr/>
              <w:t>​</w:t>
            </w:r>
          </w:p>
        </w:tc>
        <w:tc>
          <w:tcPr>
            <w:tcW w:w="2354" w:type="dxa"/>
            <w:tcBorders/>
            <w:shd w:fill="148CD9" w:val="clear"/>
            <w:vAlign w:val="center"/>
          </w:tcPr>
          <w:p>
            <w:pPr>
              <w:pStyle w:val="TableContents"/>
              <w:spacing w:before="0" w:after="283"/>
              <w:jc w:val="center"/>
              <w:rPr/>
            </w:pPr>
            <w:r>
              <w:rPr/>
              <w:t>​</w:t>
            </w:r>
          </w:p>
        </w:tc>
        <w:tc>
          <w:tcPr>
            <w:tcW w:w="133" w:type="dxa"/>
            <w:tcBorders/>
            <w:shd w:fill="148CD9" w:val="clear"/>
            <w:vAlign w:val="center"/>
          </w:tcPr>
          <w:p>
            <w:pPr>
              <w:pStyle w:val="TableContents"/>
              <w:spacing w:before="0" w:after="283"/>
              <w:rPr/>
            </w:pPr>
            <w:r>
              <w:rPr/>
              <w:t>​</w:t>
            </w:r>
          </w:p>
        </w:tc>
        <w:tc>
          <w:tcPr>
            <w:tcW w:w="133" w:type="dxa"/>
            <w:tcBorders/>
            <w:shd w:fill="148CD9" w:val="clear"/>
            <w:vAlign w:val="center"/>
          </w:tcPr>
          <w:p>
            <w:pPr>
              <w:pStyle w:val="TableContents"/>
              <w:spacing w:before="0" w:after="283"/>
              <w:rPr/>
            </w:pPr>
            <w:r>
              <w:rPr/>
              <w:t>​</w:t>
            </w:r>
          </w:p>
        </w:tc>
        <w:tc>
          <w:tcPr>
            <w:tcW w:w="3417" w:type="dxa"/>
            <w:tcBorders/>
            <w:shd w:fill="148CD9" w:val="clear"/>
            <w:vAlign w:val="center"/>
          </w:tcPr>
          <w:p>
            <w:pPr>
              <w:pStyle w:val="TableContents"/>
              <w:spacing w:before="0" w:after="0"/>
              <w:jc w:val="both"/>
              <w:rPr>
                <w:b w:val="false"/>
              </w:rPr>
            </w:pPr>
            <w:r>
              <w:rPr>
                <w:b/>
                <w:spacing w:val="0"/>
              </w:rPr>
              <w:t>Key Skills:</w:t>
            </w:r>
            <w:r>
              <w:rPr>
                <w:b w:val="false"/>
                <w:spacing w:val="0"/>
              </w:rPr>
              <w:t xml:space="preserve"> Global Leadership Positions, Industry Knowledge and Experience </w:t>
            </w:r>
          </w:p>
        </w:tc>
        <w:tc>
          <w:tcPr>
            <w:tcW w:w="109" w:type="dxa"/>
            <w:tcBorders/>
            <w:shd w:fill="148CD9" w:val="clear"/>
            <w:vAlign w:val="center"/>
          </w:tcPr>
          <w:p>
            <w:pPr>
              <w:pStyle w:val="TableContents"/>
              <w:spacing w:before="0" w:after="283"/>
              <w:rPr/>
            </w:pPr>
            <w:r>
              <w:rPr/>
              <w:t>​</w:t>
            </w:r>
          </w:p>
        </w:tc>
        <w:tc>
          <w:tcPr>
            <w:tcW w:w="155" w:type="dxa"/>
            <w:tcBorders/>
            <w:shd w:fill="auto"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2445" w:type="dxa"/>
            <w:tcBorders>
              <w:bottom w:val="single" w:sz="2" w:space="0" w:color="000000"/>
            </w:tcBorders>
            <w:shd w:fill="auto" w:val="clear"/>
            <w:tcMar>
              <w:bottom w:w="28" w:type="dxa"/>
            </w:tcMar>
            <w:vAlign w:val="center"/>
          </w:tcPr>
          <w:p>
            <w:pPr>
              <w:pStyle w:val="TableContents"/>
              <w:spacing w:before="0" w:after="0"/>
              <w:rPr>
                <w:b/>
              </w:rPr>
            </w:pPr>
            <w:r>
              <w:rPr>
                <w:b/>
                <w:spacing w:val="0"/>
              </w:rPr>
              <w:t>Age</w:t>
            </w:r>
            <w:r>
              <w:rPr>
                <w:b w:val="false"/>
                <w:spacing w:val="-1"/>
              </w:rPr>
              <w:t>: 62</w:t>
            </w:r>
            <w:r>
              <w:rPr>
                <w:b/>
              </w:rPr>
              <w:t xml:space="preserve"> </w:t>
              <w:br/>
            </w:r>
            <w:r>
              <w:rPr>
                <w:b/>
                <w:spacing w:val="0"/>
              </w:rPr>
              <w:t>Director Since</w:t>
            </w:r>
            <w:r>
              <w:rPr>
                <w:b w:val="false"/>
                <w:spacing w:val="-1"/>
              </w:rPr>
              <w:t xml:space="preserve">: 2021 </w:t>
            </w:r>
          </w:p>
        </w:tc>
        <w:tc>
          <w:tcPr>
            <w:tcW w:w="133" w:type="dxa"/>
            <w:tcBorders>
              <w:bottom w:val="single" w:sz="2" w:space="0" w:color="000000"/>
            </w:tcBorders>
            <w:shd w:fill="auto" w:val="clear"/>
            <w:tcMar>
              <w:bottom w:w="28" w:type="dxa"/>
            </w:tcMar>
            <w:vAlign w:val="center"/>
          </w:tcPr>
          <w:p>
            <w:pPr>
              <w:pStyle w:val="TableContents"/>
              <w:spacing w:before="0" w:after="283"/>
              <w:rPr/>
            </w:pPr>
            <w:r>
              <w:rPr/>
              <w:t>​</w:t>
            </w:r>
          </w:p>
        </w:tc>
        <w:tc>
          <w:tcPr>
            <w:tcW w:w="133" w:type="dxa"/>
            <w:tcBorders>
              <w:bottom w:val="single" w:sz="2" w:space="0" w:color="000000"/>
            </w:tcBorders>
            <w:shd w:fill="auto" w:val="clear"/>
            <w:tcMar>
              <w:bottom w:w="28" w:type="dxa"/>
            </w:tcMar>
            <w:vAlign w:val="center"/>
          </w:tcPr>
          <w:p>
            <w:pPr>
              <w:pStyle w:val="TableContents"/>
              <w:spacing w:before="0" w:after="283"/>
              <w:rPr/>
            </w:pPr>
            <w:r>
              <w:rPr/>
              <w:t>​</w:t>
            </w:r>
          </w:p>
        </w:tc>
        <w:tc>
          <w:tcPr>
            <w:tcW w:w="2354" w:type="dxa"/>
            <w:tcBorders>
              <w:bottom w:val="single" w:sz="2" w:space="0" w:color="000000"/>
            </w:tcBorders>
            <w:shd w:fill="auto" w:val="clear"/>
            <w:tcMar>
              <w:bottom w:w="28" w:type="dxa"/>
            </w:tcMar>
            <w:vAlign w:val="center"/>
          </w:tcPr>
          <w:p>
            <w:pPr>
              <w:pStyle w:val="TableContents"/>
              <w:spacing w:before="0" w:after="0"/>
              <w:rPr>
                <w:b/>
              </w:rPr>
            </w:pPr>
            <w:r>
              <w:rPr>
                <w:b/>
                <w:spacing w:val="0"/>
              </w:rPr>
              <w:t>Committee Memberships</w:t>
            </w:r>
            <w:r>
              <w:rPr>
                <w:b w:val="false"/>
                <w:spacing w:val="-1"/>
              </w:rPr>
              <w:t xml:space="preserve">: Audit </w:t>
            </w:r>
          </w:p>
        </w:tc>
        <w:tc>
          <w:tcPr>
            <w:tcW w:w="133" w:type="dxa"/>
            <w:tcBorders>
              <w:bottom w:val="single" w:sz="2" w:space="0" w:color="000000"/>
            </w:tcBorders>
            <w:shd w:fill="auto" w:val="clear"/>
            <w:tcMar>
              <w:bottom w:w="28" w:type="dxa"/>
            </w:tcMar>
            <w:vAlign w:val="center"/>
          </w:tcPr>
          <w:p>
            <w:pPr>
              <w:pStyle w:val="TableContents"/>
              <w:spacing w:before="0" w:after="283"/>
              <w:rPr/>
            </w:pPr>
            <w:r>
              <w:rPr/>
              <w:t>​</w:t>
            </w:r>
          </w:p>
        </w:tc>
        <w:tc>
          <w:tcPr>
            <w:tcW w:w="133" w:type="dxa"/>
            <w:tcBorders>
              <w:bottom w:val="single" w:sz="2" w:space="0" w:color="000000"/>
            </w:tcBorders>
            <w:shd w:fill="auto" w:val="clear"/>
            <w:tcMar>
              <w:bottom w:w="28" w:type="dxa"/>
            </w:tcMar>
            <w:vAlign w:val="center"/>
          </w:tcPr>
          <w:p>
            <w:pPr>
              <w:pStyle w:val="TableContents"/>
              <w:spacing w:before="0" w:after="283"/>
              <w:rPr/>
            </w:pPr>
            <w:r>
              <w:rPr/>
              <w:t>​</w:t>
            </w:r>
          </w:p>
        </w:tc>
        <w:tc>
          <w:tcPr>
            <w:tcW w:w="3417" w:type="dxa"/>
            <w:tcBorders>
              <w:bottom w:val="single" w:sz="2" w:space="0" w:color="000000"/>
            </w:tcBorders>
            <w:shd w:fill="auto" w:val="clear"/>
            <w:tcMar>
              <w:bottom w:w="28" w:type="dxa"/>
            </w:tcMar>
            <w:vAlign w:val="center"/>
          </w:tcPr>
          <w:p>
            <w:pPr>
              <w:pStyle w:val="TableContents"/>
              <w:spacing w:before="0" w:after="283"/>
              <w:rPr/>
            </w:pPr>
            <w:r>
              <w:rPr>
                <w:b/>
                <w:spacing w:val="0"/>
              </w:rPr>
              <w:t>Other Public Directorships</w:t>
            </w:r>
            <w:r>
              <w:rPr>
                <w:spacing w:val="-1"/>
              </w:rPr>
              <w:t xml:space="preserve">: BeiGene, Ltd. </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55" w:type="dxa"/>
            <w:tcBorders/>
            <w:shd w:fill="auto"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8748" w:type="dxa"/>
            <w:gridSpan w:val="7"/>
            <w:tcBorders>
              <w:bottom w:val="single" w:sz="2" w:space="0" w:color="000000"/>
            </w:tcBorders>
            <w:shd w:fill="auto" w:val="clear"/>
            <w:tcMar>
              <w:bottom w:w="40" w:type="dxa"/>
            </w:tcMar>
            <w:vAlign w:val="center"/>
          </w:tcPr>
          <w:p>
            <w:pPr>
              <w:pStyle w:val="TableContents"/>
              <w:spacing w:before="0" w:after="0"/>
              <w:jc w:val="both"/>
              <w:rPr/>
            </w:pPr>
            <w:r>
              <w:rPr>
                <w:b/>
                <w:spacing w:val="0"/>
              </w:rPr>
              <w:t>Dr. Riva</w:t>
            </w:r>
            <w:r>
              <w:rPr>
                <w:spacing w:val="-1"/>
              </w:rPr>
              <w:t xml:space="preserve"> has been a member of our Board since May 2021. Dr. Riva has also served as Chief Executive Officer of Intima Bioscience, a privately held biotechnology company focused on oncology cell therapy and therapeutics, since September 2021 and as Non-Executive Independent Director of BeiGene, Ltd., a biotechnology company specialized in oncology therapeutics, since February 2022. Prior to Intima Bioscience, Dr. Riva served as the Chief Executive Officer of Ichnos Sciences, a biotechnology company focusing on oncology therapies from April 2019 until August 2021. Previously, Dr. Riva was the Executive Vice President and Global Head, Oncology Therapeutics and Cell Therapy at Gilead Sciences, Inc., a biotechnology company, from January 2017 to March 2019. Prior to Gilead, Dr. Riva served as the Executive Vice President and Global Head, Oncology Development and Medical Affairs at Novartis AG, a position he held from January 2005 until December 2016. Dr. Riva received his B.M.B.S. and M.D. in Oncology/Hematology from Università degli Studi di Milano. </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55" w:type="dxa"/>
            <w:tcBorders/>
            <w:shd w:fill="auto"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8748" w:type="dxa"/>
            <w:gridSpan w:val="7"/>
            <w:tcBorders>
              <w:bottom w:val="single" w:sz="2" w:space="0" w:color="000000"/>
            </w:tcBorders>
            <w:shd w:fill="auto" w:val="clear"/>
            <w:tcMar>
              <w:bottom w:w="40" w:type="dxa"/>
            </w:tcMar>
            <w:vAlign w:val="center"/>
          </w:tcPr>
          <w:p>
            <w:pPr>
              <w:pStyle w:val="TableContents"/>
              <w:spacing w:before="0" w:after="283"/>
              <w:rPr/>
            </w:pPr>
            <w:r>
              <w:rPr>
                <w:b/>
                <w:i/>
              </w:rPr>
              <w:t>Skills &amp; Qualifications</w:t>
            </w:r>
            <w:r>
              <w:rPr>
                <w:spacing w:val="-1"/>
              </w:rPr>
              <w:t>: We believe that Dr. Riva is qualified to serve on our Board due to his extensive management experience at biotechnology companies.</w:t>
            </w:r>
            <w:r>
              <w:rPr/>
              <w:t xml:space="preserve"> </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55" w:type="dxa"/>
            <w:tcBorders/>
            <w:shd w:fill="auto" w:val="clear"/>
            <w:vAlign w:val="center"/>
          </w:tcPr>
          <w:p>
            <w:pPr>
              <w:pStyle w:val="TableContents"/>
              <w:spacing w:before="0" w:after="283"/>
              <w:rPr/>
            </w:pPr>
            <w:r>
              <w:rPr/>
              <w:t>​</w:t>
            </w:r>
          </w:p>
        </w:tc>
      </w:tr>
    </w:tbl>
    <w:p>
      <w:pPr>
        <w:pStyle w:val="TextBody"/>
        <w:spacing w:lineRule="atLeast" w:line="240" w:before="100" w:after="283"/>
        <w:ind w:left="960" w:right="0" w:hanging="0"/>
        <w:jc w:val="righ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1DA46F"/>
          <w:spacing w:val="0"/>
          <w:sz w:val="20"/>
        </w:rPr>
        <w:t>Notice of Annual Meeting of Stockholders</w:t>
      </w:r>
      <w:r>
        <w:rPr>
          <w:rFonts w:ascii="Arial;Helvetica;sans-serif" w:hAnsi="Arial;Helvetica;sans-serif"/>
          <w:b/>
          <w:i w:val="false"/>
          <w:caps w:val="false"/>
          <w:smallCaps w:val="false"/>
          <w:color w:val="000000"/>
          <w:spacing w:val="0"/>
          <w:sz w:val="20"/>
        </w:rPr>
        <w:t> and 2023 Proxy Statement | </w:t>
      </w:r>
      <w:r>
        <w:rPr>
          <w:rFonts w:ascii="Arial;Helvetica;sans-serif" w:hAnsi="Arial;Helvetica;sans-serif"/>
          <w:b w:val="false"/>
          <w:i w:val="false"/>
          <w:caps w:val="false"/>
          <w:smallCaps w:val="false"/>
          <w:color w:val="000000"/>
          <w:spacing w:val="-1"/>
          <w:sz w:val="20"/>
        </w:rPr>
        <w:t>7</w:t>
      </w:r>
      <w:r>
        <w:rPr>
          <w:rFonts w:ascii="Arial;Helvetica;sans-serif" w:hAnsi="Arial;Helvetica;sans-serif"/>
          <w:b/>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3" w:name="tCODI"/>
      <w:bookmarkEnd w:id="23"/>
      <w:r>
        <w:rPr>
          <w:rFonts w:ascii="calibri;arial;sans-serif" w:hAnsi="calibri;arial;sans-serif"/>
          <w:b w:val="false"/>
          <w:i w:val="false"/>
          <w:caps w:val="false"/>
          <w:smallCaps w:val="false"/>
          <w:color w:val="000000"/>
          <w:sz w:val="16"/>
        </w:rPr>
        <w:t xml:space="preserve">​ </w:t>
      </w:r>
    </w:p>
    <w:tbl>
      <w:tblPr>
        <w:tblW w:w="3049" w:type="dxa"/>
        <w:jc w:val="left"/>
        <w:tblInd w:w="960" w:type="dxa"/>
        <w:tblCellMar>
          <w:top w:w="0" w:type="dxa"/>
          <w:left w:w="0" w:type="dxa"/>
          <w:bottom w:w="0" w:type="dxa"/>
          <w:right w:w="0" w:type="dxa"/>
        </w:tblCellMar>
      </w:tblPr>
      <w:tblGrid>
        <w:gridCol w:w="124"/>
        <w:gridCol w:w="2771"/>
        <w:gridCol w:w="154"/>
      </w:tblGrid>
      <w:tr>
        <w:trPr/>
        <w:tc>
          <w:tcPr>
            <w:tcW w:w="124" w:type="dxa"/>
            <w:tcBorders/>
            <w:shd w:fill="1DA46F" w:val="clear"/>
            <w:vAlign w:val="center"/>
          </w:tcPr>
          <w:p>
            <w:pPr>
              <w:pStyle w:val="TableContents"/>
              <w:spacing w:before="0" w:after="283"/>
              <w:rPr/>
            </w:pPr>
            <w:r>
              <w:rPr/>
              <w:t>​</w:t>
            </w:r>
          </w:p>
        </w:tc>
        <w:tc>
          <w:tcPr>
            <w:tcW w:w="2771" w:type="dxa"/>
            <w:tcBorders/>
            <w:shd w:fill="1DA46F" w:val="clear"/>
            <w:vAlign w:val="center"/>
          </w:tcPr>
          <w:p>
            <w:pPr>
              <w:pStyle w:val="TableContents"/>
              <w:spacing w:lineRule="atLeast" w:line="360" w:before="0" w:after="0"/>
              <w:rPr/>
            </w:pPr>
            <w:r>
              <w:rPr>
                <w:spacing w:val="-5"/>
              </w:rPr>
              <w:t>BOARD OF DIRECTORS</w:t>
            </w:r>
            <w:r>
              <w:rPr/>
              <w:t xml:space="preserve"> </w:t>
            </w:r>
          </w:p>
        </w:tc>
        <w:tc>
          <w:tcPr>
            <w:tcW w:w="154" w:type="dxa"/>
            <w:tcBorders/>
            <w:shd w:fill="1DA46F" w:val="clear"/>
            <w:vAlign w:val="center"/>
          </w:tcPr>
          <w:p>
            <w:pPr>
              <w:pStyle w:val="TableContents"/>
              <w:spacing w:before="0" w:after="283"/>
              <w:rPr/>
            </w:pPr>
            <w:r>
              <w:rPr/>
              <w:t>​</w:t>
            </w:r>
          </w:p>
        </w:tc>
      </w:tr>
    </w:tbl>
    <w:tbl>
      <w:tblPr>
        <w:tblW w:w="9245" w:type="dxa"/>
        <w:jc w:val="left"/>
        <w:tblInd w:w="960" w:type="dxa"/>
        <w:tblCellMar>
          <w:top w:w="0" w:type="dxa"/>
          <w:left w:w="0" w:type="dxa"/>
          <w:bottom w:w="0" w:type="dxa"/>
          <w:right w:w="0" w:type="dxa"/>
        </w:tblCellMar>
      </w:tblPr>
      <w:tblGrid>
        <w:gridCol w:w="124"/>
        <w:gridCol w:w="109"/>
        <w:gridCol w:w="1946"/>
        <w:gridCol w:w="136"/>
        <w:gridCol w:w="136"/>
        <w:gridCol w:w="2670"/>
        <w:gridCol w:w="136"/>
        <w:gridCol w:w="136"/>
        <w:gridCol w:w="3583"/>
        <w:gridCol w:w="109"/>
        <w:gridCol w:w="160"/>
      </w:tblGrid>
      <w:tr>
        <w:trPr/>
        <w:tc>
          <w:tcPr>
            <w:tcW w:w="124" w:type="dxa"/>
            <w:tcBorders/>
            <w:shd w:fill="auto" w:val="clear"/>
            <w:vAlign w:val="center"/>
          </w:tcPr>
          <w:p>
            <w:pPr>
              <w:pStyle w:val="TableContents"/>
              <w:spacing w:before="0" w:after="283"/>
              <w:rPr/>
            </w:pPr>
            <w:r>
              <w:rPr/>
              <w:t>​</w:t>
            </w:r>
          </w:p>
        </w:tc>
        <w:tc>
          <w:tcPr>
            <w:tcW w:w="109" w:type="dxa"/>
            <w:tcBorders/>
            <w:shd w:fill="148CD9" w:val="clear"/>
            <w:vAlign w:val="center"/>
          </w:tcPr>
          <w:p>
            <w:pPr>
              <w:pStyle w:val="TableContents"/>
              <w:spacing w:before="0" w:after="283"/>
              <w:rPr/>
            </w:pPr>
            <w:r>
              <w:rPr/>
              <w:t>​</w:t>
            </w:r>
          </w:p>
        </w:tc>
        <w:tc>
          <w:tcPr>
            <w:tcW w:w="1946" w:type="dxa"/>
            <w:tcBorders/>
            <w:shd w:fill="148CD9" w:val="clear"/>
            <w:vAlign w:val="center"/>
          </w:tcPr>
          <w:p>
            <w:pPr>
              <w:pStyle w:val="TableContents"/>
              <w:spacing w:before="0" w:after="0"/>
              <w:rPr>
                <w:spacing w:val="-2"/>
              </w:rPr>
            </w:pPr>
            <w:r>
              <w:rPr>
                <w:spacing w:val="-2"/>
              </w:rPr>
              <w:t xml:space="preserve">TIMOTHY WALBERT </w:t>
            </w:r>
          </w:p>
        </w:tc>
        <w:tc>
          <w:tcPr>
            <w:tcW w:w="136" w:type="dxa"/>
            <w:tcBorders/>
            <w:shd w:fill="148CD9" w:val="clear"/>
            <w:vAlign w:val="center"/>
          </w:tcPr>
          <w:p>
            <w:pPr>
              <w:pStyle w:val="TableContents"/>
              <w:spacing w:before="0" w:after="283"/>
              <w:rPr/>
            </w:pPr>
            <w:r>
              <w:rPr/>
              <w:t>​</w:t>
            </w:r>
          </w:p>
        </w:tc>
        <w:tc>
          <w:tcPr>
            <w:tcW w:w="136" w:type="dxa"/>
            <w:tcBorders/>
            <w:shd w:fill="148CD9" w:val="clear"/>
            <w:vAlign w:val="center"/>
          </w:tcPr>
          <w:p>
            <w:pPr>
              <w:pStyle w:val="TableContents"/>
              <w:spacing w:before="0" w:after="283"/>
              <w:rPr/>
            </w:pPr>
            <w:r>
              <w:rPr/>
              <w:t>​</w:t>
            </w:r>
          </w:p>
        </w:tc>
        <w:tc>
          <w:tcPr>
            <w:tcW w:w="2670" w:type="dxa"/>
            <w:tcBorders/>
            <w:shd w:fill="148CD9" w:val="clear"/>
            <w:vAlign w:val="center"/>
          </w:tcPr>
          <w:p>
            <w:pPr>
              <w:pStyle w:val="TableContents"/>
              <w:spacing w:before="0" w:after="283"/>
              <w:jc w:val="center"/>
              <w:rPr/>
            </w:pPr>
            <w:r>
              <w:rPr/>
              <w:t>​</w:t>
            </w:r>
          </w:p>
        </w:tc>
        <w:tc>
          <w:tcPr>
            <w:tcW w:w="136" w:type="dxa"/>
            <w:tcBorders/>
            <w:shd w:fill="148CD9" w:val="clear"/>
            <w:vAlign w:val="center"/>
          </w:tcPr>
          <w:p>
            <w:pPr>
              <w:pStyle w:val="TableContents"/>
              <w:spacing w:before="0" w:after="283"/>
              <w:rPr/>
            </w:pPr>
            <w:r>
              <w:rPr/>
              <w:t>​</w:t>
            </w:r>
          </w:p>
        </w:tc>
        <w:tc>
          <w:tcPr>
            <w:tcW w:w="136" w:type="dxa"/>
            <w:tcBorders/>
            <w:shd w:fill="148CD9" w:val="clear"/>
            <w:vAlign w:val="center"/>
          </w:tcPr>
          <w:p>
            <w:pPr>
              <w:pStyle w:val="TableContents"/>
              <w:spacing w:before="0" w:after="283"/>
              <w:rPr/>
            </w:pPr>
            <w:r>
              <w:rPr/>
              <w:t>​</w:t>
            </w:r>
          </w:p>
        </w:tc>
        <w:tc>
          <w:tcPr>
            <w:tcW w:w="3583" w:type="dxa"/>
            <w:tcBorders/>
            <w:shd w:fill="148CD9" w:val="clear"/>
            <w:vAlign w:val="center"/>
          </w:tcPr>
          <w:p>
            <w:pPr>
              <w:pStyle w:val="TableContents"/>
              <w:spacing w:before="0" w:after="0"/>
              <w:jc w:val="both"/>
              <w:rPr>
                <w:b w:val="false"/>
              </w:rPr>
            </w:pPr>
            <w:r>
              <w:rPr>
                <w:b/>
                <w:spacing w:val="0"/>
              </w:rPr>
              <w:t>Key Skills</w:t>
            </w:r>
            <w:r>
              <w:rPr>
                <w:b w:val="false"/>
                <w:spacing w:val="0"/>
              </w:rPr>
              <w:t xml:space="preserve">: Global Leadership Positions, Industry Knowledge and Experience </w:t>
            </w:r>
          </w:p>
        </w:tc>
        <w:tc>
          <w:tcPr>
            <w:tcW w:w="109" w:type="dxa"/>
            <w:tcBorders/>
            <w:shd w:fill="148CD9" w:val="clear"/>
            <w:vAlign w:val="center"/>
          </w:tcPr>
          <w:p>
            <w:pPr>
              <w:pStyle w:val="TableContents"/>
              <w:spacing w:before="0" w:after="283"/>
              <w:rPr/>
            </w:pPr>
            <w:r>
              <w:rPr/>
              <w:t>​</w:t>
            </w:r>
          </w:p>
        </w:tc>
        <w:tc>
          <w:tcPr>
            <w:tcW w:w="160" w:type="dxa"/>
            <w:tcBorders/>
            <w:shd w:fill="auto"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946" w:type="dxa"/>
            <w:tcBorders>
              <w:bottom w:val="single" w:sz="2" w:space="0" w:color="000000"/>
            </w:tcBorders>
            <w:shd w:fill="auto" w:val="clear"/>
            <w:tcMar>
              <w:bottom w:w="28" w:type="dxa"/>
            </w:tcMar>
            <w:vAlign w:val="center"/>
          </w:tcPr>
          <w:p>
            <w:pPr>
              <w:pStyle w:val="TableContents"/>
              <w:spacing w:before="0" w:after="0"/>
              <w:rPr>
                <w:b/>
              </w:rPr>
            </w:pPr>
            <w:r>
              <w:rPr>
                <w:b/>
                <w:spacing w:val="0"/>
              </w:rPr>
              <w:t>Age</w:t>
            </w:r>
            <w:r>
              <w:rPr>
                <w:b w:val="false"/>
                <w:spacing w:val="-1"/>
              </w:rPr>
              <w:t>: 56</w:t>
            </w:r>
            <w:r>
              <w:rPr>
                <w:b/>
              </w:rPr>
              <w:t xml:space="preserve"> </w:t>
              <w:br/>
            </w:r>
            <w:r>
              <w:rPr>
                <w:b/>
                <w:spacing w:val="0"/>
              </w:rPr>
              <w:t>Director Since</w:t>
            </w:r>
            <w:r>
              <w:rPr>
                <w:b w:val="false"/>
                <w:spacing w:val="-1"/>
              </w:rPr>
              <w:t xml:space="preserve">: 2022 </w:t>
            </w:r>
          </w:p>
        </w:tc>
        <w:tc>
          <w:tcPr>
            <w:tcW w:w="136" w:type="dxa"/>
            <w:tcBorders>
              <w:bottom w:val="single" w:sz="2" w:space="0" w:color="000000"/>
            </w:tcBorders>
            <w:shd w:fill="auto" w:val="clear"/>
            <w:tcMar>
              <w:bottom w:w="28" w:type="dxa"/>
            </w:tcMar>
            <w:vAlign w:val="center"/>
          </w:tcPr>
          <w:p>
            <w:pPr>
              <w:pStyle w:val="TableContents"/>
              <w:spacing w:before="0" w:after="283"/>
              <w:rPr/>
            </w:pPr>
            <w:r>
              <w:rPr/>
              <w:t>​</w:t>
            </w:r>
          </w:p>
        </w:tc>
        <w:tc>
          <w:tcPr>
            <w:tcW w:w="136" w:type="dxa"/>
            <w:tcBorders>
              <w:bottom w:val="single" w:sz="2" w:space="0" w:color="000000"/>
            </w:tcBorders>
            <w:shd w:fill="auto" w:val="clear"/>
            <w:tcMar>
              <w:bottom w:w="28" w:type="dxa"/>
            </w:tcMar>
            <w:vAlign w:val="center"/>
          </w:tcPr>
          <w:p>
            <w:pPr>
              <w:pStyle w:val="TableContents"/>
              <w:spacing w:before="0" w:after="283"/>
              <w:rPr/>
            </w:pPr>
            <w:r>
              <w:rPr/>
              <w:t>​</w:t>
            </w:r>
          </w:p>
        </w:tc>
        <w:tc>
          <w:tcPr>
            <w:tcW w:w="2670" w:type="dxa"/>
            <w:tcBorders>
              <w:bottom w:val="single" w:sz="2" w:space="0" w:color="000000"/>
            </w:tcBorders>
            <w:shd w:fill="auto" w:val="clear"/>
            <w:tcMar>
              <w:bottom w:w="28" w:type="dxa"/>
            </w:tcMar>
            <w:vAlign w:val="center"/>
          </w:tcPr>
          <w:p>
            <w:pPr>
              <w:pStyle w:val="TableContents"/>
              <w:spacing w:before="0" w:after="283"/>
              <w:rPr/>
            </w:pPr>
            <w:r>
              <w:rPr>
                <w:b/>
                <w:spacing w:val="0"/>
              </w:rPr>
              <w:t>Committee Memberships</w:t>
            </w:r>
            <w:r>
              <w:rPr>
                <w:spacing w:val="-1"/>
              </w:rPr>
              <w:t xml:space="preserve">: Compensation </w:t>
            </w:r>
          </w:p>
        </w:tc>
        <w:tc>
          <w:tcPr>
            <w:tcW w:w="136" w:type="dxa"/>
            <w:tcBorders>
              <w:bottom w:val="single" w:sz="2" w:space="0" w:color="000000"/>
            </w:tcBorders>
            <w:shd w:fill="auto" w:val="clear"/>
            <w:tcMar>
              <w:bottom w:w="28" w:type="dxa"/>
            </w:tcMar>
            <w:vAlign w:val="center"/>
          </w:tcPr>
          <w:p>
            <w:pPr>
              <w:pStyle w:val="TableContents"/>
              <w:spacing w:before="0" w:after="283"/>
              <w:rPr/>
            </w:pPr>
            <w:r>
              <w:rPr/>
              <w:t>​</w:t>
            </w:r>
          </w:p>
        </w:tc>
        <w:tc>
          <w:tcPr>
            <w:tcW w:w="136" w:type="dxa"/>
            <w:tcBorders>
              <w:bottom w:val="single" w:sz="2" w:space="0" w:color="000000"/>
            </w:tcBorders>
            <w:shd w:fill="auto" w:val="clear"/>
            <w:tcMar>
              <w:bottom w:w="28" w:type="dxa"/>
            </w:tcMar>
            <w:vAlign w:val="center"/>
          </w:tcPr>
          <w:p>
            <w:pPr>
              <w:pStyle w:val="TableContents"/>
              <w:spacing w:before="0" w:after="283"/>
              <w:rPr/>
            </w:pPr>
            <w:r>
              <w:rPr/>
              <w:t>​</w:t>
            </w:r>
          </w:p>
        </w:tc>
        <w:tc>
          <w:tcPr>
            <w:tcW w:w="3583" w:type="dxa"/>
            <w:tcBorders>
              <w:bottom w:val="single" w:sz="2" w:space="0" w:color="000000"/>
            </w:tcBorders>
            <w:shd w:fill="auto" w:val="clear"/>
            <w:tcMar>
              <w:bottom w:w="28" w:type="dxa"/>
            </w:tcMar>
            <w:vAlign w:val="center"/>
          </w:tcPr>
          <w:p>
            <w:pPr>
              <w:pStyle w:val="TableContents"/>
              <w:spacing w:before="0" w:after="283"/>
              <w:rPr/>
            </w:pPr>
            <w:r>
              <w:rPr>
                <w:b/>
                <w:spacing w:val="0"/>
              </w:rPr>
              <w:t>Other Public Directorships</w:t>
            </w:r>
            <w:r>
              <w:rPr>
                <w:spacing w:val="-1"/>
              </w:rPr>
              <w:t xml:space="preserve">: Horizon Therapeutics Public Limited Company </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60" w:type="dxa"/>
            <w:tcBorders/>
            <w:shd w:fill="auto"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8743" w:type="dxa"/>
            <w:gridSpan w:val="7"/>
            <w:tcBorders>
              <w:bottom w:val="single" w:sz="2" w:space="0" w:color="000000"/>
            </w:tcBorders>
            <w:shd w:fill="auto" w:val="clear"/>
            <w:tcMar>
              <w:bottom w:w="40" w:type="dxa"/>
            </w:tcMar>
            <w:vAlign w:val="center"/>
          </w:tcPr>
          <w:p>
            <w:pPr>
              <w:pStyle w:val="TableContents"/>
              <w:spacing w:before="0" w:after="0"/>
              <w:jc w:val="both"/>
              <w:rPr/>
            </w:pPr>
            <w:r>
              <w:rPr>
                <w:b/>
                <w:spacing w:val="0"/>
              </w:rPr>
              <w:t>Mr. Walbert</w:t>
            </w:r>
            <w:r>
              <w:rPr>
                <w:spacing w:val="-1"/>
              </w:rPr>
              <w:t xml:space="preserve"> has been a member of our Board since September 2022. Mr. Walbert has served as President, Chief Executive Officer and director of Horizon Therapeutics Public Limited Company, a public biotechnology company, since June 2008 and has served as its Chairman since March 2010. From May 2007 to June 2009, Mr. Walbert served as President, Chief Executive Officer and director of IDM Pharma, Inc., a public biotechnology company that was acquired by Takeda America Holdings, Inc. in June 2009. From September 2005 to April 2007, Mr. Walbert served as Executive Vice President, Commercial Operations of NeoPharm, Inc., a public biotechnology company. From June 2001 to August 2005, Mr. Walbert served as Divisional Vice President and General Manager of Immunology, where he built and led the global development and launch of the multi-indication biologic HUMIRA, and Divisional Vice President, Global Vardiovascular strategy at Abbott, now AbbVie. From 1998 to 2001, he served as director, CELEBREX North America and arthritis team leader, Asia Pacific, Latin America and Canada at G.D. Searle &amp; Company. Mr. Walbert currently serves on the board of directors of the Illinois Biotechnology Innovation Organization (iBIO). Mr. Walbert is also a member of the National Organization for Rare Disorders (NORD) Advisory Board and serves on the Board of Trustees of Muhlenberg College. He previously served on the board of directors of Aurinia Pharmaceuticals Inc., a public biotechnology company from April 2020 to September 2022; Exicure, Inc., a public clinical-stage biotechnology company, from July 2019 to February 2022; Assertio Holdings, Inc., a public specialty pharmaceutical company, from May 2020 to December 2020 (and before that at Zyla Life Sciences, a public pharmaceutical company, from April 2014 until May 2020, when it was acquired by Assertio); Sucampo Pharmaceuticals, Inc., a public biopharma company, from 2015 to 2018, when it was acquired by Mallinckrodt; XOMA Corporation, a public biotechnology company, from 2011 to 2017 and Raptor Pharmaceutical Corp. (Raptor), a public biopharma company, from 2010 to 2014. Mr. Walbert received his bachelor of arts degree in business from Muhlenberg College, in Allentown, Pennsylvania. </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60" w:type="dxa"/>
            <w:tcBorders/>
            <w:shd w:fill="auto"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8743" w:type="dxa"/>
            <w:gridSpan w:val="7"/>
            <w:tcBorders>
              <w:bottom w:val="single" w:sz="2" w:space="0" w:color="000000"/>
            </w:tcBorders>
            <w:shd w:fill="auto" w:val="clear"/>
            <w:tcMar>
              <w:bottom w:w="40" w:type="dxa"/>
            </w:tcMar>
            <w:vAlign w:val="center"/>
          </w:tcPr>
          <w:p>
            <w:pPr>
              <w:pStyle w:val="TableContents"/>
              <w:spacing w:before="0" w:after="283"/>
              <w:rPr/>
            </w:pPr>
            <w:r>
              <w:rPr>
                <w:b/>
                <w:i/>
              </w:rPr>
              <w:t>Skills &amp; Qualifications:</w:t>
            </w:r>
            <w:r>
              <w:rPr>
                <w:spacing w:val="-1"/>
              </w:rPr>
              <w:t xml:space="preserve"> We believe that Mr. Walbert is qualified to serve on our Board due to his extensive executive-level leadership experience in the biotechnology industry.</w:t>
            </w:r>
            <w:r>
              <w:rPr/>
              <w:t xml:space="preserve"> </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60" w:type="dxa"/>
            <w:tcBorders/>
            <w:shd w:fill="auto" w:val="clear"/>
            <w:vAlign w:val="center"/>
          </w:tcPr>
          <w:p>
            <w:pPr>
              <w:pStyle w:val="TableContents"/>
              <w:spacing w:before="0" w:after="283"/>
              <w:rPr/>
            </w:pPr>
            <w:r>
              <w:rPr/>
              <w:t>​</w:t>
            </w:r>
          </w:p>
        </w:tc>
      </w:tr>
    </w:tbl>
    <w:p>
      <w:pPr>
        <w:pStyle w:val="TextBody"/>
        <w:spacing w:lineRule="atLeast" w:line="240" w:before="230" w:after="283"/>
        <w:ind w:left="960" w:right="0" w:hanging="0"/>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3"/>
          <w:sz w:val="20"/>
        </w:rPr>
        <w:t>CONTINUING DIRECTORS</w:t>
      </w:r>
      <w:r>
        <w:rPr>
          <w:rFonts w:ascii="Arial;Helvetica;sans-serif" w:hAnsi="Arial;Helvetica;sans-serif"/>
          <w:b/>
          <w:i w:val="false"/>
          <w:caps w:val="false"/>
          <w:smallCaps w:val="false"/>
          <w:color w:val="000000"/>
          <w:spacing w:val="4"/>
          <w:sz w:val="20"/>
        </w:rPr>
        <w:t xml:space="preserve"> </w:t>
      </w:r>
    </w:p>
    <w:p>
      <w:pPr>
        <w:pStyle w:val="TextBody"/>
        <w:spacing w:lineRule="atLeast" w:line="240" w:before="240" w:after="283"/>
        <w:rPr>
          <w:rFonts w:ascii="Arial;Helvetica;sans-serif" w:hAnsi="Arial;Helvetica;sans-serif"/>
          <w:b/>
          <w:i/>
          <w:caps w:val="false"/>
          <w:smallCaps w:val="false"/>
          <w:color w:val="000000"/>
          <w:sz w:val="20"/>
        </w:rPr>
      </w:pPr>
      <w:r>
        <w:rPr>
          <w:rFonts w:ascii="Arial;Helvetica;sans-serif" w:hAnsi="Arial;Helvetica;sans-serif"/>
          <w:b/>
          <w:i/>
          <w:caps w:val="false"/>
          <w:smallCaps w:val="false"/>
          <w:color w:val="000000"/>
          <w:sz w:val="20"/>
        </w:rPr>
        <w:t>CLASS I DIRECTORS — TERMS EXPIRING AT THE 2025 ANNUAL MEETING OF STOCKHOLDERS</w:t>
      </w:r>
      <w:r>
        <w:rPr>
          <w:rFonts w:ascii="Arial;Helvetica;sans-serif" w:hAnsi="Arial;Helvetica;sans-serif"/>
          <w:b/>
          <w:i/>
          <w:caps w:val="false"/>
          <w:smallCaps w:val="false"/>
          <w:color w:val="000000"/>
          <w:spacing w:val="4"/>
          <w:sz w:val="20"/>
        </w:rPr>
        <w:t xml:space="preserve"> </w:t>
      </w:r>
    </w:p>
    <w:tbl>
      <w:tblPr>
        <w:tblW w:w="9245" w:type="dxa"/>
        <w:jc w:val="left"/>
        <w:tblInd w:w="960" w:type="dxa"/>
        <w:tblCellMar>
          <w:top w:w="0" w:type="dxa"/>
          <w:left w:w="0" w:type="dxa"/>
          <w:bottom w:w="0" w:type="dxa"/>
          <w:right w:w="0" w:type="dxa"/>
        </w:tblCellMar>
      </w:tblPr>
      <w:tblGrid>
        <w:gridCol w:w="124"/>
        <w:gridCol w:w="109"/>
        <w:gridCol w:w="1626"/>
        <w:gridCol w:w="132"/>
        <w:gridCol w:w="132"/>
        <w:gridCol w:w="3343"/>
        <w:gridCol w:w="132"/>
        <w:gridCol w:w="132"/>
        <w:gridCol w:w="3249"/>
        <w:gridCol w:w="109"/>
        <w:gridCol w:w="157"/>
      </w:tblGrid>
      <w:tr>
        <w:trPr/>
        <w:tc>
          <w:tcPr>
            <w:tcW w:w="124" w:type="dxa"/>
            <w:tcBorders/>
            <w:shd w:fill="auto" w:val="clear"/>
            <w:vAlign w:val="center"/>
          </w:tcPr>
          <w:p>
            <w:pPr>
              <w:pStyle w:val="TableContents"/>
              <w:spacing w:before="0" w:after="283"/>
              <w:rPr/>
            </w:pPr>
            <w:r>
              <w:rPr/>
              <w:t>​</w:t>
            </w:r>
          </w:p>
        </w:tc>
        <w:tc>
          <w:tcPr>
            <w:tcW w:w="109" w:type="dxa"/>
            <w:tcBorders/>
            <w:shd w:fill="148CD9" w:val="clear"/>
            <w:vAlign w:val="center"/>
          </w:tcPr>
          <w:p>
            <w:pPr>
              <w:pStyle w:val="TableContents"/>
              <w:spacing w:before="0" w:after="283"/>
              <w:rPr/>
            </w:pPr>
            <w:r>
              <w:rPr/>
              <w:t>​</w:t>
            </w:r>
          </w:p>
        </w:tc>
        <w:tc>
          <w:tcPr>
            <w:tcW w:w="1626" w:type="dxa"/>
            <w:tcBorders/>
            <w:shd w:fill="148CD9" w:val="clear"/>
            <w:vAlign w:val="center"/>
          </w:tcPr>
          <w:p>
            <w:pPr>
              <w:pStyle w:val="TableContents"/>
              <w:spacing w:before="0" w:after="0"/>
              <w:rPr>
                <w:spacing w:val="-2"/>
              </w:rPr>
            </w:pPr>
            <w:r>
              <w:rPr>
                <w:spacing w:val="-2"/>
              </w:rPr>
              <w:t xml:space="preserve">DAPHNE QUIMI </w:t>
            </w:r>
          </w:p>
        </w:tc>
        <w:tc>
          <w:tcPr>
            <w:tcW w:w="132" w:type="dxa"/>
            <w:tcBorders/>
            <w:shd w:fill="148CD9" w:val="clear"/>
            <w:vAlign w:val="center"/>
          </w:tcPr>
          <w:p>
            <w:pPr>
              <w:pStyle w:val="TableContents"/>
              <w:spacing w:before="0" w:after="283"/>
              <w:rPr/>
            </w:pPr>
            <w:r>
              <w:rPr/>
              <w:t>​</w:t>
            </w:r>
          </w:p>
        </w:tc>
        <w:tc>
          <w:tcPr>
            <w:tcW w:w="132" w:type="dxa"/>
            <w:tcBorders/>
            <w:shd w:fill="148CD9" w:val="clear"/>
            <w:vAlign w:val="center"/>
          </w:tcPr>
          <w:p>
            <w:pPr>
              <w:pStyle w:val="TableContents"/>
              <w:spacing w:before="0" w:after="283"/>
              <w:rPr/>
            </w:pPr>
            <w:r>
              <w:rPr/>
              <w:t>​</w:t>
            </w:r>
          </w:p>
        </w:tc>
        <w:tc>
          <w:tcPr>
            <w:tcW w:w="3343" w:type="dxa"/>
            <w:tcBorders/>
            <w:shd w:fill="148CD9" w:val="clear"/>
            <w:vAlign w:val="center"/>
          </w:tcPr>
          <w:p>
            <w:pPr>
              <w:pStyle w:val="TableContents"/>
              <w:spacing w:before="0" w:after="283"/>
              <w:jc w:val="center"/>
              <w:rPr/>
            </w:pPr>
            <w:r>
              <w:rPr/>
              <w:t>​</w:t>
            </w:r>
          </w:p>
        </w:tc>
        <w:tc>
          <w:tcPr>
            <w:tcW w:w="132" w:type="dxa"/>
            <w:tcBorders/>
            <w:shd w:fill="148CD9" w:val="clear"/>
            <w:vAlign w:val="center"/>
          </w:tcPr>
          <w:p>
            <w:pPr>
              <w:pStyle w:val="TableContents"/>
              <w:spacing w:before="0" w:after="283"/>
              <w:rPr/>
            </w:pPr>
            <w:r>
              <w:rPr/>
              <w:t>​</w:t>
            </w:r>
          </w:p>
        </w:tc>
        <w:tc>
          <w:tcPr>
            <w:tcW w:w="132" w:type="dxa"/>
            <w:tcBorders/>
            <w:shd w:fill="148CD9" w:val="clear"/>
            <w:vAlign w:val="center"/>
          </w:tcPr>
          <w:p>
            <w:pPr>
              <w:pStyle w:val="TableContents"/>
              <w:spacing w:before="0" w:after="283"/>
              <w:rPr/>
            </w:pPr>
            <w:r>
              <w:rPr/>
              <w:t>​</w:t>
            </w:r>
          </w:p>
        </w:tc>
        <w:tc>
          <w:tcPr>
            <w:tcW w:w="3249" w:type="dxa"/>
            <w:tcBorders/>
            <w:shd w:fill="148CD9" w:val="clear"/>
            <w:vAlign w:val="center"/>
          </w:tcPr>
          <w:p>
            <w:pPr>
              <w:pStyle w:val="TableContents"/>
              <w:spacing w:before="0" w:after="0"/>
              <w:jc w:val="both"/>
              <w:rPr>
                <w:b w:val="false"/>
              </w:rPr>
            </w:pPr>
            <w:r>
              <w:rPr>
                <w:b/>
                <w:spacing w:val="0"/>
              </w:rPr>
              <w:t>Key Skills:</w:t>
            </w:r>
            <w:r>
              <w:rPr>
                <w:b w:val="false"/>
                <w:spacing w:val="0"/>
              </w:rPr>
              <w:t xml:space="preserve"> Investing and Capital Raising, Financial Competency </w:t>
            </w:r>
          </w:p>
        </w:tc>
        <w:tc>
          <w:tcPr>
            <w:tcW w:w="109" w:type="dxa"/>
            <w:tcBorders/>
            <w:shd w:fill="148CD9" w:val="clear"/>
            <w:vAlign w:val="center"/>
          </w:tcPr>
          <w:p>
            <w:pPr>
              <w:pStyle w:val="TableContents"/>
              <w:spacing w:before="0" w:after="283"/>
              <w:rPr/>
            </w:pPr>
            <w:r>
              <w:rPr/>
              <w:t>​</w:t>
            </w:r>
          </w:p>
        </w:tc>
        <w:tc>
          <w:tcPr>
            <w:tcW w:w="157" w:type="dxa"/>
            <w:tcBorders/>
            <w:shd w:fill="auto"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626" w:type="dxa"/>
            <w:tcBorders>
              <w:bottom w:val="single" w:sz="2" w:space="0" w:color="000000"/>
            </w:tcBorders>
            <w:shd w:fill="auto" w:val="clear"/>
            <w:tcMar>
              <w:bottom w:w="28" w:type="dxa"/>
            </w:tcMar>
            <w:vAlign w:val="center"/>
          </w:tcPr>
          <w:p>
            <w:pPr>
              <w:pStyle w:val="TableContents"/>
              <w:spacing w:before="0" w:after="0"/>
              <w:rPr>
                <w:b/>
              </w:rPr>
            </w:pPr>
            <w:r>
              <w:rPr>
                <w:b/>
                <w:spacing w:val="0"/>
              </w:rPr>
              <w:t>Age</w:t>
            </w:r>
            <w:r>
              <w:rPr>
                <w:b w:val="false"/>
                <w:spacing w:val="-1"/>
              </w:rPr>
              <w:t>: 57</w:t>
            </w:r>
            <w:r>
              <w:rPr>
                <w:b/>
              </w:rPr>
              <w:t xml:space="preserve"> </w:t>
              <w:br/>
            </w:r>
            <w:r>
              <w:rPr>
                <w:b/>
                <w:spacing w:val="0"/>
              </w:rPr>
              <w:t>Director Since</w:t>
            </w:r>
            <w:r>
              <w:rPr>
                <w:b w:val="false"/>
                <w:spacing w:val="-1"/>
              </w:rPr>
              <w:t xml:space="preserve">: 2022 </w:t>
            </w:r>
          </w:p>
        </w:tc>
        <w:tc>
          <w:tcPr>
            <w:tcW w:w="132" w:type="dxa"/>
            <w:tcBorders>
              <w:bottom w:val="single" w:sz="2" w:space="0" w:color="000000"/>
            </w:tcBorders>
            <w:shd w:fill="auto" w:val="clear"/>
            <w:tcMar>
              <w:bottom w:w="28" w:type="dxa"/>
            </w:tcMar>
            <w:vAlign w:val="center"/>
          </w:tcPr>
          <w:p>
            <w:pPr>
              <w:pStyle w:val="TableContents"/>
              <w:spacing w:before="0" w:after="283"/>
              <w:rPr/>
            </w:pPr>
            <w:r>
              <w:rPr/>
              <w:t>​</w:t>
            </w:r>
          </w:p>
        </w:tc>
        <w:tc>
          <w:tcPr>
            <w:tcW w:w="132" w:type="dxa"/>
            <w:tcBorders>
              <w:bottom w:val="single" w:sz="2" w:space="0" w:color="000000"/>
            </w:tcBorders>
            <w:shd w:fill="auto" w:val="clear"/>
            <w:tcMar>
              <w:bottom w:w="28" w:type="dxa"/>
            </w:tcMar>
            <w:vAlign w:val="center"/>
          </w:tcPr>
          <w:p>
            <w:pPr>
              <w:pStyle w:val="TableContents"/>
              <w:spacing w:before="0" w:after="283"/>
              <w:rPr/>
            </w:pPr>
            <w:r>
              <w:rPr/>
              <w:t>​</w:t>
            </w:r>
          </w:p>
        </w:tc>
        <w:tc>
          <w:tcPr>
            <w:tcW w:w="3343" w:type="dxa"/>
            <w:tcBorders>
              <w:bottom w:val="single" w:sz="2" w:space="0" w:color="000000"/>
            </w:tcBorders>
            <w:shd w:fill="auto" w:val="clear"/>
            <w:tcMar>
              <w:bottom w:w="28" w:type="dxa"/>
            </w:tcMar>
            <w:vAlign w:val="center"/>
          </w:tcPr>
          <w:p>
            <w:pPr>
              <w:pStyle w:val="TableContents"/>
              <w:spacing w:before="0" w:after="283"/>
              <w:rPr/>
            </w:pPr>
            <w:r>
              <w:rPr>
                <w:b/>
                <w:spacing w:val="0"/>
              </w:rPr>
              <w:t>Committee Memberships</w:t>
            </w:r>
            <w:r>
              <w:rPr>
                <w:spacing w:val="-1"/>
              </w:rPr>
              <w:t xml:space="preserve">: Audit, Nominating and Corporate Governance </w:t>
            </w:r>
          </w:p>
        </w:tc>
        <w:tc>
          <w:tcPr>
            <w:tcW w:w="132" w:type="dxa"/>
            <w:tcBorders>
              <w:bottom w:val="single" w:sz="2" w:space="0" w:color="000000"/>
            </w:tcBorders>
            <w:shd w:fill="auto" w:val="clear"/>
            <w:tcMar>
              <w:bottom w:w="28" w:type="dxa"/>
            </w:tcMar>
            <w:vAlign w:val="center"/>
          </w:tcPr>
          <w:p>
            <w:pPr>
              <w:pStyle w:val="TableContents"/>
              <w:spacing w:before="0" w:after="283"/>
              <w:rPr/>
            </w:pPr>
            <w:r>
              <w:rPr/>
              <w:t>​</w:t>
            </w:r>
          </w:p>
        </w:tc>
        <w:tc>
          <w:tcPr>
            <w:tcW w:w="132" w:type="dxa"/>
            <w:tcBorders>
              <w:bottom w:val="single" w:sz="2" w:space="0" w:color="000000"/>
            </w:tcBorders>
            <w:shd w:fill="auto" w:val="clear"/>
            <w:tcMar>
              <w:bottom w:w="28" w:type="dxa"/>
            </w:tcMar>
            <w:vAlign w:val="center"/>
          </w:tcPr>
          <w:p>
            <w:pPr>
              <w:pStyle w:val="TableContents"/>
              <w:spacing w:before="0" w:after="283"/>
              <w:rPr/>
            </w:pPr>
            <w:r>
              <w:rPr/>
              <w:t>​</w:t>
            </w:r>
          </w:p>
        </w:tc>
        <w:tc>
          <w:tcPr>
            <w:tcW w:w="3249" w:type="dxa"/>
            <w:tcBorders>
              <w:bottom w:val="single" w:sz="2" w:space="0" w:color="000000"/>
            </w:tcBorders>
            <w:shd w:fill="auto" w:val="clear"/>
            <w:tcMar>
              <w:bottom w:w="28" w:type="dxa"/>
            </w:tcMar>
            <w:vAlign w:val="center"/>
          </w:tcPr>
          <w:p>
            <w:pPr>
              <w:pStyle w:val="TableContents"/>
              <w:spacing w:before="0" w:after="283"/>
              <w:rPr/>
            </w:pPr>
            <w:r>
              <w:rPr>
                <w:b/>
                <w:spacing w:val="0"/>
              </w:rPr>
              <w:t>Other Public Directorships</w:t>
            </w:r>
            <w:r>
              <w:rPr>
                <w:spacing w:val="-1"/>
              </w:rPr>
              <w:t xml:space="preserve">: Amylyx Pharmaceuticals, Inc. </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57" w:type="dxa"/>
            <w:tcBorders/>
            <w:shd w:fill="auto"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8746" w:type="dxa"/>
            <w:gridSpan w:val="7"/>
            <w:tcBorders>
              <w:bottom w:val="single" w:sz="2" w:space="0" w:color="000000"/>
            </w:tcBorders>
            <w:shd w:fill="auto" w:val="clear"/>
            <w:tcMar>
              <w:bottom w:w="40" w:type="dxa"/>
            </w:tcMar>
            <w:vAlign w:val="center"/>
          </w:tcPr>
          <w:p>
            <w:pPr>
              <w:pStyle w:val="TableContents"/>
              <w:spacing w:before="0" w:after="0"/>
              <w:jc w:val="both"/>
              <w:rPr/>
            </w:pPr>
            <w:r>
              <w:rPr>
                <w:b/>
                <w:spacing w:val="0"/>
              </w:rPr>
              <w:t>Ms. Quimi</w:t>
            </w:r>
            <w:r>
              <w:rPr>
                <w:spacing w:val="-1"/>
              </w:rPr>
              <w:t xml:space="preserve"> has been a member of our Board since September 2022. Ms. Quimi has served as the Chief Financial Officer of Amicus Therapeutics, Inc. (“Amicus”), a public biotechnology company, since January 1, 2019. Previously she served as Amicus’ Senior Vice President, Finance and Corporate Controller and has been employed with Amicus since September 2007. Prior to Amicus, Ms. Quimi served as Director of Consolidations and External Reporting at Bristol-Myers Squibb. Prior to joining Bristol-Myers Squibb, Ms. Quimi also held roles of increasing responsibility in the finance department at Johnson &amp; Johnson. Ms. Quimi brings extensive experience in public accounting and financial reporting. Ms. Quimi received a B.S. in accountancy from Monmouth University and an M.B.A. from the Stern School of Business of New York University. She serves on the board of Amylyx Pharmaceuticals, Inc., a public biopharmaceutical company. Ms. Quimi is also a certified public accountant in New Jersey. </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57" w:type="dxa"/>
            <w:tcBorders/>
            <w:shd w:fill="auto"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8746" w:type="dxa"/>
            <w:gridSpan w:val="7"/>
            <w:tcBorders>
              <w:bottom w:val="single" w:sz="2" w:space="0" w:color="000000"/>
            </w:tcBorders>
            <w:shd w:fill="auto" w:val="clear"/>
            <w:tcMar>
              <w:bottom w:w="40" w:type="dxa"/>
            </w:tcMar>
            <w:vAlign w:val="center"/>
          </w:tcPr>
          <w:p>
            <w:pPr>
              <w:pStyle w:val="TableContents"/>
              <w:spacing w:before="0" w:after="0"/>
              <w:jc w:val="both"/>
              <w:rPr/>
            </w:pPr>
            <w:r>
              <w:rPr>
                <w:b/>
                <w:i/>
              </w:rPr>
              <w:t>Skills &amp; Qualifications:</w:t>
            </w:r>
            <w:r>
              <w:rPr>
                <w:spacing w:val="-1"/>
              </w:rPr>
              <w:t xml:space="preserve"> We believe that Ms. Quimi is qualified to serve on our Board due to her investment experience, experience in public accounting and financial reporting and knowledge of the biopharmaceutical industry.</w:t>
            </w:r>
            <w:r>
              <w:rPr/>
              <w:t xml:space="preserve"> </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57" w:type="dxa"/>
            <w:tcBorders/>
            <w:shd w:fill="auto" w:val="clear"/>
            <w:vAlign w:val="center"/>
          </w:tcPr>
          <w:p>
            <w:pPr>
              <w:pStyle w:val="TableContents"/>
              <w:spacing w:before="0" w:after="283"/>
              <w:rPr/>
            </w:pPr>
            <w:r>
              <w:rPr/>
              <w:t>​</w:t>
            </w:r>
          </w:p>
        </w:tc>
      </w:tr>
    </w:tbl>
    <w:p>
      <w:pPr>
        <w:pStyle w:val="TextBody"/>
        <w:spacing w:lineRule="atLeast" w:line="240" w:before="100" w:after="283"/>
        <w:ind w:left="960" w:right="0" w:hanging="0"/>
        <w:jc w:val="righ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1DA46F"/>
          <w:spacing w:val="0"/>
          <w:sz w:val="20"/>
        </w:rPr>
        <w:t>Notice of Annual Meeting of Stockholders</w:t>
      </w:r>
      <w:r>
        <w:rPr>
          <w:rFonts w:ascii="Arial;Helvetica;sans-serif" w:hAnsi="Arial;Helvetica;sans-serif"/>
          <w:b/>
          <w:i w:val="false"/>
          <w:caps w:val="false"/>
          <w:smallCaps w:val="false"/>
          <w:color w:val="000000"/>
          <w:spacing w:val="0"/>
          <w:sz w:val="20"/>
        </w:rPr>
        <w:t> and 2023 Proxy Statement | </w:t>
      </w:r>
      <w:r>
        <w:rPr>
          <w:rFonts w:ascii="Arial;Helvetica;sans-serif" w:hAnsi="Arial;Helvetica;sans-serif"/>
          <w:b w:val="false"/>
          <w:i w:val="false"/>
          <w:caps w:val="false"/>
          <w:smallCaps w:val="false"/>
          <w:color w:val="000000"/>
          <w:spacing w:val="-1"/>
          <w:sz w:val="20"/>
        </w:rPr>
        <w:t>8</w:t>
      </w:r>
      <w:r>
        <w:rPr>
          <w:rFonts w:ascii="Arial;Helvetica;sans-serif" w:hAnsi="Arial;Helvetica;sans-serif"/>
          <w:b/>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tbl>
      <w:tblPr>
        <w:tblW w:w="3049" w:type="dxa"/>
        <w:jc w:val="left"/>
        <w:tblInd w:w="960" w:type="dxa"/>
        <w:tblCellMar>
          <w:top w:w="0" w:type="dxa"/>
          <w:left w:w="0" w:type="dxa"/>
          <w:bottom w:w="0" w:type="dxa"/>
          <w:right w:w="0" w:type="dxa"/>
        </w:tblCellMar>
      </w:tblPr>
      <w:tblGrid>
        <w:gridCol w:w="124"/>
        <w:gridCol w:w="2771"/>
        <w:gridCol w:w="154"/>
      </w:tblGrid>
      <w:tr>
        <w:trPr/>
        <w:tc>
          <w:tcPr>
            <w:tcW w:w="124" w:type="dxa"/>
            <w:tcBorders/>
            <w:shd w:fill="1DA46F" w:val="clear"/>
            <w:vAlign w:val="center"/>
          </w:tcPr>
          <w:p>
            <w:pPr>
              <w:pStyle w:val="TableContents"/>
              <w:spacing w:before="0" w:after="283"/>
              <w:rPr/>
            </w:pPr>
            <w:r>
              <w:rPr/>
              <w:t>​</w:t>
            </w:r>
          </w:p>
        </w:tc>
        <w:tc>
          <w:tcPr>
            <w:tcW w:w="2771" w:type="dxa"/>
            <w:tcBorders/>
            <w:shd w:fill="1DA46F" w:val="clear"/>
            <w:vAlign w:val="center"/>
          </w:tcPr>
          <w:p>
            <w:pPr>
              <w:pStyle w:val="TableContents"/>
              <w:spacing w:lineRule="atLeast" w:line="360" w:before="0" w:after="0"/>
              <w:rPr/>
            </w:pPr>
            <w:r>
              <w:rPr>
                <w:spacing w:val="-5"/>
              </w:rPr>
              <w:t>BOARD OF DIRECTORS</w:t>
            </w:r>
            <w:r>
              <w:rPr/>
              <w:t xml:space="preserve"> </w:t>
            </w:r>
          </w:p>
        </w:tc>
        <w:tc>
          <w:tcPr>
            <w:tcW w:w="154" w:type="dxa"/>
            <w:tcBorders/>
            <w:shd w:fill="1DA46F" w:val="clear"/>
            <w:vAlign w:val="center"/>
          </w:tcPr>
          <w:p>
            <w:pPr>
              <w:pStyle w:val="TableContents"/>
              <w:spacing w:before="0" w:after="283"/>
              <w:rPr/>
            </w:pPr>
            <w:r>
              <w:rPr/>
              <w:t>​</w:t>
            </w:r>
          </w:p>
        </w:tc>
      </w:tr>
    </w:tbl>
    <w:tbl>
      <w:tblPr>
        <w:tblW w:w="9245" w:type="dxa"/>
        <w:jc w:val="left"/>
        <w:tblInd w:w="960" w:type="dxa"/>
        <w:tblCellMar>
          <w:top w:w="0" w:type="dxa"/>
          <w:left w:w="0" w:type="dxa"/>
          <w:bottom w:w="0" w:type="dxa"/>
          <w:right w:w="0" w:type="dxa"/>
        </w:tblCellMar>
      </w:tblPr>
      <w:tblGrid>
        <w:gridCol w:w="124"/>
        <w:gridCol w:w="109"/>
        <w:gridCol w:w="1763"/>
        <w:gridCol w:w="128"/>
        <w:gridCol w:w="128"/>
        <w:gridCol w:w="3356"/>
        <w:gridCol w:w="128"/>
        <w:gridCol w:w="128"/>
        <w:gridCol w:w="3115"/>
        <w:gridCol w:w="109"/>
        <w:gridCol w:w="157"/>
      </w:tblGrid>
      <w:tr>
        <w:trPr/>
        <w:tc>
          <w:tcPr>
            <w:tcW w:w="124" w:type="dxa"/>
            <w:tcBorders/>
            <w:shd w:fill="auto" w:val="clear"/>
            <w:vAlign w:val="center"/>
          </w:tcPr>
          <w:p>
            <w:pPr>
              <w:pStyle w:val="TableContents"/>
              <w:spacing w:before="0" w:after="283"/>
              <w:rPr/>
            </w:pPr>
            <w:r>
              <w:rPr/>
              <w:t>​</w:t>
            </w:r>
          </w:p>
        </w:tc>
        <w:tc>
          <w:tcPr>
            <w:tcW w:w="109" w:type="dxa"/>
            <w:tcBorders/>
            <w:shd w:fill="148CD9" w:val="clear"/>
            <w:vAlign w:val="center"/>
          </w:tcPr>
          <w:p>
            <w:pPr>
              <w:pStyle w:val="TableContents"/>
              <w:spacing w:before="0" w:after="283"/>
              <w:rPr/>
            </w:pPr>
            <w:r>
              <w:rPr/>
              <w:t>​</w:t>
            </w:r>
          </w:p>
        </w:tc>
        <w:tc>
          <w:tcPr>
            <w:tcW w:w="1763" w:type="dxa"/>
            <w:tcBorders/>
            <w:shd w:fill="148CD9" w:val="clear"/>
            <w:vAlign w:val="center"/>
          </w:tcPr>
          <w:p>
            <w:pPr>
              <w:pStyle w:val="TableContents"/>
              <w:spacing w:before="0" w:after="0"/>
              <w:rPr>
                <w:spacing w:val="-2"/>
              </w:rPr>
            </w:pPr>
            <w:r>
              <w:rPr>
                <w:spacing w:val="-2"/>
              </w:rPr>
              <w:t xml:space="preserve">CARLO RIZZUTO, PH.D. </w:t>
            </w:r>
          </w:p>
        </w:tc>
        <w:tc>
          <w:tcPr>
            <w:tcW w:w="128" w:type="dxa"/>
            <w:tcBorders/>
            <w:shd w:fill="148CD9" w:val="clear"/>
            <w:vAlign w:val="center"/>
          </w:tcPr>
          <w:p>
            <w:pPr>
              <w:pStyle w:val="TableContents"/>
              <w:spacing w:before="0" w:after="283"/>
              <w:rPr/>
            </w:pPr>
            <w:r>
              <w:rPr/>
              <w:t>​</w:t>
            </w:r>
          </w:p>
        </w:tc>
        <w:tc>
          <w:tcPr>
            <w:tcW w:w="128" w:type="dxa"/>
            <w:tcBorders/>
            <w:shd w:fill="148CD9" w:val="clear"/>
            <w:vAlign w:val="center"/>
          </w:tcPr>
          <w:p>
            <w:pPr>
              <w:pStyle w:val="TableContents"/>
              <w:spacing w:before="0" w:after="283"/>
              <w:rPr/>
            </w:pPr>
            <w:r>
              <w:rPr/>
              <w:t>​</w:t>
            </w:r>
          </w:p>
        </w:tc>
        <w:tc>
          <w:tcPr>
            <w:tcW w:w="3356" w:type="dxa"/>
            <w:tcBorders/>
            <w:shd w:fill="148CD9" w:val="clear"/>
            <w:vAlign w:val="center"/>
          </w:tcPr>
          <w:p>
            <w:pPr>
              <w:pStyle w:val="TableContents"/>
              <w:spacing w:before="0" w:after="283"/>
              <w:jc w:val="center"/>
              <w:rPr/>
            </w:pPr>
            <w:r>
              <w:rPr/>
              <w:t>​</w:t>
            </w:r>
          </w:p>
        </w:tc>
        <w:tc>
          <w:tcPr>
            <w:tcW w:w="128" w:type="dxa"/>
            <w:tcBorders/>
            <w:shd w:fill="148CD9" w:val="clear"/>
            <w:vAlign w:val="center"/>
          </w:tcPr>
          <w:p>
            <w:pPr>
              <w:pStyle w:val="TableContents"/>
              <w:spacing w:before="0" w:after="283"/>
              <w:rPr/>
            </w:pPr>
            <w:r>
              <w:rPr/>
              <w:t>​</w:t>
            </w:r>
          </w:p>
        </w:tc>
        <w:tc>
          <w:tcPr>
            <w:tcW w:w="128" w:type="dxa"/>
            <w:tcBorders/>
            <w:shd w:fill="148CD9" w:val="clear"/>
            <w:vAlign w:val="center"/>
          </w:tcPr>
          <w:p>
            <w:pPr>
              <w:pStyle w:val="TableContents"/>
              <w:spacing w:before="0" w:after="283"/>
              <w:rPr/>
            </w:pPr>
            <w:r>
              <w:rPr/>
              <w:t>​</w:t>
            </w:r>
          </w:p>
        </w:tc>
        <w:tc>
          <w:tcPr>
            <w:tcW w:w="3115" w:type="dxa"/>
            <w:tcBorders/>
            <w:shd w:fill="148CD9" w:val="clear"/>
            <w:vAlign w:val="center"/>
          </w:tcPr>
          <w:p>
            <w:pPr>
              <w:pStyle w:val="TableContents"/>
              <w:spacing w:before="0" w:after="0"/>
              <w:jc w:val="both"/>
              <w:rPr>
                <w:b w:val="false"/>
              </w:rPr>
            </w:pPr>
            <w:r>
              <w:rPr>
                <w:b/>
                <w:spacing w:val="0"/>
              </w:rPr>
              <w:t>Key Skills:</w:t>
            </w:r>
            <w:r>
              <w:rPr>
                <w:b w:val="false"/>
                <w:spacing w:val="0"/>
              </w:rPr>
              <w:t xml:space="preserve"> Investing and Capital Raising, Industry Knowledge and Experience </w:t>
            </w:r>
          </w:p>
        </w:tc>
        <w:tc>
          <w:tcPr>
            <w:tcW w:w="109" w:type="dxa"/>
            <w:tcBorders/>
            <w:shd w:fill="148CD9" w:val="clear"/>
            <w:vAlign w:val="center"/>
          </w:tcPr>
          <w:p>
            <w:pPr>
              <w:pStyle w:val="TableContents"/>
              <w:spacing w:before="0" w:after="283"/>
              <w:rPr/>
            </w:pPr>
            <w:r>
              <w:rPr/>
              <w:t>​</w:t>
            </w:r>
          </w:p>
        </w:tc>
        <w:tc>
          <w:tcPr>
            <w:tcW w:w="157" w:type="dxa"/>
            <w:tcBorders/>
            <w:shd w:fill="auto"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763" w:type="dxa"/>
            <w:tcBorders>
              <w:bottom w:val="single" w:sz="2" w:space="0" w:color="000000"/>
            </w:tcBorders>
            <w:shd w:fill="auto" w:val="clear"/>
            <w:tcMar>
              <w:bottom w:w="40" w:type="dxa"/>
            </w:tcMar>
            <w:vAlign w:val="center"/>
          </w:tcPr>
          <w:p>
            <w:pPr>
              <w:pStyle w:val="TableContents"/>
              <w:spacing w:before="0" w:after="283"/>
              <w:rPr/>
            </w:pPr>
            <w:r>
              <w:rPr>
                <w:spacing w:val="-1"/>
              </w:rPr>
              <w:t>Age: 52</w:t>
            </w:r>
            <w:r>
              <w:rPr/>
              <w:t xml:space="preserve"> </w:t>
              <w:br/>
            </w:r>
            <w:r>
              <w:rPr>
                <w:b/>
                <w:spacing w:val="0"/>
              </w:rPr>
              <w:t>Director Since</w:t>
            </w:r>
            <w:r>
              <w:rPr>
                <w:spacing w:val="-1"/>
              </w:rPr>
              <w:t xml:space="preserve">: 2018 </w:t>
            </w:r>
          </w:p>
        </w:tc>
        <w:tc>
          <w:tcPr>
            <w:tcW w:w="128" w:type="dxa"/>
            <w:tcBorders>
              <w:bottom w:val="single" w:sz="2" w:space="0" w:color="000000"/>
            </w:tcBorders>
            <w:shd w:fill="auto" w:val="clear"/>
            <w:tcMar>
              <w:bottom w:w="28" w:type="dxa"/>
            </w:tcMar>
            <w:vAlign w:val="center"/>
          </w:tcPr>
          <w:p>
            <w:pPr>
              <w:pStyle w:val="TableContents"/>
              <w:spacing w:before="0" w:after="283"/>
              <w:rPr/>
            </w:pPr>
            <w:r>
              <w:rPr/>
              <w:t>​</w:t>
            </w:r>
          </w:p>
        </w:tc>
        <w:tc>
          <w:tcPr>
            <w:tcW w:w="128" w:type="dxa"/>
            <w:tcBorders>
              <w:bottom w:val="single" w:sz="2" w:space="0" w:color="000000"/>
            </w:tcBorders>
            <w:shd w:fill="auto" w:val="clear"/>
            <w:tcMar>
              <w:bottom w:w="28" w:type="dxa"/>
            </w:tcMar>
            <w:vAlign w:val="center"/>
          </w:tcPr>
          <w:p>
            <w:pPr>
              <w:pStyle w:val="TableContents"/>
              <w:spacing w:before="0" w:after="283"/>
              <w:rPr/>
            </w:pPr>
            <w:r>
              <w:rPr/>
              <w:t>​</w:t>
            </w:r>
          </w:p>
        </w:tc>
        <w:tc>
          <w:tcPr>
            <w:tcW w:w="3356" w:type="dxa"/>
            <w:tcBorders>
              <w:bottom w:val="single" w:sz="2" w:space="0" w:color="000000"/>
            </w:tcBorders>
            <w:shd w:fill="auto" w:val="clear"/>
            <w:tcMar>
              <w:bottom w:w="28" w:type="dxa"/>
            </w:tcMar>
            <w:vAlign w:val="center"/>
          </w:tcPr>
          <w:p>
            <w:pPr>
              <w:pStyle w:val="TableContents"/>
              <w:spacing w:before="0" w:after="283"/>
              <w:rPr/>
            </w:pPr>
            <w:r>
              <w:rPr>
                <w:b/>
                <w:spacing w:val="0"/>
              </w:rPr>
              <w:t>Committee Memberships</w:t>
            </w:r>
            <w:r>
              <w:rPr>
                <w:spacing w:val="-1"/>
              </w:rPr>
              <w:t xml:space="preserve">: Compensation (Chair), Nominating and Corporate Governance </w:t>
            </w:r>
          </w:p>
        </w:tc>
        <w:tc>
          <w:tcPr>
            <w:tcW w:w="128" w:type="dxa"/>
            <w:tcBorders>
              <w:bottom w:val="single" w:sz="2" w:space="0" w:color="000000"/>
            </w:tcBorders>
            <w:shd w:fill="auto" w:val="clear"/>
            <w:tcMar>
              <w:bottom w:w="28" w:type="dxa"/>
            </w:tcMar>
            <w:vAlign w:val="center"/>
          </w:tcPr>
          <w:p>
            <w:pPr>
              <w:pStyle w:val="TableContents"/>
              <w:spacing w:before="0" w:after="283"/>
              <w:rPr/>
            </w:pPr>
            <w:r>
              <w:rPr/>
              <w:t>​</w:t>
            </w:r>
          </w:p>
        </w:tc>
        <w:tc>
          <w:tcPr>
            <w:tcW w:w="128" w:type="dxa"/>
            <w:tcBorders>
              <w:bottom w:val="single" w:sz="2" w:space="0" w:color="000000"/>
            </w:tcBorders>
            <w:shd w:fill="auto" w:val="clear"/>
            <w:tcMar>
              <w:bottom w:w="28" w:type="dxa"/>
            </w:tcMar>
            <w:vAlign w:val="center"/>
          </w:tcPr>
          <w:p>
            <w:pPr>
              <w:pStyle w:val="TableContents"/>
              <w:spacing w:before="0" w:after="283"/>
              <w:rPr/>
            </w:pPr>
            <w:r>
              <w:rPr/>
              <w:t>​</w:t>
            </w:r>
          </w:p>
        </w:tc>
        <w:tc>
          <w:tcPr>
            <w:tcW w:w="3115" w:type="dxa"/>
            <w:tcBorders>
              <w:bottom w:val="single" w:sz="2" w:space="0" w:color="000000"/>
            </w:tcBorders>
            <w:shd w:fill="auto" w:val="clear"/>
            <w:tcMar>
              <w:bottom w:w="28" w:type="dxa"/>
            </w:tcMar>
            <w:vAlign w:val="center"/>
          </w:tcPr>
          <w:p>
            <w:pPr>
              <w:pStyle w:val="TableContents"/>
              <w:spacing w:before="0" w:after="283"/>
              <w:rPr/>
            </w:pPr>
            <w:r>
              <w:rPr>
                <w:b/>
                <w:spacing w:val="0"/>
              </w:rPr>
              <w:t>Other Public Directorships</w:t>
            </w:r>
            <w:r>
              <w:rPr>
                <w:spacing w:val="-1"/>
              </w:rPr>
              <w:t xml:space="preserve">: Graphite Bio, Inc. </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57" w:type="dxa"/>
            <w:tcBorders/>
            <w:shd w:fill="auto"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8746" w:type="dxa"/>
            <w:gridSpan w:val="7"/>
            <w:tcBorders>
              <w:bottom w:val="single" w:sz="2" w:space="0" w:color="000000"/>
            </w:tcBorders>
            <w:shd w:fill="auto" w:val="clear"/>
            <w:tcMar>
              <w:bottom w:w="40" w:type="dxa"/>
            </w:tcMar>
            <w:vAlign w:val="center"/>
          </w:tcPr>
          <w:p>
            <w:pPr>
              <w:pStyle w:val="TableContents"/>
              <w:spacing w:before="0" w:after="0"/>
              <w:jc w:val="both"/>
              <w:rPr/>
            </w:pPr>
            <w:r>
              <w:rPr>
                <w:b/>
                <w:spacing w:val="0"/>
              </w:rPr>
              <w:t>Dr. Rizzuto</w:t>
            </w:r>
            <w:r>
              <w:rPr>
                <w:spacing w:val="-1"/>
              </w:rPr>
              <w:t xml:space="preserve"> has served as a member of our Board since the 2021 Reorganization, and previously served as a member of the board of managers of the LLC Entity from June 2019 until the 2021 Reorganization. Dr. Rizzuto served on the board of directors of Prior Century from March 2018 until June 2019. From April 2018 until August 2018, Dr. Rizzuto was President, Secretary and Treasurer of Prior Century. Dr. Rizzuto joined Versant Ventures since November 2012 where he has served in a variety of roles including operating principal, venture partner and partner. Dr. Rizzuto has served as Chief Executive Officer of Highline Therapeutics, a biotech incubator established by Versant Ventures, since March 2015. Dr. Rizzuto previously served as Chief Business Officer of Anokion SA, a biopharmaceutical company, from January 2014 to January 2017. Prior to joining Versant Ventures, Dr. Rizzuto worked at Novartis AG, where he was a global program team director from 2010 to 2012. Since March 2020, Dr. Rizzuto has served on the board of directors of Graphite Bio, Inc. and previously served on the board of directors of Pandion Therapeutics, Inc. from January 2018 until March 2021. Dr. Rizzuto received a Ph.D. in virology from Harvard University and a B.A. in biology from the University of Virginia. </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57" w:type="dxa"/>
            <w:tcBorders/>
            <w:shd w:fill="auto"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8746" w:type="dxa"/>
            <w:gridSpan w:val="7"/>
            <w:tcBorders>
              <w:bottom w:val="single" w:sz="2" w:space="0" w:color="000000"/>
            </w:tcBorders>
            <w:shd w:fill="auto" w:val="clear"/>
            <w:tcMar>
              <w:bottom w:w="40" w:type="dxa"/>
            </w:tcMar>
            <w:vAlign w:val="center"/>
          </w:tcPr>
          <w:p>
            <w:pPr>
              <w:pStyle w:val="TableContents"/>
              <w:spacing w:before="0" w:after="0"/>
              <w:jc w:val="both"/>
              <w:rPr/>
            </w:pPr>
            <w:r>
              <w:rPr>
                <w:b/>
                <w:i/>
              </w:rPr>
              <w:t>Skills &amp; Qualifications:</w:t>
            </w:r>
            <w:r>
              <w:rPr>
                <w:spacing w:val="-1"/>
              </w:rPr>
              <w:t xml:space="preserve"> We believe that Dr. Rizzuto is qualified to serve on our Board due to his knowledge and experience as an investor in the life sciences industry.</w:t>
            </w:r>
            <w:r>
              <w:rPr/>
              <w:t xml:space="preserve"> </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57" w:type="dxa"/>
            <w:tcBorders/>
            <w:shd w:fill="auto" w:val="clear"/>
            <w:vAlign w:val="center"/>
          </w:tcPr>
          <w:p>
            <w:pPr>
              <w:pStyle w:val="TableContents"/>
              <w:spacing w:before="0" w:after="283"/>
              <w:rPr/>
            </w:pPr>
            <w:r>
              <w:rPr/>
              <w:t>​</w:t>
            </w:r>
          </w:p>
        </w:tc>
      </w:tr>
    </w:tbl>
    <w:p>
      <w:pPr>
        <w:pStyle w:val="TextBody"/>
        <w:spacing w:lineRule="atLeast" w:line="240" w:before="230" w:after="283"/>
        <w:ind w:left="960" w:right="0" w:hanging="0"/>
        <w:rPr>
          <w:rFonts w:ascii="Arial;Helvetica;sans-serif" w:hAnsi="Arial;Helvetica;sans-serif"/>
          <w:b/>
          <w:i/>
          <w:caps w:val="false"/>
          <w:smallCaps w:val="false"/>
          <w:color w:val="000000"/>
          <w:sz w:val="20"/>
        </w:rPr>
      </w:pPr>
      <w:r>
        <w:rPr>
          <w:rFonts w:ascii="Arial;Helvetica;sans-serif" w:hAnsi="Arial;Helvetica;sans-serif"/>
          <w:b/>
          <w:i/>
          <w:caps w:val="false"/>
          <w:smallCaps w:val="false"/>
          <w:color w:val="000000"/>
          <w:sz w:val="20"/>
        </w:rPr>
        <w:t>CLASS III DIRECTORS — TERMS EXPIRING AT THE 2024 ANNUAL MEETING OF STOCKHOLDERS</w:t>
      </w:r>
      <w:r>
        <w:rPr>
          <w:rFonts w:ascii="Arial;Helvetica;sans-serif" w:hAnsi="Arial;Helvetica;sans-serif"/>
          <w:b/>
          <w:i/>
          <w:caps w:val="false"/>
          <w:smallCaps w:val="false"/>
          <w:color w:val="000000"/>
          <w:spacing w:val="4"/>
          <w:sz w:val="20"/>
        </w:rPr>
        <w:t xml:space="preserve"> </w:t>
      </w:r>
    </w:p>
    <w:tbl>
      <w:tblPr>
        <w:tblW w:w="9245" w:type="dxa"/>
        <w:jc w:val="left"/>
        <w:tblInd w:w="960" w:type="dxa"/>
        <w:tblCellMar>
          <w:top w:w="0" w:type="dxa"/>
          <w:left w:w="0" w:type="dxa"/>
          <w:bottom w:w="0" w:type="dxa"/>
          <w:right w:w="0" w:type="dxa"/>
        </w:tblCellMar>
      </w:tblPr>
      <w:tblGrid>
        <w:gridCol w:w="124"/>
        <w:gridCol w:w="109"/>
        <w:gridCol w:w="1412"/>
        <w:gridCol w:w="128"/>
        <w:gridCol w:w="128"/>
        <w:gridCol w:w="3410"/>
        <w:gridCol w:w="128"/>
        <w:gridCol w:w="128"/>
        <w:gridCol w:w="3410"/>
        <w:gridCol w:w="109"/>
        <w:gridCol w:w="159"/>
      </w:tblGrid>
      <w:tr>
        <w:trPr/>
        <w:tc>
          <w:tcPr>
            <w:tcW w:w="124" w:type="dxa"/>
            <w:tcBorders/>
            <w:shd w:fill="auto" w:val="clear"/>
            <w:vAlign w:val="center"/>
          </w:tcPr>
          <w:p>
            <w:pPr>
              <w:pStyle w:val="TableContents"/>
              <w:spacing w:before="0" w:after="283"/>
              <w:rPr/>
            </w:pPr>
            <w:r>
              <w:rPr/>
              <w:t>​</w:t>
            </w:r>
          </w:p>
        </w:tc>
        <w:tc>
          <w:tcPr>
            <w:tcW w:w="109" w:type="dxa"/>
            <w:tcBorders/>
            <w:shd w:fill="148CD9" w:val="clear"/>
            <w:vAlign w:val="center"/>
          </w:tcPr>
          <w:p>
            <w:pPr>
              <w:pStyle w:val="TableContents"/>
              <w:spacing w:before="0" w:after="283"/>
              <w:rPr/>
            </w:pPr>
            <w:r>
              <w:rPr/>
              <w:t>​</w:t>
            </w:r>
          </w:p>
        </w:tc>
        <w:tc>
          <w:tcPr>
            <w:tcW w:w="5078" w:type="dxa"/>
            <w:gridSpan w:val="4"/>
            <w:tcBorders/>
            <w:shd w:fill="148CD9" w:val="clear"/>
            <w:vAlign w:val="center"/>
          </w:tcPr>
          <w:p>
            <w:pPr>
              <w:pStyle w:val="TableContents"/>
              <w:spacing w:before="0" w:after="0"/>
              <w:rPr>
                <w:spacing w:val="-2"/>
              </w:rPr>
            </w:pPr>
            <w:r>
              <w:rPr>
                <w:spacing w:val="-2"/>
              </w:rPr>
              <w:t xml:space="preserve">JOSEPH JIMENEZ (CHAIRMAN) </w:t>
            </w:r>
          </w:p>
        </w:tc>
        <w:tc>
          <w:tcPr>
            <w:tcW w:w="128" w:type="dxa"/>
            <w:tcBorders/>
            <w:shd w:fill="148CD9" w:val="clear"/>
            <w:vAlign w:val="center"/>
          </w:tcPr>
          <w:p>
            <w:pPr>
              <w:pStyle w:val="TableContents"/>
              <w:spacing w:before="0" w:after="283"/>
              <w:rPr/>
            </w:pPr>
            <w:r>
              <w:rPr/>
              <w:t>​</w:t>
            </w:r>
          </w:p>
        </w:tc>
        <w:tc>
          <w:tcPr>
            <w:tcW w:w="128" w:type="dxa"/>
            <w:tcBorders/>
            <w:shd w:fill="148CD9" w:val="clear"/>
            <w:vAlign w:val="center"/>
          </w:tcPr>
          <w:p>
            <w:pPr>
              <w:pStyle w:val="TableContents"/>
              <w:spacing w:before="0" w:after="283"/>
              <w:rPr/>
            </w:pPr>
            <w:r>
              <w:rPr/>
              <w:t>​</w:t>
            </w:r>
          </w:p>
        </w:tc>
        <w:tc>
          <w:tcPr>
            <w:tcW w:w="3410" w:type="dxa"/>
            <w:tcBorders/>
            <w:shd w:fill="148CD9" w:val="clear"/>
            <w:vAlign w:val="center"/>
          </w:tcPr>
          <w:p>
            <w:pPr>
              <w:pStyle w:val="TableContents"/>
              <w:spacing w:before="0" w:after="0"/>
              <w:jc w:val="both"/>
              <w:rPr>
                <w:b w:val="false"/>
              </w:rPr>
            </w:pPr>
            <w:r>
              <w:rPr>
                <w:b/>
                <w:spacing w:val="0"/>
              </w:rPr>
              <w:t>Key Skills:</w:t>
            </w:r>
            <w:r>
              <w:rPr>
                <w:b w:val="false"/>
                <w:spacing w:val="0"/>
              </w:rPr>
              <w:t xml:space="preserve"> Senior Executive and Public Company Experience </w:t>
            </w:r>
          </w:p>
        </w:tc>
        <w:tc>
          <w:tcPr>
            <w:tcW w:w="109" w:type="dxa"/>
            <w:tcBorders/>
            <w:shd w:fill="148CD9" w:val="clear"/>
            <w:vAlign w:val="center"/>
          </w:tcPr>
          <w:p>
            <w:pPr>
              <w:pStyle w:val="TableContents"/>
              <w:spacing w:before="0" w:after="283"/>
              <w:rPr/>
            </w:pPr>
            <w:r>
              <w:rPr/>
              <w:t>​</w:t>
            </w:r>
          </w:p>
        </w:tc>
        <w:tc>
          <w:tcPr>
            <w:tcW w:w="159" w:type="dxa"/>
            <w:tcBorders/>
            <w:shd w:fill="auto"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412" w:type="dxa"/>
            <w:tcBorders>
              <w:bottom w:val="single" w:sz="2" w:space="0" w:color="000000"/>
            </w:tcBorders>
            <w:shd w:fill="auto" w:val="clear"/>
            <w:tcMar>
              <w:bottom w:w="28" w:type="dxa"/>
            </w:tcMar>
            <w:vAlign w:val="center"/>
          </w:tcPr>
          <w:p>
            <w:pPr>
              <w:pStyle w:val="TableContents"/>
              <w:spacing w:before="0" w:after="0"/>
              <w:rPr>
                <w:b/>
              </w:rPr>
            </w:pPr>
            <w:r>
              <w:rPr>
                <w:b/>
                <w:spacing w:val="0"/>
              </w:rPr>
              <w:t>Age</w:t>
            </w:r>
            <w:r>
              <w:rPr>
                <w:b w:val="false"/>
                <w:spacing w:val="-1"/>
              </w:rPr>
              <w:t>: 63</w:t>
            </w:r>
            <w:r>
              <w:rPr>
                <w:b/>
              </w:rPr>
              <w:t xml:space="preserve"> </w:t>
              <w:br/>
            </w:r>
            <w:r>
              <w:rPr>
                <w:b/>
                <w:spacing w:val="0"/>
              </w:rPr>
              <w:t>Director Since</w:t>
            </w:r>
            <w:r>
              <w:rPr>
                <w:b w:val="false"/>
                <w:spacing w:val="-1"/>
              </w:rPr>
              <w:t xml:space="preserve">: 2019 </w:t>
            </w:r>
          </w:p>
        </w:tc>
        <w:tc>
          <w:tcPr>
            <w:tcW w:w="128" w:type="dxa"/>
            <w:tcBorders>
              <w:bottom w:val="single" w:sz="2" w:space="0" w:color="000000"/>
            </w:tcBorders>
            <w:shd w:fill="auto" w:val="clear"/>
            <w:tcMar>
              <w:bottom w:w="28" w:type="dxa"/>
            </w:tcMar>
            <w:vAlign w:val="center"/>
          </w:tcPr>
          <w:p>
            <w:pPr>
              <w:pStyle w:val="TableContents"/>
              <w:spacing w:before="0" w:after="283"/>
              <w:rPr/>
            </w:pPr>
            <w:r>
              <w:rPr/>
              <w:t>​</w:t>
            </w:r>
          </w:p>
        </w:tc>
        <w:tc>
          <w:tcPr>
            <w:tcW w:w="128" w:type="dxa"/>
            <w:tcBorders>
              <w:bottom w:val="single" w:sz="2" w:space="0" w:color="000000"/>
            </w:tcBorders>
            <w:shd w:fill="auto" w:val="clear"/>
            <w:tcMar>
              <w:bottom w:w="28" w:type="dxa"/>
            </w:tcMar>
            <w:vAlign w:val="center"/>
          </w:tcPr>
          <w:p>
            <w:pPr>
              <w:pStyle w:val="TableContents"/>
              <w:spacing w:before="0" w:after="283"/>
              <w:rPr/>
            </w:pPr>
            <w:r>
              <w:rPr/>
              <w:t>​</w:t>
            </w:r>
          </w:p>
        </w:tc>
        <w:tc>
          <w:tcPr>
            <w:tcW w:w="3410" w:type="dxa"/>
            <w:tcBorders>
              <w:bottom w:val="single" w:sz="2" w:space="0" w:color="000000"/>
            </w:tcBorders>
            <w:shd w:fill="auto" w:val="clear"/>
            <w:tcMar>
              <w:bottom w:w="28" w:type="dxa"/>
            </w:tcMar>
            <w:vAlign w:val="center"/>
          </w:tcPr>
          <w:p>
            <w:pPr>
              <w:pStyle w:val="TableContents"/>
              <w:spacing w:before="0" w:after="283"/>
              <w:rPr/>
            </w:pPr>
            <w:r>
              <w:rPr>
                <w:b/>
                <w:spacing w:val="0"/>
              </w:rPr>
              <w:t>Committee Memberships</w:t>
            </w:r>
            <w:r>
              <w:rPr>
                <w:spacing w:val="-1"/>
              </w:rPr>
              <w:t xml:space="preserve">: Compensation, Nominating and Corporate Governance (Chair) </w:t>
            </w:r>
          </w:p>
        </w:tc>
        <w:tc>
          <w:tcPr>
            <w:tcW w:w="128" w:type="dxa"/>
            <w:tcBorders>
              <w:bottom w:val="single" w:sz="2" w:space="0" w:color="000000"/>
            </w:tcBorders>
            <w:shd w:fill="auto" w:val="clear"/>
            <w:tcMar>
              <w:bottom w:w="28" w:type="dxa"/>
            </w:tcMar>
            <w:vAlign w:val="center"/>
          </w:tcPr>
          <w:p>
            <w:pPr>
              <w:pStyle w:val="TableContents"/>
              <w:spacing w:before="0" w:after="283"/>
              <w:rPr/>
            </w:pPr>
            <w:r>
              <w:rPr/>
              <w:t>​</w:t>
            </w:r>
          </w:p>
        </w:tc>
        <w:tc>
          <w:tcPr>
            <w:tcW w:w="128" w:type="dxa"/>
            <w:tcBorders>
              <w:bottom w:val="single" w:sz="2" w:space="0" w:color="000000"/>
            </w:tcBorders>
            <w:shd w:fill="auto" w:val="clear"/>
            <w:tcMar>
              <w:bottom w:w="28" w:type="dxa"/>
            </w:tcMar>
            <w:vAlign w:val="center"/>
          </w:tcPr>
          <w:p>
            <w:pPr>
              <w:pStyle w:val="TableContents"/>
              <w:spacing w:before="0" w:after="283"/>
              <w:rPr/>
            </w:pPr>
            <w:r>
              <w:rPr/>
              <w:t>​</w:t>
            </w:r>
          </w:p>
        </w:tc>
        <w:tc>
          <w:tcPr>
            <w:tcW w:w="3410" w:type="dxa"/>
            <w:tcBorders>
              <w:bottom w:val="single" w:sz="2" w:space="0" w:color="000000"/>
            </w:tcBorders>
            <w:shd w:fill="auto" w:val="clear"/>
            <w:tcMar>
              <w:bottom w:w="28" w:type="dxa"/>
            </w:tcMar>
            <w:vAlign w:val="center"/>
          </w:tcPr>
          <w:p>
            <w:pPr>
              <w:pStyle w:val="TableContents"/>
              <w:spacing w:before="0" w:after="283"/>
              <w:rPr/>
            </w:pPr>
            <w:r>
              <w:rPr>
                <w:b/>
                <w:spacing w:val="0"/>
              </w:rPr>
              <w:t>Other Public Directorships</w:t>
            </w:r>
            <w:r>
              <w:rPr>
                <w:spacing w:val="-1"/>
              </w:rPr>
              <w:t xml:space="preserve">: Graphite Bio, Inc., Procter &amp; Gamble Co, General Motors Co </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59" w:type="dxa"/>
            <w:tcBorders/>
            <w:shd w:fill="auto"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8744" w:type="dxa"/>
            <w:gridSpan w:val="7"/>
            <w:tcBorders>
              <w:bottom w:val="single" w:sz="2" w:space="0" w:color="000000"/>
            </w:tcBorders>
            <w:shd w:fill="auto" w:val="clear"/>
            <w:tcMar>
              <w:bottom w:w="40" w:type="dxa"/>
            </w:tcMar>
            <w:vAlign w:val="center"/>
          </w:tcPr>
          <w:p>
            <w:pPr>
              <w:pStyle w:val="TableContents"/>
              <w:spacing w:before="0" w:after="0"/>
              <w:jc w:val="both"/>
              <w:rPr/>
            </w:pPr>
            <w:r>
              <w:rPr>
                <w:b/>
                <w:spacing w:val="0"/>
              </w:rPr>
              <w:t>Mr. Jimenez</w:t>
            </w:r>
            <w:r>
              <w:rPr>
                <w:spacing w:val="-1"/>
              </w:rPr>
              <w:t xml:space="preserve"> has served as a member of our Board since the 2021 Reorganization, and previously served as a member of the board of managers of the LLC Entity from August 2019 until the 2021 Reorganization. Mr. Jimenez has served as Chairman of our Board since February 2021. Mr. Jimenez is currently Co-Founder and Managing Director of Aditum Bio, a venture capital firm. He has held this position since July 2019. Mr. Jimenez served as Chief Executive Officer of Novartis AG, a pharmaceutical company, from 2010 until his retirement in 2018. He led Novartis’ Pharmaceuticals Division from October 2007 to 2010 and its Consumer Health Division in 2007. From 2006 to 2007, Mr. Jimenez served as Advisor to the Blackstone Group L.P. Mr. Jimenez is currently a member of the board of directors of General Motors Company, where he has served since 2015. Mr. Jimenez has also been a member of the board of directors of The Proctor &amp; Gamble Company since March 2018 and Graphite Bio since June 2020. Additionally, Mr. Jimenez served on the board of directors of Colgate-Palmolive Company from 2009 to 2015, and of AstraZeneca PLC, from 2002 to 2007. Mr. Jimenez received his B.A. in economics from Stanford University and an M.B.A. from the University of California, Berkeley. </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59" w:type="dxa"/>
            <w:tcBorders/>
            <w:shd w:fill="auto"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8744" w:type="dxa"/>
            <w:gridSpan w:val="7"/>
            <w:tcBorders>
              <w:bottom w:val="single" w:sz="2" w:space="0" w:color="000000"/>
            </w:tcBorders>
            <w:shd w:fill="auto" w:val="clear"/>
            <w:tcMar>
              <w:bottom w:w="40" w:type="dxa"/>
            </w:tcMar>
            <w:vAlign w:val="center"/>
          </w:tcPr>
          <w:p>
            <w:pPr>
              <w:pStyle w:val="TableContents"/>
              <w:spacing w:before="0" w:after="0"/>
              <w:jc w:val="both"/>
              <w:rPr/>
            </w:pPr>
            <w:r>
              <w:rPr>
                <w:b/>
                <w:i/>
              </w:rPr>
              <w:t>Skills &amp; Qualifications:</w:t>
            </w:r>
            <w:r>
              <w:rPr>
                <w:spacing w:val="-1"/>
              </w:rPr>
              <w:t xml:space="preserve"> We believe that Mr. Jimenez is qualified to serve on our Board due to his years of experience as a senior executive in the pharmaceutical industry, his extensive public company directorship experience, and his deep insights into our industry.</w:t>
            </w:r>
            <w:r>
              <w:rPr/>
              <w:t xml:space="preserve"> </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59" w:type="dxa"/>
            <w:tcBorders/>
            <w:shd w:fill="auto" w:val="clear"/>
            <w:vAlign w:val="center"/>
          </w:tcPr>
          <w:p>
            <w:pPr>
              <w:pStyle w:val="TableContents"/>
              <w:spacing w:before="0" w:after="283"/>
              <w:rPr/>
            </w:pPr>
            <w:r>
              <w:rPr/>
              <w:t>​</w:t>
            </w:r>
          </w:p>
        </w:tc>
      </w:tr>
    </w:tbl>
    <w:p>
      <w:pPr>
        <w:pStyle w:val="TextBody"/>
        <w:spacing w:lineRule="atLeast" w:line="240" w:before="100" w:after="283"/>
        <w:ind w:left="960" w:right="0" w:hanging="0"/>
        <w:jc w:val="righ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1DA46F"/>
          <w:spacing w:val="0"/>
          <w:sz w:val="20"/>
        </w:rPr>
        <w:t>Notice of Annual Meeting of Stockholders</w:t>
      </w:r>
      <w:r>
        <w:rPr>
          <w:rFonts w:ascii="Arial;Helvetica;sans-serif" w:hAnsi="Arial;Helvetica;sans-serif"/>
          <w:b/>
          <w:i w:val="false"/>
          <w:caps w:val="false"/>
          <w:smallCaps w:val="false"/>
          <w:color w:val="000000"/>
          <w:spacing w:val="0"/>
          <w:sz w:val="20"/>
        </w:rPr>
        <w:t> and 2023 Proxy Statement | </w:t>
      </w:r>
      <w:r>
        <w:rPr>
          <w:rFonts w:ascii="Arial;Helvetica;sans-serif" w:hAnsi="Arial;Helvetica;sans-serif"/>
          <w:b w:val="false"/>
          <w:i w:val="false"/>
          <w:caps w:val="false"/>
          <w:smallCaps w:val="false"/>
          <w:color w:val="000000"/>
          <w:spacing w:val="-1"/>
          <w:sz w:val="20"/>
        </w:rPr>
        <w:t>9</w:t>
      </w:r>
      <w:r>
        <w:rPr>
          <w:rFonts w:ascii="Arial;Helvetica;sans-serif" w:hAnsi="Arial;Helvetica;sans-serif"/>
          <w:b/>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tbl>
      <w:tblPr>
        <w:tblW w:w="3049" w:type="dxa"/>
        <w:jc w:val="left"/>
        <w:tblInd w:w="960" w:type="dxa"/>
        <w:tblCellMar>
          <w:top w:w="0" w:type="dxa"/>
          <w:left w:w="0" w:type="dxa"/>
          <w:bottom w:w="0" w:type="dxa"/>
          <w:right w:w="0" w:type="dxa"/>
        </w:tblCellMar>
      </w:tblPr>
      <w:tblGrid>
        <w:gridCol w:w="124"/>
        <w:gridCol w:w="2771"/>
        <w:gridCol w:w="154"/>
      </w:tblGrid>
      <w:tr>
        <w:trPr/>
        <w:tc>
          <w:tcPr>
            <w:tcW w:w="124" w:type="dxa"/>
            <w:tcBorders/>
            <w:shd w:fill="1DA46F" w:val="clear"/>
            <w:vAlign w:val="center"/>
          </w:tcPr>
          <w:p>
            <w:pPr>
              <w:pStyle w:val="TableContents"/>
              <w:spacing w:before="0" w:after="283"/>
              <w:rPr/>
            </w:pPr>
            <w:r>
              <w:rPr/>
              <w:t>​</w:t>
            </w:r>
          </w:p>
        </w:tc>
        <w:tc>
          <w:tcPr>
            <w:tcW w:w="2771" w:type="dxa"/>
            <w:tcBorders/>
            <w:shd w:fill="1DA46F" w:val="clear"/>
            <w:vAlign w:val="center"/>
          </w:tcPr>
          <w:p>
            <w:pPr>
              <w:pStyle w:val="TableContents"/>
              <w:spacing w:lineRule="atLeast" w:line="360" w:before="0" w:after="0"/>
              <w:rPr/>
            </w:pPr>
            <w:r>
              <w:rPr>
                <w:spacing w:val="-5"/>
              </w:rPr>
              <w:t>BOARD OF DIRECTORS</w:t>
            </w:r>
            <w:r>
              <w:rPr/>
              <w:t xml:space="preserve"> </w:t>
            </w:r>
          </w:p>
        </w:tc>
        <w:tc>
          <w:tcPr>
            <w:tcW w:w="154" w:type="dxa"/>
            <w:tcBorders/>
            <w:shd w:fill="1DA46F" w:val="clear"/>
            <w:vAlign w:val="center"/>
          </w:tcPr>
          <w:p>
            <w:pPr>
              <w:pStyle w:val="TableContents"/>
              <w:spacing w:before="0" w:after="283"/>
              <w:rPr/>
            </w:pPr>
            <w:r>
              <w:rPr/>
              <w:t>​</w:t>
            </w:r>
          </w:p>
        </w:tc>
      </w:tr>
    </w:tbl>
    <w:tbl>
      <w:tblPr>
        <w:tblW w:w="9245" w:type="dxa"/>
        <w:jc w:val="left"/>
        <w:tblInd w:w="960" w:type="dxa"/>
        <w:tblCellMar>
          <w:top w:w="0" w:type="dxa"/>
          <w:left w:w="0" w:type="dxa"/>
          <w:bottom w:w="0" w:type="dxa"/>
          <w:right w:w="0" w:type="dxa"/>
        </w:tblCellMar>
      </w:tblPr>
      <w:tblGrid>
        <w:gridCol w:w="124"/>
        <w:gridCol w:w="109"/>
        <w:gridCol w:w="1430"/>
        <w:gridCol w:w="129"/>
        <w:gridCol w:w="129"/>
        <w:gridCol w:w="3149"/>
        <w:gridCol w:w="129"/>
        <w:gridCol w:w="129"/>
        <w:gridCol w:w="3652"/>
        <w:gridCol w:w="109"/>
        <w:gridCol w:w="156"/>
      </w:tblGrid>
      <w:tr>
        <w:trPr/>
        <w:tc>
          <w:tcPr>
            <w:tcW w:w="124" w:type="dxa"/>
            <w:tcBorders/>
            <w:shd w:fill="auto" w:val="clear"/>
            <w:vAlign w:val="center"/>
          </w:tcPr>
          <w:p>
            <w:pPr>
              <w:pStyle w:val="TableContents"/>
              <w:spacing w:before="0" w:after="283"/>
              <w:rPr/>
            </w:pPr>
            <w:r>
              <w:rPr/>
              <w:t>​</w:t>
            </w:r>
          </w:p>
        </w:tc>
        <w:tc>
          <w:tcPr>
            <w:tcW w:w="109" w:type="dxa"/>
            <w:tcBorders/>
            <w:shd w:fill="148CD9" w:val="clear"/>
            <w:vAlign w:val="center"/>
          </w:tcPr>
          <w:p>
            <w:pPr>
              <w:pStyle w:val="TableContents"/>
              <w:spacing w:before="0" w:after="283"/>
              <w:rPr/>
            </w:pPr>
            <w:r>
              <w:rPr/>
              <w:t>​</w:t>
            </w:r>
          </w:p>
        </w:tc>
        <w:tc>
          <w:tcPr>
            <w:tcW w:w="4837" w:type="dxa"/>
            <w:gridSpan w:val="4"/>
            <w:tcBorders/>
            <w:shd w:fill="148CD9" w:val="clear"/>
            <w:vAlign w:val="center"/>
          </w:tcPr>
          <w:p>
            <w:pPr>
              <w:pStyle w:val="TableContents"/>
              <w:spacing w:before="0" w:after="0"/>
              <w:rPr>
                <w:spacing w:val="-2"/>
              </w:rPr>
            </w:pPr>
            <w:r>
              <w:rPr>
                <w:spacing w:val="-2"/>
              </w:rPr>
              <w:t xml:space="preserve">KIMBERLY BLACKWELL, M.D. </w:t>
            </w:r>
          </w:p>
        </w:tc>
        <w:tc>
          <w:tcPr>
            <w:tcW w:w="129" w:type="dxa"/>
            <w:tcBorders/>
            <w:shd w:fill="148CD9" w:val="clear"/>
            <w:vAlign w:val="center"/>
          </w:tcPr>
          <w:p>
            <w:pPr>
              <w:pStyle w:val="TableContents"/>
              <w:spacing w:before="0" w:after="283"/>
              <w:rPr/>
            </w:pPr>
            <w:r>
              <w:rPr/>
              <w:t>​</w:t>
            </w:r>
          </w:p>
        </w:tc>
        <w:tc>
          <w:tcPr>
            <w:tcW w:w="129" w:type="dxa"/>
            <w:tcBorders/>
            <w:shd w:fill="148CD9" w:val="clear"/>
            <w:vAlign w:val="center"/>
          </w:tcPr>
          <w:p>
            <w:pPr>
              <w:pStyle w:val="TableContents"/>
              <w:spacing w:before="0" w:after="283"/>
              <w:rPr/>
            </w:pPr>
            <w:r>
              <w:rPr/>
              <w:t>​</w:t>
            </w:r>
          </w:p>
        </w:tc>
        <w:tc>
          <w:tcPr>
            <w:tcW w:w="3652" w:type="dxa"/>
            <w:tcBorders/>
            <w:shd w:fill="148CD9" w:val="clear"/>
            <w:vAlign w:val="center"/>
          </w:tcPr>
          <w:p>
            <w:pPr>
              <w:pStyle w:val="TableContents"/>
              <w:spacing w:before="0" w:after="0"/>
              <w:jc w:val="both"/>
              <w:rPr>
                <w:b w:val="false"/>
              </w:rPr>
            </w:pPr>
            <w:r>
              <w:rPr>
                <w:b/>
                <w:spacing w:val="0"/>
              </w:rPr>
              <w:t>Key Skills:</w:t>
            </w:r>
            <w:r>
              <w:rPr>
                <w:b w:val="false"/>
                <w:spacing w:val="0"/>
              </w:rPr>
              <w:t xml:space="preserve"> Industry Knowledge and Experience </w:t>
            </w:r>
          </w:p>
        </w:tc>
        <w:tc>
          <w:tcPr>
            <w:tcW w:w="109" w:type="dxa"/>
            <w:tcBorders/>
            <w:shd w:fill="148CD9" w:val="clear"/>
            <w:vAlign w:val="center"/>
          </w:tcPr>
          <w:p>
            <w:pPr>
              <w:pStyle w:val="TableContents"/>
              <w:spacing w:before="0" w:after="283"/>
              <w:rPr/>
            </w:pPr>
            <w:r>
              <w:rPr/>
              <w:t>​</w:t>
            </w:r>
          </w:p>
        </w:tc>
        <w:tc>
          <w:tcPr>
            <w:tcW w:w="156" w:type="dxa"/>
            <w:tcBorders/>
            <w:shd w:fill="auto"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430" w:type="dxa"/>
            <w:tcBorders>
              <w:bottom w:val="single" w:sz="2" w:space="0" w:color="000000"/>
            </w:tcBorders>
            <w:shd w:fill="auto" w:val="clear"/>
            <w:tcMar>
              <w:bottom w:w="28" w:type="dxa"/>
            </w:tcMar>
            <w:vAlign w:val="center"/>
          </w:tcPr>
          <w:p>
            <w:pPr>
              <w:pStyle w:val="TableContents"/>
              <w:spacing w:before="0" w:after="0"/>
              <w:rPr>
                <w:b/>
              </w:rPr>
            </w:pPr>
            <w:r>
              <w:rPr>
                <w:b/>
                <w:spacing w:val="0"/>
              </w:rPr>
              <w:t>Age</w:t>
            </w:r>
            <w:r>
              <w:rPr>
                <w:b w:val="false"/>
                <w:spacing w:val="-1"/>
              </w:rPr>
              <w:t>: 53</w:t>
            </w:r>
            <w:r>
              <w:rPr>
                <w:b/>
              </w:rPr>
              <w:t xml:space="preserve"> </w:t>
              <w:br/>
            </w:r>
            <w:r>
              <w:rPr>
                <w:b/>
                <w:spacing w:val="0"/>
              </w:rPr>
              <w:t>Director Since</w:t>
            </w:r>
            <w:r>
              <w:rPr>
                <w:b w:val="false"/>
                <w:spacing w:val="-1"/>
              </w:rPr>
              <w:t xml:space="preserve">: 2021 </w:t>
            </w:r>
          </w:p>
        </w:tc>
        <w:tc>
          <w:tcPr>
            <w:tcW w:w="129" w:type="dxa"/>
            <w:tcBorders>
              <w:bottom w:val="single" w:sz="2" w:space="0" w:color="000000"/>
            </w:tcBorders>
            <w:shd w:fill="auto" w:val="clear"/>
            <w:tcMar>
              <w:bottom w:w="28" w:type="dxa"/>
            </w:tcMar>
            <w:vAlign w:val="center"/>
          </w:tcPr>
          <w:p>
            <w:pPr>
              <w:pStyle w:val="TableContents"/>
              <w:spacing w:before="0" w:after="283"/>
              <w:rPr/>
            </w:pPr>
            <w:r>
              <w:rPr/>
              <w:t>​</w:t>
            </w:r>
          </w:p>
        </w:tc>
        <w:tc>
          <w:tcPr>
            <w:tcW w:w="129" w:type="dxa"/>
            <w:tcBorders>
              <w:bottom w:val="single" w:sz="2" w:space="0" w:color="000000"/>
            </w:tcBorders>
            <w:shd w:fill="auto" w:val="clear"/>
            <w:tcMar>
              <w:bottom w:w="28" w:type="dxa"/>
            </w:tcMar>
            <w:vAlign w:val="center"/>
          </w:tcPr>
          <w:p>
            <w:pPr>
              <w:pStyle w:val="TableContents"/>
              <w:spacing w:before="0" w:after="283"/>
              <w:rPr/>
            </w:pPr>
            <w:r>
              <w:rPr/>
              <w:t>​</w:t>
            </w:r>
          </w:p>
        </w:tc>
        <w:tc>
          <w:tcPr>
            <w:tcW w:w="3149" w:type="dxa"/>
            <w:tcBorders>
              <w:bottom w:val="single" w:sz="2" w:space="0" w:color="000000"/>
            </w:tcBorders>
            <w:shd w:fill="auto" w:val="clear"/>
            <w:tcMar>
              <w:bottom w:w="28" w:type="dxa"/>
            </w:tcMar>
            <w:vAlign w:val="center"/>
          </w:tcPr>
          <w:p>
            <w:pPr>
              <w:pStyle w:val="TableContents"/>
              <w:spacing w:before="0" w:after="283"/>
              <w:rPr/>
            </w:pPr>
            <w:r>
              <w:rPr>
                <w:b/>
                <w:spacing w:val="0"/>
              </w:rPr>
              <w:t>Committee Memberships</w:t>
            </w:r>
            <w:r>
              <w:rPr>
                <w:spacing w:val="-1"/>
              </w:rPr>
              <w:t xml:space="preserve">: Audit, Nominating and Corporate Governance </w:t>
            </w:r>
          </w:p>
        </w:tc>
        <w:tc>
          <w:tcPr>
            <w:tcW w:w="129" w:type="dxa"/>
            <w:tcBorders>
              <w:bottom w:val="single" w:sz="2" w:space="0" w:color="000000"/>
            </w:tcBorders>
            <w:shd w:fill="auto" w:val="clear"/>
            <w:tcMar>
              <w:bottom w:w="28" w:type="dxa"/>
            </w:tcMar>
            <w:vAlign w:val="center"/>
          </w:tcPr>
          <w:p>
            <w:pPr>
              <w:pStyle w:val="TableContents"/>
              <w:spacing w:before="0" w:after="283"/>
              <w:rPr/>
            </w:pPr>
            <w:r>
              <w:rPr/>
              <w:t>​</w:t>
            </w:r>
          </w:p>
        </w:tc>
        <w:tc>
          <w:tcPr>
            <w:tcW w:w="129" w:type="dxa"/>
            <w:tcBorders>
              <w:bottom w:val="single" w:sz="2" w:space="0" w:color="000000"/>
            </w:tcBorders>
            <w:shd w:fill="auto" w:val="clear"/>
            <w:tcMar>
              <w:bottom w:w="28" w:type="dxa"/>
            </w:tcMar>
            <w:vAlign w:val="center"/>
          </w:tcPr>
          <w:p>
            <w:pPr>
              <w:pStyle w:val="TableContents"/>
              <w:spacing w:before="0" w:after="283"/>
              <w:rPr/>
            </w:pPr>
            <w:r>
              <w:rPr/>
              <w:t>​</w:t>
            </w:r>
          </w:p>
        </w:tc>
        <w:tc>
          <w:tcPr>
            <w:tcW w:w="3652" w:type="dxa"/>
            <w:tcBorders>
              <w:bottom w:val="single" w:sz="2" w:space="0" w:color="000000"/>
            </w:tcBorders>
            <w:shd w:fill="auto" w:val="clear"/>
            <w:tcMar>
              <w:bottom w:w="28" w:type="dxa"/>
            </w:tcMar>
            <w:vAlign w:val="center"/>
          </w:tcPr>
          <w:p>
            <w:pPr>
              <w:pStyle w:val="TableContents"/>
              <w:spacing w:before="0" w:after="283"/>
              <w:rPr/>
            </w:pPr>
            <w:r>
              <w:rPr>
                <w:b/>
                <w:spacing w:val="0"/>
              </w:rPr>
              <w:t>Other Public Directorships</w:t>
            </w:r>
            <w:r>
              <w:rPr>
                <w:spacing w:val="-1"/>
              </w:rPr>
              <w:t xml:space="preserve">: Monte Rosa Therapeutics, Inc., Zentalis Pharmaceuticals, Inc. </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56" w:type="dxa"/>
            <w:tcBorders/>
            <w:shd w:fill="auto"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8747" w:type="dxa"/>
            <w:gridSpan w:val="7"/>
            <w:tcBorders>
              <w:bottom w:val="single" w:sz="2" w:space="0" w:color="000000"/>
            </w:tcBorders>
            <w:shd w:fill="auto" w:val="clear"/>
            <w:tcMar>
              <w:bottom w:w="40" w:type="dxa"/>
            </w:tcMar>
            <w:vAlign w:val="center"/>
          </w:tcPr>
          <w:p>
            <w:pPr>
              <w:pStyle w:val="TableContents"/>
              <w:spacing w:before="0" w:after="0"/>
              <w:jc w:val="both"/>
              <w:rPr/>
            </w:pPr>
            <w:r>
              <w:rPr>
                <w:b/>
                <w:spacing w:val="0"/>
              </w:rPr>
              <w:t>Dr. Blackwell</w:t>
            </w:r>
            <w:r>
              <w:rPr>
                <w:spacing w:val="-1"/>
              </w:rPr>
              <w:t xml:space="preserve"> has been a member of our Board since May 2021. Dr. Blackwell has been the Chief Medical Officer and Senior Vice President, Clinical Oncology Development at Tempus Labs, Inc., a biotechnology company, since March 2020. Previously, Dr. Blackwell was the Vice President of Early Phase Immunooncology at Eli Lilly and Company, a pharmaceutical company, from March 2018 to March 2020. Prior to Eli Lilly, Dr. Blackwell held positions at Duke Medical Center and Duke Cancer Institute as a Professor in the Department of Medicine from July 1997 to March 2018. Dr. Blackwell has served on the board of directors of Monte Rosa Therapeutics, Inc., a biotechnology company, and Zentalis Pharmaceuticals, Inc., a clinical-stage biopharmaceutical company, since June and July 2020, respectively. Dr. Blackwell received her B.A. in bioethics from Duke University and her M.D. from the Mayo Clinic Medical School. </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56" w:type="dxa"/>
            <w:tcBorders/>
            <w:shd w:fill="auto"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8747" w:type="dxa"/>
            <w:gridSpan w:val="7"/>
            <w:tcBorders>
              <w:bottom w:val="single" w:sz="2" w:space="0" w:color="000000"/>
            </w:tcBorders>
            <w:shd w:fill="auto" w:val="clear"/>
            <w:tcMar>
              <w:bottom w:w="40" w:type="dxa"/>
            </w:tcMar>
            <w:vAlign w:val="center"/>
          </w:tcPr>
          <w:p>
            <w:pPr>
              <w:pStyle w:val="TableContents"/>
              <w:spacing w:before="0" w:after="0"/>
              <w:jc w:val="both"/>
              <w:rPr/>
            </w:pPr>
            <w:r>
              <w:rPr>
                <w:b/>
                <w:i/>
              </w:rPr>
              <w:t>Skills &amp; Qualifications:</w:t>
            </w:r>
            <w:r>
              <w:rPr>
                <w:spacing w:val="-1"/>
              </w:rPr>
              <w:t xml:space="preserve"> We believe that Dr. Blackwell is qualified to serve on our Board due to her experience on the boards of pharmaceutical companies and her extensive knowledge of the biotechnology and pharmaceutical industries.</w:t>
            </w:r>
            <w:r>
              <w:rPr/>
              <w:t xml:space="preserve"> </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56" w:type="dxa"/>
            <w:tcBorders/>
            <w:shd w:fill="auto" w:val="clear"/>
            <w:vAlign w:val="center"/>
          </w:tcPr>
          <w:p>
            <w:pPr>
              <w:pStyle w:val="TableContents"/>
              <w:spacing w:before="0" w:after="283"/>
              <w:rPr/>
            </w:pPr>
            <w:r>
              <w:rPr/>
              <w:t>​</w:t>
            </w:r>
          </w:p>
        </w:tc>
      </w:tr>
    </w:tbl>
    <w:p>
      <w:pPr>
        <w:pStyle w:val="TextBody"/>
        <w:spacing w:lineRule="atLeast" w:line="240" w:before="100" w:after="283"/>
        <w:ind w:left="960" w:right="0" w:hanging="0"/>
        <w:jc w:val="righ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1DA46F"/>
          <w:spacing w:val="0"/>
          <w:sz w:val="20"/>
        </w:rPr>
        <w:t>Notice of Annual Meeting of Stockholders</w:t>
      </w:r>
      <w:r>
        <w:rPr>
          <w:rFonts w:ascii="Arial;Helvetica;sans-serif" w:hAnsi="Arial;Helvetica;sans-serif"/>
          <w:b/>
          <w:i w:val="false"/>
          <w:caps w:val="false"/>
          <w:smallCaps w:val="false"/>
          <w:color w:val="000000"/>
          <w:spacing w:val="0"/>
          <w:sz w:val="20"/>
        </w:rPr>
        <w:t> and 2023 Proxy Statement | </w:t>
      </w:r>
      <w:r>
        <w:rPr>
          <w:rFonts w:ascii="Arial;Helvetica;sans-serif" w:hAnsi="Arial;Helvetica;sans-serif"/>
          <w:b w:val="false"/>
          <w:i w:val="false"/>
          <w:caps w:val="false"/>
          <w:smallCaps w:val="false"/>
          <w:color w:val="000000"/>
          <w:spacing w:val="-1"/>
          <w:sz w:val="20"/>
        </w:rPr>
        <w:t>10</w:t>
      </w:r>
      <w:r>
        <w:rPr>
          <w:rFonts w:ascii="Arial;Helvetica;sans-serif" w:hAnsi="Arial;Helvetica;sans-serif"/>
          <w:b/>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4" w:name="tCGAR"/>
      <w:bookmarkEnd w:id="24"/>
      <w:r>
        <w:rPr>
          <w:rFonts w:ascii="calibri;arial;sans-serif" w:hAnsi="calibri;arial;sans-serif"/>
          <w:b w:val="false"/>
          <w:i w:val="false"/>
          <w:caps w:val="false"/>
          <w:smallCaps w:val="false"/>
          <w:color w:val="000000"/>
          <w:sz w:val="16"/>
        </w:rPr>
        <w:t>​</w:t>
      </w:r>
      <w:bookmarkStart w:id="25" w:name="tBOIN"/>
      <w:bookmarkEnd w:id="25"/>
      <w:r>
        <w:rPr>
          <w:rFonts w:ascii="calibri;arial;sans-serif" w:hAnsi="calibri;arial;sans-serif"/>
          <w:b w:val="false"/>
          <w:i w:val="false"/>
          <w:caps w:val="false"/>
          <w:smallCaps w:val="false"/>
          <w:color w:val="000000"/>
          <w:sz w:val="16"/>
        </w:rPr>
        <w:t>​</w:t>
      </w:r>
      <w:bookmarkStart w:id="26" w:name="tBLS"/>
      <w:bookmarkEnd w:id="26"/>
      <w:r>
        <w:rPr>
          <w:rFonts w:ascii="calibri;arial;sans-serif" w:hAnsi="calibri;arial;sans-serif"/>
          <w:b w:val="false"/>
          <w:i w:val="false"/>
          <w:caps w:val="false"/>
          <w:smallCaps w:val="false"/>
          <w:color w:val="000000"/>
          <w:sz w:val="16"/>
        </w:rPr>
        <w:t>​</w:t>
      </w:r>
      <w:bookmarkStart w:id="27" w:name="tBOCO"/>
      <w:bookmarkEnd w:id="27"/>
      <w:r>
        <w:rPr>
          <w:rFonts w:ascii="calibri;arial;sans-serif" w:hAnsi="calibri;arial;sans-serif"/>
          <w:b w:val="false"/>
          <w:i w:val="false"/>
          <w:caps w:val="false"/>
          <w:smallCaps w:val="false"/>
          <w:color w:val="000000"/>
          <w:sz w:val="16"/>
        </w:rPr>
        <w:t>​</w:t>
      </w:r>
      <w:bookmarkStart w:id="28" w:name="tRIMA"/>
      <w:bookmarkEnd w:id="28"/>
      <w:r>
        <w:rPr>
          <w:rFonts w:ascii="calibri;arial;sans-serif" w:hAnsi="calibri;arial;sans-serif"/>
          <w:b w:val="false"/>
          <w:i w:val="false"/>
          <w:caps w:val="false"/>
          <w:smallCaps w:val="false"/>
          <w:color w:val="000000"/>
          <w:sz w:val="16"/>
        </w:rPr>
        <w:t xml:space="preserve">​ </w:t>
      </w:r>
    </w:p>
    <w:tbl>
      <w:tblPr>
        <w:tblW w:w="6574" w:type="dxa"/>
        <w:jc w:val="left"/>
        <w:tblInd w:w="960" w:type="dxa"/>
        <w:tblCellMar>
          <w:top w:w="0" w:type="dxa"/>
          <w:left w:w="0" w:type="dxa"/>
          <w:bottom w:w="0" w:type="dxa"/>
          <w:right w:w="0" w:type="dxa"/>
        </w:tblCellMar>
      </w:tblPr>
      <w:tblGrid>
        <w:gridCol w:w="124"/>
        <w:gridCol w:w="6296"/>
        <w:gridCol w:w="154"/>
      </w:tblGrid>
      <w:tr>
        <w:trPr/>
        <w:tc>
          <w:tcPr>
            <w:tcW w:w="124" w:type="dxa"/>
            <w:tcBorders/>
            <w:shd w:fill="1DA46F" w:val="clear"/>
            <w:vAlign w:val="center"/>
          </w:tcPr>
          <w:p>
            <w:pPr>
              <w:pStyle w:val="TableContents"/>
              <w:spacing w:before="0" w:after="283"/>
              <w:rPr/>
            </w:pPr>
            <w:r>
              <w:rPr/>
              <w:t>​</w:t>
            </w:r>
          </w:p>
        </w:tc>
        <w:tc>
          <w:tcPr>
            <w:tcW w:w="6296" w:type="dxa"/>
            <w:tcBorders/>
            <w:shd w:fill="1DA46F" w:val="clear"/>
            <w:vAlign w:val="center"/>
          </w:tcPr>
          <w:p>
            <w:pPr>
              <w:pStyle w:val="TableContents"/>
              <w:spacing w:lineRule="atLeast" w:line="360" w:before="0" w:after="0"/>
              <w:rPr/>
            </w:pPr>
            <w:r>
              <w:rPr>
                <w:spacing w:val="-5"/>
              </w:rPr>
              <w:t>CORPORATE GOVERNANCE AND RISK MANAGEMENT</w:t>
            </w:r>
            <w:r>
              <w:rPr/>
              <w:t xml:space="preserve"> </w:t>
            </w:r>
          </w:p>
        </w:tc>
        <w:tc>
          <w:tcPr>
            <w:tcW w:w="154" w:type="dxa"/>
            <w:tcBorders/>
            <w:shd w:fill="1DA46F" w:val="clear"/>
            <w:vAlign w:val="center"/>
          </w:tcPr>
          <w:p>
            <w:pPr>
              <w:pStyle w:val="TableContents"/>
              <w:spacing w:before="0" w:after="283"/>
              <w:rPr/>
            </w:pPr>
            <w:r>
              <w:rPr/>
              <w:t>​</w:t>
            </w:r>
          </w:p>
        </w:tc>
      </w:tr>
    </w:tbl>
    <w:p>
      <w:pPr>
        <w:pStyle w:val="TextBody"/>
        <w:spacing w:lineRule="atLeast" w:line="240" w:before="360" w:after="283"/>
        <w:ind w:left="960" w:right="0" w:hanging="0"/>
        <w:jc w:val="both"/>
        <w:rPr>
          <w:rFonts w:ascii="Arial;Helvetica;sans-serif" w:hAnsi="Arial;Helvetica;sans-serif"/>
          <w:b w:val="false"/>
          <w:i w:val="false"/>
          <w:caps w:val="false"/>
          <w:smallCaps w:val="false"/>
          <w:color w:val="148CD9"/>
          <w:sz w:val="20"/>
        </w:rPr>
      </w:pPr>
      <w:r>
        <w:rPr>
          <w:rFonts w:ascii="Arial;Helvetica;sans-serif" w:hAnsi="Arial;Helvetica;sans-serif"/>
          <w:b w:val="false"/>
          <w:i w:val="false"/>
          <w:caps w:val="false"/>
          <w:smallCaps w:val="false"/>
          <w:color w:val="148CD9"/>
          <w:spacing w:val="-1"/>
          <w:sz w:val="20"/>
        </w:rPr>
        <w:t>We are committed to good corporate governance and integrity in our business dealings. We believe that strong corporate governance practices that provide meaningful rights to our stockholders and ensure Board and management accountability are key to our relationship with our stockholders. We strive to have regular, constructive conversations with our stockholders to better understand our stockholders’ priorities and perspectives.</w:t>
      </w:r>
      <w:r>
        <w:rPr>
          <w:rFonts w:ascii="Arial;Helvetica;sans-serif" w:hAnsi="Arial;Helvetica;sans-serif"/>
          <w:b w:val="false"/>
          <w:i w:val="false"/>
          <w:caps w:val="false"/>
          <w:smallCaps w:val="false"/>
          <w:color w:val="000000"/>
          <w:spacing w:val="4"/>
          <w:sz w:val="20"/>
        </w:rPr>
        <w:t xml:space="preserve"> </w:t>
      </w:r>
    </w:p>
    <w:p>
      <w:pPr>
        <w:pStyle w:val="TextBody"/>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Our governance practices are documented in our Second Amended and Restated Certificate of Incorporation, our Bylaws, our Code of Conduct, our Corporate Governance Guidelines and the charters of the committees of the Board. Aspects of our governance documents are summarized below. You can find our charters for each committee of our Board and our Code of Conduct on our website at investors.centurytx.com/corporate-governance/</w:t>
      </w:r>
      <w:r>
        <w:rPr>
          <w:rFonts w:ascii="Arial;Helvetica;sans-serif" w:hAnsi="Arial;Helvetica;sans-serif"/>
          <w:b w:val="false"/>
          <w:i w:val="false"/>
          <w:caps w:val="false"/>
          <w:smallCaps w:val="false"/>
          <w:color w:val="000000"/>
          <w:sz w:val="20"/>
        </w:rPr>
        <w:t>​</w:t>
      </w:r>
      <w:r>
        <w:rPr>
          <w:rFonts w:ascii="Arial;Helvetica;sans-serif" w:hAnsi="Arial;Helvetica;sans-serif"/>
          <w:b w:val="false"/>
          <w:i w:val="false"/>
          <w:caps w:val="false"/>
          <w:smallCaps w:val="false"/>
          <w:color w:val="000000"/>
          <w:spacing w:val="-1"/>
          <w:sz w:val="20"/>
        </w:rPr>
        <w:t>documents-and-charters.</w:t>
      </w:r>
      <w:r>
        <w:rPr>
          <w:rFonts w:ascii="Arial;Helvetica;sans-serif" w:hAnsi="Arial;Helvetica;sans-serif"/>
          <w:b w:val="false"/>
          <w:i w:val="false"/>
          <w:caps w:val="false"/>
          <w:smallCaps w:val="false"/>
          <w:color w:val="000000"/>
          <w:spacing w:val="4"/>
          <w:sz w:val="20"/>
        </w:rPr>
        <w:t xml:space="preserve"> </w:t>
      </w:r>
    </w:p>
    <w:p>
      <w:pPr>
        <w:pStyle w:val="TextBody"/>
        <w:spacing w:lineRule="atLeast" w:line="240" w:before="240" w:after="283"/>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3"/>
          <w:sz w:val="20"/>
        </w:rPr>
        <w:t>BOARD INDEPENDENCE</w:t>
      </w:r>
      <w:r>
        <w:rPr>
          <w:rFonts w:ascii="Arial;Helvetica;sans-serif" w:hAnsi="Arial;Helvetica;sans-serif"/>
          <w:b/>
          <w:i w:val="false"/>
          <w:caps w:val="false"/>
          <w:smallCaps w:val="false"/>
          <w:color w:val="000000"/>
          <w:spacing w:val="4"/>
          <w:sz w:val="20"/>
        </w:rPr>
        <w:t xml:space="preserve"> </w:t>
      </w:r>
    </w:p>
    <w:p>
      <w:pPr>
        <w:pStyle w:val="TextBody"/>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Our Board has determined that each of our directors is an “independent director,” as defined under the rules of Nasdaq. In making such determination, the Board considered the relationships that each such director has with the Company and all other facts and circumstances that the Board deemed relevant in determining their independence, including the beneficial ownership of our common stock by each director. Dr. Osvaldo Flores, our former President and Chief Executive Officer, served on our Board in 2022 and was not an independent director. Dr. Flores resigned from our Board on April 11, 2023. In addition, Eli Casdin served on our Board until his resignation, effective October 1, 2022, and was deemed to be an independent director during his service on the Board. Our independent directors generally meet in executive session at each regularly scheduled Board meeting.</w:t>
      </w:r>
      <w:r>
        <w:rPr>
          <w:rFonts w:ascii="Arial;Helvetica;sans-serif" w:hAnsi="Arial;Helvetica;sans-serif"/>
          <w:b w:val="false"/>
          <w:i w:val="false"/>
          <w:caps w:val="false"/>
          <w:smallCaps w:val="false"/>
          <w:color w:val="000000"/>
          <w:spacing w:val="4"/>
          <w:sz w:val="20"/>
        </w:rPr>
        <w:t xml:space="preserve"> </w:t>
      </w:r>
    </w:p>
    <w:p>
      <w:pPr>
        <w:pStyle w:val="TextBody"/>
        <w:spacing w:lineRule="atLeast" w:line="240" w:before="240" w:after="283"/>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3"/>
          <w:sz w:val="20"/>
        </w:rPr>
        <w:t>BOARD LEADERSHIP STRUCTURE</w:t>
      </w:r>
      <w:r>
        <w:rPr>
          <w:rFonts w:ascii="Arial;Helvetica;sans-serif" w:hAnsi="Arial;Helvetica;sans-serif"/>
          <w:b/>
          <w:i w:val="false"/>
          <w:caps w:val="false"/>
          <w:smallCaps w:val="false"/>
          <w:color w:val="000000"/>
          <w:spacing w:val="4"/>
          <w:sz w:val="20"/>
        </w:rPr>
        <w:t xml:space="preserve"> </w:t>
      </w:r>
    </w:p>
    <w:p>
      <w:pPr>
        <w:pStyle w:val="TextBody"/>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Our Board does not have a formal policy with respect to the separation of the offices of Chief Executive Officer and Chairman of the Board. It is the Board’s view that rather than having a rigid policy, the Board, with the advice and assistance of the Nominating and Corporate Governance Committee, and upon consideration of all relevant factors and circumstances, will determine, as and when appropriate, whether the two offices should be separate. Currently, our leadership structure separates the offices of Chief Executive Officer and Chairman of the Board. Our Board believes that the separation of the positions of Chief Executive Officer and Chairman of the Board reinforces the independence of the Board from management, creates an environment that encourages objective oversight of management’s performance and enhances the effectiveness of our Board as a whole. While historically our Chief Executive Officer has served as a member of the Board, our current interim Chief Executive Officer does not serve on the Board.</w:t>
      </w:r>
      <w:r>
        <w:rPr>
          <w:rFonts w:ascii="Arial;Helvetica;sans-serif" w:hAnsi="Arial;Helvetica;sans-serif"/>
          <w:b w:val="false"/>
          <w:i w:val="false"/>
          <w:caps w:val="false"/>
          <w:smallCaps w:val="false"/>
          <w:color w:val="000000"/>
          <w:spacing w:val="4"/>
          <w:sz w:val="20"/>
        </w:rPr>
        <w:t xml:space="preserve"> </w:t>
      </w:r>
    </w:p>
    <w:p>
      <w:pPr>
        <w:pStyle w:val="TextBody"/>
        <w:spacing w:lineRule="atLeast" w:line="240" w:before="240" w:after="283"/>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3"/>
          <w:sz w:val="20"/>
        </w:rPr>
        <w:t>BOARD COMMITTEES</w:t>
      </w:r>
      <w:r>
        <w:rPr>
          <w:rFonts w:ascii="Arial;Helvetica;sans-serif" w:hAnsi="Arial;Helvetica;sans-serif"/>
          <w:b/>
          <w:i w:val="false"/>
          <w:caps w:val="false"/>
          <w:smallCaps w:val="false"/>
          <w:color w:val="000000"/>
          <w:spacing w:val="4"/>
          <w:sz w:val="20"/>
        </w:rPr>
        <w:t xml:space="preserve"> </w:t>
      </w:r>
    </w:p>
    <w:p>
      <w:pPr>
        <w:pStyle w:val="TextBody"/>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Our Board has established various Committees to assist in discharging its duties: the Audit Committee, the Compensation Committee and the Nominating and Corporate Governance Committee. Each member of our Committees is an independent director as that term is defined by the SEC and Nasdaq. The primary responsibilities of each of the Committees and the Committee memberships are provided below under the section entitled “Board Attendance, Committee Meetings and Committee Membership.”</w:t>
      </w:r>
      <w:r>
        <w:rPr>
          <w:rFonts w:ascii="Arial;Helvetica;sans-serif" w:hAnsi="Arial;Helvetica;sans-serif"/>
          <w:b w:val="false"/>
          <w:i w:val="false"/>
          <w:caps w:val="false"/>
          <w:smallCaps w:val="false"/>
          <w:color w:val="000000"/>
          <w:spacing w:val="4"/>
          <w:sz w:val="20"/>
        </w:rPr>
        <w:t xml:space="preserve"> </w:t>
      </w:r>
    </w:p>
    <w:p>
      <w:pPr>
        <w:pStyle w:val="TextBody"/>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Each of the Committees has the authority, as its members deem appropriate, to engage legal counsel or other experts or consultants in order to assist the Committee in carrying out its responsibilities.</w:t>
      </w:r>
      <w:r>
        <w:rPr>
          <w:rFonts w:ascii="Arial;Helvetica;sans-serif" w:hAnsi="Arial;Helvetica;sans-serif"/>
          <w:b w:val="false"/>
          <w:i w:val="false"/>
          <w:caps w:val="false"/>
          <w:smallCaps w:val="false"/>
          <w:color w:val="000000"/>
          <w:spacing w:val="4"/>
          <w:sz w:val="20"/>
        </w:rPr>
        <w:t xml:space="preserve"> </w:t>
      </w:r>
    </w:p>
    <w:p>
      <w:pPr>
        <w:pStyle w:val="TextBody"/>
        <w:spacing w:lineRule="atLeast" w:line="240" w:before="240" w:after="283"/>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3"/>
          <w:sz w:val="20"/>
        </w:rPr>
        <w:t>RISK MANAGEMENT</w:t>
      </w:r>
      <w:r>
        <w:rPr>
          <w:rFonts w:ascii="Arial;Helvetica;sans-serif" w:hAnsi="Arial;Helvetica;sans-serif"/>
          <w:b/>
          <w:i w:val="false"/>
          <w:caps w:val="false"/>
          <w:smallCaps w:val="false"/>
          <w:color w:val="000000"/>
          <w:spacing w:val="4"/>
          <w:sz w:val="20"/>
        </w:rPr>
        <w:t xml:space="preserve"> </w:t>
      </w:r>
    </w:p>
    <w:p>
      <w:pPr>
        <w:pStyle w:val="TextBody"/>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Risk assessment and oversight are an integral part of our governance and management processes. Our Board encourages management to promote a culture that incorporates risk management into our corporate strategy and day-to-day business operations. Management discusses strategic and operational risks at regular management meetings, and conducts specific strategic planning and review sessions during the year that include a focused discussion and analysis of the risks facing us. Throughout the year, senior management reviews these risks with the Board at regular Board meetings as part of management presentations that focus on particular business functions, operations or strategies, and presents the steps taken by management to mitigate or eliminate such risks.</w:t>
      </w:r>
      <w:r>
        <w:rPr>
          <w:rFonts w:ascii="Arial;Helvetica;sans-serif" w:hAnsi="Arial;Helvetica;sans-serif"/>
          <w:b w:val="false"/>
          <w:i w:val="false"/>
          <w:caps w:val="false"/>
          <w:smallCaps w:val="false"/>
          <w:color w:val="000000"/>
          <w:spacing w:val="4"/>
          <w:sz w:val="20"/>
        </w:rPr>
        <w:t xml:space="preserve"> </w:t>
      </w:r>
    </w:p>
    <w:p>
      <w:pPr>
        <w:pStyle w:val="TextBody"/>
        <w:spacing w:lineRule="atLeast" w:line="240" w:before="100" w:after="283"/>
        <w:ind w:left="960" w:right="0" w:hanging="0"/>
        <w:jc w:val="righ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1DA46F"/>
          <w:spacing w:val="0"/>
          <w:sz w:val="20"/>
        </w:rPr>
        <w:t>Notice of Annual Meeting of Stockholders</w:t>
      </w:r>
      <w:r>
        <w:rPr>
          <w:rFonts w:ascii="Arial;Helvetica;sans-serif" w:hAnsi="Arial;Helvetica;sans-serif"/>
          <w:b/>
          <w:i w:val="false"/>
          <w:caps w:val="false"/>
          <w:smallCaps w:val="false"/>
          <w:color w:val="000000"/>
          <w:spacing w:val="0"/>
          <w:sz w:val="20"/>
        </w:rPr>
        <w:t> and 2023 Proxy Statement | </w:t>
      </w:r>
      <w:r>
        <w:rPr>
          <w:rFonts w:ascii="Arial;Helvetica;sans-serif" w:hAnsi="Arial;Helvetica;sans-serif"/>
          <w:b w:val="false"/>
          <w:i w:val="false"/>
          <w:caps w:val="false"/>
          <w:smallCaps w:val="false"/>
          <w:color w:val="000000"/>
          <w:spacing w:val="-1"/>
          <w:sz w:val="20"/>
        </w:rPr>
        <w:t>11</w:t>
      </w:r>
      <w:r>
        <w:rPr>
          <w:rFonts w:ascii="Arial;Helvetica;sans-serif" w:hAnsi="Arial;Helvetica;sans-serif"/>
          <w:b/>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9" w:name="tEBE"/>
      <w:bookmarkEnd w:id="29"/>
      <w:r>
        <w:rPr>
          <w:rFonts w:ascii="calibri;arial;sans-serif" w:hAnsi="calibri;arial;sans-serif"/>
          <w:b w:val="false"/>
          <w:i w:val="false"/>
          <w:caps w:val="false"/>
          <w:smallCaps w:val="false"/>
          <w:color w:val="000000"/>
          <w:sz w:val="16"/>
        </w:rPr>
        <w:t>​</w:t>
      </w:r>
      <w:bookmarkStart w:id="30" w:name="tCOBC"/>
      <w:bookmarkEnd w:id="30"/>
      <w:r>
        <w:rPr>
          <w:rFonts w:ascii="calibri;arial;sans-serif" w:hAnsi="calibri;arial;sans-serif"/>
          <w:b w:val="false"/>
          <w:i w:val="false"/>
          <w:caps w:val="false"/>
          <w:smallCaps w:val="false"/>
          <w:color w:val="000000"/>
          <w:sz w:val="16"/>
        </w:rPr>
        <w:t xml:space="preserve">​ </w:t>
      </w:r>
    </w:p>
    <w:tbl>
      <w:tblPr>
        <w:tblW w:w="6574" w:type="dxa"/>
        <w:jc w:val="left"/>
        <w:tblInd w:w="960" w:type="dxa"/>
        <w:tblCellMar>
          <w:top w:w="0" w:type="dxa"/>
          <w:left w:w="0" w:type="dxa"/>
          <w:bottom w:w="0" w:type="dxa"/>
          <w:right w:w="0" w:type="dxa"/>
        </w:tblCellMar>
      </w:tblPr>
      <w:tblGrid>
        <w:gridCol w:w="124"/>
        <w:gridCol w:w="6296"/>
        <w:gridCol w:w="154"/>
      </w:tblGrid>
      <w:tr>
        <w:trPr/>
        <w:tc>
          <w:tcPr>
            <w:tcW w:w="124" w:type="dxa"/>
            <w:tcBorders/>
            <w:shd w:fill="1DA46F" w:val="clear"/>
            <w:vAlign w:val="center"/>
          </w:tcPr>
          <w:p>
            <w:pPr>
              <w:pStyle w:val="TableContents"/>
              <w:spacing w:before="0" w:after="283"/>
              <w:rPr/>
            </w:pPr>
            <w:r>
              <w:rPr/>
              <w:t>​</w:t>
            </w:r>
          </w:p>
        </w:tc>
        <w:tc>
          <w:tcPr>
            <w:tcW w:w="6296" w:type="dxa"/>
            <w:tcBorders/>
            <w:shd w:fill="1DA46F" w:val="clear"/>
            <w:vAlign w:val="center"/>
          </w:tcPr>
          <w:p>
            <w:pPr>
              <w:pStyle w:val="TableContents"/>
              <w:spacing w:lineRule="atLeast" w:line="360" w:before="0" w:after="0"/>
              <w:rPr/>
            </w:pPr>
            <w:r>
              <w:rPr>
                <w:spacing w:val="-5"/>
              </w:rPr>
              <w:t>CORPORATE GOVERNANCE AND RISK MANAGEMENT</w:t>
            </w:r>
            <w:r>
              <w:rPr/>
              <w:t xml:space="preserve"> </w:t>
            </w:r>
          </w:p>
        </w:tc>
        <w:tc>
          <w:tcPr>
            <w:tcW w:w="154" w:type="dxa"/>
            <w:tcBorders/>
            <w:shd w:fill="1DA46F" w:val="clear"/>
            <w:vAlign w:val="center"/>
          </w:tcPr>
          <w:p>
            <w:pPr>
              <w:pStyle w:val="TableContents"/>
              <w:spacing w:before="0" w:after="283"/>
              <w:rPr/>
            </w:pPr>
            <w:r>
              <w:rPr/>
              <w:t>​</w:t>
            </w:r>
          </w:p>
        </w:tc>
      </w:tr>
    </w:tbl>
    <w:p>
      <w:pPr>
        <w:pStyle w:val="TextBody"/>
        <w:spacing w:lineRule="atLeast" w:line="250" w:before="360" w:after="283"/>
        <w:ind w:left="96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Our Board does not have a standing risk management committee, but rather administers this oversight function directly through our Board as a whole, as well as through various standing committees of our Board that address the risks inherent in their respective areas of oversight. While our Board is responsible for monitoring strategic risk exposure, our Audit Committee oversees management of financial reporting, compliance, cybersecurity and litigation risks, as well as the steps management has taken to monitor and control such exposures. Our Nominating and Corporate Governance Committee manages risks associated with the independence of our Board, potential conflicts of interest and the effectiveness of our Board and our Compensation Committee is responsible for overseeing the management of risks relating to our executive compensation policies, plans and arrangements and the extent to which those policies or practices increase or decrease risks for our company.</w:t>
      </w:r>
      <w:r>
        <w:rPr>
          <w:rFonts w:ascii="Arial;Helvetica;sans-serif" w:hAnsi="Arial;Helvetica;sans-serif"/>
          <w:b w:val="false"/>
          <w:i w:val="false"/>
          <w:caps w:val="false"/>
          <w:smallCaps w:val="false"/>
          <w:color w:val="000000"/>
          <w:spacing w:val="4"/>
          <w:sz w:val="20"/>
        </w:rPr>
        <w:t xml:space="preserve"> </w:t>
      </w:r>
    </w:p>
    <w:p>
      <w:pPr>
        <w:pStyle w:val="TextBody"/>
        <w:spacing w:lineRule="atLeast" w:line="240" w:before="240" w:after="283"/>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3"/>
          <w:sz w:val="20"/>
        </w:rPr>
        <w:t>EVALUATING BOARD EFFECTIVENESS</w:t>
      </w:r>
      <w:r>
        <w:rPr>
          <w:rFonts w:ascii="Arial;Helvetica;sans-serif" w:hAnsi="Arial;Helvetica;sans-serif"/>
          <w:b/>
          <w:i w:val="false"/>
          <w:caps w:val="false"/>
          <w:smallCaps w:val="false"/>
          <w:color w:val="000000"/>
          <w:sz w:val="20"/>
        </w:rPr>
        <w:t xml:space="preserve"> </w:t>
      </w:r>
    </w:p>
    <w:p>
      <w:pPr>
        <w:pStyle w:val="TextBody"/>
        <w:spacing w:lineRule="atLeast" w:line="25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The Board, led by the Nominating and Corporate Governance Committee, is committed to continuous improvement and believes annual self-evaluations are an important tool for evaluating effectiveness. It has established and conducted an annual self-evaluation of the Board, which is presented by the Chairperson of the Nominating and Corporate Governance Committee to the Board for discussion. In addition, each committee conducts an annual self-assessment in a review process similar to that used by the Board. Below is a graphic depicting the Board and Nominating and Corporate Governance Committee annual cycle in evaluating Board effectiveness.</w:t>
      </w:r>
      <w:r>
        <w:rPr>
          <w:rFonts w:ascii="Arial;Helvetica;sans-serif" w:hAnsi="Arial;Helvetica;sans-serif"/>
          <w:b w:val="false"/>
          <w:i w:val="false"/>
          <w:caps w:val="false"/>
          <w:smallCaps w:val="false"/>
          <w:color w:val="000000"/>
          <w:spacing w:val="4"/>
          <w:sz w:val="20"/>
        </w:rPr>
        <w:t xml:space="preserve"> </w:t>
      </w:r>
    </w:p>
    <w:p>
      <w:pPr>
        <w:pStyle w:val="TextBody"/>
        <w:spacing w:before="212" w:after="283"/>
        <w:jc w:val="center"/>
        <w:rPr>
          <w:caps w:val="false"/>
          <w:smallCaps w:val="false"/>
          <w:color w:val="000000"/>
        </w:rPr>
      </w:pPr>
      <w:r>
        <w:rPr>
          <w:caps w:val="false"/>
          <w:smallCaps w:val="false"/>
          <w:color w:val="000000"/>
        </w:rPr>
        <w:drawing>
          <wp:inline distT="0" distB="0" distL="0" distR="0">
            <wp:extent cx="4886325" cy="3743325"/>
            <wp:effectExtent l="0" t="0" r="0" b="0"/>
            <wp:docPr id="52"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14" descr=""/>
                    <pic:cNvPicPr>
                      <a:picLocks noChangeAspect="1" noChangeArrowheads="1"/>
                    </pic:cNvPicPr>
                  </pic:nvPicPr>
                  <pic:blipFill>
                    <a:blip r:embed="rId15"/>
                    <a:stretch>
                      <a:fillRect/>
                    </a:stretch>
                  </pic:blipFill>
                  <pic:spPr bwMode="auto">
                    <a:xfrm>
                      <a:off x="0" y="0"/>
                      <a:ext cx="4886325" cy="3743325"/>
                    </a:xfrm>
                    <a:prstGeom prst="rect">
                      <a:avLst/>
                    </a:prstGeom>
                  </pic:spPr>
                </pic:pic>
              </a:graphicData>
            </a:graphic>
          </wp:inline>
        </w:drawing>
      </w:r>
      <w:r>
        <w:rPr>
          <w:caps w:val="false"/>
          <w:smallCaps w:val="false"/>
          <w:color w:val="000000"/>
        </w:rPr>
        <w:t xml:space="preserve"> </w:t>
      </w:r>
    </w:p>
    <w:p>
      <w:pPr>
        <w:pStyle w:val="TextBody"/>
        <w:spacing w:lineRule="atLeast" w:line="240" w:before="360" w:after="283"/>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3"/>
          <w:sz w:val="20"/>
        </w:rPr>
        <w:t>CODE OF BUSINESS CONDUCT AND ETHICS</w:t>
      </w:r>
      <w:r>
        <w:rPr>
          <w:rFonts w:ascii="Arial;Helvetica;sans-serif" w:hAnsi="Arial;Helvetica;sans-serif"/>
          <w:b/>
          <w:i w:val="false"/>
          <w:caps w:val="false"/>
          <w:smallCaps w:val="false"/>
          <w:color w:val="000000"/>
          <w:spacing w:val="4"/>
          <w:sz w:val="20"/>
        </w:rPr>
        <w:t xml:space="preserve"> </w:t>
      </w:r>
    </w:p>
    <w:p>
      <w:pPr>
        <w:pStyle w:val="TextBody"/>
        <w:spacing w:lineRule="atLeast" w:line="25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We maintain a written Code of Conduct that applies to all of our directors, officers, and employees. The Code of Conduct covers fundamental ethics and compliance-related principles and practices such as accurate accounting records and financial reporting, avoiding conflicts of interest, compliance with insider trading laws, the protection and use of our property and information, and compliance with legal and regulatory requirements. The Code of Conduct is posted on our website at investors.centurytx.com/corporate-governance/documents-and-charters. We intend to disclose any amendments to our code of business conduct and ethics, or waivers of its requirements, on our website to the extent required by the applicable rules and exchange requirements.</w:t>
      </w:r>
      <w:r>
        <w:rPr>
          <w:rFonts w:ascii="Arial;Helvetica;sans-serif" w:hAnsi="Arial;Helvetica;sans-serif"/>
          <w:b w:val="false"/>
          <w:i w:val="false"/>
          <w:caps w:val="false"/>
          <w:smallCaps w:val="false"/>
          <w:color w:val="000000"/>
          <w:spacing w:val="4"/>
          <w:sz w:val="20"/>
        </w:rPr>
        <w:t xml:space="preserve"> </w:t>
      </w:r>
    </w:p>
    <w:p>
      <w:pPr>
        <w:pStyle w:val="TextBody"/>
        <w:spacing w:lineRule="atLeast" w:line="240" w:before="100" w:after="283"/>
        <w:ind w:left="960" w:right="0" w:hanging="0"/>
        <w:jc w:val="righ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1DA46F"/>
          <w:spacing w:val="0"/>
          <w:sz w:val="20"/>
        </w:rPr>
        <w:t>Notice of Annual Meeting of Stockholders</w:t>
      </w:r>
      <w:r>
        <w:rPr>
          <w:rFonts w:ascii="Arial;Helvetica;sans-serif" w:hAnsi="Arial;Helvetica;sans-serif"/>
          <w:b/>
          <w:i w:val="false"/>
          <w:caps w:val="false"/>
          <w:smallCaps w:val="false"/>
          <w:color w:val="000000"/>
          <w:spacing w:val="0"/>
          <w:sz w:val="20"/>
        </w:rPr>
        <w:t> and 2023 Proxy Statement | </w:t>
      </w:r>
      <w:r>
        <w:rPr>
          <w:rFonts w:ascii="Arial;Helvetica;sans-serif" w:hAnsi="Arial;Helvetica;sans-serif"/>
          <w:b w:val="false"/>
          <w:i w:val="false"/>
          <w:caps w:val="false"/>
          <w:smallCaps w:val="false"/>
          <w:color w:val="000000"/>
          <w:spacing w:val="-1"/>
          <w:sz w:val="20"/>
        </w:rPr>
        <w:t>12</w:t>
      </w:r>
      <w:r>
        <w:rPr>
          <w:rFonts w:ascii="Arial;Helvetica;sans-serif" w:hAnsi="Arial;Helvetica;sans-serif"/>
          <w:b/>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1" w:name="tDOAC"/>
      <w:bookmarkEnd w:id="31"/>
      <w:r>
        <w:rPr>
          <w:rFonts w:ascii="calibri;arial;sans-serif" w:hAnsi="calibri;arial;sans-serif"/>
          <w:b w:val="false"/>
          <w:i w:val="false"/>
          <w:caps w:val="false"/>
          <w:smallCaps w:val="false"/>
          <w:color w:val="000000"/>
          <w:sz w:val="16"/>
        </w:rPr>
        <w:t>​</w:t>
      </w:r>
      <w:bookmarkStart w:id="32" w:name="tCGG"/>
      <w:bookmarkEnd w:id="32"/>
      <w:r>
        <w:rPr>
          <w:rFonts w:ascii="calibri;arial;sans-serif" w:hAnsi="calibri;arial;sans-serif"/>
          <w:b w:val="false"/>
          <w:i w:val="false"/>
          <w:caps w:val="false"/>
          <w:smallCaps w:val="false"/>
          <w:color w:val="000000"/>
          <w:sz w:val="16"/>
        </w:rPr>
        <w:t>​</w:t>
      </w:r>
      <w:bookmarkStart w:id="33" w:name="tBACM"/>
      <w:bookmarkEnd w:id="33"/>
      <w:r>
        <w:rPr>
          <w:rFonts w:ascii="calibri;arial;sans-serif" w:hAnsi="calibri;arial;sans-serif"/>
          <w:b w:val="false"/>
          <w:i w:val="false"/>
          <w:caps w:val="false"/>
          <w:smallCaps w:val="false"/>
          <w:color w:val="000000"/>
          <w:sz w:val="16"/>
        </w:rPr>
        <w:t xml:space="preserve">​ </w:t>
      </w:r>
    </w:p>
    <w:tbl>
      <w:tblPr>
        <w:tblW w:w="6574" w:type="dxa"/>
        <w:jc w:val="left"/>
        <w:tblInd w:w="960" w:type="dxa"/>
        <w:tblCellMar>
          <w:top w:w="0" w:type="dxa"/>
          <w:left w:w="0" w:type="dxa"/>
          <w:bottom w:w="0" w:type="dxa"/>
          <w:right w:w="0" w:type="dxa"/>
        </w:tblCellMar>
      </w:tblPr>
      <w:tblGrid>
        <w:gridCol w:w="124"/>
        <w:gridCol w:w="6296"/>
        <w:gridCol w:w="154"/>
      </w:tblGrid>
      <w:tr>
        <w:trPr/>
        <w:tc>
          <w:tcPr>
            <w:tcW w:w="124" w:type="dxa"/>
            <w:tcBorders/>
            <w:shd w:fill="1DA46F" w:val="clear"/>
            <w:vAlign w:val="center"/>
          </w:tcPr>
          <w:p>
            <w:pPr>
              <w:pStyle w:val="TableContents"/>
              <w:spacing w:before="0" w:after="283"/>
              <w:rPr/>
            </w:pPr>
            <w:r>
              <w:rPr/>
              <w:t>​</w:t>
            </w:r>
          </w:p>
        </w:tc>
        <w:tc>
          <w:tcPr>
            <w:tcW w:w="6296" w:type="dxa"/>
            <w:tcBorders/>
            <w:shd w:fill="1DA46F" w:val="clear"/>
            <w:vAlign w:val="center"/>
          </w:tcPr>
          <w:p>
            <w:pPr>
              <w:pStyle w:val="TableContents"/>
              <w:spacing w:lineRule="atLeast" w:line="360" w:before="0" w:after="0"/>
              <w:rPr/>
            </w:pPr>
            <w:r>
              <w:rPr>
                <w:spacing w:val="-5"/>
              </w:rPr>
              <w:t>CORPORATE GOVERNANCE AND RISK MANAGEMENT</w:t>
            </w:r>
            <w:r>
              <w:rPr/>
              <w:t xml:space="preserve"> </w:t>
            </w:r>
          </w:p>
        </w:tc>
        <w:tc>
          <w:tcPr>
            <w:tcW w:w="154" w:type="dxa"/>
            <w:tcBorders/>
            <w:shd w:fill="1DA46F" w:val="clear"/>
            <w:vAlign w:val="center"/>
          </w:tcPr>
          <w:p>
            <w:pPr>
              <w:pStyle w:val="TableContents"/>
              <w:spacing w:before="0" w:after="283"/>
              <w:rPr/>
            </w:pPr>
            <w:r>
              <w:rPr/>
              <w:t>​</w:t>
            </w:r>
          </w:p>
        </w:tc>
      </w:tr>
    </w:tbl>
    <w:p>
      <w:pPr>
        <w:pStyle w:val="TextBody"/>
        <w:spacing w:lineRule="atLeast" w:line="240" w:before="360" w:after="283"/>
        <w:ind w:left="960" w:right="0" w:hanging="0"/>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3"/>
          <w:sz w:val="20"/>
        </w:rPr>
        <w:t>DIRECTOR ORIENTATION AND CONTINUING EDUCATION</w:t>
      </w:r>
      <w:r>
        <w:rPr>
          <w:rFonts w:ascii="Arial;Helvetica;sans-serif" w:hAnsi="Arial;Helvetica;sans-serif"/>
          <w:b/>
          <w:i w:val="false"/>
          <w:caps w:val="false"/>
          <w:smallCaps w:val="false"/>
          <w:color w:val="000000"/>
          <w:spacing w:val="4"/>
          <w:sz w:val="20"/>
        </w:rPr>
        <w:t xml:space="preserve"> </w:t>
      </w:r>
    </w:p>
    <w:p>
      <w:pPr>
        <w:pStyle w:val="TextBody"/>
        <w:spacing w:lineRule="atLeast" w:line="25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Our director orientation programs familiarize new directors with the Company’s businesses, financial position, facilities, strategies, and policies, and assist new directors in developing the skills and knowledge required for their service on the Board. From time to time, management advises, or invites outside experts to attend Board meetings to advise the Board on its responsibilities, management’s responsibilities, developments relevant to corporate governance and best corporate practices. Additionally, Board members may attend, and are encouraged to attend, accredited director education programs at the Company’s expense.</w:t>
      </w:r>
      <w:r>
        <w:rPr>
          <w:rFonts w:ascii="Arial;Helvetica;sans-serif" w:hAnsi="Arial;Helvetica;sans-serif"/>
          <w:b w:val="false"/>
          <w:i w:val="false"/>
          <w:caps w:val="false"/>
          <w:smallCaps w:val="false"/>
          <w:color w:val="000000"/>
          <w:spacing w:val="4"/>
          <w:sz w:val="20"/>
        </w:rPr>
        <w:t xml:space="preserve"> </w:t>
      </w:r>
    </w:p>
    <w:p>
      <w:pPr>
        <w:pStyle w:val="TextBody"/>
        <w:spacing w:lineRule="atLeast" w:line="240" w:before="240" w:after="283"/>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3"/>
          <w:sz w:val="20"/>
        </w:rPr>
        <w:t>CORPORATE GOVERNANCE GUIDELINES</w:t>
      </w:r>
      <w:r>
        <w:rPr>
          <w:rFonts w:ascii="Arial;Helvetica;sans-serif" w:hAnsi="Arial;Helvetica;sans-serif"/>
          <w:b/>
          <w:i w:val="false"/>
          <w:caps w:val="false"/>
          <w:smallCaps w:val="false"/>
          <w:color w:val="000000"/>
          <w:spacing w:val="4"/>
          <w:sz w:val="20"/>
        </w:rPr>
        <w:t xml:space="preserve"> </w:t>
      </w:r>
    </w:p>
    <w:p>
      <w:pPr>
        <w:pStyle w:val="TextBody"/>
        <w:spacing w:lineRule="atLeast" w:line="25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We have a written set of Corporate Governance Guidelines that are designed to help ensure effective corporate governance of our Company. Our Corporate Governance Guidelines cover topics including, but not limited to, the size and composition of the Board, Board membership criteria, director qualifications and duties, Board committees, director compensation and director communications with third parties. Succession planning for the Board is critical to our success. Our goal is to achieve a Board that provides effective oversight of the Company through the appropriate balance of diversity of perspectives, experience, expertise and skills. Our Corporate Governance Guidelines are reviewed periodically by the Nominating and Corporate Governance Committee, which recommends any proposed changes to our Board for approval. Our Corporate Governance Guidelines can be found on our website at www.investors.centurytx.com/corporate-governance/documents-and-charters.</w:t>
      </w:r>
      <w:r>
        <w:rPr>
          <w:rFonts w:ascii="Arial;Helvetica;sans-serif" w:hAnsi="Arial;Helvetica;sans-serif"/>
          <w:b w:val="false"/>
          <w:i w:val="false"/>
          <w:caps w:val="false"/>
          <w:smallCaps w:val="false"/>
          <w:color w:val="000000"/>
          <w:spacing w:val="4"/>
          <w:sz w:val="20"/>
        </w:rPr>
        <w:t xml:space="preserve"> </w:t>
      </w:r>
    </w:p>
    <w:p>
      <w:pPr>
        <w:pStyle w:val="TextBody"/>
        <w:spacing w:lineRule="atLeast" w:line="240" w:before="240" w:after="283"/>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3"/>
          <w:sz w:val="20"/>
        </w:rPr>
        <w:t>BOARD ATTENDANCE, COMMITTEE MEETINGS AND COMMITTEE MEMBERSHIP</w:t>
      </w:r>
      <w:r>
        <w:rPr>
          <w:rFonts w:ascii="Arial;Helvetica;sans-serif" w:hAnsi="Arial;Helvetica;sans-serif"/>
          <w:b/>
          <w:i w:val="false"/>
          <w:caps w:val="false"/>
          <w:smallCaps w:val="false"/>
          <w:color w:val="000000"/>
          <w:spacing w:val="4"/>
          <w:sz w:val="20"/>
        </w:rPr>
        <w:t xml:space="preserve"> </w:t>
      </w:r>
    </w:p>
    <w:tbl>
      <w:tblPr>
        <w:tblW w:w="9183" w:type="dxa"/>
        <w:jc w:val="left"/>
        <w:tblInd w:w="960" w:type="dxa"/>
        <w:tblCellMar>
          <w:top w:w="0" w:type="dxa"/>
          <w:left w:w="0" w:type="dxa"/>
          <w:bottom w:w="0" w:type="dxa"/>
          <w:right w:w="0" w:type="dxa"/>
        </w:tblCellMar>
      </w:tblPr>
      <w:tblGrid>
        <w:gridCol w:w="124"/>
        <w:gridCol w:w="109"/>
        <w:gridCol w:w="2697"/>
        <w:gridCol w:w="109"/>
        <w:gridCol w:w="109"/>
        <w:gridCol w:w="2019"/>
        <w:gridCol w:w="109"/>
        <w:gridCol w:w="109"/>
        <w:gridCol w:w="1028"/>
        <w:gridCol w:w="109"/>
        <w:gridCol w:w="109"/>
        <w:gridCol w:w="509"/>
        <w:gridCol w:w="109"/>
        <w:gridCol w:w="109"/>
        <w:gridCol w:w="494"/>
        <w:gridCol w:w="109"/>
        <w:gridCol w:w="109"/>
        <w:gridCol w:w="850"/>
        <w:gridCol w:w="109"/>
        <w:gridCol w:w="154"/>
      </w:tblGrid>
      <w:tr>
        <w:trPr/>
        <w:tc>
          <w:tcPr>
            <w:tcW w:w="124" w:type="dxa"/>
            <w:tcBorders/>
            <w:shd w:fill="auto" w:val="clear"/>
            <w:vAlign w:val="center"/>
          </w:tcPr>
          <w:p>
            <w:pPr>
              <w:pStyle w:val="TableContents"/>
              <w:spacing w:before="0" w:after="283"/>
              <w:rPr/>
            </w:pPr>
            <w:r>
              <w:rPr/>
              <w:t>​</w:t>
            </w:r>
          </w:p>
        </w:tc>
        <w:tc>
          <w:tcPr>
            <w:tcW w:w="109" w:type="dxa"/>
            <w:tcBorders>
              <w:bottom w:val="single" w:sz="2" w:space="0" w:color="000000"/>
            </w:tcBorders>
            <w:shd w:fill="148CD9" w:val="clear"/>
            <w:tcMar>
              <w:bottom w:w="28" w:type="dxa"/>
            </w:tcMar>
            <w:vAlign w:val="center"/>
          </w:tcPr>
          <w:p>
            <w:pPr>
              <w:pStyle w:val="TableContents"/>
              <w:spacing w:before="0" w:after="283"/>
              <w:rPr/>
            </w:pPr>
            <w:r>
              <w:rPr/>
              <w:t>​</w:t>
            </w:r>
          </w:p>
        </w:tc>
        <w:tc>
          <w:tcPr>
            <w:tcW w:w="2697" w:type="dxa"/>
            <w:tcBorders>
              <w:bottom w:val="single" w:sz="2" w:space="0" w:color="000000"/>
            </w:tcBorders>
            <w:shd w:fill="148CD9" w:val="clear"/>
            <w:tcMar>
              <w:bottom w:w="50" w:type="dxa"/>
            </w:tcMar>
            <w:vAlign w:val="center"/>
          </w:tcPr>
          <w:p>
            <w:pPr>
              <w:pStyle w:val="TableContents"/>
              <w:spacing w:before="0" w:after="0"/>
              <w:jc w:val="center"/>
              <w:rPr/>
            </w:pPr>
            <w:r>
              <w:rPr>
                <w:caps/>
                <w:spacing w:val="-2"/>
              </w:rPr>
              <w:t>DIRECTOR</w:t>
            </w:r>
            <w:r>
              <w:rPr/>
              <w:t xml:space="preserve"> </w:t>
            </w:r>
          </w:p>
        </w:tc>
        <w:tc>
          <w:tcPr>
            <w:tcW w:w="109" w:type="dxa"/>
            <w:tcBorders>
              <w:bottom w:val="single" w:sz="2" w:space="0" w:color="000000"/>
            </w:tcBorders>
            <w:shd w:fill="148CD9" w:val="clear"/>
            <w:tcMar>
              <w:bottom w:w="28" w:type="dxa"/>
            </w:tcMar>
            <w:vAlign w:val="center"/>
          </w:tcPr>
          <w:p>
            <w:pPr>
              <w:pStyle w:val="TableContents"/>
              <w:spacing w:before="0" w:after="283"/>
              <w:rPr/>
            </w:pPr>
            <w:r>
              <w:rPr/>
              <w:t>​</w:t>
            </w:r>
          </w:p>
        </w:tc>
        <w:tc>
          <w:tcPr>
            <w:tcW w:w="109" w:type="dxa"/>
            <w:tcBorders>
              <w:bottom w:val="single" w:sz="2" w:space="0" w:color="000000"/>
            </w:tcBorders>
            <w:shd w:fill="148CD9" w:val="clear"/>
            <w:tcMar>
              <w:bottom w:w="28" w:type="dxa"/>
            </w:tcMar>
            <w:vAlign w:val="center"/>
          </w:tcPr>
          <w:p>
            <w:pPr>
              <w:pStyle w:val="TableContents"/>
              <w:spacing w:before="0" w:after="283"/>
              <w:rPr/>
            </w:pPr>
            <w:r>
              <w:rPr/>
              <w:t>​</w:t>
            </w:r>
          </w:p>
        </w:tc>
        <w:tc>
          <w:tcPr>
            <w:tcW w:w="2019" w:type="dxa"/>
            <w:tcBorders>
              <w:bottom w:val="single" w:sz="2" w:space="0" w:color="000000"/>
            </w:tcBorders>
            <w:shd w:fill="148CD9" w:val="clear"/>
            <w:tcMar>
              <w:bottom w:w="50" w:type="dxa"/>
            </w:tcMar>
            <w:vAlign w:val="center"/>
          </w:tcPr>
          <w:p>
            <w:pPr>
              <w:pStyle w:val="TableContents"/>
              <w:spacing w:before="0" w:after="0"/>
              <w:jc w:val="center"/>
              <w:rPr/>
            </w:pPr>
            <w:r>
              <w:rPr>
                <w:caps/>
                <w:spacing w:val="-2"/>
              </w:rPr>
              <w:t>INDEPENDENCE</w:t>
            </w:r>
            <w:r>
              <w:rPr/>
              <w:t xml:space="preserve"> </w:t>
            </w:r>
          </w:p>
        </w:tc>
        <w:tc>
          <w:tcPr>
            <w:tcW w:w="109" w:type="dxa"/>
            <w:tcBorders>
              <w:bottom w:val="single" w:sz="2" w:space="0" w:color="000000"/>
            </w:tcBorders>
            <w:shd w:fill="148CD9" w:val="clear"/>
            <w:tcMar>
              <w:bottom w:w="28" w:type="dxa"/>
            </w:tcMar>
            <w:vAlign w:val="center"/>
          </w:tcPr>
          <w:p>
            <w:pPr>
              <w:pStyle w:val="TableContents"/>
              <w:spacing w:before="0" w:after="283"/>
              <w:rPr/>
            </w:pPr>
            <w:r>
              <w:rPr/>
              <w:t>​</w:t>
            </w:r>
          </w:p>
        </w:tc>
        <w:tc>
          <w:tcPr>
            <w:tcW w:w="109" w:type="dxa"/>
            <w:tcBorders>
              <w:bottom w:val="single" w:sz="2" w:space="0" w:color="000000"/>
            </w:tcBorders>
            <w:shd w:fill="148CD9" w:val="clear"/>
            <w:tcMar>
              <w:bottom w:w="28" w:type="dxa"/>
            </w:tcMar>
            <w:vAlign w:val="center"/>
          </w:tcPr>
          <w:p>
            <w:pPr>
              <w:pStyle w:val="TableContents"/>
              <w:spacing w:before="0" w:after="283"/>
              <w:rPr/>
            </w:pPr>
            <w:r>
              <w:rPr/>
              <w:t>​</w:t>
            </w:r>
          </w:p>
        </w:tc>
        <w:tc>
          <w:tcPr>
            <w:tcW w:w="1028" w:type="dxa"/>
            <w:tcBorders>
              <w:bottom w:val="single" w:sz="2" w:space="0" w:color="000000"/>
            </w:tcBorders>
            <w:shd w:fill="148CD9" w:val="clear"/>
            <w:tcMar>
              <w:bottom w:w="50" w:type="dxa"/>
            </w:tcMar>
            <w:vAlign w:val="center"/>
          </w:tcPr>
          <w:p>
            <w:pPr>
              <w:pStyle w:val="TableContents"/>
              <w:spacing w:before="0" w:after="0"/>
              <w:jc w:val="center"/>
              <w:rPr/>
            </w:pPr>
            <w:r>
              <w:rPr>
                <w:caps/>
                <w:spacing w:val="-2"/>
              </w:rPr>
              <w:t>BOARD</w:t>
            </w:r>
            <w:r>
              <w:rPr/>
              <w:t xml:space="preserve"> </w:t>
            </w:r>
          </w:p>
        </w:tc>
        <w:tc>
          <w:tcPr>
            <w:tcW w:w="109" w:type="dxa"/>
            <w:tcBorders>
              <w:bottom w:val="single" w:sz="2" w:space="0" w:color="000000"/>
            </w:tcBorders>
            <w:shd w:fill="148CD9" w:val="clear"/>
            <w:tcMar>
              <w:bottom w:w="28" w:type="dxa"/>
            </w:tcMar>
            <w:vAlign w:val="center"/>
          </w:tcPr>
          <w:p>
            <w:pPr>
              <w:pStyle w:val="TableContents"/>
              <w:spacing w:before="0" w:after="283"/>
              <w:rPr/>
            </w:pPr>
            <w:r>
              <w:rPr/>
              <w:t>​</w:t>
            </w:r>
          </w:p>
        </w:tc>
        <w:tc>
          <w:tcPr>
            <w:tcW w:w="109" w:type="dxa"/>
            <w:tcBorders>
              <w:bottom w:val="single" w:sz="2" w:space="0" w:color="000000"/>
            </w:tcBorders>
            <w:shd w:fill="148CD9" w:val="clear"/>
            <w:tcMar>
              <w:bottom w:w="28" w:type="dxa"/>
            </w:tcMar>
            <w:vAlign w:val="center"/>
          </w:tcPr>
          <w:p>
            <w:pPr>
              <w:pStyle w:val="TableContents"/>
              <w:spacing w:before="0" w:after="283"/>
              <w:rPr/>
            </w:pPr>
            <w:r>
              <w:rPr/>
              <w:t>​</w:t>
            </w:r>
          </w:p>
        </w:tc>
        <w:tc>
          <w:tcPr>
            <w:tcW w:w="509" w:type="dxa"/>
            <w:tcBorders>
              <w:bottom w:val="single" w:sz="2" w:space="0" w:color="000000"/>
            </w:tcBorders>
            <w:shd w:fill="148CD9" w:val="clear"/>
            <w:tcMar>
              <w:bottom w:w="50" w:type="dxa"/>
            </w:tcMar>
            <w:vAlign w:val="center"/>
          </w:tcPr>
          <w:p>
            <w:pPr>
              <w:pStyle w:val="TableContents"/>
              <w:spacing w:before="0" w:after="0"/>
              <w:jc w:val="center"/>
              <w:rPr/>
            </w:pPr>
            <w:r>
              <w:rPr>
                <w:caps/>
                <w:spacing w:val="-2"/>
              </w:rPr>
              <w:t>AC</w:t>
            </w:r>
            <w:r>
              <w:rPr/>
              <w:t xml:space="preserve"> </w:t>
            </w:r>
          </w:p>
        </w:tc>
        <w:tc>
          <w:tcPr>
            <w:tcW w:w="109" w:type="dxa"/>
            <w:tcBorders>
              <w:bottom w:val="single" w:sz="2" w:space="0" w:color="000000"/>
            </w:tcBorders>
            <w:shd w:fill="148CD9" w:val="clear"/>
            <w:tcMar>
              <w:bottom w:w="28" w:type="dxa"/>
            </w:tcMar>
            <w:vAlign w:val="center"/>
          </w:tcPr>
          <w:p>
            <w:pPr>
              <w:pStyle w:val="TableContents"/>
              <w:spacing w:before="0" w:after="283"/>
              <w:rPr/>
            </w:pPr>
            <w:r>
              <w:rPr/>
              <w:t>​</w:t>
            </w:r>
          </w:p>
        </w:tc>
        <w:tc>
          <w:tcPr>
            <w:tcW w:w="109" w:type="dxa"/>
            <w:tcBorders>
              <w:bottom w:val="single" w:sz="2" w:space="0" w:color="000000"/>
            </w:tcBorders>
            <w:shd w:fill="148CD9" w:val="clear"/>
            <w:tcMar>
              <w:bottom w:w="28" w:type="dxa"/>
            </w:tcMar>
            <w:vAlign w:val="center"/>
          </w:tcPr>
          <w:p>
            <w:pPr>
              <w:pStyle w:val="TableContents"/>
              <w:spacing w:before="0" w:after="283"/>
              <w:rPr/>
            </w:pPr>
            <w:r>
              <w:rPr/>
              <w:t>​</w:t>
            </w:r>
          </w:p>
        </w:tc>
        <w:tc>
          <w:tcPr>
            <w:tcW w:w="494" w:type="dxa"/>
            <w:tcBorders>
              <w:bottom w:val="single" w:sz="2" w:space="0" w:color="000000"/>
            </w:tcBorders>
            <w:shd w:fill="148CD9" w:val="clear"/>
            <w:tcMar>
              <w:bottom w:w="50" w:type="dxa"/>
            </w:tcMar>
            <w:vAlign w:val="center"/>
          </w:tcPr>
          <w:p>
            <w:pPr>
              <w:pStyle w:val="TableContents"/>
              <w:spacing w:before="0" w:after="0"/>
              <w:jc w:val="center"/>
              <w:rPr/>
            </w:pPr>
            <w:r>
              <w:rPr>
                <w:caps/>
                <w:spacing w:val="-2"/>
              </w:rPr>
              <w:t>CC</w:t>
            </w:r>
            <w:r>
              <w:rPr/>
              <w:t xml:space="preserve"> </w:t>
            </w:r>
          </w:p>
        </w:tc>
        <w:tc>
          <w:tcPr>
            <w:tcW w:w="109" w:type="dxa"/>
            <w:tcBorders>
              <w:bottom w:val="single" w:sz="2" w:space="0" w:color="000000"/>
            </w:tcBorders>
            <w:shd w:fill="148CD9" w:val="clear"/>
            <w:tcMar>
              <w:bottom w:w="28" w:type="dxa"/>
            </w:tcMar>
            <w:vAlign w:val="center"/>
          </w:tcPr>
          <w:p>
            <w:pPr>
              <w:pStyle w:val="TableContents"/>
              <w:spacing w:before="0" w:after="283"/>
              <w:rPr/>
            </w:pPr>
            <w:r>
              <w:rPr/>
              <w:t>​</w:t>
            </w:r>
          </w:p>
        </w:tc>
        <w:tc>
          <w:tcPr>
            <w:tcW w:w="109" w:type="dxa"/>
            <w:tcBorders>
              <w:bottom w:val="single" w:sz="2" w:space="0" w:color="000000"/>
            </w:tcBorders>
            <w:shd w:fill="148CD9" w:val="clear"/>
            <w:tcMar>
              <w:bottom w:w="28" w:type="dxa"/>
            </w:tcMar>
            <w:vAlign w:val="center"/>
          </w:tcPr>
          <w:p>
            <w:pPr>
              <w:pStyle w:val="TableContents"/>
              <w:spacing w:before="0" w:after="283"/>
              <w:rPr/>
            </w:pPr>
            <w:r>
              <w:rPr/>
              <w:t>​</w:t>
            </w:r>
          </w:p>
        </w:tc>
        <w:tc>
          <w:tcPr>
            <w:tcW w:w="850" w:type="dxa"/>
            <w:tcBorders>
              <w:bottom w:val="single" w:sz="2" w:space="0" w:color="000000"/>
            </w:tcBorders>
            <w:shd w:fill="148CD9" w:val="clear"/>
            <w:tcMar>
              <w:bottom w:w="50" w:type="dxa"/>
            </w:tcMar>
            <w:vAlign w:val="center"/>
          </w:tcPr>
          <w:p>
            <w:pPr>
              <w:pStyle w:val="TableContents"/>
              <w:spacing w:before="0" w:after="0"/>
              <w:jc w:val="center"/>
              <w:rPr/>
            </w:pPr>
            <w:r>
              <w:rPr>
                <w:caps/>
                <w:spacing w:val="-2"/>
              </w:rPr>
              <w:t>NCGC</w:t>
            </w:r>
            <w:r>
              <w:rPr/>
              <w:t xml:space="preserve"> </w:t>
            </w:r>
          </w:p>
        </w:tc>
        <w:tc>
          <w:tcPr>
            <w:tcW w:w="109" w:type="dxa"/>
            <w:tcBorders>
              <w:bottom w:val="single" w:sz="2" w:space="0" w:color="000000"/>
            </w:tcBorders>
            <w:shd w:fill="148CD9" w:val="clear"/>
            <w:tcMar>
              <w:bottom w:w="28" w:type="dxa"/>
            </w:tcMar>
            <w:vAlign w:val="center"/>
          </w:tcPr>
          <w:p>
            <w:pPr>
              <w:pStyle w:val="TableContents"/>
              <w:spacing w:before="0" w:after="283"/>
              <w:rPr/>
            </w:pPr>
            <w:r>
              <w:rPr/>
              <w:t>​</w:t>
            </w:r>
          </w:p>
        </w:tc>
        <w:tc>
          <w:tcPr>
            <w:tcW w:w="154" w:type="dxa"/>
            <w:tcBorders/>
            <w:shd w:fill="auto"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2697" w:type="dxa"/>
            <w:tcBorders>
              <w:bottom w:val="single" w:sz="2" w:space="0" w:color="000000"/>
            </w:tcBorders>
            <w:shd w:fill="auto" w:val="clear"/>
            <w:tcMar>
              <w:bottom w:w="50" w:type="dxa"/>
            </w:tcMar>
            <w:vAlign w:val="center"/>
          </w:tcPr>
          <w:p>
            <w:pPr>
              <w:pStyle w:val="TableContents"/>
              <w:spacing w:before="0" w:after="283"/>
              <w:jc w:val="left"/>
              <w:rPr>
                <w:spacing w:val="-1"/>
              </w:rPr>
            </w:pPr>
            <w:r>
              <w:rPr>
                <w:spacing w:val="-1"/>
              </w:rPr>
              <w:t xml:space="preserve">Kimberly Blackwell, M.D. </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2019" w:type="dxa"/>
            <w:tcBorders>
              <w:bottom w:val="single" w:sz="2" w:space="0" w:color="000000"/>
            </w:tcBorders>
            <w:shd w:fill="auto" w:val="clear"/>
            <w:tcMar>
              <w:bottom w:w="50" w:type="dxa"/>
            </w:tcMar>
            <w:vAlign w:val="center"/>
          </w:tcPr>
          <w:p>
            <w:pPr>
              <w:pStyle w:val="TableContents"/>
              <w:spacing w:before="0" w:after="0"/>
              <w:jc w:val="center"/>
              <w:rPr>
                <w:spacing w:val="-1"/>
              </w:rPr>
            </w:pPr>
            <w:r>
              <w:rPr>
                <w:spacing w:val="-1"/>
              </w:rPr>
              <w:t xml:space="preserve">Yes </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028" w:type="dxa"/>
            <w:tcBorders>
              <w:bottom w:val="single" w:sz="2" w:space="0" w:color="000000"/>
            </w:tcBorders>
            <w:shd w:fill="auto" w:val="clear"/>
            <w:tcMar>
              <w:bottom w:w="50" w:type="dxa"/>
            </w:tcMar>
            <w:vAlign w:val="center"/>
          </w:tcPr>
          <w:p>
            <w:pPr>
              <w:pStyle w:val="TableContents"/>
              <w:spacing w:before="0" w:after="0"/>
              <w:jc w:val="center"/>
              <w:rPr>
                <w:spacing w:val="-1"/>
              </w:rPr>
            </w:pPr>
            <w:r>
              <w:rPr>
                <w:spacing w:val="-1"/>
              </w:rPr>
              <w:t xml:space="preserve">M </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509" w:type="dxa"/>
            <w:tcBorders>
              <w:bottom w:val="single" w:sz="2" w:space="0" w:color="000000"/>
            </w:tcBorders>
            <w:shd w:fill="auto" w:val="clear"/>
            <w:tcMar>
              <w:bottom w:w="50" w:type="dxa"/>
            </w:tcMar>
            <w:vAlign w:val="center"/>
          </w:tcPr>
          <w:p>
            <w:pPr>
              <w:pStyle w:val="TableContents"/>
              <w:spacing w:before="0" w:after="0"/>
              <w:jc w:val="center"/>
              <w:rPr>
                <w:spacing w:val="-1"/>
              </w:rPr>
            </w:pPr>
            <w:r>
              <w:rPr>
                <w:spacing w:val="-1"/>
              </w:rPr>
              <w:t xml:space="preserve">M </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494" w:type="dxa"/>
            <w:tcBorders>
              <w:bottom w:val="single" w:sz="2" w:space="0" w:color="000000"/>
            </w:tcBorders>
            <w:shd w:fill="auto" w:val="clear"/>
            <w:tcMar>
              <w:bottom w:w="50" w:type="dxa"/>
            </w:tcM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850" w:type="dxa"/>
            <w:tcBorders>
              <w:bottom w:val="single" w:sz="2" w:space="0" w:color="000000"/>
            </w:tcBorders>
            <w:shd w:fill="auto" w:val="clear"/>
            <w:tcMar>
              <w:bottom w:w="50" w:type="dxa"/>
            </w:tcMar>
            <w:vAlign w:val="center"/>
          </w:tcPr>
          <w:p>
            <w:pPr>
              <w:pStyle w:val="TableContents"/>
              <w:spacing w:before="0" w:after="0"/>
              <w:jc w:val="center"/>
              <w:rPr>
                <w:spacing w:val="-1"/>
              </w:rPr>
            </w:pPr>
            <w:r>
              <w:rPr>
                <w:spacing w:val="-1"/>
              </w:rPr>
              <w:t xml:space="preserve">M </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54" w:type="dxa"/>
            <w:tcBorders/>
            <w:shd w:fill="auto"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2697" w:type="dxa"/>
            <w:tcBorders>
              <w:bottom w:val="single" w:sz="2" w:space="0" w:color="000000"/>
            </w:tcBorders>
            <w:shd w:fill="auto" w:val="clear"/>
            <w:tcMar>
              <w:bottom w:w="50" w:type="dxa"/>
            </w:tcMar>
            <w:vAlign w:val="center"/>
          </w:tcPr>
          <w:p>
            <w:pPr>
              <w:pStyle w:val="TableContents"/>
              <w:spacing w:before="0" w:after="283"/>
              <w:jc w:val="left"/>
              <w:rPr>
                <w:spacing w:val="-1"/>
              </w:rPr>
            </w:pPr>
            <w:r>
              <w:rPr>
                <w:spacing w:val="-1"/>
              </w:rPr>
              <w:t xml:space="preserve">Cynthia Butitta </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2019" w:type="dxa"/>
            <w:tcBorders>
              <w:bottom w:val="single" w:sz="2" w:space="0" w:color="000000"/>
            </w:tcBorders>
            <w:shd w:fill="auto" w:val="clear"/>
            <w:tcMar>
              <w:bottom w:w="50" w:type="dxa"/>
            </w:tcMar>
            <w:vAlign w:val="center"/>
          </w:tcPr>
          <w:p>
            <w:pPr>
              <w:pStyle w:val="TableContents"/>
              <w:spacing w:before="0" w:after="0"/>
              <w:jc w:val="center"/>
              <w:rPr>
                <w:spacing w:val="-1"/>
              </w:rPr>
            </w:pPr>
            <w:r>
              <w:rPr>
                <w:spacing w:val="-1"/>
              </w:rPr>
              <w:t xml:space="preserve">Yes </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028" w:type="dxa"/>
            <w:tcBorders>
              <w:bottom w:val="single" w:sz="2" w:space="0" w:color="000000"/>
            </w:tcBorders>
            <w:shd w:fill="auto" w:val="clear"/>
            <w:tcMar>
              <w:bottom w:w="50" w:type="dxa"/>
            </w:tcMar>
            <w:vAlign w:val="center"/>
          </w:tcPr>
          <w:p>
            <w:pPr>
              <w:pStyle w:val="TableContents"/>
              <w:spacing w:before="0" w:after="0"/>
              <w:jc w:val="center"/>
              <w:rPr>
                <w:spacing w:val="-1"/>
              </w:rPr>
            </w:pPr>
            <w:r>
              <w:rPr>
                <w:spacing w:val="-1"/>
              </w:rPr>
              <w:t xml:space="preserve">M </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509" w:type="dxa"/>
            <w:tcBorders>
              <w:bottom w:val="single" w:sz="2" w:space="0" w:color="000000"/>
            </w:tcBorders>
            <w:shd w:fill="auto" w:val="clear"/>
            <w:tcMar>
              <w:bottom w:w="50" w:type="dxa"/>
            </w:tcMar>
            <w:vAlign w:val="center"/>
          </w:tcPr>
          <w:p>
            <w:pPr>
              <w:pStyle w:val="TableContents"/>
              <w:spacing w:before="0" w:after="0"/>
              <w:jc w:val="center"/>
              <w:rPr>
                <w:spacing w:val="-1"/>
              </w:rPr>
            </w:pPr>
            <w:r>
              <w:rPr>
                <w:spacing w:val="-1"/>
              </w:rPr>
              <w:t xml:space="preserve">C </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494" w:type="dxa"/>
            <w:tcBorders>
              <w:bottom w:val="single" w:sz="2" w:space="0" w:color="000000"/>
            </w:tcBorders>
            <w:shd w:fill="auto" w:val="clear"/>
            <w:tcMar>
              <w:bottom w:w="50" w:type="dxa"/>
            </w:tcMar>
            <w:vAlign w:val="center"/>
          </w:tcPr>
          <w:p>
            <w:pPr>
              <w:pStyle w:val="TableContents"/>
              <w:spacing w:before="0" w:after="0"/>
              <w:jc w:val="center"/>
              <w:rPr>
                <w:spacing w:val="-1"/>
              </w:rPr>
            </w:pPr>
            <w:r>
              <w:rPr>
                <w:spacing w:val="-1"/>
              </w:rPr>
              <w:t xml:space="preserve">M </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850" w:type="dxa"/>
            <w:tcBorders>
              <w:bottom w:val="single" w:sz="2" w:space="0" w:color="000000"/>
            </w:tcBorders>
            <w:shd w:fill="auto" w:val="clear"/>
            <w:tcMar>
              <w:bottom w:w="50" w:type="dxa"/>
            </w:tcM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54" w:type="dxa"/>
            <w:tcBorders/>
            <w:shd w:fill="auto"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2697" w:type="dxa"/>
            <w:tcBorders>
              <w:bottom w:val="single" w:sz="2" w:space="0" w:color="000000"/>
            </w:tcBorders>
            <w:shd w:fill="auto" w:val="clear"/>
            <w:tcMar>
              <w:bottom w:w="50" w:type="dxa"/>
            </w:tcMar>
            <w:vAlign w:val="center"/>
          </w:tcPr>
          <w:p>
            <w:pPr>
              <w:pStyle w:val="TableContents"/>
              <w:spacing w:before="0" w:after="283"/>
              <w:jc w:val="left"/>
              <w:rPr>
                <w:spacing w:val="-1"/>
              </w:rPr>
            </w:pPr>
            <w:r>
              <w:rPr>
                <w:spacing w:val="-1"/>
              </w:rPr>
              <w:t xml:space="preserve">Joseph Jimenez </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2019" w:type="dxa"/>
            <w:tcBorders>
              <w:bottom w:val="single" w:sz="2" w:space="0" w:color="000000"/>
            </w:tcBorders>
            <w:shd w:fill="auto" w:val="clear"/>
            <w:tcMar>
              <w:bottom w:w="50" w:type="dxa"/>
            </w:tcMar>
            <w:vAlign w:val="center"/>
          </w:tcPr>
          <w:p>
            <w:pPr>
              <w:pStyle w:val="TableContents"/>
              <w:spacing w:before="0" w:after="0"/>
              <w:jc w:val="center"/>
              <w:rPr>
                <w:spacing w:val="-1"/>
              </w:rPr>
            </w:pPr>
            <w:r>
              <w:rPr>
                <w:spacing w:val="-1"/>
              </w:rPr>
              <w:t xml:space="preserve">Yes </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028" w:type="dxa"/>
            <w:tcBorders>
              <w:bottom w:val="single" w:sz="2" w:space="0" w:color="000000"/>
            </w:tcBorders>
            <w:shd w:fill="auto" w:val="clear"/>
            <w:tcMar>
              <w:bottom w:w="50" w:type="dxa"/>
            </w:tcMar>
            <w:vAlign w:val="center"/>
          </w:tcPr>
          <w:p>
            <w:pPr>
              <w:pStyle w:val="TableContents"/>
              <w:spacing w:before="0" w:after="0"/>
              <w:jc w:val="center"/>
              <w:rPr>
                <w:spacing w:val="-1"/>
              </w:rPr>
            </w:pPr>
            <w:r>
              <w:rPr>
                <w:spacing w:val="-1"/>
              </w:rPr>
              <w:t xml:space="preserve">C </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509" w:type="dxa"/>
            <w:tcBorders>
              <w:bottom w:val="single" w:sz="2" w:space="0" w:color="000000"/>
            </w:tcBorders>
            <w:shd w:fill="auto" w:val="clear"/>
            <w:tcMar>
              <w:bottom w:w="50" w:type="dxa"/>
            </w:tcM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494" w:type="dxa"/>
            <w:tcBorders>
              <w:bottom w:val="single" w:sz="2" w:space="0" w:color="000000"/>
            </w:tcBorders>
            <w:shd w:fill="auto" w:val="clear"/>
            <w:tcMar>
              <w:bottom w:w="50" w:type="dxa"/>
            </w:tcMar>
            <w:vAlign w:val="center"/>
          </w:tcPr>
          <w:p>
            <w:pPr>
              <w:pStyle w:val="TableContents"/>
              <w:spacing w:before="0" w:after="0"/>
              <w:jc w:val="center"/>
              <w:rPr>
                <w:spacing w:val="-1"/>
              </w:rPr>
            </w:pPr>
            <w:r>
              <w:rPr>
                <w:spacing w:val="-1"/>
              </w:rPr>
              <w:t xml:space="preserve">M </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850" w:type="dxa"/>
            <w:tcBorders>
              <w:bottom w:val="single" w:sz="2" w:space="0" w:color="000000"/>
            </w:tcBorders>
            <w:shd w:fill="auto" w:val="clear"/>
            <w:tcMar>
              <w:bottom w:w="50" w:type="dxa"/>
            </w:tcMar>
            <w:vAlign w:val="center"/>
          </w:tcPr>
          <w:p>
            <w:pPr>
              <w:pStyle w:val="TableContents"/>
              <w:spacing w:before="0" w:after="0"/>
              <w:jc w:val="center"/>
              <w:rPr>
                <w:spacing w:val="-1"/>
              </w:rPr>
            </w:pPr>
            <w:r>
              <w:rPr>
                <w:spacing w:val="-1"/>
              </w:rPr>
              <w:t xml:space="preserve">C </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54" w:type="dxa"/>
            <w:tcBorders/>
            <w:shd w:fill="auto"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2697" w:type="dxa"/>
            <w:tcBorders>
              <w:bottom w:val="single" w:sz="2" w:space="0" w:color="000000"/>
            </w:tcBorders>
            <w:shd w:fill="auto" w:val="clear"/>
            <w:tcMar>
              <w:bottom w:w="50" w:type="dxa"/>
            </w:tcMar>
            <w:vAlign w:val="center"/>
          </w:tcPr>
          <w:p>
            <w:pPr>
              <w:pStyle w:val="TableContents"/>
              <w:spacing w:before="0" w:after="283"/>
              <w:jc w:val="left"/>
              <w:rPr>
                <w:spacing w:val="-1"/>
              </w:rPr>
            </w:pPr>
            <w:r>
              <w:rPr>
                <w:spacing w:val="-1"/>
              </w:rPr>
              <w:t xml:space="preserve">Daphne Quimi </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2019" w:type="dxa"/>
            <w:tcBorders>
              <w:bottom w:val="single" w:sz="2" w:space="0" w:color="000000"/>
            </w:tcBorders>
            <w:shd w:fill="auto" w:val="clear"/>
            <w:tcMar>
              <w:bottom w:w="50" w:type="dxa"/>
            </w:tcMar>
            <w:vAlign w:val="center"/>
          </w:tcPr>
          <w:p>
            <w:pPr>
              <w:pStyle w:val="TableContents"/>
              <w:spacing w:before="0" w:after="0"/>
              <w:jc w:val="center"/>
              <w:rPr>
                <w:spacing w:val="-1"/>
              </w:rPr>
            </w:pPr>
            <w:r>
              <w:rPr>
                <w:spacing w:val="-1"/>
              </w:rPr>
              <w:t xml:space="preserve">Yes </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028" w:type="dxa"/>
            <w:tcBorders>
              <w:bottom w:val="single" w:sz="2" w:space="0" w:color="000000"/>
            </w:tcBorders>
            <w:shd w:fill="auto" w:val="clear"/>
            <w:tcMar>
              <w:bottom w:w="50" w:type="dxa"/>
            </w:tcMar>
            <w:vAlign w:val="center"/>
          </w:tcPr>
          <w:p>
            <w:pPr>
              <w:pStyle w:val="TableContents"/>
              <w:spacing w:before="0" w:after="0"/>
              <w:jc w:val="center"/>
              <w:rPr>
                <w:spacing w:val="-1"/>
              </w:rPr>
            </w:pPr>
            <w:r>
              <w:rPr>
                <w:spacing w:val="-1"/>
              </w:rPr>
              <w:t xml:space="preserve">M </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509" w:type="dxa"/>
            <w:tcBorders>
              <w:bottom w:val="single" w:sz="2" w:space="0" w:color="000000"/>
            </w:tcBorders>
            <w:shd w:fill="auto" w:val="clear"/>
            <w:tcMar>
              <w:bottom w:w="50" w:type="dxa"/>
            </w:tcMar>
            <w:vAlign w:val="center"/>
          </w:tcPr>
          <w:p>
            <w:pPr>
              <w:pStyle w:val="TableContents"/>
              <w:spacing w:before="0" w:after="0"/>
              <w:jc w:val="center"/>
              <w:rPr>
                <w:spacing w:val="-1"/>
              </w:rPr>
            </w:pPr>
            <w:r>
              <w:rPr>
                <w:spacing w:val="-1"/>
              </w:rPr>
              <w:t xml:space="preserve">M </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494" w:type="dxa"/>
            <w:tcBorders>
              <w:bottom w:val="single" w:sz="2" w:space="0" w:color="000000"/>
            </w:tcBorders>
            <w:shd w:fill="auto" w:val="clear"/>
            <w:tcMar>
              <w:bottom w:w="50" w:type="dxa"/>
            </w:tcM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850" w:type="dxa"/>
            <w:tcBorders>
              <w:bottom w:val="single" w:sz="2" w:space="0" w:color="000000"/>
            </w:tcBorders>
            <w:shd w:fill="auto" w:val="clear"/>
            <w:tcMar>
              <w:bottom w:w="50" w:type="dxa"/>
            </w:tcMar>
            <w:vAlign w:val="center"/>
          </w:tcPr>
          <w:p>
            <w:pPr>
              <w:pStyle w:val="TableContents"/>
              <w:spacing w:before="0" w:after="0"/>
              <w:jc w:val="center"/>
              <w:rPr>
                <w:spacing w:val="-1"/>
              </w:rPr>
            </w:pPr>
            <w:r>
              <w:rPr>
                <w:spacing w:val="-1"/>
              </w:rPr>
              <w:t xml:space="preserve">M </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54" w:type="dxa"/>
            <w:tcBorders/>
            <w:shd w:fill="auto"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2697" w:type="dxa"/>
            <w:tcBorders>
              <w:bottom w:val="single" w:sz="2" w:space="0" w:color="000000"/>
            </w:tcBorders>
            <w:shd w:fill="auto" w:val="clear"/>
            <w:tcMar>
              <w:bottom w:w="50" w:type="dxa"/>
            </w:tcMar>
            <w:vAlign w:val="center"/>
          </w:tcPr>
          <w:p>
            <w:pPr>
              <w:pStyle w:val="TableContents"/>
              <w:spacing w:before="0" w:after="283"/>
              <w:jc w:val="left"/>
              <w:rPr>
                <w:spacing w:val="-1"/>
              </w:rPr>
            </w:pPr>
            <w:r>
              <w:rPr>
                <w:spacing w:val="-1"/>
              </w:rPr>
              <w:t xml:space="preserve">Alessandro Riva, M.D. </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2019" w:type="dxa"/>
            <w:tcBorders>
              <w:bottom w:val="single" w:sz="2" w:space="0" w:color="000000"/>
            </w:tcBorders>
            <w:shd w:fill="auto" w:val="clear"/>
            <w:tcMar>
              <w:bottom w:w="50" w:type="dxa"/>
            </w:tcMar>
            <w:vAlign w:val="center"/>
          </w:tcPr>
          <w:p>
            <w:pPr>
              <w:pStyle w:val="TableContents"/>
              <w:spacing w:before="0" w:after="0"/>
              <w:jc w:val="center"/>
              <w:rPr>
                <w:spacing w:val="-1"/>
              </w:rPr>
            </w:pPr>
            <w:r>
              <w:rPr>
                <w:spacing w:val="-1"/>
              </w:rPr>
              <w:t xml:space="preserve">Yes </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028" w:type="dxa"/>
            <w:tcBorders>
              <w:bottom w:val="single" w:sz="2" w:space="0" w:color="000000"/>
            </w:tcBorders>
            <w:shd w:fill="auto" w:val="clear"/>
            <w:tcMar>
              <w:bottom w:w="50" w:type="dxa"/>
            </w:tcMar>
            <w:vAlign w:val="center"/>
          </w:tcPr>
          <w:p>
            <w:pPr>
              <w:pStyle w:val="TableContents"/>
              <w:spacing w:before="0" w:after="0"/>
              <w:jc w:val="center"/>
              <w:rPr>
                <w:spacing w:val="-1"/>
              </w:rPr>
            </w:pPr>
            <w:r>
              <w:rPr>
                <w:spacing w:val="-1"/>
              </w:rPr>
              <w:t xml:space="preserve">M </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509" w:type="dxa"/>
            <w:tcBorders>
              <w:bottom w:val="single" w:sz="2" w:space="0" w:color="000000"/>
            </w:tcBorders>
            <w:shd w:fill="auto" w:val="clear"/>
            <w:tcMar>
              <w:bottom w:w="50" w:type="dxa"/>
            </w:tcMar>
            <w:vAlign w:val="center"/>
          </w:tcPr>
          <w:p>
            <w:pPr>
              <w:pStyle w:val="TableContents"/>
              <w:spacing w:before="0" w:after="0"/>
              <w:jc w:val="center"/>
              <w:rPr>
                <w:spacing w:val="-1"/>
              </w:rPr>
            </w:pPr>
            <w:r>
              <w:rPr>
                <w:spacing w:val="-1"/>
              </w:rPr>
              <w:t xml:space="preserve">M </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494" w:type="dxa"/>
            <w:tcBorders>
              <w:bottom w:val="single" w:sz="2" w:space="0" w:color="000000"/>
            </w:tcBorders>
            <w:shd w:fill="auto" w:val="clear"/>
            <w:tcMar>
              <w:bottom w:w="50" w:type="dxa"/>
            </w:tcM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850" w:type="dxa"/>
            <w:tcBorders>
              <w:bottom w:val="single" w:sz="2" w:space="0" w:color="000000"/>
            </w:tcBorders>
            <w:shd w:fill="auto" w:val="clear"/>
            <w:tcMar>
              <w:bottom w:w="50" w:type="dxa"/>
            </w:tcM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54" w:type="dxa"/>
            <w:tcBorders/>
            <w:shd w:fill="auto"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2697" w:type="dxa"/>
            <w:tcBorders>
              <w:bottom w:val="single" w:sz="2" w:space="0" w:color="000000"/>
            </w:tcBorders>
            <w:shd w:fill="auto" w:val="clear"/>
            <w:tcMar>
              <w:bottom w:w="50" w:type="dxa"/>
            </w:tcMar>
            <w:vAlign w:val="center"/>
          </w:tcPr>
          <w:p>
            <w:pPr>
              <w:pStyle w:val="TableContents"/>
              <w:spacing w:before="0" w:after="283"/>
              <w:jc w:val="left"/>
              <w:rPr>
                <w:spacing w:val="-1"/>
              </w:rPr>
            </w:pPr>
            <w:r>
              <w:rPr>
                <w:spacing w:val="-1"/>
              </w:rPr>
              <w:t xml:space="preserve">Carlo Rizzuto, Ph.D. </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2019" w:type="dxa"/>
            <w:tcBorders>
              <w:bottom w:val="single" w:sz="2" w:space="0" w:color="000000"/>
            </w:tcBorders>
            <w:shd w:fill="auto" w:val="clear"/>
            <w:tcMar>
              <w:bottom w:w="50" w:type="dxa"/>
            </w:tcMar>
            <w:vAlign w:val="center"/>
          </w:tcPr>
          <w:p>
            <w:pPr>
              <w:pStyle w:val="TableContents"/>
              <w:spacing w:before="0" w:after="0"/>
              <w:jc w:val="center"/>
              <w:rPr>
                <w:spacing w:val="-1"/>
              </w:rPr>
            </w:pPr>
            <w:r>
              <w:rPr>
                <w:spacing w:val="-1"/>
              </w:rPr>
              <w:t xml:space="preserve">Yes </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028" w:type="dxa"/>
            <w:tcBorders>
              <w:bottom w:val="single" w:sz="2" w:space="0" w:color="000000"/>
            </w:tcBorders>
            <w:shd w:fill="auto" w:val="clear"/>
            <w:tcMar>
              <w:bottom w:w="50" w:type="dxa"/>
            </w:tcMar>
            <w:vAlign w:val="center"/>
          </w:tcPr>
          <w:p>
            <w:pPr>
              <w:pStyle w:val="TableContents"/>
              <w:spacing w:before="0" w:after="0"/>
              <w:jc w:val="center"/>
              <w:rPr>
                <w:spacing w:val="-1"/>
              </w:rPr>
            </w:pPr>
            <w:r>
              <w:rPr>
                <w:spacing w:val="-1"/>
              </w:rPr>
              <w:t xml:space="preserve">M </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509" w:type="dxa"/>
            <w:tcBorders>
              <w:bottom w:val="single" w:sz="2" w:space="0" w:color="000000"/>
            </w:tcBorders>
            <w:shd w:fill="auto" w:val="clear"/>
            <w:tcMar>
              <w:bottom w:w="50" w:type="dxa"/>
            </w:tcM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494" w:type="dxa"/>
            <w:tcBorders>
              <w:bottom w:val="single" w:sz="2" w:space="0" w:color="000000"/>
            </w:tcBorders>
            <w:shd w:fill="auto" w:val="clear"/>
            <w:tcMar>
              <w:bottom w:w="50" w:type="dxa"/>
            </w:tcMar>
            <w:vAlign w:val="center"/>
          </w:tcPr>
          <w:p>
            <w:pPr>
              <w:pStyle w:val="TableContents"/>
              <w:spacing w:before="0" w:after="0"/>
              <w:jc w:val="center"/>
              <w:rPr>
                <w:spacing w:val="-1"/>
              </w:rPr>
            </w:pPr>
            <w:r>
              <w:rPr>
                <w:spacing w:val="-1"/>
              </w:rPr>
              <w:t xml:space="preserve">C </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850" w:type="dxa"/>
            <w:tcBorders>
              <w:bottom w:val="single" w:sz="2" w:space="0" w:color="000000"/>
            </w:tcBorders>
            <w:shd w:fill="auto" w:val="clear"/>
            <w:tcMar>
              <w:bottom w:w="50" w:type="dxa"/>
            </w:tcMar>
            <w:vAlign w:val="center"/>
          </w:tcPr>
          <w:p>
            <w:pPr>
              <w:pStyle w:val="TableContents"/>
              <w:spacing w:before="0" w:after="0"/>
              <w:jc w:val="center"/>
              <w:rPr>
                <w:spacing w:val="-1"/>
              </w:rPr>
            </w:pPr>
            <w:r>
              <w:rPr>
                <w:spacing w:val="-1"/>
              </w:rPr>
              <w:t xml:space="preserve">M </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54" w:type="dxa"/>
            <w:tcBorders/>
            <w:shd w:fill="auto"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2697" w:type="dxa"/>
            <w:tcBorders>
              <w:bottom w:val="single" w:sz="2" w:space="0" w:color="000000"/>
            </w:tcBorders>
            <w:shd w:fill="auto" w:val="clear"/>
            <w:tcMar>
              <w:bottom w:w="50" w:type="dxa"/>
            </w:tcMar>
            <w:vAlign w:val="center"/>
          </w:tcPr>
          <w:p>
            <w:pPr>
              <w:pStyle w:val="TableContents"/>
              <w:spacing w:before="0" w:after="283"/>
              <w:jc w:val="left"/>
              <w:rPr>
                <w:spacing w:val="-1"/>
              </w:rPr>
            </w:pPr>
            <w:r>
              <w:rPr>
                <w:spacing w:val="-1"/>
              </w:rPr>
              <w:t xml:space="preserve">Timothy Walbert </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2019" w:type="dxa"/>
            <w:tcBorders>
              <w:bottom w:val="single" w:sz="2" w:space="0" w:color="000000"/>
            </w:tcBorders>
            <w:shd w:fill="auto" w:val="clear"/>
            <w:tcMar>
              <w:bottom w:w="50" w:type="dxa"/>
            </w:tcMar>
            <w:vAlign w:val="center"/>
          </w:tcPr>
          <w:p>
            <w:pPr>
              <w:pStyle w:val="TableContents"/>
              <w:spacing w:before="0" w:after="0"/>
              <w:jc w:val="center"/>
              <w:rPr>
                <w:spacing w:val="-1"/>
              </w:rPr>
            </w:pPr>
            <w:r>
              <w:rPr>
                <w:spacing w:val="-1"/>
              </w:rPr>
              <w:t xml:space="preserve">Yes </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028" w:type="dxa"/>
            <w:tcBorders>
              <w:bottom w:val="single" w:sz="2" w:space="0" w:color="000000"/>
            </w:tcBorders>
            <w:shd w:fill="auto" w:val="clear"/>
            <w:tcMar>
              <w:bottom w:w="50" w:type="dxa"/>
            </w:tcMar>
            <w:vAlign w:val="center"/>
          </w:tcPr>
          <w:p>
            <w:pPr>
              <w:pStyle w:val="TableContents"/>
              <w:spacing w:before="0" w:after="0"/>
              <w:jc w:val="center"/>
              <w:rPr>
                <w:spacing w:val="-1"/>
              </w:rPr>
            </w:pPr>
            <w:r>
              <w:rPr>
                <w:spacing w:val="-1"/>
              </w:rPr>
              <w:t xml:space="preserve">M </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509" w:type="dxa"/>
            <w:tcBorders>
              <w:bottom w:val="single" w:sz="2" w:space="0" w:color="000000"/>
            </w:tcBorders>
            <w:shd w:fill="auto" w:val="clear"/>
            <w:tcMar>
              <w:bottom w:w="50" w:type="dxa"/>
            </w:tcM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494" w:type="dxa"/>
            <w:tcBorders>
              <w:bottom w:val="single" w:sz="2" w:space="0" w:color="000000"/>
            </w:tcBorders>
            <w:shd w:fill="auto" w:val="clear"/>
            <w:tcMar>
              <w:bottom w:w="50" w:type="dxa"/>
            </w:tcMar>
            <w:vAlign w:val="center"/>
          </w:tcPr>
          <w:p>
            <w:pPr>
              <w:pStyle w:val="TableContents"/>
              <w:spacing w:before="0" w:after="0"/>
              <w:jc w:val="center"/>
              <w:rPr>
                <w:spacing w:val="-1"/>
              </w:rPr>
            </w:pPr>
            <w:r>
              <w:rPr>
                <w:spacing w:val="-1"/>
              </w:rPr>
              <w:t xml:space="preserve">M </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850" w:type="dxa"/>
            <w:tcBorders>
              <w:bottom w:val="single" w:sz="2" w:space="0" w:color="000000"/>
            </w:tcBorders>
            <w:shd w:fill="auto" w:val="clear"/>
            <w:tcMar>
              <w:bottom w:w="50" w:type="dxa"/>
            </w:tcM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54" w:type="dxa"/>
            <w:tcBorders/>
            <w:shd w:fill="auto" w:val="clear"/>
            <w:vAlign w:val="center"/>
          </w:tcPr>
          <w:p>
            <w:pPr>
              <w:pStyle w:val="TableContents"/>
              <w:spacing w:before="0" w:after="283"/>
              <w:rPr/>
            </w:pPr>
            <w:r>
              <w:rPr/>
              <w:t>​</w:t>
            </w:r>
          </w:p>
        </w:tc>
      </w:tr>
    </w:tbl>
    <w:tbl>
      <w:tblPr>
        <w:tblW w:w="7823" w:type="dxa"/>
        <w:jc w:val="left"/>
        <w:tblInd w:w="960" w:type="dxa"/>
        <w:tblCellMar>
          <w:top w:w="0" w:type="dxa"/>
          <w:left w:w="0" w:type="dxa"/>
          <w:bottom w:w="0" w:type="dxa"/>
          <w:right w:w="0" w:type="dxa"/>
        </w:tblCellMar>
      </w:tblPr>
      <w:tblGrid>
        <w:gridCol w:w="124"/>
        <w:gridCol w:w="2433"/>
        <w:gridCol w:w="111"/>
        <w:gridCol w:w="111"/>
        <w:gridCol w:w="3253"/>
        <w:gridCol w:w="109"/>
        <w:gridCol w:w="109"/>
        <w:gridCol w:w="1419"/>
        <w:gridCol w:w="154"/>
      </w:tblGrid>
      <w:tr>
        <w:trPr/>
        <w:tc>
          <w:tcPr>
            <w:tcW w:w="124" w:type="dxa"/>
            <w:tcBorders/>
            <w:shd w:fill="auto" w:val="clear"/>
            <w:vAlign w:val="center"/>
          </w:tcPr>
          <w:p>
            <w:pPr>
              <w:pStyle w:val="TableContents"/>
              <w:spacing w:before="0" w:after="283"/>
              <w:rPr/>
            </w:pPr>
            <w:r>
              <w:rPr/>
              <w:t>​</w:t>
            </w:r>
          </w:p>
        </w:tc>
        <w:tc>
          <w:tcPr>
            <w:tcW w:w="2433" w:type="dxa"/>
            <w:tcBorders/>
            <w:shd w:fill="auto" w:val="clear"/>
            <w:vAlign w:val="center"/>
          </w:tcPr>
          <w:p>
            <w:pPr>
              <w:pStyle w:val="TableContents"/>
              <w:spacing w:before="0" w:after="283"/>
              <w:rPr/>
            </w:pPr>
            <w:r>
              <w:rPr>
                <w:spacing w:val="-3"/>
              </w:rPr>
              <w:t>AC</w:t>
            </w:r>
            <w:r>
              <w:rPr>
                <w:spacing w:val="-1"/>
              </w:rPr>
              <w:t xml:space="preserve"> </w:t>
            </w:r>
            <w:r>
              <w:rPr>
                <w:b w:val="false"/>
                <w:spacing w:val="-1"/>
              </w:rPr>
              <w:t xml:space="preserve">= Audit Committee </w:t>
            </w:r>
          </w:p>
        </w:tc>
        <w:tc>
          <w:tcPr>
            <w:tcW w:w="111" w:type="dxa"/>
            <w:tcBorders/>
            <w:shd w:fill="auto" w:val="clear"/>
            <w:vAlign w:val="center"/>
          </w:tcPr>
          <w:p>
            <w:pPr>
              <w:pStyle w:val="TableContents"/>
              <w:spacing w:before="0" w:after="283"/>
              <w:rPr/>
            </w:pPr>
            <w:r>
              <w:rPr/>
              <w:t>​</w:t>
            </w:r>
          </w:p>
        </w:tc>
        <w:tc>
          <w:tcPr>
            <w:tcW w:w="111" w:type="dxa"/>
            <w:tcBorders/>
            <w:shd w:fill="auto" w:val="clear"/>
            <w:vAlign w:val="center"/>
          </w:tcPr>
          <w:p>
            <w:pPr>
              <w:pStyle w:val="TableContents"/>
              <w:spacing w:before="0" w:after="283"/>
              <w:rPr/>
            </w:pPr>
            <w:r>
              <w:rPr/>
              <w:t>​</w:t>
            </w:r>
          </w:p>
        </w:tc>
        <w:tc>
          <w:tcPr>
            <w:tcW w:w="3253" w:type="dxa"/>
            <w:tcBorders/>
            <w:shd w:fill="auto" w:val="clear"/>
            <w:vAlign w:val="center"/>
          </w:tcPr>
          <w:p>
            <w:pPr>
              <w:pStyle w:val="TableContents"/>
              <w:spacing w:before="0" w:after="283"/>
              <w:rPr/>
            </w:pPr>
            <w:r>
              <w:rPr>
                <w:spacing w:val="-3"/>
              </w:rPr>
              <w:t>CC</w:t>
            </w:r>
            <w:r>
              <w:rPr>
                <w:spacing w:val="-1"/>
              </w:rPr>
              <w:t xml:space="preserve"> </w:t>
            </w:r>
            <w:r>
              <w:rPr>
                <w:b w:val="false"/>
                <w:spacing w:val="-1"/>
              </w:rPr>
              <w:t xml:space="preserve">= Compensation Committee </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419" w:type="dxa"/>
            <w:tcBorders/>
            <w:shd w:fill="auto" w:val="clear"/>
            <w:vAlign w:val="center"/>
          </w:tcPr>
          <w:p>
            <w:pPr>
              <w:pStyle w:val="TableContents"/>
              <w:spacing w:before="0" w:after="283"/>
              <w:rPr/>
            </w:pPr>
            <w:r>
              <w:rPr>
                <w:spacing w:val="-3"/>
              </w:rPr>
              <w:t>C</w:t>
            </w:r>
            <w:r>
              <w:rPr>
                <w:spacing w:val="-1"/>
              </w:rPr>
              <w:t xml:space="preserve"> </w:t>
            </w:r>
            <w:r>
              <w:rPr>
                <w:b w:val="false"/>
                <w:spacing w:val="-1"/>
              </w:rPr>
              <w:t xml:space="preserve">= Chair </w:t>
            </w:r>
          </w:p>
        </w:tc>
        <w:tc>
          <w:tcPr>
            <w:tcW w:w="154" w:type="dxa"/>
            <w:tcBorders/>
            <w:shd w:fill="auto"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5908" w:type="dxa"/>
            <w:gridSpan w:val="4"/>
            <w:tcBorders/>
            <w:shd w:fill="auto" w:val="clear"/>
            <w:vAlign w:val="center"/>
          </w:tcPr>
          <w:p>
            <w:pPr>
              <w:pStyle w:val="TableContents"/>
              <w:spacing w:before="0" w:after="283"/>
              <w:rPr/>
            </w:pPr>
            <w:r>
              <w:rPr>
                <w:spacing w:val="-3"/>
              </w:rPr>
              <w:t>NCGC</w:t>
            </w:r>
            <w:r>
              <w:rPr>
                <w:spacing w:val="-1"/>
              </w:rPr>
              <w:t xml:space="preserve"> </w:t>
            </w:r>
            <w:r>
              <w:rPr>
                <w:b w:val="false"/>
                <w:spacing w:val="-1"/>
              </w:rPr>
              <w:t xml:space="preserve">= Nominating and Corporate Governance Committee </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419" w:type="dxa"/>
            <w:tcBorders/>
            <w:shd w:fill="auto" w:val="clear"/>
            <w:vAlign w:val="center"/>
          </w:tcPr>
          <w:p>
            <w:pPr>
              <w:pStyle w:val="TableContents"/>
              <w:spacing w:before="0" w:after="283"/>
              <w:rPr/>
            </w:pPr>
            <w:r>
              <w:rPr>
                <w:spacing w:val="-3"/>
              </w:rPr>
              <w:t>M</w:t>
            </w:r>
            <w:r>
              <w:rPr>
                <w:spacing w:val="-1"/>
              </w:rPr>
              <w:t xml:space="preserve"> </w:t>
            </w:r>
            <w:r>
              <w:rPr>
                <w:b w:val="false"/>
                <w:spacing w:val="-1"/>
              </w:rPr>
              <w:t>= Member</w:t>
            </w:r>
            <w:r>
              <w:rPr/>
              <w:t xml:space="preserve"> </w:t>
            </w:r>
          </w:p>
        </w:tc>
        <w:tc>
          <w:tcPr>
            <w:tcW w:w="154" w:type="dxa"/>
            <w:tcBorders/>
            <w:shd w:fill="auto" w:val="clear"/>
            <w:vAlign w:val="center"/>
          </w:tcPr>
          <w:p>
            <w:pPr>
              <w:pStyle w:val="TableContents"/>
              <w:spacing w:before="0" w:after="283"/>
              <w:rPr/>
            </w:pPr>
            <w:r>
              <w:rPr/>
              <w:t>​</w:t>
            </w:r>
          </w:p>
        </w:tc>
      </w:tr>
    </w:tbl>
    <w:p>
      <w:pPr>
        <w:pStyle w:val="TextBody"/>
        <w:spacing w:lineRule="atLeast" w:line="250" w:before="184" w:after="283"/>
        <w:ind w:left="96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During 2022, our Board held five meetings, our Compensation Committee held four meetings, our Audit Committee held four meetings and our Nominating and Corporate Governance Committee held four meetings. Each director attended at least 75% of meetings of each Committee on which he or she served in 2022.</w:t>
      </w:r>
      <w:r>
        <w:rPr>
          <w:rFonts w:ascii="Arial;Helvetica;sans-serif" w:hAnsi="Arial;Helvetica;sans-serif"/>
          <w:b w:val="false"/>
          <w:i w:val="false"/>
          <w:caps w:val="false"/>
          <w:smallCaps w:val="false"/>
          <w:color w:val="000000"/>
          <w:spacing w:val="4"/>
          <w:sz w:val="20"/>
        </w:rPr>
        <w:t xml:space="preserve"> </w:t>
      </w:r>
    </w:p>
    <w:p>
      <w:pPr>
        <w:pStyle w:val="TextBody"/>
        <w:spacing w:lineRule="atLeast" w:line="25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Directors are encouraged, but not required, to attend our annual stockholder meetings. We held our annual meeting of stockholders on June 9, 2022 and all of our directors were in attendance.</w:t>
      </w:r>
      <w:r>
        <w:rPr>
          <w:rFonts w:ascii="Arial;Helvetica;sans-serif" w:hAnsi="Arial;Helvetica;sans-serif"/>
          <w:b w:val="false"/>
          <w:i w:val="false"/>
          <w:caps w:val="false"/>
          <w:smallCaps w:val="false"/>
          <w:color w:val="000000"/>
          <w:spacing w:val="4"/>
          <w:sz w:val="20"/>
        </w:rPr>
        <w:t xml:space="preserve"> </w:t>
      </w:r>
    </w:p>
    <w:p>
      <w:pPr>
        <w:pStyle w:val="TextBody"/>
        <w:spacing w:lineRule="atLeast" w:line="240" w:before="100" w:after="283"/>
        <w:ind w:left="960" w:right="0" w:hanging="0"/>
        <w:jc w:val="righ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1DA46F"/>
          <w:spacing w:val="0"/>
          <w:sz w:val="20"/>
        </w:rPr>
        <w:t>Notice of Annual Meeting of Stockholders</w:t>
      </w:r>
      <w:r>
        <w:rPr>
          <w:rFonts w:ascii="Arial;Helvetica;sans-serif" w:hAnsi="Arial;Helvetica;sans-serif"/>
          <w:b/>
          <w:i w:val="false"/>
          <w:caps w:val="false"/>
          <w:smallCaps w:val="false"/>
          <w:color w:val="000000"/>
          <w:spacing w:val="0"/>
          <w:sz w:val="20"/>
        </w:rPr>
        <w:t> and 2023 Proxy Statement | </w:t>
      </w:r>
      <w:r>
        <w:rPr>
          <w:rFonts w:ascii="Arial;Helvetica;sans-serif" w:hAnsi="Arial;Helvetica;sans-serif"/>
          <w:b w:val="false"/>
          <w:i w:val="false"/>
          <w:caps w:val="false"/>
          <w:smallCaps w:val="false"/>
          <w:color w:val="000000"/>
          <w:spacing w:val="-1"/>
          <w:sz w:val="20"/>
        </w:rPr>
        <w:t>13</w:t>
      </w:r>
      <w:r>
        <w:rPr>
          <w:rFonts w:ascii="Arial;Helvetica;sans-serif" w:hAnsi="Arial;Helvetica;sans-serif"/>
          <w:b/>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tbl>
      <w:tblPr>
        <w:tblW w:w="6574" w:type="dxa"/>
        <w:jc w:val="left"/>
        <w:tblInd w:w="960" w:type="dxa"/>
        <w:tblCellMar>
          <w:top w:w="0" w:type="dxa"/>
          <w:left w:w="0" w:type="dxa"/>
          <w:bottom w:w="0" w:type="dxa"/>
          <w:right w:w="0" w:type="dxa"/>
        </w:tblCellMar>
      </w:tblPr>
      <w:tblGrid>
        <w:gridCol w:w="124"/>
        <w:gridCol w:w="6296"/>
        <w:gridCol w:w="154"/>
      </w:tblGrid>
      <w:tr>
        <w:trPr/>
        <w:tc>
          <w:tcPr>
            <w:tcW w:w="124" w:type="dxa"/>
            <w:tcBorders/>
            <w:shd w:fill="1DA46F" w:val="clear"/>
            <w:vAlign w:val="center"/>
          </w:tcPr>
          <w:p>
            <w:pPr>
              <w:pStyle w:val="TableContents"/>
              <w:spacing w:before="0" w:after="283"/>
              <w:rPr/>
            </w:pPr>
            <w:r>
              <w:rPr/>
              <w:t>​</w:t>
            </w:r>
          </w:p>
        </w:tc>
        <w:tc>
          <w:tcPr>
            <w:tcW w:w="6296" w:type="dxa"/>
            <w:tcBorders/>
            <w:shd w:fill="1DA46F" w:val="clear"/>
            <w:vAlign w:val="center"/>
          </w:tcPr>
          <w:p>
            <w:pPr>
              <w:pStyle w:val="TableContents"/>
              <w:spacing w:lineRule="atLeast" w:line="360" w:before="0" w:after="0"/>
              <w:rPr/>
            </w:pPr>
            <w:r>
              <w:rPr>
                <w:spacing w:val="-5"/>
              </w:rPr>
              <w:t>CORPORATE GOVERNANCE AND RISK MANAGEMENT</w:t>
            </w:r>
            <w:r>
              <w:rPr/>
              <w:t xml:space="preserve"> </w:t>
            </w:r>
          </w:p>
        </w:tc>
        <w:tc>
          <w:tcPr>
            <w:tcW w:w="154" w:type="dxa"/>
            <w:tcBorders/>
            <w:shd w:fill="1DA46F" w:val="clear"/>
            <w:vAlign w:val="center"/>
          </w:tcPr>
          <w:p>
            <w:pPr>
              <w:pStyle w:val="TableContents"/>
              <w:spacing w:before="0" w:after="283"/>
              <w:rPr/>
            </w:pPr>
            <w:r>
              <w:rPr/>
              <w:t>​</w:t>
            </w:r>
          </w:p>
        </w:tc>
      </w:tr>
    </w:tbl>
    <w:tbl>
      <w:tblPr>
        <w:tblW w:w="9245" w:type="dxa"/>
        <w:jc w:val="left"/>
        <w:tblInd w:w="960" w:type="dxa"/>
        <w:tblCellMar>
          <w:top w:w="0" w:type="dxa"/>
          <w:left w:w="0" w:type="dxa"/>
          <w:bottom w:w="28" w:type="dxa"/>
          <w:right w:w="0" w:type="dxa"/>
        </w:tblCellMar>
      </w:tblPr>
      <w:tblGrid>
        <w:gridCol w:w="124"/>
        <w:gridCol w:w="3755"/>
        <w:gridCol w:w="109"/>
        <w:gridCol w:w="109"/>
        <w:gridCol w:w="4993"/>
        <w:gridCol w:w="155"/>
      </w:tblGrid>
      <w:tr>
        <w:trPr/>
        <w:tc>
          <w:tcPr>
            <w:tcW w:w="124" w:type="dxa"/>
            <w:tcBorders>
              <w:bottom w:val="single" w:sz="12" w:space="0" w:color="1DA46F"/>
            </w:tcBorders>
            <w:shd w:fill="auto" w:val="clear"/>
            <w:vAlign w:val="center"/>
          </w:tcPr>
          <w:p>
            <w:pPr>
              <w:pStyle w:val="TableContents"/>
              <w:spacing w:before="0" w:after="283"/>
              <w:rPr/>
            </w:pPr>
            <w:r>
              <w:rPr/>
              <w:t>​</w:t>
            </w:r>
          </w:p>
        </w:tc>
        <w:tc>
          <w:tcPr>
            <w:tcW w:w="8966" w:type="dxa"/>
            <w:gridSpan w:val="4"/>
            <w:tcBorders>
              <w:bottom w:val="single" w:sz="12" w:space="0" w:color="1DA46F"/>
            </w:tcBorders>
            <w:shd w:fill="auto" w:val="clear"/>
            <w:tcMar>
              <w:bottom w:w="40" w:type="dxa"/>
            </w:tcMar>
            <w:vAlign w:val="center"/>
          </w:tcPr>
          <w:p>
            <w:pPr>
              <w:pStyle w:val="TableContents"/>
              <w:spacing w:before="0" w:after="0"/>
              <w:jc w:val="center"/>
              <w:rPr>
                <w:spacing w:val="-3"/>
              </w:rPr>
            </w:pPr>
            <w:r>
              <w:rPr>
                <w:spacing w:val="-3"/>
              </w:rPr>
              <w:t xml:space="preserve">THE AUDIT COMMITTEE </w:t>
            </w:r>
          </w:p>
        </w:tc>
        <w:tc>
          <w:tcPr>
            <w:tcW w:w="155" w:type="dxa"/>
            <w:tcBorders>
              <w:bottom w:val="single" w:sz="12" w:space="0" w:color="1DA46F"/>
            </w:tcBorders>
            <w:shd w:fill="auto" w:val="clear"/>
            <w:vAlign w:val="center"/>
          </w:tcPr>
          <w:p>
            <w:pPr>
              <w:pStyle w:val="TableContents"/>
              <w:spacing w:before="0" w:after="283"/>
              <w:rPr/>
            </w:pPr>
            <w:r>
              <w:rPr/>
              <w:t>​</w:t>
            </w:r>
          </w:p>
        </w:tc>
      </w:tr>
      <w:tr>
        <w:trPr/>
        <w:tc>
          <w:tcPr>
            <w:tcW w:w="124" w:type="dxa"/>
            <w:tcBorders>
              <w:bottom w:val="single" w:sz="12" w:space="0" w:color="1DA46F"/>
            </w:tcBorders>
            <w:shd w:fill="auto" w:val="clear"/>
            <w:vAlign w:val="center"/>
          </w:tcPr>
          <w:p>
            <w:pPr>
              <w:pStyle w:val="TableContents"/>
              <w:spacing w:before="0" w:after="283"/>
              <w:rPr/>
            </w:pPr>
            <w:r>
              <w:rPr/>
              <w:t>​</w:t>
            </w:r>
          </w:p>
        </w:tc>
        <w:tc>
          <w:tcPr>
            <w:tcW w:w="3755" w:type="dxa"/>
            <w:tcBorders>
              <w:bottom w:val="single" w:sz="12" w:space="0" w:color="1DA46F"/>
            </w:tcBorders>
            <w:shd w:fill="auto" w:val="clear"/>
            <w:tcMar>
              <w:bottom w:w="37" w:type="dxa"/>
            </w:tcMar>
            <w:vAlign w:val="center"/>
          </w:tcPr>
          <w:p>
            <w:pPr>
              <w:pStyle w:val="TableContents"/>
              <w:spacing w:lineRule="atLeast" w:line="240" w:before="0" w:after="0"/>
              <w:rPr>
                <w:b/>
              </w:rPr>
            </w:pPr>
            <w:r>
              <w:rPr>
                <w:b/>
                <w:color w:val="148CD9"/>
                <w:spacing w:val="0"/>
              </w:rPr>
              <w:t>Chair</w:t>
            </w:r>
            <w:r>
              <w:rPr>
                <w:b w:val="false"/>
                <w:spacing w:val="-1"/>
              </w:rPr>
              <w:t>: Cynthia Butitta</w:t>
            </w:r>
            <w:r>
              <w:rPr>
                <w:b/>
              </w:rPr>
              <w:t xml:space="preserve"> </w:t>
            </w:r>
          </w:p>
          <w:p>
            <w:pPr>
              <w:pStyle w:val="TableContents"/>
              <w:spacing w:lineRule="atLeast" w:line="240" w:before="160" w:after="283"/>
              <w:rPr>
                <w:b/>
                <w:color w:val="148CD9"/>
              </w:rPr>
            </w:pPr>
            <w:r>
              <w:rPr>
                <w:b/>
                <w:color w:val="148CD9"/>
                <w:spacing w:val="0"/>
              </w:rPr>
              <w:t>Additional Committee Members</w:t>
            </w:r>
            <w:r>
              <w:rPr>
                <w:b w:val="false"/>
                <w:color w:val="000000"/>
                <w:spacing w:val="-1"/>
              </w:rPr>
              <w:t>:</w:t>
            </w:r>
            <w:r>
              <w:rPr>
                <w:b/>
                <w:color w:val="148CD9"/>
              </w:rPr>
              <w:t xml:space="preserve"> </w:t>
            </w:r>
          </w:p>
          <w:p>
            <w:pPr>
              <w:pStyle w:val="TableContents"/>
              <w:spacing w:lineRule="atLeast" w:line="200" w:before="160" w:after="0"/>
              <w:ind w:left="400" w:right="0" w:hanging="0"/>
              <w:jc w:val="left"/>
              <w:rPr/>
            </w:pPr>
            <w:r>
              <w:rPr>
                <w:spacing w:val="-1"/>
              </w:rPr>
              <w:t>Kimberly Blackwell, M.D.</w:t>
            </w:r>
            <w:r>
              <w:rPr/>
              <w:t xml:space="preserve"> </w:t>
            </w:r>
            <w:r>
              <mc:AlternateContent>
                <mc:Choice Requires="wps">
                  <w:drawing>
                    <wp:anchor behindDoc="0" distT="101600" distB="0" distL="127000" distR="0" simplePos="0" locked="0" layoutInCell="1" allowOverlap="1" relativeHeight="59">
                      <wp:simplePos x="0" y="0"/>
                      <wp:positionH relativeFrom="column">
                        <wp:align>left</wp:align>
                      </wp:positionH>
                      <wp:positionV relativeFrom="line">
                        <wp:align>top</wp:align>
                      </wp:positionV>
                      <wp:extent cx="127000" cy="350520"/>
                      <wp:effectExtent l="0" t="0" r="0" b="0"/>
                      <wp:wrapSquare wrapText="largest"/>
                      <wp:docPr id="53" name="Frame31"/>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0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10pt;mso-wrap-distance-right:0pt;mso-wrap-distance-top:8pt;mso-wrap-distance-bottom:0pt;margin-top:8pt;mso-position-vertical:top;mso-position-vertical-relative:text;margin-left:10pt;mso-position-horizontal:left;mso-position-horizontal-relative:text">
                      <v:textbox>
                        <w:txbxContent>
                          <w:p>
                            <w:pPr>
                              <w:pStyle w:val="TextBody"/>
                              <w:spacing w:lineRule="atLeast" w:line="200" w:before="0" w:after="283"/>
                              <w:jc w:val="left"/>
                              <w:rPr/>
                            </w:pPr>
                            <w:r>
                              <w:rPr>
                                <w:spacing w:val="-1"/>
                              </w:rPr>
                              <w:t>•</w:t>
                            </w:r>
                            <w:r>
                              <w:rPr/>
                              <w:t xml:space="preserve"> </w:t>
                            </w:r>
                            <w:r>
                              <w:rPr/>
                              <w:br/>
                            </w:r>
                          </w:p>
                        </w:txbxContent>
                      </v:textbox>
                      <w10:wrap type="square" side="right"/>
                    </v:rect>
                  </w:pict>
                </mc:Fallback>
              </mc:AlternateContent>
            </w:r>
          </w:p>
          <w:p>
            <w:pPr>
              <w:pStyle w:val="TableContents"/>
              <w:spacing w:before="0" w:after="0"/>
              <w:ind w:left="0" w:right="0" w:hanging="0"/>
              <w:rPr/>
            </w:pPr>
            <w:r>
              <w:rPr/>
              <w:t>​</w:t>
            </w:r>
          </w:p>
          <w:p>
            <w:pPr>
              <w:pStyle w:val="TableContents"/>
              <w:spacing w:lineRule="atLeast" w:line="200" w:before="160" w:after="0"/>
              <w:ind w:left="400" w:right="0" w:hanging="0"/>
              <w:jc w:val="left"/>
              <w:rPr/>
            </w:pPr>
            <w:r>
              <w:rPr>
                <w:spacing w:val="-1"/>
              </w:rPr>
              <w:t>Daphne Quimi</w:t>
            </w:r>
            <w:r>
              <w:rPr/>
              <w:t xml:space="preserve"> </w:t>
            </w:r>
            <w:r>
              <mc:AlternateContent>
                <mc:Choice Requires="wps">
                  <w:drawing>
                    <wp:anchor behindDoc="0" distT="101600" distB="0" distL="127000" distR="0" simplePos="0" locked="0" layoutInCell="1" allowOverlap="1" relativeHeight="60">
                      <wp:simplePos x="0" y="0"/>
                      <wp:positionH relativeFrom="column">
                        <wp:align>left</wp:align>
                      </wp:positionH>
                      <wp:positionV relativeFrom="line">
                        <wp:align>top</wp:align>
                      </wp:positionV>
                      <wp:extent cx="127000" cy="350520"/>
                      <wp:effectExtent l="0" t="0" r="0" b="0"/>
                      <wp:wrapSquare wrapText="largest"/>
                      <wp:docPr id="54" name="Frame32"/>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0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10pt;mso-wrap-distance-right:0pt;mso-wrap-distance-top:8pt;mso-wrap-distance-bottom:0pt;margin-top:8pt;mso-position-vertical:top;mso-position-vertical-relative:text;margin-left:30pt;mso-position-horizontal:left;mso-position-horizontal-relative:text">
                      <v:textbox>
                        <w:txbxContent>
                          <w:p>
                            <w:pPr>
                              <w:pStyle w:val="TextBody"/>
                              <w:spacing w:lineRule="atLeast" w:line="200" w:before="0" w:after="283"/>
                              <w:jc w:val="left"/>
                              <w:rPr/>
                            </w:pPr>
                            <w:r>
                              <w:rPr>
                                <w:spacing w:val="-1"/>
                              </w:rPr>
                              <w:t>•</w:t>
                            </w:r>
                            <w:r>
                              <w:rPr/>
                              <w:t xml:space="preserve"> </w:t>
                            </w:r>
                            <w:r>
                              <w:rPr/>
                              <w:br/>
                            </w:r>
                          </w:p>
                        </w:txbxContent>
                      </v:textbox>
                      <w10:wrap type="square" side="right"/>
                    </v:rect>
                  </w:pict>
                </mc:Fallback>
              </mc:AlternateContent>
            </w:r>
          </w:p>
          <w:p>
            <w:pPr>
              <w:pStyle w:val="TableContents"/>
              <w:spacing w:before="0" w:after="0"/>
              <w:ind w:left="0" w:right="0" w:hanging="0"/>
              <w:rPr/>
            </w:pPr>
            <w:r>
              <w:rPr/>
              <w:t>​</w:t>
            </w:r>
          </w:p>
          <w:p>
            <w:pPr>
              <w:pStyle w:val="TableContents"/>
              <w:spacing w:lineRule="atLeast" w:line="200" w:before="160" w:after="0"/>
              <w:ind w:left="400" w:right="0" w:hanging="0"/>
              <w:jc w:val="left"/>
              <w:rPr/>
            </w:pPr>
            <w:r>
              <w:rPr>
                <w:spacing w:val="-1"/>
              </w:rPr>
              <w:t>Alessandro Riva, M.D.</w:t>
            </w:r>
            <w:r>
              <w:rPr/>
              <w:t xml:space="preserve"> </w:t>
            </w:r>
            <w:r>
              <mc:AlternateContent>
                <mc:Choice Requires="wps">
                  <w:drawing>
                    <wp:anchor behindDoc="0" distT="101600" distB="0" distL="127000" distR="0" simplePos="0" locked="0" layoutInCell="1" allowOverlap="1" relativeHeight="61">
                      <wp:simplePos x="0" y="0"/>
                      <wp:positionH relativeFrom="column">
                        <wp:align>left</wp:align>
                      </wp:positionH>
                      <wp:positionV relativeFrom="line">
                        <wp:align>top</wp:align>
                      </wp:positionV>
                      <wp:extent cx="127000" cy="350520"/>
                      <wp:effectExtent l="0" t="0" r="0" b="0"/>
                      <wp:wrapSquare wrapText="largest"/>
                      <wp:docPr id="55" name="Frame33"/>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0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10pt;mso-wrap-distance-right:0pt;mso-wrap-distance-top:8pt;mso-wrap-distance-bottom:0pt;margin-top:8pt;mso-position-vertical:top;mso-position-vertical-relative:text;margin-left:10pt;mso-position-horizontal:left;mso-position-horizontal-relative:text">
                      <v:textbox>
                        <w:txbxContent>
                          <w:p>
                            <w:pPr>
                              <w:pStyle w:val="TextBody"/>
                              <w:spacing w:lineRule="atLeast" w:line="200" w:before="0" w:after="283"/>
                              <w:jc w:val="left"/>
                              <w:rPr/>
                            </w:pPr>
                            <w:r>
                              <w:rPr>
                                <w:spacing w:val="-1"/>
                              </w:rPr>
                              <w:t>•</w:t>
                            </w:r>
                            <w:r>
                              <w:rPr/>
                              <w:t xml:space="preserve"> </w:t>
                            </w:r>
                            <w:r>
                              <w:rPr/>
                              <w:br/>
                            </w:r>
                          </w:p>
                        </w:txbxContent>
                      </v:textbox>
                      <w10:wrap type="square" side="right"/>
                    </v:rect>
                  </w:pict>
                </mc:Fallback>
              </mc:AlternateContent>
            </w:r>
          </w:p>
          <w:p>
            <w:pPr>
              <w:pStyle w:val="TableContents"/>
              <w:spacing w:before="0" w:after="0"/>
              <w:ind w:left="0" w:right="0" w:hanging="0"/>
              <w:rPr/>
            </w:pPr>
            <w:r>
              <w:rPr/>
              <w:t>​</w:t>
            </w:r>
          </w:p>
          <w:p>
            <w:pPr>
              <w:pStyle w:val="TableContents"/>
              <w:spacing w:lineRule="atLeast" w:line="240" w:before="160" w:after="283"/>
              <w:rPr/>
            </w:pPr>
            <w:r>
              <w:rPr>
                <w:spacing w:val="-1"/>
              </w:rPr>
              <w:t> </w:t>
            </w:r>
            <w:r>
              <w:rPr/>
              <w:t xml:space="preserve"> </w:t>
            </w:r>
          </w:p>
        </w:tc>
        <w:tc>
          <w:tcPr>
            <w:tcW w:w="109" w:type="dxa"/>
            <w:tcBorders>
              <w:bottom w:val="single" w:sz="12" w:space="0" w:color="1DA46F"/>
            </w:tcBorders>
            <w:shd w:fill="auto" w:val="clear"/>
            <w:vAlign w:val="center"/>
          </w:tcPr>
          <w:p>
            <w:pPr>
              <w:pStyle w:val="TableContents"/>
              <w:spacing w:before="0" w:after="283"/>
              <w:rPr/>
            </w:pPr>
            <w:r>
              <w:rPr/>
              <w:t>​</w:t>
            </w:r>
          </w:p>
        </w:tc>
        <w:tc>
          <w:tcPr>
            <w:tcW w:w="109" w:type="dxa"/>
            <w:vMerge w:val="restart"/>
            <w:tcBorders/>
            <w:shd w:fill="auto" w:val="clear"/>
            <w:tcMar>
              <w:bottom w:w="0" w:type="dxa"/>
            </w:tcMar>
            <w:vAlign w:val="center"/>
          </w:tcPr>
          <w:p>
            <w:pPr>
              <w:pStyle w:val="TableContents"/>
              <w:spacing w:before="0" w:after="283"/>
              <w:rPr/>
            </w:pPr>
            <w:r>
              <w:rPr/>
              <w:t>​</w:t>
            </w:r>
          </w:p>
        </w:tc>
        <w:tc>
          <w:tcPr>
            <w:tcW w:w="4993" w:type="dxa"/>
            <w:vMerge w:val="restart"/>
            <w:tcBorders/>
            <w:shd w:fill="auto" w:val="clear"/>
            <w:tcMar>
              <w:bottom w:w="0" w:type="dxa"/>
            </w:tcMar>
            <w:vAlign w:val="center"/>
          </w:tcPr>
          <w:p>
            <w:pPr>
              <w:pStyle w:val="TableContents"/>
              <w:spacing w:lineRule="atLeast" w:line="200" w:before="0" w:after="0"/>
              <w:rPr/>
            </w:pPr>
            <w:r>
              <w:rPr>
                <w:spacing w:val="-1"/>
              </w:rPr>
              <w:t>Responsible for, among other things:</w:t>
            </w:r>
            <w:r>
              <w:rPr/>
              <w:t xml:space="preserve"> </w:t>
            </w:r>
          </w:p>
          <w:p>
            <w:pPr>
              <w:pStyle w:val="TableContents"/>
              <w:spacing w:lineRule="atLeast" w:line="240" w:before="160" w:after="0"/>
              <w:ind w:left="400" w:right="0" w:hanging="0"/>
              <w:jc w:val="left"/>
              <w:rPr/>
            </w:pPr>
            <w:r>
              <w:rPr>
                <w:spacing w:val="-1"/>
              </w:rPr>
              <w:t>Appointing, compensating, evaluating, and overseeing a firm to serve as the independent registered public accounting firm to audit our consolidated financial statements;</w:t>
            </w:r>
            <w:r>
              <w:rPr/>
              <w:t xml:space="preserve"> </w:t>
            </w:r>
            <w:r>
              <mc:AlternateContent>
                <mc:Choice Requires="wps">
                  <w:drawing>
                    <wp:anchor behindDoc="0" distT="101600" distB="0" distL="127000" distR="0" simplePos="0" locked="0" layoutInCell="1" allowOverlap="1" relativeHeight="62">
                      <wp:simplePos x="0" y="0"/>
                      <wp:positionH relativeFrom="column">
                        <wp:align>left</wp:align>
                      </wp:positionH>
                      <wp:positionV relativeFrom="line">
                        <wp:align>top</wp:align>
                      </wp:positionV>
                      <wp:extent cx="127000" cy="350520"/>
                      <wp:effectExtent l="0" t="0" r="0" b="0"/>
                      <wp:wrapSquare wrapText="largest"/>
                      <wp:docPr id="56" name="Frame34"/>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10pt;mso-wrap-distance-right:0pt;mso-wrap-distance-top:8pt;mso-wrap-distance-bottom:0pt;margin-top:8pt;mso-position-vertical:top;mso-position-vertical-relative:text;margin-left:10pt;mso-position-horizontal:left;mso-position-horizontal-relative:text">
                      <v:textbox>
                        <w:txbxContent>
                          <w:p>
                            <w:pPr>
                              <w:pStyle w:val="TextBody"/>
                              <w:spacing w:lineRule="atLeast" w:line="240" w:before="0" w:after="283"/>
                              <w:jc w:val="left"/>
                              <w:rPr/>
                            </w:pPr>
                            <w:r>
                              <w:rPr>
                                <w:spacing w:val="-1"/>
                              </w:rPr>
                              <w:t>•</w:t>
                            </w:r>
                            <w:r>
                              <w:rPr/>
                              <w:t xml:space="preserve"> </w:t>
                            </w:r>
                            <w:r>
                              <w:rPr/>
                              <w:br/>
                            </w:r>
                          </w:p>
                        </w:txbxContent>
                      </v:textbox>
                      <w10:wrap type="square" side="right"/>
                    </v:rect>
                  </w:pict>
                </mc:Fallback>
              </mc:AlternateContent>
            </w:r>
          </w:p>
          <w:p>
            <w:pPr>
              <w:pStyle w:val="TableContents"/>
              <w:spacing w:before="0" w:after="0"/>
              <w:ind w:left="0" w:right="0" w:hanging="0"/>
              <w:rPr/>
            </w:pPr>
            <w:r>
              <w:rPr/>
              <w:t>​</w:t>
            </w:r>
          </w:p>
          <w:p>
            <w:pPr>
              <w:pStyle w:val="TableContents"/>
              <w:spacing w:lineRule="atLeast" w:line="240" w:before="160" w:after="0"/>
              <w:ind w:left="400" w:right="0" w:hanging="0"/>
              <w:jc w:val="left"/>
              <w:rPr/>
            </w:pPr>
            <w:r>
              <w:rPr>
                <w:spacing w:val="-1"/>
              </w:rPr>
              <w:t>Ensuring the independence of the independent registered public accounting firm;</w:t>
            </w:r>
            <w:r>
              <w:rPr/>
              <w:t xml:space="preserve"> </w:t>
            </w:r>
            <w:r>
              <mc:AlternateContent>
                <mc:Choice Requires="wps">
                  <w:drawing>
                    <wp:anchor behindDoc="0" distT="101600" distB="0" distL="127000" distR="0" simplePos="0" locked="0" layoutInCell="1" allowOverlap="1" relativeHeight="63">
                      <wp:simplePos x="0" y="0"/>
                      <wp:positionH relativeFrom="column">
                        <wp:align>left</wp:align>
                      </wp:positionH>
                      <wp:positionV relativeFrom="line">
                        <wp:align>top</wp:align>
                      </wp:positionV>
                      <wp:extent cx="127000" cy="350520"/>
                      <wp:effectExtent l="0" t="0" r="0" b="0"/>
                      <wp:wrapSquare wrapText="largest"/>
                      <wp:docPr id="57" name="Frame35"/>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10pt;mso-wrap-distance-right:0pt;mso-wrap-distance-top:8pt;mso-wrap-distance-bottom:0pt;margin-top:8pt;mso-position-vertical:top;mso-position-vertical-relative:text;margin-left:10pt;mso-position-horizontal:left;mso-position-horizontal-relative:text">
                      <v:textbox>
                        <w:txbxContent>
                          <w:p>
                            <w:pPr>
                              <w:pStyle w:val="TextBody"/>
                              <w:spacing w:lineRule="atLeast" w:line="240" w:before="0" w:after="283"/>
                              <w:jc w:val="left"/>
                              <w:rPr/>
                            </w:pPr>
                            <w:r>
                              <w:rPr>
                                <w:spacing w:val="-1"/>
                              </w:rPr>
                              <w:t>•</w:t>
                            </w:r>
                            <w:r>
                              <w:rPr/>
                              <w:t xml:space="preserve"> </w:t>
                            </w:r>
                            <w:r>
                              <w:rPr/>
                              <w:br/>
                            </w:r>
                          </w:p>
                        </w:txbxContent>
                      </v:textbox>
                      <w10:wrap type="square" side="right"/>
                    </v:rect>
                  </w:pict>
                </mc:Fallback>
              </mc:AlternateContent>
            </w:r>
          </w:p>
          <w:p>
            <w:pPr>
              <w:pStyle w:val="TableContents"/>
              <w:spacing w:before="0" w:after="0"/>
              <w:ind w:left="0" w:right="0" w:hanging="0"/>
              <w:rPr/>
            </w:pPr>
            <w:r>
              <w:rPr/>
              <w:t>​</w:t>
            </w:r>
          </w:p>
          <w:p>
            <w:pPr>
              <w:pStyle w:val="TableContents"/>
              <w:spacing w:lineRule="atLeast" w:line="240" w:before="160" w:after="0"/>
              <w:ind w:left="400" w:right="0" w:hanging="0"/>
              <w:jc w:val="left"/>
              <w:rPr/>
            </w:pPr>
            <w:r>
              <w:rPr>
                <w:spacing w:val="-1"/>
              </w:rPr>
              <w:t>Discussing the scope and results of the audit with the independent registered public accounting firm and reviewing, with management and that firm, our interim and year-end operating results;</w:t>
            </w:r>
            <w:r>
              <w:rPr/>
              <w:t xml:space="preserve"> </w:t>
            </w:r>
            <w:r>
              <mc:AlternateContent>
                <mc:Choice Requires="wps">
                  <w:drawing>
                    <wp:anchor behindDoc="0" distT="101600" distB="0" distL="127000" distR="0" simplePos="0" locked="0" layoutInCell="1" allowOverlap="1" relativeHeight="71">
                      <wp:simplePos x="0" y="0"/>
                      <wp:positionH relativeFrom="column">
                        <wp:align>left</wp:align>
                      </wp:positionH>
                      <wp:positionV relativeFrom="line">
                        <wp:align>top</wp:align>
                      </wp:positionV>
                      <wp:extent cx="127000" cy="350520"/>
                      <wp:effectExtent l="0" t="0" r="0" b="0"/>
                      <wp:wrapSquare wrapText="largest"/>
                      <wp:docPr id="58" name="Frame36"/>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10pt;mso-wrap-distance-right:0pt;mso-wrap-distance-top:8pt;mso-wrap-distance-bottom:0pt;margin-top:8pt;mso-position-vertical:top;mso-position-vertical-relative:text;margin-left:10pt;mso-position-horizontal:left;mso-position-horizontal-relative:text">
                      <v:textbox>
                        <w:txbxContent>
                          <w:p>
                            <w:pPr>
                              <w:pStyle w:val="TextBody"/>
                              <w:spacing w:lineRule="atLeast" w:line="240" w:before="0" w:after="283"/>
                              <w:jc w:val="left"/>
                              <w:rPr/>
                            </w:pPr>
                            <w:r>
                              <w:rPr>
                                <w:spacing w:val="-1"/>
                              </w:rPr>
                              <w:t>•</w:t>
                            </w:r>
                            <w:r>
                              <w:rPr/>
                              <w:t xml:space="preserve"> </w:t>
                            </w:r>
                            <w:r>
                              <w:rPr/>
                              <w:br/>
                            </w:r>
                          </w:p>
                        </w:txbxContent>
                      </v:textbox>
                      <w10:wrap type="square" side="right"/>
                    </v:rect>
                  </w:pict>
                </mc:Fallback>
              </mc:AlternateContent>
            </w:r>
          </w:p>
          <w:p>
            <w:pPr>
              <w:pStyle w:val="TableContents"/>
              <w:spacing w:before="0" w:after="0"/>
              <w:ind w:left="0" w:right="0" w:hanging="0"/>
              <w:rPr/>
            </w:pPr>
            <w:r>
              <w:rPr/>
              <w:t>​</w:t>
            </w:r>
          </w:p>
          <w:p>
            <w:pPr>
              <w:pStyle w:val="TableContents"/>
              <w:spacing w:lineRule="atLeast" w:line="240" w:before="160" w:after="0"/>
              <w:ind w:left="400" w:right="0" w:hanging="0"/>
              <w:jc w:val="left"/>
              <w:rPr/>
            </w:pPr>
            <w:r>
              <w:rPr>
                <w:spacing w:val="-1"/>
              </w:rPr>
              <w:t>Establishing procedures for employees to anonymously submit concerns about questionable accounting or audit matters;</w:t>
            </w:r>
            <w:r>
              <w:rPr/>
              <w:t xml:space="preserve"> </w:t>
            </w:r>
            <w:r>
              <mc:AlternateContent>
                <mc:Choice Requires="wps">
                  <w:drawing>
                    <wp:anchor behindDoc="0" distT="101600" distB="0" distL="127000" distR="0" simplePos="0" locked="0" layoutInCell="1" allowOverlap="1" relativeHeight="70">
                      <wp:simplePos x="0" y="0"/>
                      <wp:positionH relativeFrom="column">
                        <wp:align>left</wp:align>
                      </wp:positionH>
                      <wp:positionV relativeFrom="line">
                        <wp:align>top</wp:align>
                      </wp:positionV>
                      <wp:extent cx="127000" cy="350520"/>
                      <wp:effectExtent l="0" t="0" r="0" b="0"/>
                      <wp:wrapSquare wrapText="largest"/>
                      <wp:docPr id="59" name="Frame37"/>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10pt;mso-wrap-distance-right:0pt;mso-wrap-distance-top:8pt;mso-wrap-distance-bottom:0pt;margin-top:8pt;mso-position-vertical:top;mso-position-vertical-relative:text;margin-left:10pt;mso-position-horizontal:left;mso-position-horizontal-relative:text">
                      <v:textbox>
                        <w:txbxContent>
                          <w:p>
                            <w:pPr>
                              <w:pStyle w:val="TextBody"/>
                              <w:spacing w:lineRule="atLeast" w:line="240" w:before="0" w:after="283"/>
                              <w:jc w:val="left"/>
                              <w:rPr/>
                            </w:pPr>
                            <w:r>
                              <w:rPr>
                                <w:spacing w:val="-1"/>
                              </w:rPr>
                              <w:t>•</w:t>
                            </w:r>
                            <w:r>
                              <w:rPr/>
                              <w:t xml:space="preserve"> </w:t>
                            </w:r>
                            <w:r>
                              <w:rPr/>
                              <w:br/>
                            </w:r>
                          </w:p>
                        </w:txbxContent>
                      </v:textbox>
                      <w10:wrap type="square" side="right"/>
                    </v:rect>
                  </w:pict>
                </mc:Fallback>
              </mc:AlternateContent>
            </w:r>
          </w:p>
          <w:p>
            <w:pPr>
              <w:pStyle w:val="TableContents"/>
              <w:spacing w:before="0" w:after="0"/>
              <w:ind w:left="0" w:right="0" w:hanging="0"/>
              <w:rPr/>
            </w:pPr>
            <w:r>
              <w:rPr/>
              <w:t>​</w:t>
            </w:r>
          </w:p>
          <w:p>
            <w:pPr>
              <w:pStyle w:val="TableContents"/>
              <w:spacing w:lineRule="atLeast" w:line="240" w:before="160" w:after="0"/>
              <w:ind w:left="400" w:right="0" w:hanging="0"/>
              <w:jc w:val="left"/>
              <w:rPr/>
            </w:pPr>
            <w:r>
              <w:rPr>
                <w:spacing w:val="-1"/>
              </w:rPr>
              <w:t>Considering the adequacy of our internal controls and internal audit function;</w:t>
            </w:r>
            <w:r>
              <w:rPr/>
              <w:t xml:space="preserve"> </w:t>
            </w:r>
            <w:r>
              <mc:AlternateContent>
                <mc:Choice Requires="wps">
                  <w:drawing>
                    <wp:anchor behindDoc="0" distT="101600" distB="0" distL="127000" distR="0" simplePos="0" locked="0" layoutInCell="1" allowOverlap="1" relativeHeight="69">
                      <wp:simplePos x="0" y="0"/>
                      <wp:positionH relativeFrom="column">
                        <wp:align>left</wp:align>
                      </wp:positionH>
                      <wp:positionV relativeFrom="line">
                        <wp:align>top</wp:align>
                      </wp:positionV>
                      <wp:extent cx="127000" cy="350520"/>
                      <wp:effectExtent l="0" t="0" r="0" b="0"/>
                      <wp:wrapSquare wrapText="largest"/>
                      <wp:docPr id="60" name="Frame38"/>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10pt;mso-wrap-distance-right:0pt;mso-wrap-distance-top:8pt;mso-wrap-distance-bottom:0pt;margin-top:8pt;mso-position-vertical:top;mso-position-vertical-relative:text;margin-left:10pt;mso-position-horizontal:left;mso-position-horizontal-relative:text">
                      <v:textbox>
                        <w:txbxContent>
                          <w:p>
                            <w:pPr>
                              <w:pStyle w:val="TextBody"/>
                              <w:spacing w:lineRule="atLeast" w:line="240" w:before="0" w:after="283"/>
                              <w:jc w:val="left"/>
                              <w:rPr/>
                            </w:pPr>
                            <w:r>
                              <w:rPr>
                                <w:spacing w:val="-1"/>
                              </w:rPr>
                              <w:t>•</w:t>
                            </w:r>
                            <w:r>
                              <w:rPr/>
                              <w:t xml:space="preserve"> </w:t>
                            </w:r>
                            <w:r>
                              <w:rPr/>
                              <w:br/>
                            </w:r>
                          </w:p>
                        </w:txbxContent>
                      </v:textbox>
                      <w10:wrap type="square" side="right"/>
                    </v:rect>
                  </w:pict>
                </mc:Fallback>
              </mc:AlternateContent>
            </w:r>
          </w:p>
          <w:p>
            <w:pPr>
              <w:pStyle w:val="TableContents"/>
              <w:spacing w:before="0" w:after="0"/>
              <w:ind w:left="0" w:right="0" w:hanging="0"/>
              <w:rPr/>
            </w:pPr>
            <w:r>
              <w:rPr/>
              <w:t>​</w:t>
            </w:r>
          </w:p>
          <w:p>
            <w:pPr>
              <w:pStyle w:val="TableContents"/>
              <w:spacing w:lineRule="atLeast" w:line="240" w:before="160" w:after="0"/>
              <w:ind w:left="400" w:right="0" w:hanging="0"/>
              <w:jc w:val="left"/>
              <w:rPr/>
            </w:pPr>
            <w:r>
              <w:rPr>
                <w:spacing w:val="-1"/>
              </w:rPr>
              <w:t>Monitoring and reviewing legal, regulatory, and administrative compliance to the extent affecting our financial results;</w:t>
            </w:r>
            <w:r>
              <w:rPr/>
              <w:t xml:space="preserve"> </w:t>
            </w:r>
            <w:r>
              <mc:AlternateContent>
                <mc:Choice Requires="wps">
                  <w:drawing>
                    <wp:anchor behindDoc="0" distT="101600" distB="0" distL="127000" distR="0" simplePos="0" locked="0" layoutInCell="1" allowOverlap="1" relativeHeight="68">
                      <wp:simplePos x="0" y="0"/>
                      <wp:positionH relativeFrom="column">
                        <wp:align>left</wp:align>
                      </wp:positionH>
                      <wp:positionV relativeFrom="line">
                        <wp:align>top</wp:align>
                      </wp:positionV>
                      <wp:extent cx="127000" cy="350520"/>
                      <wp:effectExtent l="0" t="0" r="0" b="0"/>
                      <wp:wrapSquare wrapText="largest"/>
                      <wp:docPr id="61" name="Frame39"/>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10pt;mso-wrap-distance-right:0pt;mso-wrap-distance-top:8pt;mso-wrap-distance-bottom:0pt;margin-top:8pt;mso-position-vertical:top;mso-position-vertical-relative:text;margin-left:10pt;mso-position-horizontal:left;mso-position-horizontal-relative:text">
                      <v:textbox>
                        <w:txbxContent>
                          <w:p>
                            <w:pPr>
                              <w:pStyle w:val="TextBody"/>
                              <w:spacing w:lineRule="atLeast" w:line="240" w:before="0" w:after="283"/>
                              <w:jc w:val="left"/>
                              <w:rPr/>
                            </w:pPr>
                            <w:r>
                              <w:rPr>
                                <w:spacing w:val="-1"/>
                              </w:rPr>
                              <w:t>•</w:t>
                            </w:r>
                            <w:r>
                              <w:rPr/>
                              <w:t xml:space="preserve"> </w:t>
                            </w:r>
                            <w:r>
                              <w:rPr/>
                              <w:br/>
                            </w:r>
                          </w:p>
                        </w:txbxContent>
                      </v:textbox>
                      <w10:wrap type="square" side="right"/>
                    </v:rect>
                  </w:pict>
                </mc:Fallback>
              </mc:AlternateContent>
            </w:r>
          </w:p>
          <w:p>
            <w:pPr>
              <w:pStyle w:val="TableContents"/>
              <w:spacing w:before="0" w:after="0"/>
              <w:ind w:left="0" w:right="0" w:hanging="0"/>
              <w:rPr/>
            </w:pPr>
            <w:r>
              <w:rPr/>
              <w:t>​</w:t>
            </w:r>
          </w:p>
          <w:p>
            <w:pPr>
              <w:pStyle w:val="TableContents"/>
              <w:spacing w:lineRule="atLeast" w:line="240" w:before="160" w:after="0"/>
              <w:ind w:left="400" w:right="0" w:hanging="0"/>
              <w:jc w:val="left"/>
              <w:rPr/>
            </w:pPr>
            <w:r>
              <w:rPr>
                <w:spacing w:val="-1"/>
              </w:rPr>
              <w:t>Reviewing our Code of Conduct and any proposed waivers thereof, and recommending any changes or amendments to the Code of Conduct;</w:t>
            </w:r>
            <w:r>
              <w:rPr/>
              <w:t xml:space="preserve"> </w:t>
            </w:r>
            <w:r>
              <mc:AlternateContent>
                <mc:Choice Requires="wps">
                  <w:drawing>
                    <wp:anchor behindDoc="0" distT="101600" distB="0" distL="127000" distR="0" simplePos="0" locked="0" layoutInCell="1" allowOverlap="1" relativeHeight="67">
                      <wp:simplePos x="0" y="0"/>
                      <wp:positionH relativeFrom="column">
                        <wp:align>left</wp:align>
                      </wp:positionH>
                      <wp:positionV relativeFrom="line">
                        <wp:align>top</wp:align>
                      </wp:positionV>
                      <wp:extent cx="127000" cy="350520"/>
                      <wp:effectExtent l="0" t="0" r="0" b="0"/>
                      <wp:wrapSquare wrapText="largest"/>
                      <wp:docPr id="62" name="Frame40"/>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10pt;mso-wrap-distance-right:0pt;mso-wrap-distance-top:8pt;mso-wrap-distance-bottom:0pt;margin-top:8pt;mso-position-vertical:top;mso-position-vertical-relative:text;margin-left:10pt;mso-position-horizontal:left;mso-position-horizontal-relative:text">
                      <v:textbox>
                        <w:txbxContent>
                          <w:p>
                            <w:pPr>
                              <w:pStyle w:val="TextBody"/>
                              <w:spacing w:lineRule="atLeast" w:line="240" w:before="0" w:after="283"/>
                              <w:jc w:val="left"/>
                              <w:rPr/>
                            </w:pPr>
                            <w:r>
                              <w:rPr>
                                <w:spacing w:val="-1"/>
                              </w:rPr>
                              <w:t>•</w:t>
                            </w:r>
                            <w:r>
                              <w:rPr/>
                              <w:t xml:space="preserve"> </w:t>
                            </w:r>
                            <w:r>
                              <w:rPr/>
                              <w:br/>
                            </w:r>
                          </w:p>
                        </w:txbxContent>
                      </v:textbox>
                      <w10:wrap type="square" side="right"/>
                    </v:rect>
                  </w:pict>
                </mc:Fallback>
              </mc:AlternateContent>
            </w:r>
          </w:p>
          <w:p>
            <w:pPr>
              <w:pStyle w:val="TableContents"/>
              <w:spacing w:before="0" w:after="0"/>
              <w:ind w:left="0" w:right="0" w:hanging="0"/>
              <w:rPr/>
            </w:pPr>
            <w:r>
              <w:rPr/>
              <w:t>​</w:t>
            </w:r>
          </w:p>
          <w:p>
            <w:pPr>
              <w:pStyle w:val="TableContents"/>
              <w:spacing w:lineRule="atLeast" w:line="240" w:before="160" w:after="0"/>
              <w:ind w:left="400" w:right="0" w:hanging="0"/>
              <w:jc w:val="left"/>
              <w:rPr/>
            </w:pPr>
            <w:r>
              <w:rPr>
                <w:spacing w:val="-1"/>
              </w:rPr>
              <w:t>Reviewing, approving, ratifying or prohibiting material related party transactions;</w:t>
            </w:r>
            <w:r>
              <w:rPr/>
              <w:t xml:space="preserve"> </w:t>
            </w:r>
            <w:r>
              <mc:AlternateContent>
                <mc:Choice Requires="wps">
                  <w:drawing>
                    <wp:anchor behindDoc="0" distT="101600" distB="0" distL="127000" distR="0" simplePos="0" locked="0" layoutInCell="1" allowOverlap="1" relativeHeight="66">
                      <wp:simplePos x="0" y="0"/>
                      <wp:positionH relativeFrom="column">
                        <wp:align>left</wp:align>
                      </wp:positionH>
                      <wp:positionV relativeFrom="line">
                        <wp:align>top</wp:align>
                      </wp:positionV>
                      <wp:extent cx="127000" cy="350520"/>
                      <wp:effectExtent l="0" t="0" r="0" b="0"/>
                      <wp:wrapSquare wrapText="largest"/>
                      <wp:docPr id="63" name="Frame41"/>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10pt;mso-wrap-distance-right:0pt;mso-wrap-distance-top:8pt;mso-wrap-distance-bottom:0pt;margin-top:8pt;mso-position-vertical:top;mso-position-vertical-relative:text;margin-left:10pt;mso-position-horizontal:left;mso-position-horizontal-relative:text">
                      <v:textbox>
                        <w:txbxContent>
                          <w:p>
                            <w:pPr>
                              <w:pStyle w:val="TextBody"/>
                              <w:spacing w:lineRule="atLeast" w:line="240" w:before="0" w:after="283"/>
                              <w:jc w:val="left"/>
                              <w:rPr/>
                            </w:pPr>
                            <w:r>
                              <w:rPr>
                                <w:spacing w:val="-1"/>
                              </w:rPr>
                              <w:t>•</w:t>
                            </w:r>
                            <w:r>
                              <w:rPr/>
                              <w:t xml:space="preserve"> </w:t>
                            </w:r>
                            <w:r>
                              <w:rPr/>
                              <w:br/>
                            </w:r>
                          </w:p>
                        </w:txbxContent>
                      </v:textbox>
                      <w10:wrap type="square" side="right"/>
                    </v:rect>
                  </w:pict>
                </mc:Fallback>
              </mc:AlternateContent>
            </w:r>
          </w:p>
          <w:p>
            <w:pPr>
              <w:pStyle w:val="TableContents"/>
              <w:spacing w:before="0" w:after="0"/>
              <w:ind w:left="0" w:right="0" w:hanging="0"/>
              <w:rPr/>
            </w:pPr>
            <w:r>
              <w:rPr/>
              <w:t>​</w:t>
            </w:r>
          </w:p>
          <w:p>
            <w:pPr>
              <w:pStyle w:val="TableContents"/>
              <w:spacing w:lineRule="atLeast" w:line="240" w:before="160" w:after="0"/>
              <w:ind w:left="400" w:right="0" w:hanging="0"/>
              <w:jc w:val="left"/>
              <w:rPr/>
            </w:pPr>
            <w:r>
              <w:rPr>
                <w:spacing w:val="-1"/>
              </w:rPr>
              <w:t>Determining and reviewing risk assessment guidelines and policies, including cybersecurity risks, financial risk exposure, and internal controls regarding information security; and</w:t>
            </w:r>
            <w:r>
              <w:rPr/>
              <w:t xml:space="preserve"> </w:t>
            </w:r>
            <w:r>
              <mc:AlternateContent>
                <mc:Choice Requires="wps">
                  <w:drawing>
                    <wp:anchor behindDoc="0" distT="101600" distB="0" distL="127000" distR="0" simplePos="0" locked="0" layoutInCell="1" allowOverlap="1" relativeHeight="65">
                      <wp:simplePos x="0" y="0"/>
                      <wp:positionH relativeFrom="column">
                        <wp:align>left</wp:align>
                      </wp:positionH>
                      <wp:positionV relativeFrom="line">
                        <wp:align>top</wp:align>
                      </wp:positionV>
                      <wp:extent cx="127000" cy="350520"/>
                      <wp:effectExtent l="0" t="0" r="0" b="0"/>
                      <wp:wrapSquare wrapText="largest"/>
                      <wp:docPr id="64" name="Frame42"/>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10pt;mso-wrap-distance-right:0pt;mso-wrap-distance-top:8pt;mso-wrap-distance-bottom:0pt;margin-top:8pt;mso-position-vertical:top;mso-position-vertical-relative:text;margin-left:10pt;mso-position-horizontal:left;mso-position-horizontal-relative:text">
                      <v:textbox>
                        <w:txbxContent>
                          <w:p>
                            <w:pPr>
                              <w:pStyle w:val="TextBody"/>
                              <w:spacing w:lineRule="atLeast" w:line="240" w:before="0" w:after="283"/>
                              <w:jc w:val="left"/>
                              <w:rPr/>
                            </w:pPr>
                            <w:r>
                              <w:rPr>
                                <w:spacing w:val="-1"/>
                              </w:rPr>
                              <w:t>•</w:t>
                            </w:r>
                            <w:r>
                              <w:rPr/>
                              <w:t xml:space="preserve"> </w:t>
                            </w:r>
                            <w:r>
                              <w:rPr/>
                              <w:br/>
                            </w:r>
                          </w:p>
                        </w:txbxContent>
                      </v:textbox>
                      <w10:wrap type="square" side="right"/>
                    </v:rect>
                  </w:pict>
                </mc:Fallback>
              </mc:AlternateContent>
            </w:r>
          </w:p>
          <w:p>
            <w:pPr>
              <w:pStyle w:val="TableContents"/>
              <w:spacing w:before="0" w:after="0"/>
              <w:ind w:left="0" w:right="0" w:hanging="0"/>
              <w:rPr/>
            </w:pPr>
            <w:r>
              <w:rPr/>
              <w:t>​</w:t>
            </w:r>
          </w:p>
          <w:p>
            <w:pPr>
              <w:pStyle w:val="TableContents"/>
              <w:spacing w:lineRule="atLeast" w:line="240" w:before="160" w:after="0"/>
              <w:ind w:left="400" w:right="0" w:hanging="0"/>
              <w:jc w:val="left"/>
              <w:rPr/>
            </w:pPr>
            <w:r>
              <w:rPr>
                <w:spacing w:val="-1"/>
              </w:rPr>
              <w:t>Approving or, as permitted, pre-approving all audit and non-audit services to be performed by the independent registered public accounting firm.</w:t>
            </w:r>
            <w:r>
              <w:rPr/>
              <w:t xml:space="preserve"> </w:t>
            </w:r>
            <w:r>
              <mc:AlternateContent>
                <mc:Choice Requires="wps">
                  <w:drawing>
                    <wp:anchor behindDoc="0" distT="101600" distB="0" distL="127000" distR="0" simplePos="0" locked="0" layoutInCell="1" allowOverlap="1" relativeHeight="64">
                      <wp:simplePos x="0" y="0"/>
                      <wp:positionH relativeFrom="column">
                        <wp:align>left</wp:align>
                      </wp:positionH>
                      <wp:positionV relativeFrom="line">
                        <wp:align>top</wp:align>
                      </wp:positionV>
                      <wp:extent cx="127000" cy="350520"/>
                      <wp:effectExtent l="0" t="0" r="0" b="0"/>
                      <wp:wrapSquare wrapText="largest"/>
                      <wp:docPr id="65" name="Frame43"/>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10pt;mso-wrap-distance-right:0pt;mso-wrap-distance-top:8pt;mso-wrap-distance-bottom:0pt;margin-top:8pt;mso-position-vertical:top;mso-position-vertical-relative:text;margin-left:10pt;mso-position-horizontal:left;mso-position-horizontal-relative:text">
                      <v:textbox>
                        <w:txbxContent>
                          <w:p>
                            <w:pPr>
                              <w:pStyle w:val="TextBody"/>
                              <w:spacing w:lineRule="atLeast" w:line="240" w:before="0" w:after="283"/>
                              <w:jc w:val="left"/>
                              <w:rPr/>
                            </w:pPr>
                            <w:r>
                              <w:rPr>
                                <w:spacing w:val="-1"/>
                              </w:rPr>
                              <w:t>•</w:t>
                            </w:r>
                            <w:r>
                              <w:rPr/>
                              <w:t xml:space="preserve"> </w:t>
                            </w:r>
                            <w:r>
                              <w:rPr/>
                              <w:br/>
                            </w:r>
                          </w:p>
                        </w:txbxContent>
                      </v:textbox>
                      <w10:wrap type="square" side="right"/>
                    </v:rect>
                  </w:pict>
                </mc:Fallback>
              </mc:AlternateContent>
            </w:r>
          </w:p>
          <w:p>
            <w:pPr>
              <w:pStyle w:val="TableContents"/>
              <w:spacing w:before="0" w:after="0"/>
              <w:ind w:left="0" w:right="0" w:hanging="0"/>
              <w:rPr/>
            </w:pPr>
            <w:r>
              <w:rPr/>
              <w:t>​</w:t>
            </w:r>
          </w:p>
        </w:tc>
        <w:tc>
          <w:tcPr>
            <w:tcW w:w="155" w:type="dxa"/>
            <w:vMerge w:val="restart"/>
            <w:tcBorders/>
            <w:shd w:fill="auto" w:val="clear"/>
            <w:tcMar>
              <w:bottom w:w="0" w:type="dxa"/>
            </w:tcMar>
            <w:vAlign w:val="center"/>
          </w:tcPr>
          <w:p>
            <w:pPr>
              <w:pStyle w:val="TableContents"/>
              <w:spacing w:before="0" w:after="283"/>
              <w:rPr/>
            </w:pPr>
            <w:r>
              <w:rPr/>
              <w:t>​</w:t>
            </w:r>
          </w:p>
        </w:tc>
      </w:tr>
      <w:tr>
        <w:trPr/>
        <w:tc>
          <w:tcPr>
            <w:tcW w:w="124" w:type="dxa"/>
            <w:tcBorders/>
            <w:shd w:fill="auto" w:val="clear"/>
            <w:tcMar>
              <w:bottom w:w="0" w:type="dxa"/>
            </w:tcMar>
            <w:vAlign w:val="center"/>
          </w:tcPr>
          <w:p>
            <w:pPr>
              <w:pStyle w:val="TableContents"/>
              <w:spacing w:before="0" w:after="283"/>
              <w:rPr/>
            </w:pPr>
            <w:r>
              <w:rPr/>
              <w:t>​</w:t>
            </w:r>
          </w:p>
        </w:tc>
        <w:tc>
          <w:tcPr>
            <w:tcW w:w="3755" w:type="dxa"/>
            <w:tcBorders/>
            <w:shd w:fill="auto" w:val="clear"/>
            <w:tcMar>
              <w:bottom w:w="0" w:type="dxa"/>
            </w:tcMar>
            <w:vAlign w:val="center"/>
          </w:tcPr>
          <w:p>
            <w:pPr>
              <w:pStyle w:val="TableContents"/>
              <w:spacing w:lineRule="atLeast" w:line="240" w:before="0" w:after="0"/>
              <w:ind w:left="240" w:right="0" w:hanging="0"/>
              <w:jc w:val="left"/>
              <w:rPr/>
            </w:pPr>
            <w:r>
              <w:rPr>
                <w:spacing w:val="-1"/>
              </w:rPr>
              <w:t>All members are deemed “independent” and financially literate under the applicable rules and regulations of the SEC and Nasdaq.</w:t>
            </w:r>
            <w:r>
              <w:rPr/>
              <w:t xml:space="preserve"> </w:t>
            </w:r>
            <w:r>
              <mc:AlternateContent>
                <mc:Choice Requires="wps">
                  <w:drawing>
                    <wp:anchor behindDoc="0" distT="0" distB="0" distL="0" distR="0" simplePos="0" locked="0" layoutInCell="1" allowOverlap="1" relativeHeight="13">
                      <wp:simplePos x="0" y="0"/>
                      <wp:positionH relativeFrom="column">
                        <wp:align>left</wp:align>
                      </wp:positionH>
                      <wp:positionV relativeFrom="line">
                        <wp:posOffset>635</wp:posOffset>
                      </wp:positionV>
                      <wp:extent cx="152400" cy="185420"/>
                      <wp:effectExtent l="0" t="0" r="0" b="0"/>
                      <wp:wrapSquare wrapText="largest"/>
                      <wp:docPr id="66" name="Frame44"/>
                      <a:graphic xmlns:a="http://schemas.openxmlformats.org/drawingml/2006/main">
                        <a:graphicData uri="http://schemas.microsoft.com/office/word/2010/wordprocessingShape">
                          <wps:wsp>
                            <wps:cNvSpPr txBox="1"/>
                            <wps:spPr>
                              <a:xfrm>
                                <a:off x="0" y="0"/>
                                <a:ext cx="152400" cy="185420"/>
                              </a:xfrm>
                              <a:prstGeom prst="rect"/>
                            </wps:spPr>
                            <wps:txbx>
                              <w:txbxContent>
                                <w:p>
                                  <w:pPr>
                                    <w:pStyle w:val="TextBody"/>
                                    <w:spacing w:lineRule="atLeast" w:line="240" w:before="0" w:after="283"/>
                                    <w:jc w:val="left"/>
                                    <w:rPr/>
                                  </w:pPr>
                                  <w:r>
                                    <w:rPr/>
                                    <w:drawing>
                                      <wp:inline distT="0" distB="0" distL="0" distR="0">
                                        <wp:extent cx="85725" cy="85725"/>
                                        <wp:effectExtent l="0" t="0" r="0" b="0"/>
                                        <wp:docPr id="67"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Image15" descr=""/>
                                                <pic:cNvPicPr>
                                                  <a:picLocks noChangeAspect="1" noChangeArrowheads="1"/>
                                                </pic:cNvPicPr>
                                              </pic:nvPicPr>
                                              <pic:blipFill>
                                                <a:blip r:embed="rId16"/>
                                                <a:stretch>
                                                  <a:fillRect/>
                                                </a:stretch>
                                              </pic:blipFill>
                                              <pic:spPr bwMode="auto">
                                                <a:xfrm>
                                                  <a:off x="0" y="0"/>
                                                  <a:ext cx="85725" cy="85725"/>
                                                </a:xfrm>
                                                <a:prstGeom prst="rect">
                                                  <a:avLst/>
                                                </a:prstGeom>
                                              </pic:spPr>
                                            </pic:pic>
                                          </a:graphicData>
                                        </a:graphic>
                                      </wp:inline>
                                    </w:drawing>
                                  </w:r>
                                  <w:r>
                                    <w:rPr/>
                                    <w:t xml:space="preserve"> </w:t>
                                  </w:r>
                                </w:p>
                              </w:txbxContent>
                            </wps:txbx>
                            <wps:bodyPr anchor="t" lIns="0" tIns="0" rIns="0" bIns="0">
                              <a:noAutofit/>
                            </wps:bodyPr>
                          </wps:wsp>
                        </a:graphicData>
                      </a:graphic>
                    </wp:anchor>
                  </w:drawing>
                </mc:Choice>
                <mc:Fallback>
                  <w:pict>
                    <v:rect style="position:absolute;rotation:0;width:12pt;height:14.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tLeast" w:line="240" w:before="0" w:after="283"/>
                              <w:jc w:val="left"/>
                              <w:rPr/>
                            </w:pPr>
                            <w:r>
                              <w:rPr/>
                              <w:drawing>
                                <wp:inline distT="0" distB="0" distL="0" distR="0">
                                  <wp:extent cx="85725" cy="85725"/>
                                  <wp:effectExtent l="0" t="0" r="0" b="0"/>
                                  <wp:docPr id="68"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Image15" descr=""/>
                                          <pic:cNvPicPr>
                                            <a:picLocks noChangeAspect="1" noChangeArrowheads="1"/>
                                          </pic:cNvPicPr>
                                        </pic:nvPicPr>
                                        <pic:blipFill>
                                          <a:blip r:embed="rId16"/>
                                          <a:stretch>
                                            <a:fillRect/>
                                          </a:stretch>
                                        </pic:blipFill>
                                        <pic:spPr bwMode="auto">
                                          <a:xfrm>
                                            <a:off x="0" y="0"/>
                                            <a:ext cx="85725" cy="85725"/>
                                          </a:xfrm>
                                          <a:prstGeom prst="rect">
                                            <a:avLst/>
                                          </a:prstGeom>
                                        </pic:spPr>
                                      </pic:pic>
                                    </a:graphicData>
                                  </a:graphic>
                                </wp:inline>
                              </w:drawing>
                            </w:r>
                            <w:r>
                              <w:rPr/>
                              <w:t xml:space="preserve"> </w:t>
                            </w:r>
                          </w:p>
                        </w:txbxContent>
                      </v:textbox>
                      <w10:wrap type="square" side="right"/>
                    </v:rect>
                  </w:pict>
                </mc:Fallback>
              </mc:AlternateContent>
            </w:r>
          </w:p>
          <w:p>
            <w:pPr>
              <w:pStyle w:val="TableContents"/>
              <w:spacing w:before="0" w:after="0"/>
              <w:ind w:left="0" w:right="0" w:hanging="0"/>
              <w:rPr/>
            </w:pPr>
            <w:r>
              <w:rPr/>
              <w:t>​</w:t>
            </w:r>
          </w:p>
          <w:p>
            <w:pPr>
              <w:pStyle w:val="TableContents"/>
              <w:spacing w:lineRule="atLeast" w:line="240" w:before="320" w:after="0"/>
              <w:ind w:left="240" w:right="0" w:hanging="0"/>
              <w:jc w:val="left"/>
              <w:rPr/>
            </w:pPr>
            <w:r>
              <w:rPr>
                <w:spacing w:val="-1"/>
              </w:rPr>
              <w:t>Cynthia Butitta qualifies as an “audit committee financial expert” within the meaning of SEC regulations.</w:t>
            </w:r>
            <w:r>
              <w:rPr/>
              <w:t xml:space="preserve"> </w:t>
            </w:r>
            <w:r>
              <mc:AlternateContent>
                <mc:Choice Requires="wps">
                  <w:drawing>
                    <wp:anchor behindDoc="0" distT="215900" distB="0" distL="0" distR="0" simplePos="0" locked="0" layoutInCell="1" allowOverlap="1" relativeHeight="14">
                      <wp:simplePos x="0" y="0"/>
                      <wp:positionH relativeFrom="column">
                        <wp:align>left</wp:align>
                      </wp:positionH>
                      <wp:positionV relativeFrom="line">
                        <wp:align>top</wp:align>
                      </wp:positionV>
                      <wp:extent cx="152400" cy="185420"/>
                      <wp:effectExtent l="0" t="0" r="0" b="0"/>
                      <wp:wrapSquare wrapText="largest"/>
                      <wp:docPr id="69" name="Frame45"/>
                      <a:graphic xmlns:a="http://schemas.openxmlformats.org/drawingml/2006/main">
                        <a:graphicData uri="http://schemas.microsoft.com/office/word/2010/wordprocessingShape">
                          <wps:wsp>
                            <wps:cNvSpPr txBox="1"/>
                            <wps:spPr>
                              <a:xfrm>
                                <a:off x="0" y="0"/>
                                <a:ext cx="152400" cy="185420"/>
                              </a:xfrm>
                              <a:prstGeom prst="rect"/>
                            </wps:spPr>
                            <wps:txbx>
                              <w:txbxContent>
                                <w:p>
                                  <w:pPr>
                                    <w:pStyle w:val="TextBody"/>
                                    <w:spacing w:lineRule="atLeast" w:line="240" w:before="0" w:after="283"/>
                                    <w:jc w:val="left"/>
                                    <w:rPr/>
                                  </w:pPr>
                                  <w:r>
                                    <w:rPr/>
                                    <w:drawing>
                                      <wp:inline distT="0" distB="0" distL="0" distR="0">
                                        <wp:extent cx="85725" cy="85725"/>
                                        <wp:effectExtent l="0" t="0" r="0" b="0"/>
                                        <wp:docPr id="70"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Image16" descr=""/>
                                                <pic:cNvPicPr>
                                                  <a:picLocks noChangeAspect="1" noChangeArrowheads="1"/>
                                                </pic:cNvPicPr>
                                              </pic:nvPicPr>
                                              <pic:blipFill>
                                                <a:blip r:embed="rId17"/>
                                                <a:stretch>
                                                  <a:fillRect/>
                                                </a:stretch>
                                              </pic:blipFill>
                                              <pic:spPr bwMode="auto">
                                                <a:xfrm>
                                                  <a:off x="0" y="0"/>
                                                  <a:ext cx="85725" cy="85725"/>
                                                </a:xfrm>
                                                <a:prstGeom prst="rect">
                                                  <a:avLst/>
                                                </a:prstGeom>
                                              </pic:spPr>
                                            </pic:pic>
                                          </a:graphicData>
                                        </a:graphic>
                                      </wp:inline>
                                    </w:drawing>
                                  </w:r>
                                  <w:r>
                                    <w:rPr/>
                                    <w:t xml:space="preserve"> </w:t>
                                  </w:r>
                                </w:p>
                              </w:txbxContent>
                            </wps:txbx>
                            <wps:bodyPr anchor="t" lIns="0" tIns="0" rIns="0" bIns="0">
                              <a:noAutofit/>
                            </wps:bodyPr>
                          </wps:wsp>
                        </a:graphicData>
                      </a:graphic>
                    </wp:anchor>
                  </w:drawing>
                </mc:Choice>
                <mc:Fallback>
                  <w:pict>
                    <v:rect style="position:absolute;rotation:0;width:12pt;height:14.6pt;mso-wrap-distance-left:0pt;mso-wrap-distance-right:0pt;mso-wrap-distance-top:17pt;mso-wrap-distance-bottom:0pt;margin-top:17pt;mso-position-vertical:top;mso-position-vertical-relative:text;margin-left:0pt;mso-position-horizontal:left;mso-position-horizontal-relative:text">
                      <v:textbox>
                        <w:txbxContent>
                          <w:p>
                            <w:pPr>
                              <w:pStyle w:val="TextBody"/>
                              <w:spacing w:lineRule="atLeast" w:line="240" w:before="0" w:after="283"/>
                              <w:jc w:val="left"/>
                              <w:rPr/>
                            </w:pPr>
                            <w:r>
                              <w:rPr/>
                              <w:drawing>
                                <wp:inline distT="0" distB="0" distL="0" distR="0">
                                  <wp:extent cx="85725" cy="85725"/>
                                  <wp:effectExtent l="0" t="0" r="0" b="0"/>
                                  <wp:docPr id="71"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Image16" descr=""/>
                                          <pic:cNvPicPr>
                                            <a:picLocks noChangeAspect="1" noChangeArrowheads="1"/>
                                          </pic:cNvPicPr>
                                        </pic:nvPicPr>
                                        <pic:blipFill>
                                          <a:blip r:embed="rId17"/>
                                          <a:stretch>
                                            <a:fillRect/>
                                          </a:stretch>
                                        </pic:blipFill>
                                        <pic:spPr bwMode="auto">
                                          <a:xfrm>
                                            <a:off x="0" y="0"/>
                                            <a:ext cx="85725" cy="85725"/>
                                          </a:xfrm>
                                          <a:prstGeom prst="rect">
                                            <a:avLst/>
                                          </a:prstGeom>
                                        </pic:spPr>
                                      </pic:pic>
                                    </a:graphicData>
                                  </a:graphic>
                                </wp:inline>
                              </w:drawing>
                            </w:r>
                            <w:r>
                              <w:rPr/>
                              <w:t xml:space="preserve"> </w:t>
                            </w:r>
                          </w:p>
                        </w:txbxContent>
                      </v:textbox>
                      <w10:wrap type="square" side="right"/>
                    </v:rect>
                  </w:pict>
                </mc:Fallback>
              </mc:AlternateContent>
            </w:r>
          </w:p>
          <w:p>
            <w:pPr>
              <w:pStyle w:val="TableContents"/>
              <w:spacing w:before="0" w:after="0"/>
              <w:ind w:left="0" w:right="0" w:hanging="0"/>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vMerge w:val="continue"/>
            <w:tcBorders/>
            <w:shd w:fill="auto" w:val="clear"/>
            <w:tcMar>
              <w:bottom w:w="0" w:type="dxa"/>
            </w:tcMar>
            <w:vAlign w:val="center"/>
          </w:tcPr>
          <w:p>
            <w:pPr>
              <w:pStyle w:val="Normal"/>
              <w:rPr/>
            </w:pPr>
            <w:r>
              <w:rPr/>
            </w:r>
          </w:p>
        </w:tc>
        <w:tc>
          <w:tcPr>
            <w:tcW w:w="4993" w:type="dxa"/>
            <w:vMerge w:val="continue"/>
            <w:tcBorders/>
            <w:shd w:fill="auto" w:val="clear"/>
            <w:tcMar>
              <w:bottom w:w="0" w:type="dxa"/>
            </w:tcMar>
            <w:vAlign w:val="center"/>
          </w:tcPr>
          <w:p>
            <w:pPr>
              <w:pStyle w:val="Normal"/>
              <w:rPr/>
            </w:pPr>
            <w:r>
              <w:rPr/>
            </w:r>
          </w:p>
        </w:tc>
        <w:tc>
          <w:tcPr>
            <w:tcW w:w="155" w:type="dxa"/>
            <w:vMerge w:val="continue"/>
            <w:tcBorders/>
            <w:shd w:fill="auto" w:val="clear"/>
            <w:tcMar>
              <w:bottom w:w="0" w:type="dxa"/>
            </w:tcMar>
            <w:vAlign w:val="center"/>
          </w:tcPr>
          <w:p>
            <w:pPr>
              <w:pStyle w:val="Normal"/>
              <w:rPr/>
            </w:pPr>
            <w:r>
              <w:rPr/>
            </w:r>
          </w:p>
        </w:tc>
      </w:tr>
    </w:tbl>
    <w:tbl>
      <w:tblPr>
        <w:tblW w:w="9245" w:type="dxa"/>
        <w:jc w:val="left"/>
        <w:tblInd w:w="960" w:type="dxa"/>
        <w:tblCellMar>
          <w:top w:w="0" w:type="dxa"/>
          <w:left w:w="0" w:type="dxa"/>
          <w:bottom w:w="28" w:type="dxa"/>
          <w:right w:w="0" w:type="dxa"/>
        </w:tblCellMar>
      </w:tblPr>
      <w:tblGrid>
        <w:gridCol w:w="124"/>
        <w:gridCol w:w="4247"/>
        <w:gridCol w:w="109"/>
        <w:gridCol w:w="109"/>
        <w:gridCol w:w="4501"/>
        <w:gridCol w:w="155"/>
      </w:tblGrid>
      <w:tr>
        <w:trPr/>
        <w:tc>
          <w:tcPr>
            <w:tcW w:w="124" w:type="dxa"/>
            <w:tcBorders>
              <w:bottom w:val="single" w:sz="12" w:space="0" w:color="1DA46F"/>
            </w:tcBorders>
            <w:shd w:fill="auto" w:val="clear"/>
            <w:vAlign w:val="center"/>
          </w:tcPr>
          <w:p>
            <w:pPr>
              <w:pStyle w:val="TableContents"/>
              <w:spacing w:before="0" w:after="283"/>
              <w:rPr/>
            </w:pPr>
            <w:r>
              <w:rPr/>
              <w:t>​</w:t>
            </w:r>
          </w:p>
        </w:tc>
        <w:tc>
          <w:tcPr>
            <w:tcW w:w="8966" w:type="dxa"/>
            <w:gridSpan w:val="4"/>
            <w:tcBorders>
              <w:bottom w:val="single" w:sz="12" w:space="0" w:color="1DA46F"/>
            </w:tcBorders>
            <w:shd w:fill="auto" w:val="clear"/>
            <w:tcMar>
              <w:bottom w:w="40" w:type="dxa"/>
            </w:tcMar>
            <w:vAlign w:val="center"/>
          </w:tcPr>
          <w:p>
            <w:pPr>
              <w:pStyle w:val="TableContents"/>
              <w:spacing w:before="0" w:after="0"/>
              <w:jc w:val="center"/>
              <w:rPr>
                <w:spacing w:val="-3"/>
              </w:rPr>
            </w:pPr>
            <w:r>
              <w:rPr>
                <w:spacing w:val="-3"/>
              </w:rPr>
              <w:t xml:space="preserve">THE NOMINATING &amp; CORPORATE GOVERNANCE COMMITTEE </w:t>
            </w:r>
          </w:p>
        </w:tc>
        <w:tc>
          <w:tcPr>
            <w:tcW w:w="155" w:type="dxa"/>
            <w:tcBorders>
              <w:bottom w:val="single" w:sz="12" w:space="0" w:color="1DA46F"/>
            </w:tcBorders>
            <w:shd w:fill="auto" w:val="clear"/>
            <w:vAlign w:val="center"/>
          </w:tcPr>
          <w:p>
            <w:pPr>
              <w:pStyle w:val="TableContents"/>
              <w:spacing w:before="0" w:after="283"/>
              <w:rPr/>
            </w:pPr>
            <w:r>
              <w:rPr/>
              <w:t>​</w:t>
            </w:r>
          </w:p>
        </w:tc>
      </w:tr>
      <w:tr>
        <w:trPr/>
        <w:tc>
          <w:tcPr>
            <w:tcW w:w="124" w:type="dxa"/>
            <w:tcBorders>
              <w:bottom w:val="single" w:sz="12" w:space="0" w:color="1DA46F"/>
            </w:tcBorders>
            <w:shd w:fill="auto" w:val="clear"/>
            <w:vAlign w:val="center"/>
          </w:tcPr>
          <w:p>
            <w:pPr>
              <w:pStyle w:val="TableContents"/>
              <w:spacing w:before="0" w:after="283"/>
              <w:rPr/>
            </w:pPr>
            <w:r>
              <w:rPr/>
              <w:t>​</w:t>
            </w:r>
          </w:p>
        </w:tc>
        <w:tc>
          <w:tcPr>
            <w:tcW w:w="4247" w:type="dxa"/>
            <w:tcBorders>
              <w:bottom w:val="single" w:sz="12" w:space="0" w:color="1DA46F"/>
            </w:tcBorders>
            <w:shd w:fill="auto" w:val="clear"/>
            <w:tcMar>
              <w:bottom w:w="37" w:type="dxa"/>
            </w:tcMar>
            <w:vAlign w:val="center"/>
          </w:tcPr>
          <w:p>
            <w:pPr>
              <w:pStyle w:val="TableContents"/>
              <w:spacing w:lineRule="atLeast" w:line="240" w:before="0" w:after="0"/>
              <w:rPr>
                <w:b/>
              </w:rPr>
            </w:pPr>
            <w:r>
              <w:rPr>
                <w:b/>
                <w:color w:val="148CD9"/>
                <w:spacing w:val="0"/>
              </w:rPr>
              <w:t>Chair</w:t>
            </w:r>
            <w:r>
              <w:rPr>
                <w:b w:val="false"/>
                <w:spacing w:val="-1"/>
              </w:rPr>
              <w:t>: Joseph Jimenez</w:t>
            </w:r>
            <w:r>
              <w:rPr>
                <w:b/>
              </w:rPr>
              <w:t xml:space="preserve"> </w:t>
            </w:r>
          </w:p>
          <w:p>
            <w:pPr>
              <w:pStyle w:val="TableContents"/>
              <w:spacing w:lineRule="atLeast" w:line="240" w:before="160" w:after="283"/>
              <w:rPr>
                <w:b/>
                <w:color w:val="148CD9"/>
              </w:rPr>
            </w:pPr>
            <w:r>
              <w:rPr>
                <w:b/>
                <w:color w:val="148CD9"/>
                <w:spacing w:val="0"/>
              </w:rPr>
              <w:t>Additional Committee Members</w:t>
            </w:r>
            <w:r>
              <w:rPr>
                <w:b w:val="false"/>
                <w:color w:val="000000"/>
                <w:spacing w:val="-1"/>
              </w:rPr>
              <w:t>:</w:t>
            </w:r>
            <w:r>
              <w:rPr>
                <w:b/>
                <w:color w:val="148CD9"/>
              </w:rPr>
              <w:t xml:space="preserve"> </w:t>
            </w:r>
          </w:p>
          <w:p>
            <w:pPr>
              <w:pStyle w:val="TableContents"/>
              <w:spacing w:lineRule="atLeast" w:line="200" w:before="160" w:after="0"/>
              <w:ind w:left="400" w:right="0" w:hanging="0"/>
              <w:jc w:val="left"/>
              <w:rPr/>
            </w:pPr>
            <w:r>
              <w:rPr>
                <w:spacing w:val="-1"/>
              </w:rPr>
              <w:t>Kimberly Blackwell, M.D.</w:t>
            </w:r>
            <w:r>
              <w:rPr/>
              <w:t xml:space="preserve"> </w:t>
            </w:r>
            <w:r>
              <mc:AlternateContent>
                <mc:Choice Requires="wps">
                  <w:drawing>
                    <wp:anchor behindDoc="0" distT="101600" distB="0" distL="127000" distR="0" simplePos="0" locked="0" layoutInCell="1" allowOverlap="1" relativeHeight="72">
                      <wp:simplePos x="0" y="0"/>
                      <wp:positionH relativeFrom="column">
                        <wp:align>left</wp:align>
                      </wp:positionH>
                      <wp:positionV relativeFrom="line">
                        <wp:align>top</wp:align>
                      </wp:positionV>
                      <wp:extent cx="127000" cy="350520"/>
                      <wp:effectExtent l="0" t="0" r="0" b="0"/>
                      <wp:wrapSquare wrapText="largest"/>
                      <wp:docPr id="72" name="Frame46"/>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0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10pt;mso-wrap-distance-right:0pt;mso-wrap-distance-top:8pt;mso-wrap-distance-bottom:0pt;margin-top:8pt;mso-position-vertical:top;mso-position-vertical-relative:text;margin-left:10pt;mso-position-horizontal:left;mso-position-horizontal-relative:text">
                      <v:textbox>
                        <w:txbxContent>
                          <w:p>
                            <w:pPr>
                              <w:pStyle w:val="TextBody"/>
                              <w:spacing w:lineRule="atLeast" w:line="200" w:before="0" w:after="283"/>
                              <w:jc w:val="left"/>
                              <w:rPr/>
                            </w:pPr>
                            <w:r>
                              <w:rPr>
                                <w:spacing w:val="-1"/>
                              </w:rPr>
                              <w:t>•</w:t>
                            </w:r>
                            <w:r>
                              <w:rPr/>
                              <w:t xml:space="preserve"> </w:t>
                            </w:r>
                            <w:r>
                              <w:rPr/>
                              <w:br/>
                            </w:r>
                          </w:p>
                        </w:txbxContent>
                      </v:textbox>
                      <w10:wrap type="square" side="right"/>
                    </v:rect>
                  </w:pict>
                </mc:Fallback>
              </mc:AlternateContent>
            </w:r>
          </w:p>
          <w:p>
            <w:pPr>
              <w:pStyle w:val="TableContents"/>
              <w:spacing w:before="0" w:after="0"/>
              <w:ind w:left="0" w:right="0" w:hanging="0"/>
              <w:rPr/>
            </w:pPr>
            <w:r>
              <w:rPr/>
              <w:t>​</w:t>
            </w:r>
          </w:p>
          <w:p>
            <w:pPr>
              <w:pStyle w:val="TableContents"/>
              <w:spacing w:lineRule="atLeast" w:line="200" w:before="160" w:after="0"/>
              <w:ind w:left="400" w:right="0" w:hanging="0"/>
              <w:jc w:val="left"/>
              <w:rPr/>
            </w:pPr>
            <w:r>
              <w:rPr>
                <w:spacing w:val="-1"/>
              </w:rPr>
              <w:t>Daphne Quimi</w:t>
            </w:r>
            <w:r>
              <w:rPr/>
              <w:t xml:space="preserve"> </w:t>
            </w:r>
            <w:r>
              <mc:AlternateContent>
                <mc:Choice Requires="wps">
                  <w:drawing>
                    <wp:anchor behindDoc="0" distT="101600" distB="0" distL="127000" distR="0" simplePos="0" locked="0" layoutInCell="1" allowOverlap="1" relativeHeight="73">
                      <wp:simplePos x="0" y="0"/>
                      <wp:positionH relativeFrom="column">
                        <wp:align>left</wp:align>
                      </wp:positionH>
                      <wp:positionV relativeFrom="line">
                        <wp:align>top</wp:align>
                      </wp:positionV>
                      <wp:extent cx="127000" cy="350520"/>
                      <wp:effectExtent l="0" t="0" r="0" b="0"/>
                      <wp:wrapSquare wrapText="largest"/>
                      <wp:docPr id="73" name="Frame47"/>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0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10pt;mso-wrap-distance-right:0pt;mso-wrap-distance-top:8pt;mso-wrap-distance-bottom:0pt;margin-top:8pt;mso-position-vertical:top;mso-position-vertical-relative:text;margin-left:10pt;mso-position-horizontal:left;mso-position-horizontal-relative:text">
                      <v:textbox>
                        <w:txbxContent>
                          <w:p>
                            <w:pPr>
                              <w:pStyle w:val="TextBody"/>
                              <w:spacing w:lineRule="atLeast" w:line="200" w:before="0" w:after="283"/>
                              <w:jc w:val="left"/>
                              <w:rPr/>
                            </w:pPr>
                            <w:r>
                              <w:rPr>
                                <w:spacing w:val="-1"/>
                              </w:rPr>
                              <w:t>•</w:t>
                            </w:r>
                            <w:r>
                              <w:rPr/>
                              <w:t xml:space="preserve"> </w:t>
                            </w:r>
                            <w:r>
                              <w:rPr/>
                              <w:br/>
                            </w:r>
                          </w:p>
                        </w:txbxContent>
                      </v:textbox>
                      <w10:wrap type="square" side="right"/>
                    </v:rect>
                  </w:pict>
                </mc:Fallback>
              </mc:AlternateContent>
            </w:r>
          </w:p>
          <w:p>
            <w:pPr>
              <w:pStyle w:val="TableContents"/>
              <w:spacing w:before="0" w:after="0"/>
              <w:ind w:left="0" w:right="0" w:hanging="0"/>
              <w:rPr/>
            </w:pPr>
            <w:r>
              <w:rPr/>
              <w:t>​</w:t>
            </w:r>
          </w:p>
          <w:p>
            <w:pPr>
              <w:pStyle w:val="TableContents"/>
              <w:spacing w:lineRule="atLeast" w:line="200" w:before="160" w:after="0"/>
              <w:ind w:left="400" w:right="0" w:hanging="0"/>
              <w:jc w:val="left"/>
              <w:rPr/>
            </w:pPr>
            <w:r>
              <w:rPr>
                <w:spacing w:val="-1"/>
              </w:rPr>
              <w:t>Carlo Rizzuto, Ph.D.</w:t>
            </w:r>
            <w:r>
              <w:rPr/>
              <w:t xml:space="preserve"> </w:t>
            </w:r>
            <w:r>
              <mc:AlternateContent>
                <mc:Choice Requires="wps">
                  <w:drawing>
                    <wp:anchor behindDoc="0" distT="101600" distB="0" distL="127000" distR="0" simplePos="0" locked="0" layoutInCell="1" allowOverlap="1" relativeHeight="74">
                      <wp:simplePos x="0" y="0"/>
                      <wp:positionH relativeFrom="column">
                        <wp:align>left</wp:align>
                      </wp:positionH>
                      <wp:positionV relativeFrom="line">
                        <wp:align>top</wp:align>
                      </wp:positionV>
                      <wp:extent cx="127000" cy="350520"/>
                      <wp:effectExtent l="0" t="0" r="0" b="0"/>
                      <wp:wrapSquare wrapText="largest"/>
                      <wp:docPr id="74" name="Frame48"/>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0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10pt;mso-wrap-distance-right:0pt;mso-wrap-distance-top:8pt;mso-wrap-distance-bottom:0pt;margin-top:8pt;mso-position-vertical:top;mso-position-vertical-relative:text;margin-left:10pt;mso-position-horizontal:left;mso-position-horizontal-relative:text">
                      <v:textbox>
                        <w:txbxContent>
                          <w:p>
                            <w:pPr>
                              <w:pStyle w:val="TextBody"/>
                              <w:spacing w:lineRule="atLeast" w:line="200" w:before="0" w:after="283"/>
                              <w:jc w:val="left"/>
                              <w:rPr/>
                            </w:pPr>
                            <w:r>
                              <w:rPr>
                                <w:spacing w:val="-1"/>
                              </w:rPr>
                              <w:t>•</w:t>
                            </w:r>
                            <w:r>
                              <w:rPr/>
                              <w:t xml:space="preserve"> </w:t>
                            </w:r>
                            <w:r>
                              <w:rPr/>
                              <w:br/>
                            </w:r>
                          </w:p>
                        </w:txbxContent>
                      </v:textbox>
                      <w10:wrap type="square" side="right"/>
                    </v:rect>
                  </w:pict>
                </mc:Fallback>
              </mc:AlternateContent>
            </w:r>
          </w:p>
          <w:p>
            <w:pPr>
              <w:pStyle w:val="TableContents"/>
              <w:spacing w:before="0" w:after="0"/>
              <w:ind w:left="0" w:right="0" w:hanging="0"/>
              <w:rPr/>
            </w:pPr>
            <w:r>
              <w:rPr/>
              <w:t>​</w:t>
            </w:r>
          </w:p>
          <w:p>
            <w:pPr>
              <w:pStyle w:val="TableContents"/>
              <w:spacing w:lineRule="atLeast" w:line="240" w:before="160" w:after="283"/>
              <w:rPr/>
            </w:pPr>
            <w:r>
              <w:rPr>
                <w:spacing w:val="-1"/>
              </w:rPr>
              <w:t> </w:t>
            </w:r>
            <w:r>
              <w:rPr/>
              <w:t xml:space="preserve"> </w:t>
            </w:r>
          </w:p>
        </w:tc>
        <w:tc>
          <w:tcPr>
            <w:tcW w:w="109" w:type="dxa"/>
            <w:tcBorders>
              <w:bottom w:val="single" w:sz="12" w:space="0" w:color="1DA46F"/>
            </w:tcBorders>
            <w:shd w:fill="auto" w:val="clear"/>
            <w:vAlign w:val="center"/>
          </w:tcPr>
          <w:p>
            <w:pPr>
              <w:pStyle w:val="TableContents"/>
              <w:spacing w:before="0" w:after="283"/>
              <w:rPr/>
            </w:pPr>
            <w:r>
              <w:rPr/>
              <w:t>​</w:t>
            </w:r>
          </w:p>
        </w:tc>
        <w:tc>
          <w:tcPr>
            <w:tcW w:w="109" w:type="dxa"/>
            <w:vMerge w:val="restart"/>
            <w:tcBorders/>
            <w:shd w:fill="auto" w:val="clear"/>
            <w:tcMar>
              <w:bottom w:w="0" w:type="dxa"/>
            </w:tcMar>
            <w:vAlign w:val="center"/>
          </w:tcPr>
          <w:p>
            <w:pPr>
              <w:pStyle w:val="TableContents"/>
              <w:spacing w:before="0" w:after="283"/>
              <w:rPr/>
            </w:pPr>
            <w:r>
              <w:rPr/>
              <w:t>​</w:t>
            </w:r>
          </w:p>
        </w:tc>
        <w:tc>
          <w:tcPr>
            <w:tcW w:w="4501" w:type="dxa"/>
            <w:vMerge w:val="restart"/>
            <w:tcBorders/>
            <w:shd w:fill="auto" w:val="clear"/>
            <w:tcMar>
              <w:bottom w:w="0" w:type="dxa"/>
            </w:tcMar>
            <w:vAlign w:val="center"/>
          </w:tcPr>
          <w:p>
            <w:pPr>
              <w:pStyle w:val="TableContents"/>
              <w:spacing w:lineRule="atLeast" w:line="200" w:before="0" w:after="0"/>
              <w:rPr/>
            </w:pPr>
            <w:r>
              <w:rPr>
                <w:spacing w:val="-1"/>
              </w:rPr>
              <w:t>Responsible for, among other things:</w:t>
            </w:r>
            <w:r>
              <w:rPr/>
              <w:t xml:space="preserve"> </w:t>
            </w:r>
          </w:p>
          <w:p>
            <w:pPr>
              <w:pStyle w:val="TableContents"/>
              <w:spacing w:lineRule="atLeast" w:line="240" w:before="160" w:after="0"/>
              <w:ind w:left="400" w:right="0" w:hanging="0"/>
              <w:jc w:val="left"/>
              <w:rPr/>
            </w:pPr>
            <w:r>
              <w:rPr>
                <w:spacing w:val="-1"/>
              </w:rPr>
              <w:t>Developing and recommending selection criteria for new directors for our Board;</w:t>
            </w:r>
            <w:r>
              <w:rPr/>
              <w:t xml:space="preserve"> </w:t>
            </w:r>
            <w:r>
              <mc:AlternateContent>
                <mc:Choice Requires="wps">
                  <w:drawing>
                    <wp:anchor behindDoc="0" distT="101600" distB="0" distL="127000" distR="0" simplePos="0" locked="0" layoutInCell="1" allowOverlap="1" relativeHeight="75">
                      <wp:simplePos x="0" y="0"/>
                      <wp:positionH relativeFrom="column">
                        <wp:align>left</wp:align>
                      </wp:positionH>
                      <wp:positionV relativeFrom="line">
                        <wp:align>top</wp:align>
                      </wp:positionV>
                      <wp:extent cx="127000" cy="350520"/>
                      <wp:effectExtent l="0" t="0" r="0" b="0"/>
                      <wp:wrapSquare wrapText="largest"/>
                      <wp:docPr id="75" name="Frame49"/>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10pt;mso-wrap-distance-right:0pt;mso-wrap-distance-top:8pt;mso-wrap-distance-bottom:0pt;margin-top:8pt;mso-position-vertical:top;mso-position-vertical-relative:text;margin-left:10pt;mso-position-horizontal:left;mso-position-horizontal-relative:text">
                      <v:textbox>
                        <w:txbxContent>
                          <w:p>
                            <w:pPr>
                              <w:pStyle w:val="TextBody"/>
                              <w:spacing w:lineRule="atLeast" w:line="240" w:before="0" w:after="283"/>
                              <w:jc w:val="left"/>
                              <w:rPr/>
                            </w:pPr>
                            <w:r>
                              <w:rPr>
                                <w:spacing w:val="-1"/>
                              </w:rPr>
                              <w:t>•</w:t>
                            </w:r>
                            <w:r>
                              <w:rPr/>
                              <w:t xml:space="preserve"> </w:t>
                            </w:r>
                            <w:r>
                              <w:rPr/>
                              <w:br/>
                            </w:r>
                          </w:p>
                        </w:txbxContent>
                      </v:textbox>
                      <w10:wrap type="square" side="right"/>
                    </v:rect>
                  </w:pict>
                </mc:Fallback>
              </mc:AlternateContent>
            </w:r>
          </w:p>
          <w:p>
            <w:pPr>
              <w:pStyle w:val="TableContents"/>
              <w:spacing w:before="0" w:after="0"/>
              <w:ind w:left="0" w:right="0" w:hanging="0"/>
              <w:rPr/>
            </w:pPr>
            <w:r>
              <w:rPr/>
              <w:t>​</w:t>
            </w:r>
          </w:p>
          <w:p>
            <w:pPr>
              <w:pStyle w:val="TableContents"/>
              <w:spacing w:lineRule="atLeast" w:line="200" w:before="160" w:after="0"/>
              <w:ind w:left="400" w:right="0" w:hanging="0"/>
              <w:jc w:val="left"/>
              <w:rPr/>
            </w:pPr>
            <w:r>
              <w:rPr>
                <w:spacing w:val="-1"/>
              </w:rPr>
              <w:t>Identifying and recommending candidates for membership on our Board;</w:t>
            </w:r>
            <w:r>
              <w:rPr/>
              <w:t xml:space="preserve"> </w:t>
            </w:r>
            <w:r>
              <mc:AlternateContent>
                <mc:Choice Requires="wps">
                  <w:drawing>
                    <wp:anchor behindDoc="0" distT="101600" distB="0" distL="127000" distR="0" simplePos="0" locked="0" layoutInCell="1" allowOverlap="1" relativeHeight="76">
                      <wp:simplePos x="0" y="0"/>
                      <wp:positionH relativeFrom="column">
                        <wp:align>left</wp:align>
                      </wp:positionH>
                      <wp:positionV relativeFrom="line">
                        <wp:align>top</wp:align>
                      </wp:positionV>
                      <wp:extent cx="127000" cy="350520"/>
                      <wp:effectExtent l="0" t="0" r="0" b="0"/>
                      <wp:wrapSquare wrapText="largest"/>
                      <wp:docPr id="76" name="Frame50"/>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0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10pt;mso-wrap-distance-right:0pt;mso-wrap-distance-top:8pt;mso-wrap-distance-bottom:0pt;margin-top:8pt;mso-position-vertical:top;mso-position-vertical-relative:text;margin-left:10pt;mso-position-horizontal:left;mso-position-horizontal-relative:text">
                      <v:textbox>
                        <w:txbxContent>
                          <w:p>
                            <w:pPr>
                              <w:pStyle w:val="TextBody"/>
                              <w:spacing w:lineRule="atLeast" w:line="200" w:before="0" w:after="283"/>
                              <w:jc w:val="left"/>
                              <w:rPr/>
                            </w:pPr>
                            <w:r>
                              <w:rPr>
                                <w:spacing w:val="-1"/>
                              </w:rPr>
                              <w:t>•</w:t>
                            </w:r>
                            <w:r>
                              <w:rPr/>
                              <w:t xml:space="preserve"> </w:t>
                            </w:r>
                            <w:r>
                              <w:rPr/>
                              <w:br/>
                            </w:r>
                          </w:p>
                        </w:txbxContent>
                      </v:textbox>
                      <w10:wrap type="square" side="right"/>
                    </v:rect>
                  </w:pict>
                </mc:Fallback>
              </mc:AlternateContent>
            </w:r>
          </w:p>
          <w:p>
            <w:pPr>
              <w:pStyle w:val="TableContents"/>
              <w:spacing w:before="0" w:after="0"/>
              <w:ind w:left="0" w:right="0" w:hanging="0"/>
              <w:rPr/>
            </w:pPr>
            <w:r>
              <w:rPr/>
              <w:t>​</w:t>
            </w:r>
          </w:p>
          <w:p>
            <w:pPr>
              <w:pStyle w:val="TableContents"/>
              <w:spacing w:lineRule="atLeast" w:line="240" w:before="160" w:after="0"/>
              <w:ind w:left="400" w:right="0" w:hanging="0"/>
              <w:jc w:val="left"/>
              <w:rPr/>
            </w:pPr>
            <w:r>
              <w:rPr>
                <w:spacing w:val="-1"/>
              </w:rPr>
              <w:t>Reviewing and determining director independence annually and, as needed, as potential conflicts of interest arise;</w:t>
            </w:r>
            <w:r>
              <w:rPr/>
              <w:t xml:space="preserve"> </w:t>
            </w:r>
            <w:r>
              <mc:AlternateContent>
                <mc:Choice Requires="wps">
                  <w:drawing>
                    <wp:anchor behindDoc="0" distT="101600" distB="0" distL="127000" distR="0" simplePos="0" locked="0" layoutInCell="1" allowOverlap="1" relativeHeight="77">
                      <wp:simplePos x="0" y="0"/>
                      <wp:positionH relativeFrom="column">
                        <wp:align>left</wp:align>
                      </wp:positionH>
                      <wp:positionV relativeFrom="line">
                        <wp:align>top</wp:align>
                      </wp:positionV>
                      <wp:extent cx="127000" cy="350520"/>
                      <wp:effectExtent l="0" t="0" r="0" b="0"/>
                      <wp:wrapSquare wrapText="largest"/>
                      <wp:docPr id="77" name="Frame51"/>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10pt;mso-wrap-distance-right:0pt;mso-wrap-distance-top:8pt;mso-wrap-distance-bottom:0pt;margin-top:8pt;mso-position-vertical:top;mso-position-vertical-relative:text;margin-left:10pt;mso-position-horizontal:left;mso-position-horizontal-relative:text">
                      <v:textbox>
                        <w:txbxContent>
                          <w:p>
                            <w:pPr>
                              <w:pStyle w:val="TextBody"/>
                              <w:spacing w:lineRule="atLeast" w:line="240" w:before="0" w:after="283"/>
                              <w:jc w:val="left"/>
                              <w:rPr/>
                            </w:pPr>
                            <w:r>
                              <w:rPr>
                                <w:spacing w:val="-1"/>
                              </w:rPr>
                              <w:t>•</w:t>
                            </w:r>
                            <w:r>
                              <w:rPr/>
                              <w:t xml:space="preserve"> </w:t>
                            </w:r>
                            <w:r>
                              <w:rPr/>
                              <w:br/>
                            </w:r>
                          </w:p>
                        </w:txbxContent>
                      </v:textbox>
                      <w10:wrap type="square" side="right"/>
                    </v:rect>
                  </w:pict>
                </mc:Fallback>
              </mc:AlternateContent>
            </w:r>
          </w:p>
          <w:p>
            <w:pPr>
              <w:pStyle w:val="TableContents"/>
              <w:spacing w:before="0" w:after="0"/>
              <w:ind w:left="0" w:right="0" w:hanging="0"/>
              <w:rPr/>
            </w:pPr>
            <w:r>
              <w:rPr/>
              <w:t>​</w:t>
            </w:r>
          </w:p>
          <w:p>
            <w:pPr>
              <w:pStyle w:val="TableContents"/>
              <w:spacing w:lineRule="atLeast" w:line="240" w:before="160" w:after="0"/>
              <w:ind w:left="400" w:right="0" w:hanging="0"/>
              <w:jc w:val="left"/>
              <w:rPr/>
            </w:pPr>
            <w:r>
              <w:rPr>
                <w:spacing w:val="-1"/>
              </w:rPr>
              <w:t>Reviewing and recommending the assignment of directors to serve on each Board committee;</w:t>
            </w:r>
            <w:r>
              <w:rPr/>
              <w:t xml:space="preserve"> </w:t>
            </w:r>
            <w:r>
              <mc:AlternateContent>
                <mc:Choice Requires="wps">
                  <w:drawing>
                    <wp:anchor behindDoc="0" distT="101600" distB="0" distL="127000" distR="0" simplePos="0" locked="0" layoutInCell="1" allowOverlap="1" relativeHeight="78">
                      <wp:simplePos x="0" y="0"/>
                      <wp:positionH relativeFrom="column">
                        <wp:align>left</wp:align>
                      </wp:positionH>
                      <wp:positionV relativeFrom="line">
                        <wp:align>top</wp:align>
                      </wp:positionV>
                      <wp:extent cx="127000" cy="350520"/>
                      <wp:effectExtent l="0" t="0" r="0" b="0"/>
                      <wp:wrapSquare wrapText="largest"/>
                      <wp:docPr id="78" name="Frame52"/>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10pt;mso-wrap-distance-right:0pt;mso-wrap-distance-top:8pt;mso-wrap-distance-bottom:0pt;margin-top:8pt;mso-position-vertical:top;mso-position-vertical-relative:text;margin-left:10pt;mso-position-horizontal:left;mso-position-horizontal-relative:text">
                      <v:textbox>
                        <w:txbxContent>
                          <w:p>
                            <w:pPr>
                              <w:pStyle w:val="TextBody"/>
                              <w:spacing w:lineRule="atLeast" w:line="240" w:before="0" w:after="283"/>
                              <w:jc w:val="left"/>
                              <w:rPr/>
                            </w:pPr>
                            <w:r>
                              <w:rPr>
                                <w:spacing w:val="-1"/>
                              </w:rPr>
                              <w:t>•</w:t>
                            </w:r>
                            <w:r>
                              <w:rPr/>
                              <w:t xml:space="preserve"> </w:t>
                            </w:r>
                            <w:r>
                              <w:rPr/>
                              <w:br/>
                            </w:r>
                          </w:p>
                        </w:txbxContent>
                      </v:textbox>
                      <w10:wrap type="square" side="right"/>
                    </v:rect>
                  </w:pict>
                </mc:Fallback>
              </mc:AlternateContent>
            </w:r>
          </w:p>
          <w:p>
            <w:pPr>
              <w:pStyle w:val="TableContents"/>
              <w:spacing w:before="0" w:after="0"/>
              <w:ind w:left="0" w:right="0" w:hanging="0"/>
              <w:rPr/>
            </w:pPr>
            <w:r>
              <w:rPr/>
              <w:t>​</w:t>
            </w:r>
          </w:p>
          <w:p>
            <w:pPr>
              <w:pStyle w:val="TableContents"/>
              <w:spacing w:lineRule="atLeast" w:line="240" w:before="160" w:after="0"/>
              <w:ind w:left="400" w:right="0" w:hanging="0"/>
              <w:jc w:val="left"/>
              <w:rPr/>
            </w:pPr>
            <w:r>
              <w:rPr>
                <w:spacing w:val="-1"/>
              </w:rPr>
              <w:t>Reviewing and recommending changes to our Corporate Governance Guidelines;</w:t>
            </w:r>
            <w:r>
              <w:rPr/>
              <w:t xml:space="preserve"> </w:t>
            </w:r>
            <w:r>
              <mc:AlternateContent>
                <mc:Choice Requires="wps">
                  <w:drawing>
                    <wp:anchor behindDoc="0" distT="101600" distB="0" distL="127000" distR="0" simplePos="0" locked="0" layoutInCell="1" allowOverlap="1" relativeHeight="79">
                      <wp:simplePos x="0" y="0"/>
                      <wp:positionH relativeFrom="column">
                        <wp:align>left</wp:align>
                      </wp:positionH>
                      <wp:positionV relativeFrom="line">
                        <wp:align>top</wp:align>
                      </wp:positionV>
                      <wp:extent cx="127000" cy="350520"/>
                      <wp:effectExtent l="0" t="0" r="0" b="0"/>
                      <wp:wrapSquare wrapText="largest"/>
                      <wp:docPr id="79" name="Frame53"/>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10pt;mso-wrap-distance-right:0pt;mso-wrap-distance-top:8pt;mso-wrap-distance-bottom:0pt;margin-top:8pt;mso-position-vertical:top;mso-position-vertical-relative:text;margin-left:10pt;mso-position-horizontal:left;mso-position-horizontal-relative:text">
                      <v:textbox>
                        <w:txbxContent>
                          <w:p>
                            <w:pPr>
                              <w:pStyle w:val="TextBody"/>
                              <w:spacing w:lineRule="atLeast" w:line="240" w:before="0" w:after="283"/>
                              <w:jc w:val="left"/>
                              <w:rPr/>
                            </w:pPr>
                            <w:r>
                              <w:rPr>
                                <w:spacing w:val="-1"/>
                              </w:rPr>
                              <w:t>•</w:t>
                            </w:r>
                            <w:r>
                              <w:rPr/>
                              <w:t xml:space="preserve"> </w:t>
                            </w:r>
                            <w:r>
                              <w:rPr/>
                              <w:br/>
                            </w:r>
                          </w:p>
                        </w:txbxContent>
                      </v:textbox>
                      <w10:wrap type="square" side="right"/>
                    </v:rect>
                  </w:pict>
                </mc:Fallback>
              </mc:AlternateContent>
            </w:r>
          </w:p>
          <w:p>
            <w:pPr>
              <w:pStyle w:val="TableContents"/>
              <w:spacing w:before="0" w:after="0"/>
              <w:ind w:left="0" w:right="0" w:hanging="0"/>
              <w:rPr/>
            </w:pPr>
            <w:r>
              <w:rPr/>
              <w:t>​</w:t>
            </w:r>
          </w:p>
          <w:p>
            <w:pPr>
              <w:pStyle w:val="TableContents"/>
              <w:spacing w:lineRule="atLeast" w:line="200" w:before="160" w:after="0"/>
              <w:ind w:left="400" w:right="0" w:hanging="0"/>
              <w:jc w:val="left"/>
              <w:rPr/>
            </w:pPr>
            <w:r>
              <w:rPr>
                <w:spacing w:val="-1"/>
              </w:rPr>
              <w:t>Overseeing the succession planning process for our executive officers;</w:t>
            </w:r>
            <w:r>
              <w:rPr/>
              <w:t xml:space="preserve"> </w:t>
            </w:r>
            <w:r>
              <mc:AlternateContent>
                <mc:Choice Requires="wps">
                  <w:drawing>
                    <wp:anchor behindDoc="0" distT="101600" distB="0" distL="127000" distR="0" simplePos="0" locked="0" layoutInCell="1" allowOverlap="1" relativeHeight="80">
                      <wp:simplePos x="0" y="0"/>
                      <wp:positionH relativeFrom="column">
                        <wp:align>left</wp:align>
                      </wp:positionH>
                      <wp:positionV relativeFrom="line">
                        <wp:align>top</wp:align>
                      </wp:positionV>
                      <wp:extent cx="127000" cy="350520"/>
                      <wp:effectExtent l="0" t="0" r="0" b="0"/>
                      <wp:wrapSquare wrapText="largest"/>
                      <wp:docPr id="80" name="Frame54"/>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0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10pt;mso-wrap-distance-right:0pt;mso-wrap-distance-top:8pt;mso-wrap-distance-bottom:0pt;margin-top:8pt;mso-position-vertical:top;mso-position-vertical-relative:text;margin-left:10pt;mso-position-horizontal:left;mso-position-horizontal-relative:text">
                      <v:textbox>
                        <w:txbxContent>
                          <w:p>
                            <w:pPr>
                              <w:pStyle w:val="TextBody"/>
                              <w:spacing w:lineRule="atLeast" w:line="200" w:before="0" w:after="283"/>
                              <w:jc w:val="left"/>
                              <w:rPr/>
                            </w:pPr>
                            <w:r>
                              <w:rPr>
                                <w:spacing w:val="-1"/>
                              </w:rPr>
                              <w:t>•</w:t>
                            </w:r>
                            <w:r>
                              <w:rPr/>
                              <w:t xml:space="preserve"> </w:t>
                            </w:r>
                            <w:r>
                              <w:rPr/>
                              <w:br/>
                            </w:r>
                          </w:p>
                        </w:txbxContent>
                      </v:textbox>
                      <w10:wrap type="square" side="right"/>
                    </v:rect>
                  </w:pict>
                </mc:Fallback>
              </mc:AlternateContent>
            </w:r>
          </w:p>
          <w:p>
            <w:pPr>
              <w:pStyle w:val="TableContents"/>
              <w:spacing w:before="0" w:after="0"/>
              <w:ind w:left="0" w:right="0" w:hanging="0"/>
              <w:rPr/>
            </w:pPr>
            <w:r>
              <w:rPr/>
              <w:t>​</w:t>
            </w:r>
          </w:p>
          <w:p>
            <w:pPr>
              <w:pStyle w:val="TableContents"/>
              <w:spacing w:lineRule="atLeast" w:line="200" w:before="160" w:after="0"/>
              <w:ind w:left="400" w:right="0" w:hanging="0"/>
              <w:jc w:val="left"/>
              <w:rPr/>
            </w:pPr>
            <w:r>
              <w:rPr>
                <w:spacing w:val="-1"/>
              </w:rPr>
              <w:t>Overseeing the process of evaluating the performance of our Board; and</w:t>
            </w:r>
            <w:r>
              <w:rPr/>
              <w:t xml:space="preserve"> </w:t>
            </w:r>
            <w:r>
              <mc:AlternateContent>
                <mc:Choice Requires="wps">
                  <w:drawing>
                    <wp:anchor behindDoc="0" distT="101600" distB="0" distL="127000" distR="0" simplePos="0" locked="0" layoutInCell="1" allowOverlap="1" relativeHeight="81">
                      <wp:simplePos x="0" y="0"/>
                      <wp:positionH relativeFrom="column">
                        <wp:align>left</wp:align>
                      </wp:positionH>
                      <wp:positionV relativeFrom="line">
                        <wp:align>top</wp:align>
                      </wp:positionV>
                      <wp:extent cx="127000" cy="350520"/>
                      <wp:effectExtent l="0" t="0" r="0" b="0"/>
                      <wp:wrapSquare wrapText="largest"/>
                      <wp:docPr id="81" name="Frame55"/>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0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10pt;mso-wrap-distance-right:0pt;mso-wrap-distance-top:8pt;mso-wrap-distance-bottom:0pt;margin-top:8pt;mso-position-vertical:top;mso-position-vertical-relative:text;margin-left:10pt;mso-position-horizontal:left;mso-position-horizontal-relative:text">
                      <v:textbox>
                        <w:txbxContent>
                          <w:p>
                            <w:pPr>
                              <w:pStyle w:val="TextBody"/>
                              <w:spacing w:lineRule="atLeast" w:line="200" w:before="0" w:after="283"/>
                              <w:jc w:val="left"/>
                              <w:rPr/>
                            </w:pPr>
                            <w:r>
                              <w:rPr>
                                <w:spacing w:val="-1"/>
                              </w:rPr>
                              <w:t>•</w:t>
                            </w:r>
                            <w:r>
                              <w:rPr/>
                              <w:t xml:space="preserve"> </w:t>
                            </w:r>
                            <w:r>
                              <w:rPr/>
                              <w:br/>
                            </w:r>
                          </w:p>
                        </w:txbxContent>
                      </v:textbox>
                      <w10:wrap type="square" side="right"/>
                    </v:rect>
                  </w:pict>
                </mc:Fallback>
              </mc:AlternateContent>
            </w:r>
          </w:p>
          <w:p>
            <w:pPr>
              <w:pStyle w:val="TableContents"/>
              <w:spacing w:before="0" w:after="0"/>
              <w:ind w:left="0" w:right="0" w:hanging="0"/>
              <w:rPr/>
            </w:pPr>
            <w:r>
              <w:rPr/>
              <w:t>​</w:t>
            </w:r>
          </w:p>
          <w:p>
            <w:pPr>
              <w:pStyle w:val="TableContents"/>
              <w:spacing w:lineRule="atLeast" w:line="200" w:before="160" w:after="0"/>
              <w:ind w:left="400" w:right="0" w:hanging="0"/>
              <w:jc w:val="left"/>
              <w:rPr/>
            </w:pPr>
            <w:r>
              <w:rPr>
                <w:spacing w:val="-1"/>
              </w:rPr>
              <w:t>Assisting our Board on corporate governance matters.</w:t>
            </w:r>
            <w:r>
              <w:rPr/>
              <w:t xml:space="preserve"> </w:t>
            </w:r>
            <w:r>
              <mc:AlternateContent>
                <mc:Choice Requires="wps">
                  <w:drawing>
                    <wp:anchor behindDoc="0" distT="101600" distB="0" distL="127000" distR="0" simplePos="0" locked="0" layoutInCell="1" allowOverlap="1" relativeHeight="82">
                      <wp:simplePos x="0" y="0"/>
                      <wp:positionH relativeFrom="column">
                        <wp:align>left</wp:align>
                      </wp:positionH>
                      <wp:positionV relativeFrom="line">
                        <wp:align>top</wp:align>
                      </wp:positionV>
                      <wp:extent cx="127000" cy="350520"/>
                      <wp:effectExtent l="0" t="0" r="0" b="0"/>
                      <wp:wrapSquare wrapText="largest"/>
                      <wp:docPr id="82" name="Frame56"/>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0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10pt;mso-wrap-distance-right:0pt;mso-wrap-distance-top:8pt;mso-wrap-distance-bottom:0pt;margin-top:8pt;mso-position-vertical:top;mso-position-vertical-relative:text;margin-left:10pt;mso-position-horizontal:left;mso-position-horizontal-relative:text">
                      <v:textbox>
                        <w:txbxContent>
                          <w:p>
                            <w:pPr>
                              <w:pStyle w:val="TextBody"/>
                              <w:spacing w:lineRule="atLeast" w:line="200" w:before="0" w:after="283"/>
                              <w:jc w:val="left"/>
                              <w:rPr/>
                            </w:pPr>
                            <w:r>
                              <w:rPr>
                                <w:spacing w:val="-1"/>
                              </w:rPr>
                              <w:t>•</w:t>
                            </w:r>
                            <w:r>
                              <w:rPr/>
                              <w:t xml:space="preserve"> </w:t>
                            </w:r>
                            <w:r>
                              <w:rPr/>
                              <w:br/>
                            </w:r>
                          </w:p>
                        </w:txbxContent>
                      </v:textbox>
                      <w10:wrap type="square" side="right"/>
                    </v:rect>
                  </w:pict>
                </mc:Fallback>
              </mc:AlternateContent>
            </w:r>
          </w:p>
          <w:p>
            <w:pPr>
              <w:pStyle w:val="TableContents"/>
              <w:spacing w:before="0" w:after="0"/>
              <w:ind w:left="0" w:right="0" w:hanging="0"/>
              <w:rPr/>
            </w:pPr>
            <w:r>
              <w:rPr/>
              <w:t>​</w:t>
            </w:r>
          </w:p>
        </w:tc>
        <w:tc>
          <w:tcPr>
            <w:tcW w:w="155" w:type="dxa"/>
            <w:vMerge w:val="restart"/>
            <w:tcBorders/>
            <w:shd w:fill="auto" w:val="clear"/>
            <w:tcMar>
              <w:bottom w:w="0" w:type="dxa"/>
            </w:tcMar>
            <w:vAlign w:val="center"/>
          </w:tcPr>
          <w:p>
            <w:pPr>
              <w:pStyle w:val="TableContents"/>
              <w:spacing w:before="0" w:after="283"/>
              <w:rPr/>
            </w:pPr>
            <w:r>
              <w:rPr/>
              <w:t>​</w:t>
            </w:r>
          </w:p>
        </w:tc>
      </w:tr>
      <w:tr>
        <w:trPr/>
        <w:tc>
          <w:tcPr>
            <w:tcW w:w="124" w:type="dxa"/>
            <w:tcBorders/>
            <w:shd w:fill="auto" w:val="clear"/>
            <w:tcMar>
              <w:bottom w:w="0" w:type="dxa"/>
            </w:tcMar>
            <w:vAlign w:val="center"/>
          </w:tcPr>
          <w:p>
            <w:pPr>
              <w:pStyle w:val="TableContents"/>
              <w:spacing w:before="0" w:after="283"/>
              <w:rPr/>
            </w:pPr>
            <w:r>
              <w:rPr/>
              <w:t>​</w:t>
            </w:r>
          </w:p>
        </w:tc>
        <w:tc>
          <w:tcPr>
            <w:tcW w:w="4247" w:type="dxa"/>
            <w:tcBorders/>
            <w:shd w:fill="auto" w:val="clear"/>
            <w:tcMar>
              <w:bottom w:w="0" w:type="dxa"/>
            </w:tcMar>
            <w:vAlign w:val="center"/>
          </w:tcPr>
          <w:p>
            <w:pPr>
              <w:pStyle w:val="TableContents"/>
              <w:spacing w:lineRule="atLeast" w:line="240" w:before="0" w:after="0"/>
              <w:ind w:left="240" w:right="0" w:hanging="0"/>
              <w:jc w:val="left"/>
              <w:rPr/>
            </w:pPr>
            <w:r>
              <w:rPr>
                <w:spacing w:val="-1"/>
              </w:rPr>
              <w:t>All members are deemed “independent” under the applicable rules and regulations of the SEC and Nasdaq.</w:t>
            </w:r>
            <w:r>
              <w:rPr/>
              <w:t xml:space="preserve"> </w:t>
            </w:r>
            <w:r>
              <mc:AlternateContent>
                <mc:Choice Requires="wps">
                  <w:drawing>
                    <wp:anchor behindDoc="0" distT="0" distB="0" distL="0" distR="0" simplePos="0" locked="0" layoutInCell="1" allowOverlap="1" relativeHeight="15">
                      <wp:simplePos x="0" y="0"/>
                      <wp:positionH relativeFrom="column">
                        <wp:align>left</wp:align>
                      </wp:positionH>
                      <wp:positionV relativeFrom="line">
                        <wp:posOffset>635</wp:posOffset>
                      </wp:positionV>
                      <wp:extent cx="152400" cy="185420"/>
                      <wp:effectExtent l="0" t="0" r="0" b="0"/>
                      <wp:wrapSquare wrapText="largest"/>
                      <wp:docPr id="83" name="Frame57"/>
                      <a:graphic xmlns:a="http://schemas.openxmlformats.org/drawingml/2006/main">
                        <a:graphicData uri="http://schemas.microsoft.com/office/word/2010/wordprocessingShape">
                          <wps:wsp>
                            <wps:cNvSpPr txBox="1"/>
                            <wps:spPr>
                              <a:xfrm>
                                <a:off x="0" y="0"/>
                                <a:ext cx="152400" cy="185420"/>
                              </a:xfrm>
                              <a:prstGeom prst="rect"/>
                            </wps:spPr>
                            <wps:txbx>
                              <w:txbxContent>
                                <w:p>
                                  <w:pPr>
                                    <w:pStyle w:val="TextBody"/>
                                    <w:spacing w:lineRule="atLeast" w:line="240" w:before="0" w:after="283"/>
                                    <w:jc w:val="left"/>
                                    <w:rPr/>
                                  </w:pPr>
                                  <w:r>
                                    <w:rPr/>
                                    <w:drawing>
                                      <wp:inline distT="0" distB="0" distL="0" distR="0">
                                        <wp:extent cx="85725" cy="85725"/>
                                        <wp:effectExtent l="0" t="0" r="0" b="0"/>
                                        <wp:docPr id="84"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Image17" descr=""/>
                                                <pic:cNvPicPr>
                                                  <a:picLocks noChangeAspect="1" noChangeArrowheads="1"/>
                                                </pic:cNvPicPr>
                                              </pic:nvPicPr>
                                              <pic:blipFill>
                                                <a:blip r:embed="rId18"/>
                                                <a:stretch>
                                                  <a:fillRect/>
                                                </a:stretch>
                                              </pic:blipFill>
                                              <pic:spPr bwMode="auto">
                                                <a:xfrm>
                                                  <a:off x="0" y="0"/>
                                                  <a:ext cx="85725" cy="85725"/>
                                                </a:xfrm>
                                                <a:prstGeom prst="rect">
                                                  <a:avLst/>
                                                </a:prstGeom>
                                              </pic:spPr>
                                            </pic:pic>
                                          </a:graphicData>
                                        </a:graphic>
                                      </wp:inline>
                                    </w:drawing>
                                  </w:r>
                                  <w:r>
                                    <w:rPr/>
                                    <w:t xml:space="preserve"> </w:t>
                                  </w:r>
                                </w:p>
                              </w:txbxContent>
                            </wps:txbx>
                            <wps:bodyPr anchor="t" lIns="0" tIns="0" rIns="0" bIns="0">
                              <a:noAutofit/>
                            </wps:bodyPr>
                          </wps:wsp>
                        </a:graphicData>
                      </a:graphic>
                    </wp:anchor>
                  </w:drawing>
                </mc:Choice>
                <mc:Fallback>
                  <w:pict>
                    <v:rect style="position:absolute;rotation:0;width:12pt;height:14.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tLeast" w:line="240" w:before="0" w:after="283"/>
                              <w:jc w:val="left"/>
                              <w:rPr/>
                            </w:pPr>
                            <w:r>
                              <w:rPr/>
                              <w:drawing>
                                <wp:inline distT="0" distB="0" distL="0" distR="0">
                                  <wp:extent cx="85725" cy="85725"/>
                                  <wp:effectExtent l="0" t="0" r="0" b="0"/>
                                  <wp:docPr id="85"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Image17" descr=""/>
                                          <pic:cNvPicPr>
                                            <a:picLocks noChangeAspect="1" noChangeArrowheads="1"/>
                                          </pic:cNvPicPr>
                                        </pic:nvPicPr>
                                        <pic:blipFill>
                                          <a:blip r:embed="rId18"/>
                                          <a:stretch>
                                            <a:fillRect/>
                                          </a:stretch>
                                        </pic:blipFill>
                                        <pic:spPr bwMode="auto">
                                          <a:xfrm>
                                            <a:off x="0" y="0"/>
                                            <a:ext cx="85725" cy="85725"/>
                                          </a:xfrm>
                                          <a:prstGeom prst="rect">
                                            <a:avLst/>
                                          </a:prstGeom>
                                        </pic:spPr>
                                      </pic:pic>
                                    </a:graphicData>
                                  </a:graphic>
                                </wp:inline>
                              </w:drawing>
                            </w:r>
                            <w:r>
                              <w:rPr/>
                              <w:t xml:space="preserve"> </w:t>
                            </w:r>
                          </w:p>
                        </w:txbxContent>
                      </v:textbox>
                      <w10:wrap type="square" side="right"/>
                    </v:rect>
                  </w:pict>
                </mc:Fallback>
              </mc:AlternateContent>
            </w:r>
          </w:p>
          <w:p>
            <w:pPr>
              <w:pStyle w:val="TableContents"/>
              <w:spacing w:before="0" w:after="0"/>
              <w:ind w:left="0" w:right="0" w:hanging="0"/>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vMerge w:val="continue"/>
            <w:tcBorders/>
            <w:shd w:fill="auto" w:val="clear"/>
            <w:tcMar>
              <w:bottom w:w="0" w:type="dxa"/>
            </w:tcMar>
            <w:vAlign w:val="center"/>
          </w:tcPr>
          <w:p>
            <w:pPr>
              <w:pStyle w:val="Normal"/>
              <w:rPr/>
            </w:pPr>
            <w:r>
              <w:rPr/>
            </w:r>
          </w:p>
        </w:tc>
        <w:tc>
          <w:tcPr>
            <w:tcW w:w="4501" w:type="dxa"/>
            <w:vMerge w:val="continue"/>
            <w:tcBorders/>
            <w:shd w:fill="auto" w:val="clear"/>
            <w:tcMar>
              <w:bottom w:w="0" w:type="dxa"/>
            </w:tcMar>
            <w:vAlign w:val="center"/>
          </w:tcPr>
          <w:p>
            <w:pPr>
              <w:pStyle w:val="Normal"/>
              <w:rPr/>
            </w:pPr>
            <w:r>
              <w:rPr/>
            </w:r>
          </w:p>
        </w:tc>
        <w:tc>
          <w:tcPr>
            <w:tcW w:w="155" w:type="dxa"/>
            <w:vMerge w:val="continue"/>
            <w:tcBorders/>
            <w:shd w:fill="auto" w:val="clear"/>
            <w:tcMar>
              <w:bottom w:w="0" w:type="dxa"/>
            </w:tcMar>
            <w:vAlign w:val="center"/>
          </w:tcPr>
          <w:p>
            <w:pPr>
              <w:pStyle w:val="Normal"/>
              <w:rPr/>
            </w:pPr>
            <w:r>
              <w:rPr/>
            </w:r>
          </w:p>
        </w:tc>
      </w:tr>
    </w:tbl>
    <w:p>
      <w:pPr>
        <w:pStyle w:val="TextBody"/>
        <w:spacing w:lineRule="atLeast" w:line="240" w:before="100" w:after="283"/>
        <w:ind w:left="960" w:right="0" w:hanging="0"/>
        <w:jc w:val="righ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1DA46F"/>
          <w:spacing w:val="0"/>
          <w:sz w:val="20"/>
        </w:rPr>
        <w:t>Notice of Annual Meeting of Stockholders</w:t>
      </w:r>
      <w:r>
        <w:rPr>
          <w:rFonts w:ascii="Arial;Helvetica;sans-serif" w:hAnsi="Arial;Helvetica;sans-serif"/>
          <w:b/>
          <w:i w:val="false"/>
          <w:caps w:val="false"/>
          <w:smallCaps w:val="false"/>
          <w:color w:val="000000"/>
          <w:spacing w:val="0"/>
          <w:sz w:val="20"/>
        </w:rPr>
        <w:t> and 2023 Proxy Statement | </w:t>
      </w:r>
      <w:r>
        <w:rPr>
          <w:rFonts w:ascii="Arial;Helvetica;sans-serif" w:hAnsi="Arial;Helvetica;sans-serif"/>
          <w:b w:val="false"/>
          <w:i w:val="false"/>
          <w:caps w:val="false"/>
          <w:smallCaps w:val="false"/>
          <w:color w:val="000000"/>
          <w:spacing w:val="-1"/>
          <w:sz w:val="20"/>
        </w:rPr>
        <w:t>14</w:t>
      </w:r>
      <w:r>
        <w:rPr>
          <w:rFonts w:ascii="Arial;Helvetica;sans-serif" w:hAnsi="Arial;Helvetica;sans-serif"/>
          <w:b/>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4" w:name="tCOCO"/>
      <w:bookmarkEnd w:id="34"/>
      <w:r>
        <w:rPr>
          <w:rFonts w:ascii="calibri;arial;sans-serif" w:hAnsi="calibri;arial;sans-serif"/>
          <w:b w:val="false"/>
          <w:i w:val="false"/>
          <w:caps w:val="false"/>
          <w:smallCaps w:val="false"/>
          <w:color w:val="000000"/>
          <w:sz w:val="16"/>
        </w:rPr>
        <w:t>​</w:t>
      </w:r>
      <w:bookmarkStart w:id="35" w:name="tCCIA"/>
      <w:bookmarkEnd w:id="35"/>
      <w:r>
        <w:rPr>
          <w:rFonts w:ascii="calibri;arial;sans-serif" w:hAnsi="calibri;arial;sans-serif"/>
          <w:b w:val="false"/>
          <w:i w:val="false"/>
          <w:caps w:val="false"/>
          <w:smallCaps w:val="false"/>
          <w:color w:val="000000"/>
          <w:sz w:val="16"/>
        </w:rPr>
        <w:t>​</w:t>
      </w:r>
      <w:bookmarkStart w:id="36" w:name="tFARE"/>
      <w:bookmarkEnd w:id="36"/>
      <w:r>
        <w:rPr>
          <w:rFonts w:ascii="calibri;arial;sans-serif" w:hAnsi="calibri;arial;sans-serif"/>
          <w:b w:val="false"/>
          <w:i w:val="false"/>
          <w:caps w:val="false"/>
          <w:smallCaps w:val="false"/>
          <w:color w:val="000000"/>
          <w:sz w:val="16"/>
        </w:rPr>
        <w:t xml:space="preserve">​ </w:t>
      </w:r>
    </w:p>
    <w:tbl>
      <w:tblPr>
        <w:tblW w:w="6574" w:type="dxa"/>
        <w:jc w:val="left"/>
        <w:tblInd w:w="960" w:type="dxa"/>
        <w:tblCellMar>
          <w:top w:w="0" w:type="dxa"/>
          <w:left w:w="0" w:type="dxa"/>
          <w:bottom w:w="0" w:type="dxa"/>
          <w:right w:w="0" w:type="dxa"/>
        </w:tblCellMar>
      </w:tblPr>
      <w:tblGrid>
        <w:gridCol w:w="124"/>
        <w:gridCol w:w="6296"/>
        <w:gridCol w:w="154"/>
      </w:tblGrid>
      <w:tr>
        <w:trPr/>
        <w:tc>
          <w:tcPr>
            <w:tcW w:w="124" w:type="dxa"/>
            <w:tcBorders/>
            <w:shd w:fill="1DA46F" w:val="clear"/>
            <w:vAlign w:val="center"/>
          </w:tcPr>
          <w:p>
            <w:pPr>
              <w:pStyle w:val="TableContents"/>
              <w:spacing w:before="0" w:after="283"/>
              <w:rPr/>
            </w:pPr>
            <w:r>
              <w:rPr/>
              <w:t>​</w:t>
            </w:r>
          </w:p>
        </w:tc>
        <w:tc>
          <w:tcPr>
            <w:tcW w:w="6296" w:type="dxa"/>
            <w:tcBorders/>
            <w:shd w:fill="1DA46F" w:val="clear"/>
            <w:vAlign w:val="center"/>
          </w:tcPr>
          <w:p>
            <w:pPr>
              <w:pStyle w:val="TableContents"/>
              <w:spacing w:lineRule="atLeast" w:line="360" w:before="0" w:after="0"/>
              <w:rPr/>
            </w:pPr>
            <w:r>
              <w:rPr>
                <w:spacing w:val="-5"/>
              </w:rPr>
              <w:t>CORPORATE GOVERNANCE AND RISK MANAGEMENT</w:t>
            </w:r>
            <w:r>
              <w:rPr/>
              <w:t xml:space="preserve"> </w:t>
            </w:r>
          </w:p>
        </w:tc>
        <w:tc>
          <w:tcPr>
            <w:tcW w:w="154" w:type="dxa"/>
            <w:tcBorders/>
            <w:shd w:fill="1DA46F" w:val="clear"/>
            <w:vAlign w:val="center"/>
          </w:tcPr>
          <w:p>
            <w:pPr>
              <w:pStyle w:val="TableContents"/>
              <w:spacing w:before="0" w:after="283"/>
              <w:rPr/>
            </w:pPr>
            <w:r>
              <w:rPr/>
              <w:t>​</w:t>
            </w:r>
          </w:p>
        </w:tc>
      </w:tr>
    </w:tbl>
    <w:tbl>
      <w:tblPr>
        <w:tblW w:w="9245" w:type="dxa"/>
        <w:jc w:val="left"/>
        <w:tblInd w:w="960" w:type="dxa"/>
        <w:tblCellMar>
          <w:top w:w="0" w:type="dxa"/>
          <w:left w:w="0" w:type="dxa"/>
          <w:bottom w:w="28" w:type="dxa"/>
          <w:right w:w="0" w:type="dxa"/>
        </w:tblCellMar>
      </w:tblPr>
      <w:tblGrid>
        <w:gridCol w:w="124"/>
        <w:gridCol w:w="3657"/>
        <w:gridCol w:w="109"/>
        <w:gridCol w:w="109"/>
        <w:gridCol w:w="5091"/>
        <w:gridCol w:w="155"/>
      </w:tblGrid>
      <w:tr>
        <w:trPr/>
        <w:tc>
          <w:tcPr>
            <w:tcW w:w="124" w:type="dxa"/>
            <w:tcBorders>
              <w:bottom w:val="single" w:sz="12" w:space="0" w:color="1DA46F"/>
            </w:tcBorders>
            <w:shd w:fill="auto" w:val="clear"/>
            <w:vAlign w:val="center"/>
          </w:tcPr>
          <w:p>
            <w:pPr>
              <w:pStyle w:val="TableContents"/>
              <w:spacing w:before="0" w:after="283"/>
              <w:rPr/>
            </w:pPr>
            <w:r>
              <w:rPr/>
              <w:t>​</w:t>
            </w:r>
          </w:p>
        </w:tc>
        <w:tc>
          <w:tcPr>
            <w:tcW w:w="8966" w:type="dxa"/>
            <w:gridSpan w:val="4"/>
            <w:tcBorders>
              <w:bottom w:val="single" w:sz="12" w:space="0" w:color="1DA46F"/>
            </w:tcBorders>
            <w:shd w:fill="auto" w:val="clear"/>
            <w:tcMar>
              <w:bottom w:w="40" w:type="dxa"/>
            </w:tcMar>
            <w:vAlign w:val="center"/>
          </w:tcPr>
          <w:p>
            <w:pPr>
              <w:pStyle w:val="TableContents"/>
              <w:spacing w:before="0" w:after="0"/>
              <w:jc w:val="center"/>
              <w:rPr>
                <w:spacing w:val="-3"/>
              </w:rPr>
            </w:pPr>
            <w:r>
              <w:rPr>
                <w:spacing w:val="-3"/>
              </w:rPr>
              <w:t xml:space="preserve">THE COMPENSATION COMMITTEE </w:t>
            </w:r>
          </w:p>
        </w:tc>
        <w:tc>
          <w:tcPr>
            <w:tcW w:w="155" w:type="dxa"/>
            <w:tcBorders>
              <w:bottom w:val="single" w:sz="12" w:space="0" w:color="1DA46F"/>
            </w:tcBorders>
            <w:shd w:fill="auto" w:val="clear"/>
            <w:vAlign w:val="center"/>
          </w:tcPr>
          <w:p>
            <w:pPr>
              <w:pStyle w:val="TableContents"/>
              <w:spacing w:before="0" w:after="283"/>
              <w:rPr/>
            </w:pPr>
            <w:r>
              <w:rPr/>
              <w:t>​</w:t>
            </w:r>
          </w:p>
        </w:tc>
      </w:tr>
      <w:tr>
        <w:trPr/>
        <w:tc>
          <w:tcPr>
            <w:tcW w:w="124" w:type="dxa"/>
            <w:tcBorders>
              <w:bottom w:val="single" w:sz="12" w:space="0" w:color="1DA46F"/>
            </w:tcBorders>
            <w:shd w:fill="auto" w:val="clear"/>
            <w:vAlign w:val="center"/>
          </w:tcPr>
          <w:p>
            <w:pPr>
              <w:pStyle w:val="TableContents"/>
              <w:spacing w:before="0" w:after="283"/>
              <w:rPr/>
            </w:pPr>
            <w:r>
              <w:rPr/>
              <w:t>​</w:t>
            </w:r>
          </w:p>
        </w:tc>
        <w:tc>
          <w:tcPr>
            <w:tcW w:w="3657" w:type="dxa"/>
            <w:tcBorders>
              <w:bottom w:val="single" w:sz="12" w:space="0" w:color="1DA46F"/>
            </w:tcBorders>
            <w:shd w:fill="auto" w:val="clear"/>
            <w:tcMar>
              <w:bottom w:w="37" w:type="dxa"/>
            </w:tcMar>
            <w:vAlign w:val="center"/>
          </w:tcPr>
          <w:p>
            <w:pPr>
              <w:pStyle w:val="TableContents"/>
              <w:spacing w:lineRule="atLeast" w:line="240" w:before="0" w:after="0"/>
              <w:rPr>
                <w:b/>
              </w:rPr>
            </w:pPr>
            <w:r>
              <w:rPr>
                <w:b/>
                <w:color w:val="148CD9"/>
                <w:spacing w:val="0"/>
              </w:rPr>
              <w:t>Chair</w:t>
            </w:r>
            <w:r>
              <w:rPr>
                <w:b w:val="false"/>
                <w:spacing w:val="-1"/>
              </w:rPr>
              <w:t>: Carlo Rizzuto, Ph.D.</w:t>
            </w:r>
            <w:r>
              <w:rPr>
                <w:b/>
              </w:rPr>
              <w:t xml:space="preserve"> </w:t>
            </w:r>
          </w:p>
          <w:p>
            <w:pPr>
              <w:pStyle w:val="TableContents"/>
              <w:spacing w:lineRule="atLeast" w:line="240" w:before="160" w:after="283"/>
              <w:rPr>
                <w:b/>
                <w:color w:val="148CD9"/>
              </w:rPr>
            </w:pPr>
            <w:r>
              <w:rPr>
                <w:b/>
                <w:color w:val="148CD9"/>
                <w:spacing w:val="0"/>
              </w:rPr>
              <w:t>Additional Committee Members</w:t>
            </w:r>
            <w:r>
              <w:rPr>
                <w:b w:val="false"/>
                <w:color w:val="000000"/>
                <w:spacing w:val="-1"/>
              </w:rPr>
              <w:t>:</w:t>
            </w:r>
            <w:r>
              <w:rPr>
                <w:b/>
                <w:color w:val="148CD9"/>
              </w:rPr>
              <w:t xml:space="preserve"> </w:t>
            </w:r>
          </w:p>
          <w:p>
            <w:pPr>
              <w:pStyle w:val="TableContents"/>
              <w:spacing w:lineRule="atLeast" w:line="200" w:before="160" w:after="0"/>
              <w:ind w:left="400" w:right="0" w:hanging="0"/>
              <w:jc w:val="left"/>
              <w:rPr/>
            </w:pPr>
            <w:r>
              <w:rPr>
                <w:spacing w:val="-1"/>
              </w:rPr>
              <w:t>Cynthia Butitta</w:t>
            </w:r>
            <w:r>
              <w:rPr/>
              <w:t xml:space="preserve"> </w:t>
            </w:r>
            <w:r>
              <mc:AlternateContent>
                <mc:Choice Requires="wps">
                  <w:drawing>
                    <wp:anchor behindDoc="0" distT="101600" distB="0" distL="127000" distR="0" simplePos="0" locked="0" layoutInCell="1" allowOverlap="1" relativeHeight="83">
                      <wp:simplePos x="0" y="0"/>
                      <wp:positionH relativeFrom="column">
                        <wp:align>left</wp:align>
                      </wp:positionH>
                      <wp:positionV relativeFrom="line">
                        <wp:align>top</wp:align>
                      </wp:positionV>
                      <wp:extent cx="127000" cy="350520"/>
                      <wp:effectExtent l="0" t="0" r="0" b="0"/>
                      <wp:wrapSquare wrapText="largest"/>
                      <wp:docPr id="86" name="Frame58"/>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0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10pt;mso-wrap-distance-right:0pt;mso-wrap-distance-top:8pt;mso-wrap-distance-bottom:0pt;margin-top:8pt;mso-position-vertical:top;mso-position-vertical-relative:text;margin-left:10pt;mso-position-horizontal:left;mso-position-horizontal-relative:text">
                      <v:textbox>
                        <w:txbxContent>
                          <w:p>
                            <w:pPr>
                              <w:pStyle w:val="TextBody"/>
                              <w:spacing w:lineRule="atLeast" w:line="200" w:before="0" w:after="283"/>
                              <w:jc w:val="left"/>
                              <w:rPr/>
                            </w:pPr>
                            <w:r>
                              <w:rPr>
                                <w:spacing w:val="-1"/>
                              </w:rPr>
                              <w:t>•</w:t>
                            </w:r>
                            <w:r>
                              <w:rPr/>
                              <w:t xml:space="preserve"> </w:t>
                            </w:r>
                            <w:r>
                              <w:rPr/>
                              <w:br/>
                            </w:r>
                          </w:p>
                        </w:txbxContent>
                      </v:textbox>
                      <w10:wrap type="square" side="right"/>
                    </v:rect>
                  </w:pict>
                </mc:Fallback>
              </mc:AlternateContent>
            </w:r>
          </w:p>
          <w:p>
            <w:pPr>
              <w:pStyle w:val="TableContents"/>
              <w:spacing w:before="0" w:after="0"/>
              <w:ind w:left="0" w:right="0" w:hanging="0"/>
              <w:rPr/>
            </w:pPr>
            <w:r>
              <w:rPr/>
              <w:t>​</w:t>
            </w:r>
          </w:p>
          <w:p>
            <w:pPr>
              <w:pStyle w:val="TableContents"/>
              <w:spacing w:lineRule="atLeast" w:line="200" w:before="160" w:after="0"/>
              <w:ind w:left="400" w:right="0" w:hanging="0"/>
              <w:jc w:val="left"/>
              <w:rPr/>
            </w:pPr>
            <w:r>
              <w:rPr>
                <w:spacing w:val="-1"/>
              </w:rPr>
              <w:t>Joseph Jimenez</w:t>
            </w:r>
            <w:r>
              <w:rPr/>
              <w:t xml:space="preserve"> </w:t>
            </w:r>
            <w:r>
              <mc:AlternateContent>
                <mc:Choice Requires="wps">
                  <w:drawing>
                    <wp:anchor behindDoc="0" distT="101600" distB="0" distL="127000" distR="0" simplePos="0" locked="0" layoutInCell="1" allowOverlap="1" relativeHeight="84">
                      <wp:simplePos x="0" y="0"/>
                      <wp:positionH relativeFrom="column">
                        <wp:align>left</wp:align>
                      </wp:positionH>
                      <wp:positionV relativeFrom="line">
                        <wp:align>top</wp:align>
                      </wp:positionV>
                      <wp:extent cx="127000" cy="350520"/>
                      <wp:effectExtent l="0" t="0" r="0" b="0"/>
                      <wp:wrapSquare wrapText="largest"/>
                      <wp:docPr id="87" name="Frame59"/>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0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10pt;mso-wrap-distance-right:0pt;mso-wrap-distance-top:8pt;mso-wrap-distance-bottom:0pt;margin-top:8pt;mso-position-vertical:top;mso-position-vertical-relative:text;margin-left:10pt;mso-position-horizontal:left;mso-position-horizontal-relative:text">
                      <v:textbox>
                        <w:txbxContent>
                          <w:p>
                            <w:pPr>
                              <w:pStyle w:val="TextBody"/>
                              <w:spacing w:lineRule="atLeast" w:line="200" w:before="0" w:after="283"/>
                              <w:jc w:val="left"/>
                              <w:rPr/>
                            </w:pPr>
                            <w:r>
                              <w:rPr>
                                <w:spacing w:val="-1"/>
                              </w:rPr>
                              <w:t>•</w:t>
                            </w:r>
                            <w:r>
                              <w:rPr/>
                              <w:t xml:space="preserve"> </w:t>
                            </w:r>
                            <w:r>
                              <w:rPr/>
                              <w:br/>
                            </w:r>
                          </w:p>
                        </w:txbxContent>
                      </v:textbox>
                      <w10:wrap type="square" side="right"/>
                    </v:rect>
                  </w:pict>
                </mc:Fallback>
              </mc:AlternateContent>
            </w:r>
          </w:p>
          <w:p>
            <w:pPr>
              <w:pStyle w:val="TableContents"/>
              <w:spacing w:before="0" w:after="0"/>
              <w:ind w:left="0" w:right="0" w:hanging="0"/>
              <w:rPr/>
            </w:pPr>
            <w:r>
              <w:rPr/>
              <w:t>​</w:t>
            </w:r>
          </w:p>
          <w:p>
            <w:pPr>
              <w:pStyle w:val="TableContents"/>
              <w:spacing w:lineRule="atLeast" w:line="200" w:before="160" w:after="0"/>
              <w:ind w:left="400" w:right="0" w:hanging="0"/>
              <w:jc w:val="left"/>
              <w:rPr/>
            </w:pPr>
            <w:r>
              <w:rPr>
                <w:spacing w:val="-1"/>
              </w:rPr>
              <w:t>Timothy Walbert</w:t>
            </w:r>
            <w:r>
              <w:rPr/>
              <w:t xml:space="preserve"> </w:t>
            </w:r>
            <w:r>
              <mc:AlternateContent>
                <mc:Choice Requires="wps">
                  <w:drawing>
                    <wp:anchor behindDoc="0" distT="101600" distB="0" distL="127000" distR="0" simplePos="0" locked="0" layoutInCell="1" allowOverlap="1" relativeHeight="85">
                      <wp:simplePos x="0" y="0"/>
                      <wp:positionH relativeFrom="column">
                        <wp:align>left</wp:align>
                      </wp:positionH>
                      <wp:positionV relativeFrom="line">
                        <wp:align>top</wp:align>
                      </wp:positionV>
                      <wp:extent cx="127000" cy="350520"/>
                      <wp:effectExtent l="0" t="0" r="0" b="0"/>
                      <wp:wrapSquare wrapText="largest"/>
                      <wp:docPr id="88" name="Frame60"/>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0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10pt;mso-wrap-distance-right:0pt;mso-wrap-distance-top:8pt;mso-wrap-distance-bottom:0pt;margin-top:8pt;mso-position-vertical:top;mso-position-vertical-relative:text;margin-left:10pt;mso-position-horizontal:left;mso-position-horizontal-relative:text">
                      <v:textbox>
                        <w:txbxContent>
                          <w:p>
                            <w:pPr>
                              <w:pStyle w:val="TextBody"/>
                              <w:spacing w:lineRule="atLeast" w:line="200" w:before="0" w:after="283"/>
                              <w:jc w:val="left"/>
                              <w:rPr/>
                            </w:pPr>
                            <w:r>
                              <w:rPr>
                                <w:spacing w:val="-1"/>
                              </w:rPr>
                              <w:t>•</w:t>
                            </w:r>
                            <w:r>
                              <w:rPr/>
                              <w:t xml:space="preserve"> </w:t>
                            </w:r>
                            <w:r>
                              <w:rPr/>
                              <w:br/>
                            </w:r>
                          </w:p>
                        </w:txbxContent>
                      </v:textbox>
                      <w10:wrap type="square" side="right"/>
                    </v:rect>
                  </w:pict>
                </mc:Fallback>
              </mc:AlternateContent>
            </w:r>
          </w:p>
          <w:p>
            <w:pPr>
              <w:pStyle w:val="TableContents"/>
              <w:spacing w:before="0" w:after="0"/>
              <w:ind w:left="0" w:right="0" w:hanging="0"/>
              <w:rPr/>
            </w:pPr>
            <w:r>
              <w:rPr/>
              <w:t>​</w:t>
            </w:r>
          </w:p>
          <w:p>
            <w:pPr>
              <w:pStyle w:val="TableContents"/>
              <w:spacing w:lineRule="atLeast" w:line="240" w:before="160" w:after="283"/>
              <w:rPr/>
            </w:pPr>
            <w:r>
              <w:rPr>
                <w:spacing w:val="-1"/>
              </w:rPr>
              <w:t> </w:t>
            </w:r>
            <w:r>
              <w:rPr/>
              <w:t xml:space="preserve"> </w:t>
            </w:r>
          </w:p>
        </w:tc>
        <w:tc>
          <w:tcPr>
            <w:tcW w:w="109" w:type="dxa"/>
            <w:tcBorders>
              <w:bottom w:val="single" w:sz="12" w:space="0" w:color="1DA46F"/>
            </w:tcBorders>
            <w:shd w:fill="auto" w:val="clear"/>
            <w:vAlign w:val="center"/>
          </w:tcPr>
          <w:p>
            <w:pPr>
              <w:pStyle w:val="TableContents"/>
              <w:spacing w:before="0" w:after="283"/>
              <w:rPr/>
            </w:pPr>
            <w:r>
              <w:rPr/>
              <w:t>​</w:t>
            </w:r>
          </w:p>
        </w:tc>
        <w:tc>
          <w:tcPr>
            <w:tcW w:w="109" w:type="dxa"/>
            <w:vMerge w:val="restart"/>
            <w:tcBorders/>
            <w:shd w:fill="auto" w:val="clear"/>
            <w:tcMar>
              <w:bottom w:w="0" w:type="dxa"/>
            </w:tcMar>
            <w:vAlign w:val="center"/>
          </w:tcPr>
          <w:p>
            <w:pPr>
              <w:pStyle w:val="TableContents"/>
              <w:spacing w:before="0" w:after="283"/>
              <w:rPr/>
            </w:pPr>
            <w:r>
              <w:rPr/>
              <w:t>​</w:t>
            </w:r>
          </w:p>
        </w:tc>
        <w:tc>
          <w:tcPr>
            <w:tcW w:w="5091" w:type="dxa"/>
            <w:vMerge w:val="restart"/>
            <w:tcBorders/>
            <w:shd w:fill="auto" w:val="clear"/>
            <w:tcMar>
              <w:bottom w:w="0" w:type="dxa"/>
            </w:tcMar>
            <w:vAlign w:val="center"/>
          </w:tcPr>
          <w:p>
            <w:pPr>
              <w:pStyle w:val="TableContents"/>
              <w:spacing w:lineRule="atLeast" w:line="200" w:before="0" w:after="0"/>
              <w:rPr/>
            </w:pPr>
            <w:r>
              <w:rPr>
                <w:spacing w:val="-1"/>
              </w:rPr>
              <w:t>Responsible for, among other things:</w:t>
            </w:r>
            <w:r>
              <w:rPr/>
              <w:t xml:space="preserve"> </w:t>
            </w:r>
          </w:p>
          <w:p>
            <w:pPr>
              <w:pStyle w:val="TableContents"/>
              <w:spacing w:lineRule="atLeast" w:line="240" w:before="160" w:after="0"/>
              <w:ind w:left="400" w:right="0" w:hanging="0"/>
              <w:jc w:val="left"/>
              <w:rPr/>
            </w:pPr>
            <w:r>
              <w:rPr>
                <w:spacing w:val="-1"/>
              </w:rPr>
              <w:t>Reviewing and approving the compensation of our executive officers and recommending that our Board approve the compensation of our Chief Executive Officer;</w:t>
            </w:r>
            <w:r>
              <w:rPr/>
              <w:t xml:space="preserve"> </w:t>
            </w:r>
            <w:r>
              <mc:AlternateContent>
                <mc:Choice Requires="wps">
                  <w:drawing>
                    <wp:anchor behindDoc="0" distT="101600" distB="0" distL="127000" distR="0" simplePos="0" locked="0" layoutInCell="1" allowOverlap="1" relativeHeight="86">
                      <wp:simplePos x="0" y="0"/>
                      <wp:positionH relativeFrom="column">
                        <wp:align>left</wp:align>
                      </wp:positionH>
                      <wp:positionV relativeFrom="line">
                        <wp:align>top</wp:align>
                      </wp:positionV>
                      <wp:extent cx="127000" cy="350520"/>
                      <wp:effectExtent l="0" t="0" r="0" b="0"/>
                      <wp:wrapSquare wrapText="largest"/>
                      <wp:docPr id="89" name="Frame61"/>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10pt;mso-wrap-distance-right:0pt;mso-wrap-distance-top:8pt;mso-wrap-distance-bottom:0pt;margin-top:8pt;mso-position-vertical:top;mso-position-vertical-relative:text;margin-left:10pt;mso-position-horizontal:left;mso-position-horizontal-relative:text">
                      <v:textbox>
                        <w:txbxContent>
                          <w:p>
                            <w:pPr>
                              <w:pStyle w:val="TextBody"/>
                              <w:spacing w:lineRule="atLeast" w:line="240" w:before="0" w:after="283"/>
                              <w:jc w:val="left"/>
                              <w:rPr/>
                            </w:pPr>
                            <w:r>
                              <w:rPr>
                                <w:spacing w:val="-1"/>
                              </w:rPr>
                              <w:t>•</w:t>
                            </w:r>
                            <w:r>
                              <w:rPr/>
                              <w:t xml:space="preserve"> </w:t>
                            </w:r>
                            <w:r>
                              <w:rPr/>
                              <w:br/>
                            </w:r>
                          </w:p>
                        </w:txbxContent>
                      </v:textbox>
                      <w10:wrap type="square" side="right"/>
                    </v:rect>
                  </w:pict>
                </mc:Fallback>
              </mc:AlternateContent>
            </w:r>
          </w:p>
          <w:p>
            <w:pPr>
              <w:pStyle w:val="TableContents"/>
              <w:spacing w:before="0" w:after="0"/>
              <w:ind w:left="0" w:right="0" w:hanging="0"/>
              <w:rPr/>
            </w:pPr>
            <w:r>
              <w:rPr/>
              <w:t>​</w:t>
            </w:r>
          </w:p>
          <w:p>
            <w:pPr>
              <w:pStyle w:val="TableContents"/>
              <w:spacing w:lineRule="atLeast" w:line="240" w:before="160" w:after="0"/>
              <w:ind w:left="400" w:right="0" w:hanging="0"/>
              <w:jc w:val="left"/>
              <w:rPr/>
            </w:pPr>
            <w:r>
              <w:rPr>
                <w:spacing w:val="-1"/>
              </w:rPr>
              <w:t>Reviewing and recommending to our Board the compensation of our directors;</w:t>
            </w:r>
            <w:r>
              <w:rPr/>
              <w:t xml:space="preserve"> </w:t>
            </w:r>
            <w:r>
              <mc:AlternateContent>
                <mc:Choice Requires="wps">
                  <w:drawing>
                    <wp:anchor behindDoc="0" distT="101600" distB="0" distL="127000" distR="0" simplePos="0" locked="0" layoutInCell="1" allowOverlap="1" relativeHeight="87">
                      <wp:simplePos x="0" y="0"/>
                      <wp:positionH relativeFrom="column">
                        <wp:align>left</wp:align>
                      </wp:positionH>
                      <wp:positionV relativeFrom="line">
                        <wp:align>top</wp:align>
                      </wp:positionV>
                      <wp:extent cx="127000" cy="350520"/>
                      <wp:effectExtent l="0" t="0" r="0" b="0"/>
                      <wp:wrapSquare wrapText="largest"/>
                      <wp:docPr id="90" name="Frame62"/>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10pt;mso-wrap-distance-right:0pt;mso-wrap-distance-top:8pt;mso-wrap-distance-bottom:0pt;margin-top:8pt;mso-position-vertical:top;mso-position-vertical-relative:text;margin-left:10pt;mso-position-horizontal:left;mso-position-horizontal-relative:text">
                      <v:textbox>
                        <w:txbxContent>
                          <w:p>
                            <w:pPr>
                              <w:pStyle w:val="TextBody"/>
                              <w:spacing w:lineRule="atLeast" w:line="240" w:before="0" w:after="283"/>
                              <w:jc w:val="left"/>
                              <w:rPr/>
                            </w:pPr>
                            <w:r>
                              <w:rPr>
                                <w:spacing w:val="-1"/>
                              </w:rPr>
                              <w:t>•</w:t>
                            </w:r>
                            <w:r>
                              <w:rPr/>
                              <w:t xml:space="preserve"> </w:t>
                            </w:r>
                            <w:r>
                              <w:rPr/>
                              <w:br/>
                            </w:r>
                          </w:p>
                        </w:txbxContent>
                      </v:textbox>
                      <w10:wrap type="square" side="right"/>
                    </v:rect>
                  </w:pict>
                </mc:Fallback>
              </mc:AlternateContent>
            </w:r>
          </w:p>
          <w:p>
            <w:pPr>
              <w:pStyle w:val="TableContents"/>
              <w:spacing w:before="0" w:after="0"/>
              <w:ind w:left="0" w:right="0" w:hanging="0"/>
              <w:rPr/>
            </w:pPr>
            <w:r>
              <w:rPr/>
              <w:t>​</w:t>
            </w:r>
          </w:p>
          <w:p>
            <w:pPr>
              <w:pStyle w:val="TableContents"/>
              <w:spacing w:lineRule="atLeast" w:line="240" w:before="160" w:after="0"/>
              <w:ind w:left="400" w:right="0" w:hanging="0"/>
              <w:jc w:val="left"/>
              <w:rPr/>
            </w:pPr>
            <w:r>
              <w:rPr>
                <w:spacing w:val="-1"/>
              </w:rPr>
              <w:t>Administering our equity incentive plans and overseeing regulatory compliance related to such plans;</w:t>
            </w:r>
            <w:r>
              <w:rPr/>
              <w:t xml:space="preserve"> </w:t>
            </w:r>
            <w:r>
              <mc:AlternateContent>
                <mc:Choice Requires="wps">
                  <w:drawing>
                    <wp:anchor behindDoc="0" distT="101600" distB="0" distL="127000" distR="0" simplePos="0" locked="0" layoutInCell="1" allowOverlap="1" relativeHeight="88">
                      <wp:simplePos x="0" y="0"/>
                      <wp:positionH relativeFrom="column">
                        <wp:align>left</wp:align>
                      </wp:positionH>
                      <wp:positionV relativeFrom="line">
                        <wp:align>top</wp:align>
                      </wp:positionV>
                      <wp:extent cx="127000" cy="350520"/>
                      <wp:effectExtent l="0" t="0" r="0" b="0"/>
                      <wp:wrapSquare wrapText="largest"/>
                      <wp:docPr id="91" name="Frame63"/>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10pt;mso-wrap-distance-right:0pt;mso-wrap-distance-top:8pt;mso-wrap-distance-bottom:0pt;margin-top:8pt;mso-position-vertical:top;mso-position-vertical-relative:text;margin-left:10pt;mso-position-horizontal:left;mso-position-horizontal-relative:text">
                      <v:textbox>
                        <w:txbxContent>
                          <w:p>
                            <w:pPr>
                              <w:pStyle w:val="TextBody"/>
                              <w:spacing w:lineRule="atLeast" w:line="240" w:before="0" w:after="283"/>
                              <w:jc w:val="left"/>
                              <w:rPr/>
                            </w:pPr>
                            <w:r>
                              <w:rPr>
                                <w:spacing w:val="-1"/>
                              </w:rPr>
                              <w:t>•</w:t>
                            </w:r>
                            <w:r>
                              <w:rPr/>
                              <w:t xml:space="preserve"> </w:t>
                            </w:r>
                            <w:r>
                              <w:rPr/>
                              <w:br/>
                            </w:r>
                          </w:p>
                        </w:txbxContent>
                      </v:textbox>
                      <w10:wrap type="square" side="right"/>
                    </v:rect>
                  </w:pict>
                </mc:Fallback>
              </mc:AlternateContent>
            </w:r>
          </w:p>
          <w:p>
            <w:pPr>
              <w:pStyle w:val="TableContents"/>
              <w:spacing w:before="0" w:after="0"/>
              <w:ind w:left="0" w:right="0" w:hanging="0"/>
              <w:rPr/>
            </w:pPr>
            <w:r>
              <w:rPr/>
              <w:t>​</w:t>
            </w:r>
          </w:p>
          <w:p>
            <w:pPr>
              <w:pStyle w:val="TableContents"/>
              <w:spacing w:lineRule="atLeast" w:line="240" w:before="160" w:after="0"/>
              <w:ind w:left="400" w:right="0" w:hanging="0"/>
              <w:jc w:val="left"/>
              <w:rPr/>
            </w:pPr>
            <w:r>
              <w:rPr>
                <w:spacing w:val="-1"/>
              </w:rPr>
              <w:t>Reviewing and approving, or making recommendations to our Board with respect to, incentive compensation and equity plans; and</w:t>
            </w:r>
            <w:r>
              <w:rPr/>
              <w:t xml:space="preserve"> </w:t>
            </w:r>
            <w:r>
              <mc:AlternateContent>
                <mc:Choice Requires="wps">
                  <w:drawing>
                    <wp:anchor behindDoc="0" distT="101600" distB="0" distL="127000" distR="0" simplePos="0" locked="0" layoutInCell="1" allowOverlap="1" relativeHeight="89">
                      <wp:simplePos x="0" y="0"/>
                      <wp:positionH relativeFrom="column">
                        <wp:align>left</wp:align>
                      </wp:positionH>
                      <wp:positionV relativeFrom="line">
                        <wp:align>top</wp:align>
                      </wp:positionV>
                      <wp:extent cx="127000" cy="350520"/>
                      <wp:effectExtent l="0" t="0" r="0" b="0"/>
                      <wp:wrapSquare wrapText="largest"/>
                      <wp:docPr id="92" name="Frame64"/>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10pt;mso-wrap-distance-right:0pt;mso-wrap-distance-top:8pt;mso-wrap-distance-bottom:0pt;margin-top:8pt;mso-position-vertical:top;mso-position-vertical-relative:text;margin-left:10pt;mso-position-horizontal:left;mso-position-horizontal-relative:text">
                      <v:textbox>
                        <w:txbxContent>
                          <w:p>
                            <w:pPr>
                              <w:pStyle w:val="TextBody"/>
                              <w:spacing w:lineRule="atLeast" w:line="240" w:before="0" w:after="283"/>
                              <w:jc w:val="left"/>
                              <w:rPr/>
                            </w:pPr>
                            <w:r>
                              <w:rPr>
                                <w:spacing w:val="-1"/>
                              </w:rPr>
                              <w:t>•</w:t>
                            </w:r>
                            <w:r>
                              <w:rPr/>
                              <w:t xml:space="preserve"> </w:t>
                            </w:r>
                            <w:r>
                              <w:rPr/>
                              <w:br/>
                            </w:r>
                          </w:p>
                        </w:txbxContent>
                      </v:textbox>
                      <w10:wrap type="square" side="right"/>
                    </v:rect>
                  </w:pict>
                </mc:Fallback>
              </mc:AlternateContent>
            </w:r>
          </w:p>
          <w:p>
            <w:pPr>
              <w:pStyle w:val="TableContents"/>
              <w:spacing w:before="0" w:after="0"/>
              <w:ind w:left="0" w:right="0" w:hanging="0"/>
              <w:rPr/>
            </w:pPr>
            <w:r>
              <w:rPr/>
              <w:t>​</w:t>
            </w:r>
          </w:p>
          <w:p>
            <w:pPr>
              <w:pStyle w:val="TableContents"/>
              <w:spacing w:lineRule="atLeast" w:line="200" w:before="160" w:after="0"/>
              <w:ind w:left="400" w:right="0" w:hanging="0"/>
              <w:jc w:val="left"/>
              <w:rPr/>
            </w:pPr>
            <w:r>
              <w:rPr>
                <w:spacing w:val="-1"/>
              </w:rPr>
              <w:t>Reviewing our overall compensation philosophy.</w:t>
            </w:r>
            <w:r>
              <w:rPr/>
              <w:t xml:space="preserve"> </w:t>
            </w:r>
            <w:r>
              <mc:AlternateContent>
                <mc:Choice Requires="wps">
                  <w:drawing>
                    <wp:anchor behindDoc="0" distT="101600" distB="0" distL="127000" distR="0" simplePos="0" locked="0" layoutInCell="1" allowOverlap="1" relativeHeight="90">
                      <wp:simplePos x="0" y="0"/>
                      <wp:positionH relativeFrom="column">
                        <wp:align>left</wp:align>
                      </wp:positionH>
                      <wp:positionV relativeFrom="line">
                        <wp:align>top</wp:align>
                      </wp:positionV>
                      <wp:extent cx="127000" cy="350520"/>
                      <wp:effectExtent l="0" t="0" r="0" b="0"/>
                      <wp:wrapSquare wrapText="largest"/>
                      <wp:docPr id="93" name="Frame65"/>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0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10pt;mso-wrap-distance-right:0pt;mso-wrap-distance-top:8pt;mso-wrap-distance-bottom:0pt;margin-top:8pt;mso-position-vertical:top;mso-position-vertical-relative:text;margin-left:10pt;mso-position-horizontal:left;mso-position-horizontal-relative:text">
                      <v:textbox>
                        <w:txbxContent>
                          <w:p>
                            <w:pPr>
                              <w:pStyle w:val="TextBody"/>
                              <w:spacing w:lineRule="atLeast" w:line="200" w:before="0" w:after="283"/>
                              <w:jc w:val="left"/>
                              <w:rPr/>
                            </w:pPr>
                            <w:r>
                              <w:rPr>
                                <w:spacing w:val="-1"/>
                              </w:rPr>
                              <w:t>•</w:t>
                            </w:r>
                            <w:r>
                              <w:rPr/>
                              <w:t xml:space="preserve"> </w:t>
                            </w:r>
                            <w:r>
                              <w:rPr/>
                              <w:br/>
                            </w:r>
                          </w:p>
                        </w:txbxContent>
                      </v:textbox>
                      <w10:wrap type="square" side="right"/>
                    </v:rect>
                  </w:pict>
                </mc:Fallback>
              </mc:AlternateContent>
            </w:r>
          </w:p>
          <w:p>
            <w:pPr>
              <w:pStyle w:val="TableContents"/>
              <w:spacing w:before="0" w:after="0"/>
              <w:ind w:left="0" w:right="0" w:hanging="0"/>
              <w:rPr/>
            </w:pPr>
            <w:r>
              <w:rPr/>
              <w:t>​</w:t>
            </w:r>
          </w:p>
        </w:tc>
        <w:tc>
          <w:tcPr>
            <w:tcW w:w="155" w:type="dxa"/>
            <w:vMerge w:val="restart"/>
            <w:tcBorders/>
            <w:shd w:fill="auto" w:val="clear"/>
            <w:tcMar>
              <w:bottom w:w="0" w:type="dxa"/>
            </w:tcMar>
            <w:vAlign w:val="center"/>
          </w:tcPr>
          <w:p>
            <w:pPr>
              <w:pStyle w:val="TableContents"/>
              <w:spacing w:before="0" w:after="283"/>
              <w:rPr/>
            </w:pPr>
            <w:r>
              <w:rPr/>
              <w:t>​</w:t>
            </w:r>
          </w:p>
        </w:tc>
      </w:tr>
      <w:tr>
        <w:trPr/>
        <w:tc>
          <w:tcPr>
            <w:tcW w:w="124" w:type="dxa"/>
            <w:tcBorders/>
            <w:shd w:fill="auto" w:val="clear"/>
            <w:tcMar>
              <w:bottom w:w="0" w:type="dxa"/>
            </w:tcMar>
            <w:vAlign w:val="center"/>
          </w:tcPr>
          <w:p>
            <w:pPr>
              <w:pStyle w:val="TableContents"/>
              <w:spacing w:before="0" w:after="283"/>
              <w:rPr/>
            </w:pPr>
            <w:r>
              <w:rPr/>
              <w:t>​</w:t>
            </w:r>
          </w:p>
        </w:tc>
        <w:tc>
          <w:tcPr>
            <w:tcW w:w="3657" w:type="dxa"/>
            <w:tcBorders/>
            <w:shd w:fill="auto" w:val="clear"/>
            <w:tcMar>
              <w:bottom w:w="0" w:type="dxa"/>
            </w:tcMar>
            <w:vAlign w:val="center"/>
          </w:tcPr>
          <w:p>
            <w:pPr>
              <w:pStyle w:val="TableContents"/>
              <w:spacing w:lineRule="atLeast" w:line="240" w:before="0" w:after="0"/>
              <w:ind w:left="240" w:right="0" w:hanging="0"/>
              <w:jc w:val="left"/>
              <w:rPr/>
            </w:pPr>
            <w:r>
              <w:rPr>
                <w:spacing w:val="-1"/>
              </w:rPr>
              <w:t>All members are “non-employee directors” as defined by SEC rules</w:t>
            </w:r>
            <w:r>
              <w:rPr/>
              <w:t xml:space="preserve"> </w:t>
            </w:r>
            <w:r>
              <mc:AlternateContent>
                <mc:Choice Requires="wps">
                  <w:drawing>
                    <wp:anchor behindDoc="0" distT="0" distB="0" distL="0" distR="0" simplePos="0" locked="0" layoutInCell="1" allowOverlap="1" relativeHeight="16">
                      <wp:simplePos x="0" y="0"/>
                      <wp:positionH relativeFrom="column">
                        <wp:align>left</wp:align>
                      </wp:positionH>
                      <wp:positionV relativeFrom="line">
                        <wp:posOffset>635</wp:posOffset>
                      </wp:positionV>
                      <wp:extent cx="152400" cy="185420"/>
                      <wp:effectExtent l="0" t="0" r="0" b="0"/>
                      <wp:wrapSquare wrapText="largest"/>
                      <wp:docPr id="94" name="Frame66"/>
                      <a:graphic xmlns:a="http://schemas.openxmlformats.org/drawingml/2006/main">
                        <a:graphicData uri="http://schemas.microsoft.com/office/word/2010/wordprocessingShape">
                          <wps:wsp>
                            <wps:cNvSpPr txBox="1"/>
                            <wps:spPr>
                              <a:xfrm>
                                <a:off x="0" y="0"/>
                                <a:ext cx="152400" cy="185420"/>
                              </a:xfrm>
                              <a:prstGeom prst="rect"/>
                            </wps:spPr>
                            <wps:txbx>
                              <w:txbxContent>
                                <w:p>
                                  <w:pPr>
                                    <w:pStyle w:val="TextBody"/>
                                    <w:spacing w:lineRule="atLeast" w:line="240" w:before="0" w:after="283"/>
                                    <w:jc w:val="left"/>
                                    <w:rPr/>
                                  </w:pPr>
                                  <w:r>
                                    <w:rPr/>
                                    <w:drawing>
                                      <wp:inline distT="0" distB="0" distL="0" distR="0">
                                        <wp:extent cx="85725" cy="85725"/>
                                        <wp:effectExtent l="0" t="0" r="0" b="0"/>
                                        <wp:docPr id="95"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 name="Image18" descr=""/>
                                                <pic:cNvPicPr>
                                                  <a:picLocks noChangeAspect="1" noChangeArrowheads="1"/>
                                                </pic:cNvPicPr>
                                              </pic:nvPicPr>
                                              <pic:blipFill>
                                                <a:blip r:embed="rId19"/>
                                                <a:stretch>
                                                  <a:fillRect/>
                                                </a:stretch>
                                              </pic:blipFill>
                                              <pic:spPr bwMode="auto">
                                                <a:xfrm>
                                                  <a:off x="0" y="0"/>
                                                  <a:ext cx="85725" cy="85725"/>
                                                </a:xfrm>
                                                <a:prstGeom prst="rect">
                                                  <a:avLst/>
                                                </a:prstGeom>
                                              </pic:spPr>
                                            </pic:pic>
                                          </a:graphicData>
                                        </a:graphic>
                                      </wp:inline>
                                    </w:drawing>
                                  </w:r>
                                  <w:r>
                                    <w:rPr/>
                                    <w:t xml:space="preserve"> </w:t>
                                  </w:r>
                                </w:p>
                              </w:txbxContent>
                            </wps:txbx>
                            <wps:bodyPr anchor="t" lIns="0" tIns="0" rIns="0" bIns="0">
                              <a:noAutofit/>
                            </wps:bodyPr>
                          </wps:wsp>
                        </a:graphicData>
                      </a:graphic>
                    </wp:anchor>
                  </w:drawing>
                </mc:Choice>
                <mc:Fallback>
                  <w:pict>
                    <v:rect style="position:absolute;rotation:0;width:12pt;height:14.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tLeast" w:line="240" w:before="0" w:after="283"/>
                              <w:jc w:val="left"/>
                              <w:rPr/>
                            </w:pPr>
                            <w:r>
                              <w:rPr/>
                              <w:drawing>
                                <wp:inline distT="0" distB="0" distL="0" distR="0">
                                  <wp:extent cx="85725" cy="85725"/>
                                  <wp:effectExtent l="0" t="0" r="0" b="0"/>
                                  <wp:docPr id="96"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 name="Image18" descr=""/>
                                          <pic:cNvPicPr>
                                            <a:picLocks noChangeAspect="1" noChangeArrowheads="1"/>
                                          </pic:cNvPicPr>
                                        </pic:nvPicPr>
                                        <pic:blipFill>
                                          <a:blip r:embed="rId19"/>
                                          <a:stretch>
                                            <a:fillRect/>
                                          </a:stretch>
                                        </pic:blipFill>
                                        <pic:spPr bwMode="auto">
                                          <a:xfrm>
                                            <a:off x="0" y="0"/>
                                            <a:ext cx="85725" cy="85725"/>
                                          </a:xfrm>
                                          <a:prstGeom prst="rect">
                                            <a:avLst/>
                                          </a:prstGeom>
                                        </pic:spPr>
                                      </pic:pic>
                                    </a:graphicData>
                                  </a:graphic>
                                </wp:inline>
                              </w:drawing>
                            </w:r>
                            <w:r>
                              <w:rPr/>
                              <w:t xml:space="preserve"> </w:t>
                            </w:r>
                          </w:p>
                        </w:txbxContent>
                      </v:textbox>
                      <w10:wrap type="square" side="right"/>
                    </v:rect>
                  </w:pict>
                </mc:Fallback>
              </mc:AlternateContent>
            </w:r>
          </w:p>
          <w:p>
            <w:pPr>
              <w:pStyle w:val="TableContents"/>
              <w:spacing w:before="0" w:after="0"/>
              <w:ind w:left="0" w:right="0" w:hanging="0"/>
              <w:rPr/>
            </w:pPr>
            <w:r>
              <w:rPr/>
              <w:t>​</w:t>
            </w:r>
          </w:p>
          <w:p>
            <w:pPr>
              <w:pStyle w:val="TableContents"/>
              <w:spacing w:lineRule="atLeast" w:line="240" w:before="320" w:after="0"/>
              <w:ind w:left="240" w:right="0" w:hanging="0"/>
              <w:jc w:val="left"/>
              <w:rPr/>
            </w:pPr>
            <w:r>
              <w:rPr>
                <w:spacing w:val="-1"/>
              </w:rPr>
              <w:t>All members are deemed “independent” under the applicable rules and regulations of the SEC and Nasdaq.</w:t>
            </w:r>
            <w:r>
              <w:rPr/>
              <w:t xml:space="preserve"> </w:t>
            </w:r>
            <w:r>
              <mc:AlternateContent>
                <mc:Choice Requires="wps">
                  <w:drawing>
                    <wp:anchor behindDoc="0" distT="215900" distB="0" distL="0" distR="0" simplePos="0" locked="0" layoutInCell="1" allowOverlap="1" relativeHeight="17">
                      <wp:simplePos x="0" y="0"/>
                      <wp:positionH relativeFrom="column">
                        <wp:align>left</wp:align>
                      </wp:positionH>
                      <wp:positionV relativeFrom="line">
                        <wp:align>top</wp:align>
                      </wp:positionV>
                      <wp:extent cx="152400" cy="185420"/>
                      <wp:effectExtent l="0" t="0" r="0" b="0"/>
                      <wp:wrapSquare wrapText="largest"/>
                      <wp:docPr id="97" name="Frame67"/>
                      <a:graphic xmlns:a="http://schemas.openxmlformats.org/drawingml/2006/main">
                        <a:graphicData uri="http://schemas.microsoft.com/office/word/2010/wordprocessingShape">
                          <wps:wsp>
                            <wps:cNvSpPr txBox="1"/>
                            <wps:spPr>
                              <a:xfrm>
                                <a:off x="0" y="0"/>
                                <a:ext cx="152400" cy="185420"/>
                              </a:xfrm>
                              <a:prstGeom prst="rect"/>
                            </wps:spPr>
                            <wps:txbx>
                              <w:txbxContent>
                                <w:p>
                                  <w:pPr>
                                    <w:pStyle w:val="TextBody"/>
                                    <w:spacing w:lineRule="atLeast" w:line="240" w:before="0" w:after="283"/>
                                    <w:jc w:val="left"/>
                                    <w:rPr/>
                                  </w:pPr>
                                  <w:r>
                                    <w:rPr/>
                                    <w:drawing>
                                      <wp:inline distT="0" distB="0" distL="0" distR="0">
                                        <wp:extent cx="85725" cy="85725"/>
                                        <wp:effectExtent l="0" t="0" r="0" b="0"/>
                                        <wp:docPr id="98"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 name="Image19" descr=""/>
                                                <pic:cNvPicPr>
                                                  <a:picLocks noChangeAspect="1" noChangeArrowheads="1"/>
                                                </pic:cNvPicPr>
                                              </pic:nvPicPr>
                                              <pic:blipFill>
                                                <a:blip r:embed="rId20"/>
                                                <a:stretch>
                                                  <a:fillRect/>
                                                </a:stretch>
                                              </pic:blipFill>
                                              <pic:spPr bwMode="auto">
                                                <a:xfrm>
                                                  <a:off x="0" y="0"/>
                                                  <a:ext cx="85725" cy="85725"/>
                                                </a:xfrm>
                                                <a:prstGeom prst="rect">
                                                  <a:avLst/>
                                                </a:prstGeom>
                                              </pic:spPr>
                                            </pic:pic>
                                          </a:graphicData>
                                        </a:graphic>
                                      </wp:inline>
                                    </w:drawing>
                                  </w:r>
                                  <w:r>
                                    <w:rPr/>
                                    <w:t xml:space="preserve"> </w:t>
                                  </w:r>
                                </w:p>
                              </w:txbxContent>
                            </wps:txbx>
                            <wps:bodyPr anchor="t" lIns="0" tIns="0" rIns="0" bIns="0">
                              <a:noAutofit/>
                            </wps:bodyPr>
                          </wps:wsp>
                        </a:graphicData>
                      </a:graphic>
                    </wp:anchor>
                  </w:drawing>
                </mc:Choice>
                <mc:Fallback>
                  <w:pict>
                    <v:rect style="position:absolute;rotation:0;width:12pt;height:14.6pt;mso-wrap-distance-left:0pt;mso-wrap-distance-right:0pt;mso-wrap-distance-top:17pt;mso-wrap-distance-bottom:0pt;margin-top:17pt;mso-position-vertical:top;mso-position-vertical-relative:text;margin-left:0pt;mso-position-horizontal:left;mso-position-horizontal-relative:text">
                      <v:textbox>
                        <w:txbxContent>
                          <w:p>
                            <w:pPr>
                              <w:pStyle w:val="TextBody"/>
                              <w:spacing w:lineRule="atLeast" w:line="240" w:before="0" w:after="283"/>
                              <w:jc w:val="left"/>
                              <w:rPr/>
                            </w:pPr>
                            <w:r>
                              <w:rPr/>
                              <w:drawing>
                                <wp:inline distT="0" distB="0" distL="0" distR="0">
                                  <wp:extent cx="85725" cy="85725"/>
                                  <wp:effectExtent l="0" t="0" r="0" b="0"/>
                                  <wp:docPr id="9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 name="Image19" descr=""/>
                                          <pic:cNvPicPr>
                                            <a:picLocks noChangeAspect="1" noChangeArrowheads="1"/>
                                          </pic:cNvPicPr>
                                        </pic:nvPicPr>
                                        <pic:blipFill>
                                          <a:blip r:embed="rId20"/>
                                          <a:stretch>
                                            <a:fillRect/>
                                          </a:stretch>
                                        </pic:blipFill>
                                        <pic:spPr bwMode="auto">
                                          <a:xfrm>
                                            <a:off x="0" y="0"/>
                                            <a:ext cx="85725" cy="85725"/>
                                          </a:xfrm>
                                          <a:prstGeom prst="rect">
                                            <a:avLst/>
                                          </a:prstGeom>
                                        </pic:spPr>
                                      </pic:pic>
                                    </a:graphicData>
                                  </a:graphic>
                                </wp:inline>
                              </w:drawing>
                            </w:r>
                            <w:r>
                              <w:rPr/>
                              <w:t xml:space="preserve"> </w:t>
                            </w:r>
                          </w:p>
                        </w:txbxContent>
                      </v:textbox>
                      <w10:wrap type="square" side="right"/>
                    </v:rect>
                  </w:pict>
                </mc:Fallback>
              </mc:AlternateContent>
            </w:r>
          </w:p>
          <w:p>
            <w:pPr>
              <w:pStyle w:val="TableContents"/>
              <w:spacing w:before="0" w:after="0"/>
              <w:ind w:left="0" w:right="0" w:hanging="0"/>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vMerge w:val="continue"/>
            <w:tcBorders/>
            <w:shd w:fill="auto" w:val="clear"/>
            <w:tcMar>
              <w:bottom w:w="0" w:type="dxa"/>
            </w:tcMar>
            <w:vAlign w:val="center"/>
          </w:tcPr>
          <w:p>
            <w:pPr>
              <w:pStyle w:val="Normal"/>
              <w:rPr/>
            </w:pPr>
            <w:r>
              <w:rPr/>
            </w:r>
          </w:p>
        </w:tc>
        <w:tc>
          <w:tcPr>
            <w:tcW w:w="5091" w:type="dxa"/>
            <w:vMerge w:val="continue"/>
            <w:tcBorders/>
            <w:shd w:fill="auto" w:val="clear"/>
            <w:tcMar>
              <w:bottom w:w="0" w:type="dxa"/>
            </w:tcMar>
            <w:vAlign w:val="center"/>
          </w:tcPr>
          <w:p>
            <w:pPr>
              <w:pStyle w:val="Normal"/>
              <w:rPr/>
            </w:pPr>
            <w:r>
              <w:rPr/>
            </w:r>
          </w:p>
        </w:tc>
        <w:tc>
          <w:tcPr>
            <w:tcW w:w="155" w:type="dxa"/>
            <w:vMerge w:val="continue"/>
            <w:tcBorders/>
            <w:shd w:fill="auto" w:val="clear"/>
            <w:tcMar>
              <w:bottom w:w="0" w:type="dxa"/>
            </w:tcMar>
            <w:vAlign w:val="center"/>
          </w:tcPr>
          <w:p>
            <w:pPr>
              <w:pStyle w:val="Normal"/>
              <w:rPr/>
            </w:pPr>
            <w:r>
              <w:rPr/>
            </w:r>
          </w:p>
        </w:tc>
      </w:tr>
    </w:tbl>
    <w:p>
      <w:pPr>
        <w:pStyle w:val="TextBody"/>
        <w:spacing w:lineRule="atLeast" w:line="240" w:before="240" w:after="283"/>
        <w:ind w:left="960" w:right="0" w:hanging="0"/>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3"/>
          <w:sz w:val="20"/>
        </w:rPr>
        <w:t>COMPENSATION CONSULTANT</w:t>
      </w:r>
      <w:r>
        <w:rPr>
          <w:rFonts w:ascii="Arial;Helvetica;sans-serif" w:hAnsi="Arial;Helvetica;sans-serif"/>
          <w:b/>
          <w:i w:val="false"/>
          <w:caps w:val="false"/>
          <w:smallCaps w:val="false"/>
          <w:color w:val="000000"/>
          <w:spacing w:val="4"/>
          <w:sz w:val="20"/>
        </w:rPr>
        <w:t xml:space="preserve"> </w:t>
      </w:r>
    </w:p>
    <w:p>
      <w:pPr>
        <w:pStyle w:val="TextBody"/>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Radford, a subsidiary of Aon Hewitt Limited, serves as our executive compensation consultant. Radford reports directly to the Compensation Committee and provides various executive compensation services to the Compensation Committee, including advising the Compensation Committee on the principal aspects of our executive compensation program and evolving industry practices and providing market information and analysis regarding the competitiveness of our program design and our award values in relation to performance. Radford does not provide services to us other than its advice to the Compensation Committee on executive and director compensation matters.</w:t>
      </w:r>
      <w:r>
        <w:rPr>
          <w:rFonts w:ascii="Arial;Helvetica;sans-serif" w:hAnsi="Arial;Helvetica;sans-serif"/>
          <w:b w:val="false"/>
          <w:i w:val="false"/>
          <w:caps w:val="false"/>
          <w:smallCaps w:val="false"/>
          <w:color w:val="000000"/>
          <w:spacing w:val="4"/>
          <w:sz w:val="20"/>
        </w:rPr>
        <w:t xml:space="preserve"> </w:t>
      </w:r>
    </w:p>
    <w:p>
      <w:pPr>
        <w:pStyle w:val="TextBody"/>
        <w:spacing w:lineRule="atLeast" w:line="240" w:before="240" w:after="283"/>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3"/>
          <w:sz w:val="20"/>
        </w:rPr>
        <w:t>COMPENSATION COMMITTEE INTERLOCKS AND INSIDER PARTICIPATION</w:t>
      </w:r>
      <w:r>
        <w:rPr>
          <w:rFonts w:ascii="Arial;Helvetica;sans-serif" w:hAnsi="Arial;Helvetica;sans-serif"/>
          <w:b/>
          <w:i w:val="false"/>
          <w:caps w:val="false"/>
          <w:smallCaps w:val="false"/>
          <w:color w:val="000000"/>
          <w:spacing w:val="4"/>
          <w:sz w:val="20"/>
        </w:rPr>
        <w:t xml:space="preserve"> </w:t>
      </w:r>
    </w:p>
    <w:p>
      <w:pPr>
        <w:pStyle w:val="TextBody"/>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During the fiscal year ended December 31, 2022 and as of the date of this Proxy Statement, none of the members of our Compensation Committee is currently, or has been at any time, one of our executive officers or employees. None of our executive officers currently serves, or has served during the last year, as a member of the board of directors or compensation committee of any entity that has one or more executive officers serving as a member of our Board or on our Compensation Committee.</w:t>
      </w:r>
      <w:r>
        <w:rPr>
          <w:rFonts w:ascii="Arial;Helvetica;sans-serif" w:hAnsi="Arial;Helvetica;sans-serif"/>
          <w:b w:val="false"/>
          <w:i w:val="false"/>
          <w:caps w:val="false"/>
          <w:smallCaps w:val="false"/>
          <w:color w:val="000000"/>
          <w:spacing w:val="4"/>
          <w:sz w:val="20"/>
        </w:rPr>
        <w:t xml:space="preserve"> </w:t>
      </w:r>
    </w:p>
    <w:p>
      <w:pPr>
        <w:pStyle w:val="TextBody"/>
        <w:spacing w:lineRule="atLeast" w:line="240" w:before="240" w:after="283"/>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3"/>
          <w:sz w:val="20"/>
        </w:rPr>
        <w:t>FAMILY RELATIONSHIPS</w:t>
      </w:r>
      <w:r>
        <w:rPr>
          <w:rFonts w:ascii="Arial;Helvetica;sans-serif" w:hAnsi="Arial;Helvetica;sans-serif"/>
          <w:b/>
          <w:i w:val="false"/>
          <w:caps w:val="false"/>
          <w:smallCaps w:val="false"/>
          <w:color w:val="000000"/>
          <w:spacing w:val="4"/>
          <w:sz w:val="20"/>
        </w:rPr>
        <w:t xml:space="preserve"> </w:t>
      </w:r>
    </w:p>
    <w:p>
      <w:pPr>
        <w:pStyle w:val="TextBody"/>
        <w:spacing w:lineRule="atLeast" w:line="240" w:before="160" w:after="283"/>
        <w:jc w:val="both"/>
        <w:rPr>
          <w:rFonts w:ascii="Arial;Helvetica;sans-serif" w:hAnsi="Arial;Helvetica;sans-serif"/>
          <w:b w:val="false"/>
          <w:i w:val="false"/>
          <w:caps w:val="false"/>
          <w:smallCaps w:val="false"/>
          <w:color w:val="000000"/>
          <w:spacing w:val="-1"/>
          <w:sz w:val="20"/>
        </w:rPr>
      </w:pPr>
      <w:r>
        <w:rPr>
          <w:rFonts w:ascii="Arial;Helvetica;sans-serif" w:hAnsi="Arial;Helvetica;sans-serif"/>
          <w:b w:val="false"/>
          <w:i w:val="false"/>
          <w:caps w:val="false"/>
          <w:smallCaps w:val="false"/>
          <w:color w:val="000000"/>
          <w:spacing w:val="-1"/>
          <w:sz w:val="20"/>
        </w:rPr>
        <w:t xml:space="preserve">There are no family relationships among any of our directors or executive officers. </w:t>
      </w:r>
    </w:p>
    <w:p>
      <w:pPr>
        <w:pStyle w:val="TextBody"/>
        <w:spacing w:lineRule="atLeast" w:line="240" w:before="100" w:after="283"/>
        <w:ind w:left="960" w:right="0" w:hanging="0"/>
        <w:jc w:val="righ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1DA46F"/>
          <w:spacing w:val="0"/>
          <w:sz w:val="20"/>
        </w:rPr>
        <w:t>Notice of Annual Meeting of Stockholders</w:t>
      </w:r>
      <w:r>
        <w:rPr>
          <w:rFonts w:ascii="Arial;Helvetica;sans-serif" w:hAnsi="Arial;Helvetica;sans-serif"/>
          <w:b/>
          <w:i w:val="false"/>
          <w:caps w:val="false"/>
          <w:smallCaps w:val="false"/>
          <w:color w:val="000000"/>
          <w:spacing w:val="0"/>
          <w:sz w:val="20"/>
        </w:rPr>
        <w:t> and 2023 Proxy Statement | </w:t>
      </w:r>
      <w:r>
        <w:rPr>
          <w:rFonts w:ascii="Arial;Helvetica;sans-serif" w:hAnsi="Arial;Helvetica;sans-serif"/>
          <w:b w:val="false"/>
          <w:i w:val="false"/>
          <w:caps w:val="false"/>
          <w:smallCaps w:val="false"/>
          <w:color w:val="000000"/>
          <w:spacing w:val="-1"/>
          <w:sz w:val="20"/>
        </w:rPr>
        <w:t>15</w:t>
      </w:r>
      <w:r>
        <w:rPr>
          <w:rFonts w:ascii="Arial;Helvetica;sans-serif" w:hAnsi="Arial;Helvetica;sans-serif"/>
          <w:b/>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7" w:name="tSTEN"/>
      <w:bookmarkEnd w:id="37"/>
      <w:r>
        <w:rPr>
          <w:rFonts w:ascii="calibri;arial;sans-serif" w:hAnsi="calibri;arial;sans-serif"/>
          <w:b w:val="false"/>
          <w:i w:val="false"/>
          <w:caps w:val="false"/>
          <w:smallCaps w:val="false"/>
          <w:color w:val="000000"/>
          <w:sz w:val="16"/>
        </w:rPr>
        <w:t xml:space="preserve">​ </w:t>
      </w:r>
    </w:p>
    <w:tbl>
      <w:tblPr>
        <w:tblW w:w="6574" w:type="dxa"/>
        <w:jc w:val="left"/>
        <w:tblInd w:w="960" w:type="dxa"/>
        <w:tblCellMar>
          <w:top w:w="0" w:type="dxa"/>
          <w:left w:w="0" w:type="dxa"/>
          <w:bottom w:w="0" w:type="dxa"/>
          <w:right w:w="0" w:type="dxa"/>
        </w:tblCellMar>
      </w:tblPr>
      <w:tblGrid>
        <w:gridCol w:w="124"/>
        <w:gridCol w:w="6296"/>
        <w:gridCol w:w="154"/>
      </w:tblGrid>
      <w:tr>
        <w:trPr/>
        <w:tc>
          <w:tcPr>
            <w:tcW w:w="124" w:type="dxa"/>
            <w:tcBorders/>
            <w:shd w:fill="1DA46F" w:val="clear"/>
            <w:vAlign w:val="center"/>
          </w:tcPr>
          <w:p>
            <w:pPr>
              <w:pStyle w:val="TableContents"/>
              <w:spacing w:before="0" w:after="283"/>
              <w:rPr/>
            </w:pPr>
            <w:r>
              <w:rPr/>
              <w:t>​</w:t>
            </w:r>
          </w:p>
        </w:tc>
        <w:tc>
          <w:tcPr>
            <w:tcW w:w="6296" w:type="dxa"/>
            <w:tcBorders/>
            <w:shd w:fill="1DA46F" w:val="clear"/>
            <w:vAlign w:val="center"/>
          </w:tcPr>
          <w:p>
            <w:pPr>
              <w:pStyle w:val="TableContents"/>
              <w:spacing w:lineRule="atLeast" w:line="360" w:before="0" w:after="0"/>
              <w:rPr/>
            </w:pPr>
            <w:r>
              <w:rPr>
                <w:spacing w:val="-5"/>
              </w:rPr>
              <w:t>CORPORATE GOVERNANCE AND RISK MANAGEMENT</w:t>
            </w:r>
            <w:r>
              <w:rPr/>
              <w:t xml:space="preserve"> </w:t>
            </w:r>
          </w:p>
        </w:tc>
        <w:tc>
          <w:tcPr>
            <w:tcW w:w="154" w:type="dxa"/>
            <w:tcBorders/>
            <w:shd w:fill="1DA46F" w:val="clear"/>
            <w:vAlign w:val="center"/>
          </w:tcPr>
          <w:p>
            <w:pPr>
              <w:pStyle w:val="TableContents"/>
              <w:spacing w:before="0" w:after="283"/>
              <w:rPr/>
            </w:pPr>
            <w:r>
              <w:rPr/>
              <w:t>​</w:t>
            </w:r>
          </w:p>
        </w:tc>
      </w:tr>
    </w:tbl>
    <w:p>
      <w:pPr>
        <w:pStyle w:val="TextBody"/>
        <w:spacing w:lineRule="atLeast" w:line="240" w:before="360" w:after="283"/>
        <w:ind w:left="960" w:right="0" w:hanging="0"/>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3"/>
          <w:sz w:val="20"/>
        </w:rPr>
        <w:t>STOCKHOLDER ENGAGEMENT</w:t>
      </w:r>
      <w:r>
        <w:rPr>
          <w:rFonts w:ascii="Arial;Helvetica;sans-serif" w:hAnsi="Arial;Helvetica;sans-serif"/>
          <w:b/>
          <w:i w:val="false"/>
          <w:caps w:val="false"/>
          <w:smallCaps w:val="false"/>
          <w:color w:val="000000"/>
          <w:spacing w:val="4"/>
          <w:sz w:val="20"/>
        </w:rPr>
        <w:t xml:space="preserve"> </w:t>
      </w:r>
    </w:p>
    <w:p>
      <w:pPr>
        <w:pStyle w:val="TextBody"/>
        <w:spacing w:before="200" w:after="283"/>
        <w:jc w:val="center"/>
        <w:rPr>
          <w:caps w:val="false"/>
          <w:smallCaps w:val="false"/>
          <w:color w:val="000000"/>
        </w:rPr>
      </w:pPr>
      <w:r>
        <w:rPr>
          <w:caps w:val="false"/>
          <w:smallCaps w:val="false"/>
          <w:color w:val="000000"/>
        </w:rPr>
        <w:drawing>
          <wp:inline distT="0" distB="0" distL="0" distR="0">
            <wp:extent cx="5686425" cy="1895475"/>
            <wp:effectExtent l="0" t="0" r="0" b="0"/>
            <wp:docPr id="10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 name="Image20" descr=""/>
                    <pic:cNvPicPr>
                      <a:picLocks noChangeAspect="1" noChangeArrowheads="1"/>
                    </pic:cNvPicPr>
                  </pic:nvPicPr>
                  <pic:blipFill>
                    <a:blip r:embed="rId21"/>
                    <a:stretch>
                      <a:fillRect/>
                    </a:stretch>
                  </pic:blipFill>
                  <pic:spPr bwMode="auto">
                    <a:xfrm>
                      <a:off x="0" y="0"/>
                      <a:ext cx="5686425" cy="1895475"/>
                    </a:xfrm>
                    <a:prstGeom prst="rect">
                      <a:avLst/>
                    </a:prstGeom>
                  </pic:spPr>
                </pic:pic>
              </a:graphicData>
            </a:graphic>
          </wp:inline>
        </w:drawing>
      </w:r>
      <w:r>
        <w:rPr>
          <w:caps w:val="false"/>
          <w:smallCaps w:val="false"/>
          <w:color w:val="000000"/>
        </w:rPr>
        <w:t xml:space="preserve"> </w:t>
      </w:r>
    </w:p>
    <w:p>
      <w:pPr>
        <w:pStyle w:val="TextBody"/>
        <w:spacing w:lineRule="atLeast" w:line="240" w:before="340" w:after="283"/>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0"/>
          <w:sz w:val="20"/>
        </w:rPr>
        <w:t>Connect</w:t>
      </w:r>
      <w:r>
        <w:rPr>
          <w:rFonts w:ascii="Arial;Helvetica;sans-serif" w:hAnsi="Arial;Helvetica;sans-serif"/>
          <w:b/>
          <w:i w:val="false"/>
          <w:caps w:val="false"/>
          <w:smallCaps w:val="false"/>
          <w:color w:val="000000"/>
          <w:spacing w:val="4"/>
          <w:sz w:val="20"/>
        </w:rPr>
        <w:t xml:space="preserve"> </w:t>
      </w:r>
    </w:p>
    <w:p>
      <w:pPr>
        <w:pStyle w:val="TextBody"/>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Engaging with investors is fundamental to our commitment to good corporate governance and essential to maintaining strong corporate governance practices. Throughout the year, we seek opportunities to connect with our investors to gain and share valuable insights into current and emerging global governance trends.</w:t>
      </w:r>
      <w:r>
        <w:rPr>
          <w:rFonts w:ascii="Arial;Helvetica;sans-serif" w:hAnsi="Arial;Helvetica;sans-serif"/>
          <w:b w:val="false"/>
          <w:i w:val="false"/>
          <w:caps w:val="false"/>
          <w:smallCaps w:val="false"/>
          <w:color w:val="000000"/>
          <w:spacing w:val="4"/>
          <w:sz w:val="20"/>
        </w:rPr>
        <w:t xml:space="preserve"> </w:t>
      </w:r>
    </w:p>
    <w:p>
      <w:pPr>
        <w:pStyle w:val="TextBody"/>
        <w:spacing w:lineRule="atLeast" w:line="240" w:before="240" w:after="283"/>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0"/>
          <w:sz w:val="20"/>
        </w:rPr>
        <w:t>Collaborate</w:t>
      </w:r>
      <w:r>
        <w:rPr>
          <w:rFonts w:ascii="Arial;Helvetica;sans-serif" w:hAnsi="Arial;Helvetica;sans-serif"/>
          <w:b/>
          <w:i w:val="false"/>
          <w:caps w:val="false"/>
          <w:smallCaps w:val="false"/>
          <w:color w:val="000000"/>
          <w:spacing w:val="4"/>
          <w:sz w:val="20"/>
        </w:rPr>
        <w:t xml:space="preserve"> </w:t>
      </w:r>
    </w:p>
    <w:p>
      <w:pPr>
        <w:pStyle w:val="TextBody"/>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We strive for a collaborative approach to stockholder engagement and value the variety of investors’ perspectives received, which helps deepen our understanding of their interests and motivations.</w:t>
      </w:r>
      <w:r>
        <w:rPr>
          <w:rFonts w:ascii="Arial;Helvetica;sans-serif" w:hAnsi="Arial;Helvetica;sans-serif"/>
          <w:b w:val="false"/>
          <w:i w:val="false"/>
          <w:caps w:val="false"/>
          <w:smallCaps w:val="false"/>
          <w:color w:val="000000"/>
          <w:spacing w:val="4"/>
          <w:sz w:val="20"/>
        </w:rPr>
        <w:t xml:space="preserve"> </w:t>
      </w:r>
    </w:p>
    <w:p>
      <w:pPr>
        <w:pStyle w:val="TextBody"/>
        <w:spacing w:lineRule="atLeast" w:line="240" w:before="240" w:after="283"/>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0"/>
          <w:sz w:val="20"/>
        </w:rPr>
        <w:t>Communicate</w:t>
      </w:r>
      <w:r>
        <w:rPr>
          <w:rFonts w:ascii="Arial;Helvetica;sans-serif" w:hAnsi="Arial;Helvetica;sans-serif"/>
          <w:b/>
          <w:i w:val="false"/>
          <w:caps w:val="false"/>
          <w:smallCaps w:val="false"/>
          <w:color w:val="000000"/>
          <w:spacing w:val="4"/>
          <w:sz w:val="20"/>
        </w:rPr>
        <w:t xml:space="preserve"> </w:t>
      </w:r>
    </w:p>
    <w:p>
      <w:pPr>
        <w:pStyle w:val="TextBody"/>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Our goal is to communicate with our stockholders through various platforms, including via our website at www.centurytx.com, in print and in person at investor presentations or stockholder meetings. We view communication between our stockholders and the Board as a dialogue.</w:t>
      </w:r>
      <w:r>
        <w:rPr>
          <w:rFonts w:ascii="Arial;Helvetica;sans-serif" w:hAnsi="Arial;Helvetica;sans-serif"/>
          <w:b w:val="false"/>
          <w:i w:val="false"/>
          <w:caps w:val="false"/>
          <w:smallCaps w:val="false"/>
          <w:color w:val="000000"/>
          <w:spacing w:val="4"/>
          <w:sz w:val="20"/>
        </w:rPr>
        <w:t xml:space="preserve"> </w:t>
      </w:r>
    </w:p>
    <w:tbl>
      <w:tblPr>
        <w:tblW w:w="9245" w:type="dxa"/>
        <w:jc w:val="left"/>
        <w:tblInd w:w="960" w:type="dxa"/>
        <w:tblCellMar>
          <w:top w:w="0" w:type="dxa"/>
          <w:left w:w="0" w:type="dxa"/>
          <w:bottom w:w="28" w:type="dxa"/>
          <w:right w:w="0" w:type="dxa"/>
        </w:tblCellMar>
      </w:tblPr>
      <w:tblGrid>
        <w:gridCol w:w="124"/>
        <w:gridCol w:w="5406"/>
        <w:gridCol w:w="109"/>
        <w:gridCol w:w="109"/>
        <w:gridCol w:w="3342"/>
        <w:gridCol w:w="155"/>
      </w:tblGrid>
      <w:tr>
        <w:trPr/>
        <w:tc>
          <w:tcPr>
            <w:tcW w:w="124" w:type="dxa"/>
            <w:tcBorders>
              <w:bottom w:val="single" w:sz="2" w:space="0" w:color="FFFFFF"/>
            </w:tcBorders>
            <w:shd w:fill="auto" w:val="clear"/>
            <w:vAlign w:val="center"/>
          </w:tcPr>
          <w:p>
            <w:pPr>
              <w:pStyle w:val="TableContents"/>
              <w:spacing w:before="0" w:after="283"/>
              <w:rPr/>
            </w:pPr>
            <w:r>
              <w:rPr/>
              <w:t>​</w:t>
            </w:r>
          </w:p>
        </w:tc>
        <w:tc>
          <w:tcPr>
            <w:tcW w:w="5406" w:type="dxa"/>
            <w:tcBorders>
              <w:bottom w:val="single" w:sz="2" w:space="0" w:color="FFFFFF"/>
            </w:tcBorders>
            <w:shd w:fill="auto" w:val="clear"/>
            <w:tcMar>
              <w:bottom w:w="32" w:type="dxa"/>
            </w:tcMar>
            <w:vAlign w:val="center"/>
          </w:tcPr>
          <w:p>
            <w:pPr>
              <w:pStyle w:val="TableContents"/>
              <w:spacing w:before="0" w:after="0"/>
              <w:ind w:left="200" w:right="0" w:hanging="0"/>
              <w:rPr>
                <w:b/>
              </w:rPr>
            </w:pPr>
            <w:r>
              <w:rPr>
                <w:b/>
                <w:spacing w:val="-3"/>
              </w:rPr>
              <w:t>HOW TO COMMUNICATE WITH OUR DIRECTORS</w:t>
            </w:r>
            <w:r>
              <w:rPr>
                <w:b/>
              </w:rPr>
              <w:t xml:space="preserve"> </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000000"/>
            </w:tcBorders>
            <w:shd w:fill="auto" w:val="clear"/>
            <w:vAlign w:val="center"/>
          </w:tcPr>
          <w:p>
            <w:pPr>
              <w:pStyle w:val="TableContents"/>
              <w:spacing w:before="0" w:after="283"/>
              <w:rPr/>
            </w:pPr>
            <w:r>
              <w:rPr/>
              <w:t>​</w:t>
            </w:r>
          </w:p>
        </w:tc>
        <w:tc>
          <w:tcPr>
            <w:tcW w:w="3342" w:type="dxa"/>
            <w:tcBorders>
              <w:bottom w:val="single" w:sz="2" w:space="0" w:color="000000"/>
            </w:tcBorders>
            <w:shd w:fill="auto" w:val="clear"/>
            <w:tcMar>
              <w:bottom w:w="32" w:type="dxa"/>
            </w:tcMar>
            <w:vAlign w:val="center"/>
          </w:tcPr>
          <w:p>
            <w:pPr>
              <w:pStyle w:val="TableContents"/>
              <w:spacing w:before="0" w:after="283"/>
              <w:rPr/>
            </w:pPr>
            <w:r>
              <w:rPr>
                <w:spacing w:val="-1"/>
              </w:rPr>
              <w:t>By mail:</w:t>
            </w:r>
            <w:r>
              <w:rPr/>
              <w:t xml:space="preserve"> </w:t>
              <w:br/>
            </w:r>
            <w:r>
              <w:rPr>
                <w:spacing w:val="-1"/>
              </w:rPr>
              <w:t>Secretary, Century Therapeutics, Inc.</w:t>
            </w:r>
            <w:r>
              <w:rPr/>
              <w:t xml:space="preserve"> </w:t>
              <w:br/>
            </w:r>
            <w:r>
              <w:rPr>
                <w:spacing w:val="-1"/>
              </w:rPr>
              <w:t>3675 Market Street</w:t>
            </w:r>
            <w:r>
              <w:rPr/>
              <w:t xml:space="preserve"> </w:t>
              <w:br/>
            </w:r>
            <w:r>
              <w:rPr>
                <w:spacing w:val="-1"/>
              </w:rPr>
              <w:t>Philadelphia, PA 19104</w:t>
            </w:r>
            <w:r>
              <w:rPr/>
              <w:t xml:space="preserve"> </w:t>
            </w:r>
          </w:p>
        </w:tc>
        <w:tc>
          <w:tcPr>
            <w:tcW w:w="155" w:type="dxa"/>
            <w:tcBorders>
              <w:bottom w:val="single" w:sz="2" w:space="0" w:color="000000"/>
            </w:tcBorders>
            <w:shd w:fill="auto" w:val="clear"/>
            <w:vAlign w:val="center"/>
          </w:tcPr>
          <w:p>
            <w:pPr>
              <w:pStyle w:val="TableContents"/>
              <w:spacing w:before="0" w:after="283"/>
              <w:rPr/>
            </w:pPr>
            <w:r>
              <w:rPr/>
              <w:t>​</w:t>
            </w:r>
          </w:p>
        </w:tc>
      </w:tr>
    </w:tbl>
    <w:p>
      <w:pPr>
        <w:pStyle w:val="TextBody"/>
        <w:spacing w:lineRule="atLeast" w:line="240" w:before="100" w:after="283"/>
        <w:ind w:left="960" w:right="0" w:hanging="0"/>
        <w:jc w:val="righ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1DA46F"/>
          <w:spacing w:val="0"/>
          <w:sz w:val="20"/>
        </w:rPr>
        <w:t>Notice of Annual Meeting of Stockholders</w:t>
      </w:r>
      <w:r>
        <w:rPr>
          <w:rFonts w:ascii="Arial;Helvetica;sans-serif" w:hAnsi="Arial;Helvetica;sans-serif"/>
          <w:b/>
          <w:i w:val="false"/>
          <w:caps w:val="false"/>
          <w:smallCaps w:val="false"/>
          <w:color w:val="000000"/>
          <w:spacing w:val="0"/>
          <w:sz w:val="20"/>
        </w:rPr>
        <w:t> and 2023 Proxy Statement | </w:t>
      </w:r>
      <w:r>
        <w:rPr>
          <w:rFonts w:ascii="Arial;Helvetica;sans-serif" w:hAnsi="Arial;Helvetica;sans-serif"/>
          <w:b w:val="false"/>
          <w:i w:val="false"/>
          <w:caps w:val="false"/>
          <w:smallCaps w:val="false"/>
          <w:color w:val="000000"/>
          <w:spacing w:val="-1"/>
          <w:sz w:val="20"/>
        </w:rPr>
        <w:t>16</w:t>
      </w:r>
      <w:r>
        <w:rPr>
          <w:rFonts w:ascii="Arial;Helvetica;sans-serif" w:hAnsi="Arial;Helvetica;sans-serif"/>
          <w:b/>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8" w:name="tDICO"/>
      <w:bookmarkEnd w:id="38"/>
      <w:r>
        <w:rPr>
          <w:rFonts w:ascii="calibri;arial;sans-serif" w:hAnsi="calibri;arial;sans-serif"/>
          <w:b w:val="false"/>
          <w:i w:val="false"/>
          <w:caps w:val="false"/>
          <w:smallCaps w:val="false"/>
          <w:color w:val="000000"/>
          <w:sz w:val="16"/>
        </w:rPr>
        <w:t>​</w:t>
      </w:r>
      <w:bookmarkStart w:id="39" w:name="tNDCP"/>
      <w:bookmarkEnd w:id="39"/>
      <w:r>
        <w:rPr>
          <w:rFonts w:ascii="calibri;arial;sans-serif" w:hAnsi="calibri;arial;sans-serif"/>
          <w:b w:val="false"/>
          <w:i w:val="false"/>
          <w:caps w:val="false"/>
          <w:smallCaps w:val="false"/>
          <w:color w:val="000000"/>
          <w:sz w:val="16"/>
        </w:rPr>
        <w:t xml:space="preserve">​ </w:t>
      </w:r>
    </w:p>
    <w:tbl>
      <w:tblPr>
        <w:tblW w:w="3564" w:type="dxa"/>
        <w:jc w:val="left"/>
        <w:tblInd w:w="960" w:type="dxa"/>
        <w:tblCellMar>
          <w:top w:w="0" w:type="dxa"/>
          <w:left w:w="0" w:type="dxa"/>
          <w:bottom w:w="0" w:type="dxa"/>
          <w:right w:w="0" w:type="dxa"/>
        </w:tblCellMar>
      </w:tblPr>
      <w:tblGrid>
        <w:gridCol w:w="124"/>
        <w:gridCol w:w="3286"/>
        <w:gridCol w:w="154"/>
      </w:tblGrid>
      <w:tr>
        <w:trPr/>
        <w:tc>
          <w:tcPr>
            <w:tcW w:w="124" w:type="dxa"/>
            <w:tcBorders/>
            <w:shd w:fill="1DA46F" w:val="clear"/>
            <w:vAlign w:val="center"/>
          </w:tcPr>
          <w:p>
            <w:pPr>
              <w:pStyle w:val="TableContents"/>
              <w:spacing w:before="0" w:after="283"/>
              <w:rPr/>
            </w:pPr>
            <w:r>
              <w:rPr/>
              <w:t>​</w:t>
            </w:r>
          </w:p>
        </w:tc>
        <w:tc>
          <w:tcPr>
            <w:tcW w:w="3286" w:type="dxa"/>
            <w:tcBorders/>
            <w:shd w:fill="1DA46F" w:val="clear"/>
            <w:vAlign w:val="center"/>
          </w:tcPr>
          <w:p>
            <w:pPr>
              <w:pStyle w:val="TableContents"/>
              <w:spacing w:lineRule="atLeast" w:line="360" w:before="0" w:after="0"/>
              <w:rPr/>
            </w:pPr>
            <w:r>
              <w:rPr>
                <w:spacing w:val="-5"/>
              </w:rPr>
              <w:t>DIRECTOR COMPENSATION</w:t>
            </w:r>
            <w:r>
              <w:rPr/>
              <w:t xml:space="preserve"> </w:t>
            </w:r>
          </w:p>
        </w:tc>
        <w:tc>
          <w:tcPr>
            <w:tcW w:w="154" w:type="dxa"/>
            <w:tcBorders/>
            <w:shd w:fill="1DA46F" w:val="clear"/>
            <w:vAlign w:val="center"/>
          </w:tcPr>
          <w:p>
            <w:pPr>
              <w:pStyle w:val="TableContents"/>
              <w:spacing w:before="0" w:after="283"/>
              <w:rPr/>
            </w:pPr>
            <w:r>
              <w:rPr/>
              <w:t>​</w:t>
            </w:r>
          </w:p>
        </w:tc>
      </w:tr>
    </w:tbl>
    <w:p>
      <w:pPr>
        <w:pStyle w:val="TextBody"/>
        <w:spacing w:lineRule="atLeast" w:line="240" w:before="360" w:after="283"/>
        <w:ind w:left="960" w:right="0" w:hanging="0"/>
        <w:jc w:val="both"/>
        <w:rPr>
          <w:rFonts w:ascii="Arial;Helvetica;sans-serif" w:hAnsi="Arial;Helvetica;sans-serif"/>
          <w:b w:val="false"/>
          <w:i w:val="false"/>
          <w:caps w:val="false"/>
          <w:smallCaps w:val="false"/>
          <w:color w:val="148CD9"/>
          <w:sz w:val="20"/>
        </w:rPr>
      </w:pPr>
      <w:r>
        <w:rPr>
          <w:rFonts w:ascii="Arial;Helvetica;sans-serif" w:hAnsi="Arial;Helvetica;sans-serif"/>
          <w:b w:val="false"/>
          <w:i w:val="false"/>
          <w:caps w:val="false"/>
          <w:smallCaps w:val="false"/>
          <w:color w:val="148CD9"/>
          <w:spacing w:val="-1"/>
          <w:sz w:val="20"/>
        </w:rPr>
        <w:t>We have designed and implemented our compensation program for our non-employee directors to attract, motivate and retain individuals who are committed to our values and goals and who have the expertise and experience that we need to achieve those goals.</w:t>
      </w:r>
      <w:r>
        <w:rPr>
          <w:rFonts w:ascii="Arial;Helvetica;sans-serif" w:hAnsi="Arial;Helvetica;sans-serif"/>
          <w:b w:val="false"/>
          <w:i w:val="false"/>
          <w:caps w:val="false"/>
          <w:smallCaps w:val="false"/>
          <w:color w:val="000000"/>
          <w:spacing w:val="4"/>
          <w:sz w:val="20"/>
        </w:rPr>
        <w:t xml:space="preserve"> </w:t>
      </w:r>
    </w:p>
    <w:p>
      <w:pPr>
        <w:pStyle w:val="TextBody"/>
        <w:spacing w:lineRule="atLeast" w:line="240" w:before="240" w:after="283"/>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3"/>
          <w:sz w:val="20"/>
        </w:rPr>
        <w:t>NON-EMPLOYEE DIRECTOR COMPENSATION POLICY</w:t>
      </w:r>
      <w:r>
        <w:rPr>
          <w:rFonts w:ascii="Arial;Helvetica;sans-serif" w:hAnsi="Arial;Helvetica;sans-serif"/>
          <w:b/>
          <w:i w:val="false"/>
          <w:caps w:val="false"/>
          <w:smallCaps w:val="false"/>
          <w:color w:val="000000"/>
          <w:spacing w:val="4"/>
          <w:sz w:val="20"/>
        </w:rPr>
        <w:t xml:space="preserve"> </w:t>
      </w:r>
    </w:p>
    <w:p>
      <w:pPr>
        <w:pStyle w:val="TextBody"/>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The material terms of our director compensation policy in effect in 2022 are summarized in the table below:</w:t>
      </w:r>
      <w:r>
        <w:rPr>
          <w:rFonts w:ascii="Arial;Helvetica;sans-serif" w:hAnsi="Arial;Helvetica;sans-serif"/>
          <w:b w:val="false"/>
          <w:i w:val="false"/>
          <w:caps w:val="false"/>
          <w:smallCaps w:val="false"/>
          <w:color w:val="000000"/>
          <w:spacing w:val="4"/>
          <w:sz w:val="20"/>
        </w:rPr>
        <w:t xml:space="preserve"> </w:t>
      </w:r>
    </w:p>
    <w:tbl>
      <w:tblPr>
        <w:tblW w:w="9245" w:type="dxa"/>
        <w:jc w:val="left"/>
        <w:tblInd w:w="960" w:type="dxa"/>
        <w:tblCellMar>
          <w:top w:w="0" w:type="dxa"/>
          <w:left w:w="0" w:type="dxa"/>
          <w:bottom w:w="0" w:type="dxa"/>
          <w:right w:w="0" w:type="dxa"/>
        </w:tblCellMar>
      </w:tblPr>
      <w:tblGrid>
        <w:gridCol w:w="124"/>
        <w:gridCol w:w="2093"/>
        <w:gridCol w:w="109"/>
        <w:gridCol w:w="109"/>
        <w:gridCol w:w="6655"/>
        <w:gridCol w:w="155"/>
      </w:tblGrid>
      <w:tr>
        <w:trPr/>
        <w:tc>
          <w:tcPr>
            <w:tcW w:w="124" w:type="dxa"/>
            <w:tcBorders/>
            <w:shd w:fill="148CD9" w:val="clear"/>
            <w:vAlign w:val="center"/>
          </w:tcPr>
          <w:p>
            <w:pPr>
              <w:pStyle w:val="TableContents"/>
              <w:spacing w:before="0" w:after="283"/>
              <w:rPr/>
            </w:pPr>
            <w:r>
              <w:rPr/>
              <w:t>​</w:t>
            </w:r>
          </w:p>
        </w:tc>
        <w:tc>
          <w:tcPr>
            <w:tcW w:w="8966" w:type="dxa"/>
            <w:gridSpan w:val="4"/>
            <w:tcBorders/>
            <w:shd w:fill="148CD9" w:val="clear"/>
            <w:vAlign w:val="center"/>
          </w:tcPr>
          <w:p>
            <w:pPr>
              <w:pStyle w:val="TableContents"/>
              <w:spacing w:before="0" w:after="0"/>
              <w:jc w:val="center"/>
              <w:rPr/>
            </w:pPr>
            <w:r>
              <w:rPr>
                <w:caps/>
                <w:spacing w:val="-3"/>
              </w:rPr>
              <w:t>COMPENSATION ELEMENTS — NON-EMPLOYEE DIRECTOR COMPENSATION POLICY</w:t>
            </w:r>
            <w:r>
              <w:rPr/>
              <w:t xml:space="preserve"> </w:t>
            </w:r>
          </w:p>
        </w:tc>
        <w:tc>
          <w:tcPr>
            <w:tcW w:w="155" w:type="dxa"/>
            <w:tcBorders/>
            <w:shd w:fill="148CD9" w:val="clear"/>
            <w:vAlign w:val="center"/>
          </w:tcPr>
          <w:p>
            <w:pPr>
              <w:pStyle w:val="TableContents"/>
              <w:spacing w:before="0" w:after="283"/>
              <w:rPr/>
            </w:pPr>
            <w:r>
              <w:rPr/>
              <w:t>​</w:t>
            </w:r>
          </w:p>
        </w:tc>
      </w:tr>
      <w:tr>
        <w:trPr/>
        <w:tc>
          <w:tcPr>
            <w:tcW w:w="124" w:type="dxa"/>
            <w:tcBorders/>
            <w:shd w:fill="1DA46F" w:val="clear"/>
            <w:vAlign w:val="center"/>
          </w:tcPr>
          <w:p>
            <w:pPr>
              <w:pStyle w:val="TableContents"/>
              <w:spacing w:before="0" w:after="283"/>
              <w:rPr/>
            </w:pPr>
            <w:r>
              <w:rPr/>
              <w:t>​</w:t>
            </w:r>
          </w:p>
        </w:tc>
        <w:tc>
          <w:tcPr>
            <w:tcW w:w="2093" w:type="dxa"/>
            <w:tcBorders/>
            <w:shd w:fill="1DA46F" w:val="clear"/>
            <w:vAlign w:val="center"/>
          </w:tcPr>
          <w:p>
            <w:pPr>
              <w:pStyle w:val="TableContents"/>
              <w:spacing w:lineRule="atLeast" w:line="240" w:before="0" w:after="0"/>
              <w:rPr/>
            </w:pPr>
            <w:r>
              <w:rPr>
                <w:spacing w:val="0"/>
              </w:rPr>
              <w:t>Cash</w:t>
            </w:r>
            <w:r>
              <w:rPr/>
              <w:t xml:space="preserve"> </w:t>
            </w:r>
          </w:p>
        </w:tc>
        <w:tc>
          <w:tcPr>
            <w:tcW w:w="109" w:type="dxa"/>
            <w:tcBorders/>
            <w:shd w:fill="1DA46F" w:val="clear"/>
            <w:vAlign w:val="center"/>
          </w:tcPr>
          <w:p>
            <w:pPr>
              <w:pStyle w:val="TableContents"/>
              <w:spacing w:before="0" w:after="283"/>
              <w:rPr/>
            </w:pPr>
            <w:r>
              <w:rPr/>
              <w:t>​</w:t>
            </w:r>
          </w:p>
        </w:tc>
        <w:tc>
          <w:tcPr>
            <w:tcW w:w="109" w:type="dxa"/>
            <w:tcBorders/>
            <w:shd w:fill="1DA46F" w:val="clear"/>
            <w:vAlign w:val="center"/>
          </w:tcPr>
          <w:p>
            <w:pPr>
              <w:pStyle w:val="TableContents"/>
              <w:spacing w:before="0" w:after="283"/>
              <w:rPr/>
            </w:pPr>
            <w:r>
              <w:rPr/>
              <w:t>​</w:t>
            </w:r>
          </w:p>
        </w:tc>
        <w:tc>
          <w:tcPr>
            <w:tcW w:w="6655" w:type="dxa"/>
            <w:tcBorders/>
            <w:shd w:fill="1DA46F" w:val="clear"/>
            <w:tcMar>
              <w:top w:w="28" w:type="dxa"/>
              <w:left w:w="28" w:type="dxa"/>
              <w:bottom w:w="28" w:type="dxa"/>
              <w:right w:w="28" w:type="dxa"/>
            </w:tcMar>
            <w:vAlign w:val="center"/>
          </w:tcPr>
          <w:p>
            <w:pPr>
              <w:pStyle w:val="TableContents"/>
              <w:spacing w:before="0" w:after="283"/>
              <w:jc w:val="center"/>
              <w:rPr/>
            </w:pPr>
            <w:r>
              <w:rPr/>
              <w:t>​</w:t>
            </w:r>
          </w:p>
        </w:tc>
        <w:tc>
          <w:tcPr>
            <w:tcW w:w="155" w:type="dxa"/>
            <w:tcBorders/>
            <w:shd w:fill="1DA46F"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2093" w:type="dxa"/>
            <w:tcBorders/>
            <w:shd w:fill="auto" w:val="clear"/>
            <w:vAlign w:val="center"/>
          </w:tcPr>
          <w:p>
            <w:pPr>
              <w:pStyle w:val="TableContents"/>
              <w:spacing w:lineRule="atLeast" w:line="240" w:before="0" w:after="0"/>
              <w:rPr/>
            </w:pPr>
            <w:r>
              <w:rPr>
                <w:spacing w:val="0"/>
              </w:rPr>
              <w:t>Annual Retainer</w:t>
            </w:r>
            <w:r>
              <w:rPr/>
              <w:t xml:space="preserve"> </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6655" w:type="dxa"/>
            <w:tcBorders/>
            <w:shd w:fill="auto" w:val="clear"/>
            <w:tcMar>
              <w:top w:w="28" w:type="dxa"/>
              <w:left w:w="28" w:type="dxa"/>
              <w:bottom w:w="28" w:type="dxa"/>
              <w:right w:w="28" w:type="dxa"/>
            </w:tcMar>
            <w:vAlign w:val="center"/>
          </w:tcPr>
          <w:p>
            <w:pPr>
              <w:pStyle w:val="TableContents"/>
              <w:spacing w:before="0" w:after="283"/>
              <w:jc w:val="center"/>
              <w:rPr/>
            </w:pPr>
            <w:r>
              <w:rPr/>
              <w:t>​</w:t>
            </w:r>
          </w:p>
        </w:tc>
        <w:tc>
          <w:tcPr>
            <w:tcW w:w="155" w:type="dxa"/>
            <w:tcBorders/>
            <w:shd w:fill="auto"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2093" w:type="dxa"/>
            <w:tcBorders/>
            <w:shd w:fill="auto" w:val="clear"/>
            <w:vAlign w:val="center"/>
          </w:tcPr>
          <w:p>
            <w:pPr>
              <w:pStyle w:val="TableContents"/>
              <w:spacing w:lineRule="atLeast" w:line="240" w:before="0" w:after="0"/>
              <w:ind w:left="200" w:right="0" w:hanging="0"/>
              <w:rPr>
                <w:spacing w:val="-1"/>
              </w:rPr>
            </w:pPr>
            <w:r>
              <w:rPr>
                <w:spacing w:val="-1"/>
              </w:rPr>
              <w:t xml:space="preserve">Member Annual Retainer </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6655" w:type="dxa"/>
            <w:tcBorders/>
            <w:shd w:fill="auto" w:val="clear"/>
            <w:vAlign w:val="center"/>
          </w:tcPr>
          <w:p>
            <w:pPr>
              <w:pStyle w:val="TableContents"/>
              <w:spacing w:lineRule="atLeast" w:line="240" w:before="0" w:after="0"/>
              <w:jc w:val="center"/>
              <w:rPr>
                <w:spacing w:val="-1"/>
              </w:rPr>
            </w:pPr>
            <w:r>
              <w:rPr>
                <w:spacing w:val="-1"/>
              </w:rPr>
              <w:t xml:space="preserve">$35,000 </w:t>
            </w:r>
          </w:p>
        </w:tc>
        <w:tc>
          <w:tcPr>
            <w:tcW w:w="155" w:type="dxa"/>
            <w:tcBorders/>
            <w:shd w:fill="auto"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2093" w:type="dxa"/>
            <w:tcBorders/>
            <w:shd w:fill="auto" w:val="clear"/>
            <w:vAlign w:val="center"/>
          </w:tcPr>
          <w:p>
            <w:pPr>
              <w:pStyle w:val="TableContents"/>
              <w:spacing w:lineRule="atLeast" w:line="240" w:before="0" w:after="0"/>
              <w:ind w:left="200" w:right="0" w:hanging="0"/>
              <w:rPr>
                <w:spacing w:val="-1"/>
              </w:rPr>
            </w:pPr>
            <w:r>
              <w:rPr>
                <w:spacing w:val="-1"/>
              </w:rPr>
              <w:t xml:space="preserve">Chairperson Annual Retainer </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6655" w:type="dxa"/>
            <w:tcBorders/>
            <w:shd w:fill="auto" w:val="clear"/>
            <w:vAlign w:val="center"/>
          </w:tcPr>
          <w:p>
            <w:pPr>
              <w:pStyle w:val="TableContents"/>
              <w:spacing w:lineRule="atLeast" w:line="240" w:before="0" w:after="0"/>
              <w:jc w:val="center"/>
              <w:rPr>
                <w:spacing w:val="-1"/>
              </w:rPr>
            </w:pPr>
            <w:r>
              <w:rPr>
                <w:spacing w:val="-1"/>
              </w:rPr>
              <w:t xml:space="preserve">$30,000 </w:t>
            </w:r>
          </w:p>
        </w:tc>
        <w:tc>
          <w:tcPr>
            <w:tcW w:w="155" w:type="dxa"/>
            <w:tcBorders/>
            <w:shd w:fill="auto"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2093" w:type="dxa"/>
            <w:tcBorders/>
            <w:shd w:fill="auto" w:val="clear"/>
            <w:vAlign w:val="center"/>
          </w:tcPr>
          <w:p>
            <w:pPr>
              <w:pStyle w:val="TableContents"/>
              <w:spacing w:lineRule="atLeast" w:line="240" w:before="0" w:after="0"/>
              <w:rPr/>
            </w:pPr>
            <w:r>
              <w:rPr>
                <w:spacing w:val="0"/>
              </w:rPr>
              <w:t>Annual Committee Chair Retainer</w:t>
            </w:r>
            <w:r>
              <w:rPr/>
              <w:t xml:space="preserve"> </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6655" w:type="dxa"/>
            <w:tcBorders/>
            <w:shd w:fill="auto" w:val="clear"/>
            <w:tcMar>
              <w:top w:w="28" w:type="dxa"/>
              <w:left w:w="28" w:type="dxa"/>
              <w:bottom w:w="28" w:type="dxa"/>
              <w:right w:w="28" w:type="dxa"/>
            </w:tcMar>
            <w:vAlign w:val="center"/>
          </w:tcPr>
          <w:p>
            <w:pPr>
              <w:pStyle w:val="TableContents"/>
              <w:spacing w:before="0" w:after="283"/>
              <w:jc w:val="center"/>
              <w:rPr/>
            </w:pPr>
            <w:r>
              <w:rPr/>
              <w:t>​</w:t>
            </w:r>
          </w:p>
        </w:tc>
        <w:tc>
          <w:tcPr>
            <w:tcW w:w="155" w:type="dxa"/>
            <w:tcBorders/>
            <w:shd w:fill="auto"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2093" w:type="dxa"/>
            <w:tcBorders/>
            <w:shd w:fill="auto" w:val="clear"/>
            <w:vAlign w:val="center"/>
          </w:tcPr>
          <w:p>
            <w:pPr>
              <w:pStyle w:val="TableContents"/>
              <w:spacing w:lineRule="atLeast" w:line="240" w:before="0" w:after="0"/>
              <w:ind w:left="200" w:right="0" w:hanging="0"/>
              <w:rPr>
                <w:spacing w:val="-1"/>
              </w:rPr>
            </w:pPr>
            <w:r>
              <w:rPr>
                <w:spacing w:val="-1"/>
              </w:rPr>
              <w:t xml:space="preserve">Audit </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6655" w:type="dxa"/>
            <w:tcBorders/>
            <w:shd w:fill="auto" w:val="clear"/>
            <w:vAlign w:val="center"/>
          </w:tcPr>
          <w:p>
            <w:pPr>
              <w:pStyle w:val="TableContents"/>
              <w:spacing w:lineRule="atLeast" w:line="240" w:before="0" w:after="0"/>
              <w:jc w:val="center"/>
              <w:rPr>
                <w:spacing w:val="-1"/>
              </w:rPr>
            </w:pPr>
            <w:r>
              <w:rPr>
                <w:spacing w:val="-1"/>
              </w:rPr>
              <w:t xml:space="preserve">$15,000 </w:t>
            </w:r>
          </w:p>
        </w:tc>
        <w:tc>
          <w:tcPr>
            <w:tcW w:w="155" w:type="dxa"/>
            <w:tcBorders/>
            <w:shd w:fill="auto"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2093" w:type="dxa"/>
            <w:tcBorders/>
            <w:shd w:fill="auto" w:val="clear"/>
            <w:vAlign w:val="center"/>
          </w:tcPr>
          <w:p>
            <w:pPr>
              <w:pStyle w:val="TableContents"/>
              <w:spacing w:lineRule="atLeast" w:line="240" w:before="0" w:after="0"/>
              <w:ind w:left="200" w:right="0" w:hanging="0"/>
              <w:rPr>
                <w:spacing w:val="-1"/>
              </w:rPr>
            </w:pPr>
            <w:r>
              <w:rPr>
                <w:spacing w:val="-1"/>
              </w:rPr>
              <w:t xml:space="preserve">Compensation </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6655" w:type="dxa"/>
            <w:tcBorders/>
            <w:shd w:fill="auto" w:val="clear"/>
            <w:vAlign w:val="center"/>
          </w:tcPr>
          <w:p>
            <w:pPr>
              <w:pStyle w:val="TableContents"/>
              <w:spacing w:lineRule="atLeast" w:line="240" w:before="0" w:after="0"/>
              <w:jc w:val="center"/>
              <w:rPr>
                <w:spacing w:val="-1"/>
              </w:rPr>
            </w:pPr>
            <w:r>
              <w:rPr>
                <w:spacing w:val="-1"/>
              </w:rPr>
              <w:t xml:space="preserve">$10,000 </w:t>
            </w:r>
          </w:p>
        </w:tc>
        <w:tc>
          <w:tcPr>
            <w:tcW w:w="155" w:type="dxa"/>
            <w:tcBorders/>
            <w:shd w:fill="auto"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2093" w:type="dxa"/>
            <w:tcBorders/>
            <w:shd w:fill="auto" w:val="clear"/>
            <w:vAlign w:val="center"/>
          </w:tcPr>
          <w:p>
            <w:pPr>
              <w:pStyle w:val="TableContents"/>
              <w:spacing w:lineRule="atLeast" w:line="240" w:before="0" w:after="0"/>
              <w:ind w:left="200" w:right="0" w:hanging="0"/>
              <w:rPr>
                <w:spacing w:val="-1"/>
              </w:rPr>
            </w:pPr>
            <w:r>
              <w:rPr>
                <w:spacing w:val="-1"/>
              </w:rPr>
              <w:t xml:space="preserve">Nominating and Corporate Governance </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6655" w:type="dxa"/>
            <w:tcBorders/>
            <w:shd w:fill="auto" w:val="clear"/>
            <w:vAlign w:val="center"/>
          </w:tcPr>
          <w:p>
            <w:pPr>
              <w:pStyle w:val="TableContents"/>
              <w:spacing w:lineRule="atLeast" w:line="240" w:before="0" w:after="0"/>
              <w:jc w:val="center"/>
              <w:rPr>
                <w:spacing w:val="-1"/>
              </w:rPr>
            </w:pPr>
            <w:r>
              <w:rPr>
                <w:spacing w:val="-1"/>
              </w:rPr>
              <w:t xml:space="preserve">$8,000 </w:t>
            </w:r>
          </w:p>
        </w:tc>
        <w:tc>
          <w:tcPr>
            <w:tcW w:w="155" w:type="dxa"/>
            <w:tcBorders/>
            <w:shd w:fill="auto"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2093" w:type="dxa"/>
            <w:tcBorders/>
            <w:shd w:fill="auto" w:val="clear"/>
            <w:vAlign w:val="center"/>
          </w:tcPr>
          <w:p>
            <w:pPr>
              <w:pStyle w:val="TableContents"/>
              <w:spacing w:lineRule="atLeast" w:line="240" w:before="0" w:after="0"/>
              <w:rPr/>
            </w:pPr>
            <w:r>
              <w:rPr>
                <w:spacing w:val="0"/>
              </w:rPr>
              <w:t>Annual Committee Member Retainer</w:t>
            </w:r>
            <w:r>
              <w:rPr/>
              <w:t xml:space="preserve"> </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6655" w:type="dxa"/>
            <w:tcBorders/>
            <w:shd w:fill="auto" w:val="clear"/>
            <w:tcMar>
              <w:top w:w="28" w:type="dxa"/>
              <w:left w:w="28" w:type="dxa"/>
              <w:bottom w:w="28" w:type="dxa"/>
              <w:right w:w="28" w:type="dxa"/>
            </w:tcMar>
            <w:vAlign w:val="center"/>
          </w:tcPr>
          <w:p>
            <w:pPr>
              <w:pStyle w:val="TableContents"/>
              <w:spacing w:before="0" w:after="283"/>
              <w:jc w:val="center"/>
              <w:rPr/>
            </w:pPr>
            <w:r>
              <w:rPr/>
              <w:t>​</w:t>
            </w:r>
          </w:p>
        </w:tc>
        <w:tc>
          <w:tcPr>
            <w:tcW w:w="155" w:type="dxa"/>
            <w:tcBorders/>
            <w:shd w:fill="auto"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2093" w:type="dxa"/>
            <w:tcBorders/>
            <w:shd w:fill="auto" w:val="clear"/>
            <w:vAlign w:val="center"/>
          </w:tcPr>
          <w:p>
            <w:pPr>
              <w:pStyle w:val="TableContents"/>
              <w:spacing w:lineRule="atLeast" w:line="240" w:before="0" w:after="0"/>
              <w:ind w:left="200" w:right="0" w:hanging="0"/>
              <w:rPr>
                <w:spacing w:val="-1"/>
              </w:rPr>
            </w:pPr>
            <w:r>
              <w:rPr>
                <w:spacing w:val="-1"/>
              </w:rPr>
              <w:t xml:space="preserve">Audit </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6655" w:type="dxa"/>
            <w:tcBorders/>
            <w:shd w:fill="auto" w:val="clear"/>
            <w:vAlign w:val="center"/>
          </w:tcPr>
          <w:p>
            <w:pPr>
              <w:pStyle w:val="TableContents"/>
              <w:spacing w:lineRule="atLeast" w:line="240" w:before="0" w:after="0"/>
              <w:jc w:val="center"/>
              <w:rPr>
                <w:spacing w:val="-1"/>
              </w:rPr>
            </w:pPr>
            <w:r>
              <w:rPr>
                <w:spacing w:val="-1"/>
              </w:rPr>
              <w:t xml:space="preserve">$7,500 </w:t>
            </w:r>
          </w:p>
        </w:tc>
        <w:tc>
          <w:tcPr>
            <w:tcW w:w="155" w:type="dxa"/>
            <w:tcBorders/>
            <w:shd w:fill="auto"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2093" w:type="dxa"/>
            <w:tcBorders/>
            <w:shd w:fill="auto" w:val="clear"/>
            <w:vAlign w:val="center"/>
          </w:tcPr>
          <w:p>
            <w:pPr>
              <w:pStyle w:val="TableContents"/>
              <w:spacing w:lineRule="atLeast" w:line="240" w:before="0" w:after="0"/>
              <w:ind w:left="200" w:right="0" w:hanging="0"/>
              <w:rPr>
                <w:spacing w:val="-1"/>
              </w:rPr>
            </w:pPr>
            <w:r>
              <w:rPr>
                <w:spacing w:val="-1"/>
              </w:rPr>
              <w:t xml:space="preserve">Compensation </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6655" w:type="dxa"/>
            <w:tcBorders/>
            <w:shd w:fill="auto" w:val="clear"/>
            <w:vAlign w:val="center"/>
          </w:tcPr>
          <w:p>
            <w:pPr>
              <w:pStyle w:val="TableContents"/>
              <w:spacing w:lineRule="atLeast" w:line="240" w:before="0" w:after="0"/>
              <w:jc w:val="center"/>
              <w:rPr>
                <w:spacing w:val="-1"/>
              </w:rPr>
            </w:pPr>
            <w:r>
              <w:rPr>
                <w:spacing w:val="-1"/>
              </w:rPr>
              <w:t xml:space="preserve">$5,000 </w:t>
            </w:r>
          </w:p>
        </w:tc>
        <w:tc>
          <w:tcPr>
            <w:tcW w:w="155" w:type="dxa"/>
            <w:tcBorders/>
            <w:shd w:fill="auto"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2093" w:type="dxa"/>
            <w:tcBorders/>
            <w:shd w:fill="auto" w:val="clear"/>
            <w:vAlign w:val="center"/>
          </w:tcPr>
          <w:p>
            <w:pPr>
              <w:pStyle w:val="TableContents"/>
              <w:spacing w:lineRule="atLeast" w:line="240" w:before="0" w:after="0"/>
              <w:ind w:left="200" w:right="0" w:hanging="0"/>
              <w:rPr>
                <w:spacing w:val="-1"/>
              </w:rPr>
            </w:pPr>
            <w:r>
              <w:rPr>
                <w:spacing w:val="-1"/>
              </w:rPr>
              <w:t xml:space="preserve">Nominating and Corporate Governance </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6655" w:type="dxa"/>
            <w:tcBorders/>
            <w:shd w:fill="auto" w:val="clear"/>
            <w:vAlign w:val="center"/>
          </w:tcPr>
          <w:p>
            <w:pPr>
              <w:pStyle w:val="TableContents"/>
              <w:spacing w:lineRule="atLeast" w:line="240" w:before="0" w:after="0"/>
              <w:jc w:val="center"/>
              <w:rPr>
                <w:spacing w:val="-1"/>
              </w:rPr>
            </w:pPr>
            <w:r>
              <w:rPr>
                <w:spacing w:val="-1"/>
              </w:rPr>
              <w:t xml:space="preserve">$4,000 </w:t>
            </w:r>
          </w:p>
        </w:tc>
        <w:tc>
          <w:tcPr>
            <w:tcW w:w="155" w:type="dxa"/>
            <w:tcBorders/>
            <w:shd w:fill="auto" w:val="clear"/>
            <w:vAlign w:val="center"/>
          </w:tcPr>
          <w:p>
            <w:pPr>
              <w:pStyle w:val="TableContents"/>
              <w:spacing w:before="0" w:after="283"/>
              <w:rPr/>
            </w:pPr>
            <w:r>
              <w:rPr/>
              <w:t>​</w:t>
            </w:r>
          </w:p>
        </w:tc>
      </w:tr>
      <w:tr>
        <w:trPr/>
        <w:tc>
          <w:tcPr>
            <w:tcW w:w="124" w:type="dxa"/>
            <w:tcBorders/>
            <w:shd w:fill="1DA46F" w:val="clear"/>
            <w:vAlign w:val="center"/>
          </w:tcPr>
          <w:p>
            <w:pPr>
              <w:pStyle w:val="TableContents"/>
              <w:spacing w:before="0" w:after="283"/>
              <w:rPr/>
            </w:pPr>
            <w:r>
              <w:rPr/>
              <w:t>​</w:t>
            </w:r>
          </w:p>
        </w:tc>
        <w:tc>
          <w:tcPr>
            <w:tcW w:w="2093" w:type="dxa"/>
            <w:tcBorders/>
            <w:shd w:fill="1DA46F" w:val="clear"/>
            <w:vAlign w:val="center"/>
          </w:tcPr>
          <w:p>
            <w:pPr>
              <w:pStyle w:val="TableContents"/>
              <w:spacing w:lineRule="atLeast" w:line="240" w:before="0" w:after="0"/>
              <w:rPr/>
            </w:pPr>
            <w:r>
              <w:rPr>
                <w:spacing w:val="0"/>
              </w:rPr>
              <w:t>Equity</w:t>
            </w:r>
            <w:r>
              <w:rPr/>
              <w:t xml:space="preserve"> </w:t>
            </w:r>
          </w:p>
        </w:tc>
        <w:tc>
          <w:tcPr>
            <w:tcW w:w="109" w:type="dxa"/>
            <w:tcBorders/>
            <w:shd w:fill="1DA46F" w:val="clear"/>
            <w:vAlign w:val="center"/>
          </w:tcPr>
          <w:p>
            <w:pPr>
              <w:pStyle w:val="TableContents"/>
              <w:spacing w:before="0" w:after="283"/>
              <w:rPr/>
            </w:pPr>
            <w:r>
              <w:rPr/>
              <w:t>​</w:t>
            </w:r>
          </w:p>
        </w:tc>
        <w:tc>
          <w:tcPr>
            <w:tcW w:w="109" w:type="dxa"/>
            <w:tcBorders/>
            <w:shd w:fill="1DA46F" w:val="clear"/>
            <w:vAlign w:val="center"/>
          </w:tcPr>
          <w:p>
            <w:pPr>
              <w:pStyle w:val="TableContents"/>
              <w:spacing w:before="0" w:after="283"/>
              <w:rPr/>
            </w:pPr>
            <w:r>
              <w:rPr/>
              <w:t>​</w:t>
            </w:r>
          </w:p>
        </w:tc>
        <w:tc>
          <w:tcPr>
            <w:tcW w:w="6655" w:type="dxa"/>
            <w:tcBorders/>
            <w:shd w:fill="1DA46F" w:val="clear"/>
            <w:tcMar>
              <w:top w:w="28" w:type="dxa"/>
              <w:left w:w="28" w:type="dxa"/>
              <w:bottom w:w="28" w:type="dxa"/>
              <w:right w:w="28" w:type="dxa"/>
            </w:tcMar>
            <w:vAlign w:val="center"/>
          </w:tcPr>
          <w:p>
            <w:pPr>
              <w:pStyle w:val="TableContents"/>
              <w:spacing w:before="0" w:after="283"/>
              <w:jc w:val="center"/>
              <w:rPr/>
            </w:pPr>
            <w:r>
              <w:rPr/>
              <w:t>​</w:t>
            </w:r>
          </w:p>
        </w:tc>
        <w:tc>
          <w:tcPr>
            <w:tcW w:w="155" w:type="dxa"/>
            <w:tcBorders/>
            <w:shd w:fill="1DA46F"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2093" w:type="dxa"/>
            <w:tcBorders/>
            <w:shd w:fill="auto" w:val="clear"/>
            <w:tcMar>
              <w:top w:w="28" w:type="dxa"/>
              <w:left w:w="28" w:type="dxa"/>
              <w:bottom w:w="28" w:type="dxa"/>
              <w:right w:w="28" w:type="dxa"/>
            </w:tcMar>
            <w:vAlign w:val="center"/>
          </w:tcPr>
          <w:p>
            <w:pPr>
              <w:pStyle w:val="TableContents"/>
              <w:spacing w:before="0" w:after="0"/>
              <w:ind w:left="200" w:right="0" w:hanging="0"/>
              <w:rPr>
                <w:b/>
              </w:rPr>
            </w:pPr>
            <w:r>
              <w:rPr>
                <w:b/>
                <w:spacing w:val="0"/>
              </w:rPr>
              <w:t>Initial Equity Grant</w:t>
            </w:r>
            <w:r>
              <w:rPr>
                <w:b/>
              </w:rPr>
              <w:t xml:space="preserve"> </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6655" w:type="dxa"/>
            <w:tcBorders/>
            <w:shd w:fill="auto" w:val="clear"/>
            <w:vAlign w:val="center"/>
          </w:tcPr>
          <w:p>
            <w:pPr>
              <w:pStyle w:val="TableContents"/>
              <w:spacing w:before="0" w:after="0"/>
              <w:jc w:val="both"/>
              <w:rPr>
                <w:spacing w:val="-1"/>
              </w:rPr>
            </w:pPr>
            <w:r>
              <w:rPr>
                <w:spacing w:val="-1"/>
              </w:rPr>
              <w:t xml:space="preserve">Option to purchase 39,744 shares of common stock, made to directors at the commencement of their director service, vesting monthly over a period of 36 months, subject generally to continued service with the Company </w:t>
            </w:r>
          </w:p>
        </w:tc>
        <w:tc>
          <w:tcPr>
            <w:tcW w:w="155" w:type="dxa"/>
            <w:tcBorders/>
            <w:shd w:fill="auto"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2093" w:type="dxa"/>
            <w:tcBorders/>
            <w:shd w:fill="auto" w:val="clear"/>
            <w:tcMar>
              <w:top w:w="28" w:type="dxa"/>
              <w:left w:w="28" w:type="dxa"/>
              <w:bottom w:w="28" w:type="dxa"/>
              <w:right w:w="28" w:type="dxa"/>
            </w:tcMar>
            <w:vAlign w:val="center"/>
          </w:tcPr>
          <w:p>
            <w:pPr>
              <w:pStyle w:val="TableContents"/>
              <w:spacing w:before="0" w:after="0"/>
              <w:ind w:left="200" w:right="200" w:hanging="0"/>
              <w:rPr>
                <w:b/>
              </w:rPr>
            </w:pPr>
            <w:r>
              <w:rPr>
                <w:b/>
                <w:spacing w:val="0"/>
              </w:rPr>
              <w:t>Annual Equity Retainer</w:t>
            </w:r>
            <w:r>
              <w:rPr>
                <w:b/>
              </w:rPr>
              <w:t xml:space="preserve"> </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6655" w:type="dxa"/>
            <w:tcBorders/>
            <w:shd w:fill="auto" w:val="clear"/>
            <w:vAlign w:val="center"/>
          </w:tcPr>
          <w:p>
            <w:pPr>
              <w:pStyle w:val="TableContents"/>
              <w:spacing w:before="0" w:after="0"/>
              <w:ind w:left="0" w:right="200" w:hanging="0"/>
              <w:jc w:val="both"/>
              <w:rPr/>
            </w:pPr>
            <w:r>
              <w:rPr>
                <w:spacing w:val="-1"/>
              </w:rPr>
              <w:t>Option to purchase 19,872 shares of common stock, vesting in full on the sooner of the first anniversary of the date of grant or the next annual shareholder meeting, subject generally to continued service with the Company</w:t>
            </w:r>
            <w:r>
              <w:rPr/>
              <w:t xml:space="preserve"> </w:t>
            </w:r>
          </w:p>
        </w:tc>
        <w:tc>
          <w:tcPr>
            <w:tcW w:w="155" w:type="dxa"/>
            <w:tcBorders/>
            <w:shd w:fill="auto" w:val="clear"/>
            <w:vAlign w:val="center"/>
          </w:tcPr>
          <w:p>
            <w:pPr>
              <w:pStyle w:val="TableContents"/>
              <w:spacing w:before="0" w:after="283"/>
              <w:rPr/>
            </w:pPr>
            <w:r>
              <w:rPr/>
              <w:t>​</w:t>
            </w:r>
          </w:p>
        </w:tc>
      </w:tr>
    </w:tbl>
    <w:p>
      <w:pPr>
        <w:pStyle w:val="TextBody"/>
        <w:spacing w:lineRule="atLeast" w:line="240" w:before="160" w:after="283"/>
        <w:ind w:left="960" w:right="0" w:hanging="0"/>
        <w:jc w:val="both"/>
        <w:rPr>
          <w:rFonts w:ascii="Arial;Helvetica;sans-serif" w:hAnsi="Arial;Helvetica;sans-serif"/>
          <w:b w:val="false"/>
          <w:i w:val="false"/>
          <w:caps w:val="false"/>
          <w:smallCaps w:val="false"/>
          <w:color w:val="000000"/>
          <w:spacing w:val="-1"/>
          <w:sz w:val="20"/>
        </w:rPr>
      </w:pPr>
      <w:r>
        <w:rPr>
          <w:rFonts w:ascii="Arial;Helvetica;sans-serif" w:hAnsi="Arial;Helvetica;sans-serif"/>
          <w:b w:val="false"/>
          <w:i w:val="false"/>
          <w:caps w:val="false"/>
          <w:smallCaps w:val="false"/>
          <w:color w:val="000000"/>
          <w:spacing w:val="-1"/>
          <w:sz w:val="20"/>
        </w:rPr>
        <w:t xml:space="preserve">In 2023, after careful review and consideration of a market competitiveness analysis prepared by our independent compensation consultant, we amended our non-employee director compensation policy, the material terms of which are summarized in the table below: </w:t>
      </w:r>
    </w:p>
    <w:p>
      <w:pPr>
        <w:pStyle w:val="TextBody"/>
        <w:spacing w:lineRule="atLeast" w:line="240" w:before="100" w:after="283"/>
        <w:ind w:left="960" w:right="0" w:hanging="0"/>
        <w:jc w:val="righ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1DA46F"/>
          <w:spacing w:val="0"/>
          <w:sz w:val="20"/>
        </w:rPr>
        <w:t>Notice of Annual Meeting of Stockholders</w:t>
      </w:r>
      <w:r>
        <w:rPr>
          <w:rFonts w:ascii="Arial;Helvetica;sans-serif" w:hAnsi="Arial;Helvetica;sans-serif"/>
          <w:b/>
          <w:i w:val="false"/>
          <w:caps w:val="false"/>
          <w:smallCaps w:val="false"/>
          <w:color w:val="000000"/>
          <w:spacing w:val="0"/>
          <w:sz w:val="20"/>
        </w:rPr>
        <w:t> and 2023 Proxy Statement | </w:t>
      </w:r>
      <w:r>
        <w:rPr>
          <w:rFonts w:ascii="Arial;Helvetica;sans-serif" w:hAnsi="Arial;Helvetica;sans-serif"/>
          <w:b w:val="false"/>
          <w:i w:val="false"/>
          <w:caps w:val="false"/>
          <w:smallCaps w:val="false"/>
          <w:color w:val="000000"/>
          <w:spacing w:val="-1"/>
          <w:sz w:val="20"/>
        </w:rPr>
        <w:t>17</w:t>
      </w:r>
      <w:r>
        <w:rPr>
          <w:rFonts w:ascii="Arial;Helvetica;sans-serif" w:hAnsi="Arial;Helvetica;sans-serif"/>
          <w:b/>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40" w:name="tDCT"/>
      <w:bookmarkEnd w:id="40"/>
      <w:r>
        <w:rPr>
          <w:rFonts w:ascii="calibri;arial;sans-serif" w:hAnsi="calibri;arial;sans-serif"/>
          <w:b w:val="false"/>
          <w:i w:val="false"/>
          <w:caps w:val="false"/>
          <w:smallCaps w:val="false"/>
          <w:color w:val="000000"/>
          <w:sz w:val="16"/>
        </w:rPr>
        <w:t xml:space="preserve">​ </w:t>
      </w:r>
    </w:p>
    <w:tbl>
      <w:tblPr>
        <w:tblW w:w="3564" w:type="dxa"/>
        <w:jc w:val="left"/>
        <w:tblInd w:w="960" w:type="dxa"/>
        <w:tblCellMar>
          <w:top w:w="0" w:type="dxa"/>
          <w:left w:w="0" w:type="dxa"/>
          <w:bottom w:w="0" w:type="dxa"/>
          <w:right w:w="0" w:type="dxa"/>
        </w:tblCellMar>
      </w:tblPr>
      <w:tblGrid>
        <w:gridCol w:w="124"/>
        <w:gridCol w:w="3286"/>
        <w:gridCol w:w="154"/>
      </w:tblGrid>
      <w:tr>
        <w:trPr/>
        <w:tc>
          <w:tcPr>
            <w:tcW w:w="124" w:type="dxa"/>
            <w:tcBorders/>
            <w:shd w:fill="1DA46F" w:val="clear"/>
            <w:vAlign w:val="center"/>
          </w:tcPr>
          <w:p>
            <w:pPr>
              <w:pStyle w:val="TableContents"/>
              <w:spacing w:before="0" w:after="283"/>
              <w:rPr/>
            </w:pPr>
            <w:r>
              <w:rPr/>
              <w:t>​</w:t>
            </w:r>
          </w:p>
        </w:tc>
        <w:tc>
          <w:tcPr>
            <w:tcW w:w="3286" w:type="dxa"/>
            <w:tcBorders/>
            <w:shd w:fill="1DA46F" w:val="clear"/>
            <w:vAlign w:val="center"/>
          </w:tcPr>
          <w:p>
            <w:pPr>
              <w:pStyle w:val="TableContents"/>
              <w:spacing w:lineRule="atLeast" w:line="360" w:before="0" w:after="0"/>
              <w:rPr/>
            </w:pPr>
            <w:r>
              <w:rPr>
                <w:spacing w:val="-5"/>
              </w:rPr>
              <w:t>DIRECTOR COMPENSATION</w:t>
            </w:r>
            <w:r>
              <w:rPr/>
              <w:t xml:space="preserve"> </w:t>
            </w:r>
          </w:p>
        </w:tc>
        <w:tc>
          <w:tcPr>
            <w:tcW w:w="154" w:type="dxa"/>
            <w:tcBorders/>
            <w:shd w:fill="1DA46F" w:val="clear"/>
            <w:vAlign w:val="center"/>
          </w:tcPr>
          <w:p>
            <w:pPr>
              <w:pStyle w:val="TableContents"/>
              <w:spacing w:before="0" w:after="283"/>
              <w:rPr/>
            </w:pPr>
            <w:r>
              <w:rPr/>
              <w:t>​</w:t>
            </w:r>
          </w:p>
        </w:tc>
      </w:tr>
    </w:tbl>
    <w:tbl>
      <w:tblPr>
        <w:tblW w:w="9245" w:type="dxa"/>
        <w:jc w:val="left"/>
        <w:tblInd w:w="960" w:type="dxa"/>
        <w:tblCellMar>
          <w:top w:w="0" w:type="dxa"/>
          <w:left w:w="0" w:type="dxa"/>
          <w:bottom w:w="0" w:type="dxa"/>
          <w:right w:w="0" w:type="dxa"/>
        </w:tblCellMar>
      </w:tblPr>
      <w:tblGrid>
        <w:gridCol w:w="124"/>
        <w:gridCol w:w="2093"/>
        <w:gridCol w:w="109"/>
        <w:gridCol w:w="109"/>
        <w:gridCol w:w="6655"/>
        <w:gridCol w:w="155"/>
      </w:tblGrid>
      <w:tr>
        <w:trPr/>
        <w:tc>
          <w:tcPr>
            <w:tcW w:w="124" w:type="dxa"/>
            <w:tcBorders/>
            <w:shd w:fill="148CD9" w:val="clear"/>
            <w:vAlign w:val="center"/>
          </w:tcPr>
          <w:p>
            <w:pPr>
              <w:pStyle w:val="TableContents"/>
              <w:spacing w:before="0" w:after="283"/>
              <w:rPr/>
            </w:pPr>
            <w:r>
              <w:rPr/>
              <w:t>​</w:t>
            </w:r>
          </w:p>
        </w:tc>
        <w:tc>
          <w:tcPr>
            <w:tcW w:w="8966" w:type="dxa"/>
            <w:gridSpan w:val="4"/>
            <w:tcBorders/>
            <w:shd w:fill="148CD9" w:val="clear"/>
            <w:vAlign w:val="center"/>
          </w:tcPr>
          <w:p>
            <w:pPr>
              <w:pStyle w:val="TableContents"/>
              <w:spacing w:before="0" w:after="0"/>
              <w:jc w:val="center"/>
              <w:rPr/>
            </w:pPr>
            <w:r>
              <w:rPr>
                <w:caps/>
                <w:spacing w:val="-3"/>
              </w:rPr>
              <w:t>COMPENSATION ELEMENTS — NON-EMPLOYEE DIRECTOR COMPENSATION POLICY</w:t>
            </w:r>
            <w:r>
              <w:rPr/>
              <w:t xml:space="preserve"> </w:t>
            </w:r>
          </w:p>
        </w:tc>
        <w:tc>
          <w:tcPr>
            <w:tcW w:w="155" w:type="dxa"/>
            <w:tcBorders/>
            <w:shd w:fill="148CD9" w:val="clear"/>
            <w:vAlign w:val="center"/>
          </w:tcPr>
          <w:p>
            <w:pPr>
              <w:pStyle w:val="TableContents"/>
              <w:spacing w:before="0" w:after="283"/>
              <w:rPr/>
            </w:pPr>
            <w:r>
              <w:rPr/>
              <w:t>​</w:t>
            </w:r>
          </w:p>
        </w:tc>
      </w:tr>
      <w:tr>
        <w:trPr/>
        <w:tc>
          <w:tcPr>
            <w:tcW w:w="124" w:type="dxa"/>
            <w:tcBorders/>
            <w:shd w:fill="1DA46F" w:val="clear"/>
            <w:vAlign w:val="center"/>
          </w:tcPr>
          <w:p>
            <w:pPr>
              <w:pStyle w:val="TableContents"/>
              <w:spacing w:before="0" w:after="283"/>
              <w:rPr/>
            </w:pPr>
            <w:r>
              <w:rPr/>
              <w:t>​</w:t>
            </w:r>
          </w:p>
        </w:tc>
        <w:tc>
          <w:tcPr>
            <w:tcW w:w="2093" w:type="dxa"/>
            <w:tcBorders/>
            <w:shd w:fill="1DA46F" w:val="clear"/>
            <w:vAlign w:val="center"/>
          </w:tcPr>
          <w:p>
            <w:pPr>
              <w:pStyle w:val="TableContents"/>
              <w:spacing w:lineRule="atLeast" w:line="240" w:before="0" w:after="0"/>
              <w:rPr/>
            </w:pPr>
            <w:r>
              <w:rPr>
                <w:spacing w:val="0"/>
              </w:rPr>
              <w:t>Cash</w:t>
            </w:r>
            <w:r>
              <w:rPr/>
              <w:t xml:space="preserve"> </w:t>
            </w:r>
          </w:p>
        </w:tc>
        <w:tc>
          <w:tcPr>
            <w:tcW w:w="109" w:type="dxa"/>
            <w:tcBorders/>
            <w:shd w:fill="1DA46F" w:val="clear"/>
            <w:vAlign w:val="center"/>
          </w:tcPr>
          <w:p>
            <w:pPr>
              <w:pStyle w:val="TableContents"/>
              <w:spacing w:before="0" w:after="283"/>
              <w:rPr/>
            </w:pPr>
            <w:r>
              <w:rPr/>
              <w:t>​</w:t>
            </w:r>
          </w:p>
        </w:tc>
        <w:tc>
          <w:tcPr>
            <w:tcW w:w="109" w:type="dxa"/>
            <w:tcBorders/>
            <w:shd w:fill="1DA46F" w:val="clear"/>
            <w:vAlign w:val="center"/>
          </w:tcPr>
          <w:p>
            <w:pPr>
              <w:pStyle w:val="TableContents"/>
              <w:spacing w:before="0" w:after="283"/>
              <w:rPr/>
            </w:pPr>
            <w:r>
              <w:rPr/>
              <w:t>​</w:t>
            </w:r>
          </w:p>
        </w:tc>
        <w:tc>
          <w:tcPr>
            <w:tcW w:w="6655" w:type="dxa"/>
            <w:tcBorders/>
            <w:shd w:fill="1DA46F" w:val="clear"/>
            <w:tcMar>
              <w:top w:w="28" w:type="dxa"/>
              <w:left w:w="28" w:type="dxa"/>
              <w:bottom w:w="28" w:type="dxa"/>
              <w:right w:w="28" w:type="dxa"/>
            </w:tcMar>
            <w:vAlign w:val="center"/>
          </w:tcPr>
          <w:p>
            <w:pPr>
              <w:pStyle w:val="TableContents"/>
              <w:spacing w:before="0" w:after="283"/>
              <w:jc w:val="center"/>
              <w:rPr/>
            </w:pPr>
            <w:r>
              <w:rPr/>
              <w:t>​</w:t>
            </w:r>
          </w:p>
        </w:tc>
        <w:tc>
          <w:tcPr>
            <w:tcW w:w="155" w:type="dxa"/>
            <w:tcBorders/>
            <w:shd w:fill="1DA46F"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2093" w:type="dxa"/>
            <w:tcBorders/>
            <w:shd w:fill="auto" w:val="clear"/>
            <w:vAlign w:val="center"/>
          </w:tcPr>
          <w:p>
            <w:pPr>
              <w:pStyle w:val="TableContents"/>
              <w:spacing w:lineRule="atLeast" w:line="240" w:before="0" w:after="0"/>
              <w:rPr/>
            </w:pPr>
            <w:r>
              <w:rPr>
                <w:spacing w:val="0"/>
              </w:rPr>
              <w:t>Annual Retainer</w:t>
            </w:r>
            <w:r>
              <w:rPr/>
              <w:t xml:space="preserve"> </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6655" w:type="dxa"/>
            <w:tcBorders/>
            <w:shd w:fill="auto" w:val="clear"/>
            <w:tcMar>
              <w:top w:w="28" w:type="dxa"/>
              <w:left w:w="28" w:type="dxa"/>
              <w:bottom w:w="28" w:type="dxa"/>
              <w:right w:w="28" w:type="dxa"/>
            </w:tcMar>
            <w:vAlign w:val="center"/>
          </w:tcPr>
          <w:p>
            <w:pPr>
              <w:pStyle w:val="TableContents"/>
              <w:spacing w:before="0" w:after="283"/>
              <w:jc w:val="center"/>
              <w:rPr/>
            </w:pPr>
            <w:r>
              <w:rPr/>
              <w:t>​</w:t>
            </w:r>
          </w:p>
        </w:tc>
        <w:tc>
          <w:tcPr>
            <w:tcW w:w="155" w:type="dxa"/>
            <w:tcBorders/>
            <w:shd w:fill="auto"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2093" w:type="dxa"/>
            <w:tcBorders/>
            <w:shd w:fill="auto" w:val="clear"/>
            <w:vAlign w:val="center"/>
          </w:tcPr>
          <w:p>
            <w:pPr>
              <w:pStyle w:val="TableContents"/>
              <w:spacing w:lineRule="atLeast" w:line="240" w:before="0" w:after="0"/>
              <w:ind w:left="200" w:right="0" w:hanging="0"/>
              <w:rPr>
                <w:spacing w:val="-1"/>
              </w:rPr>
            </w:pPr>
            <w:r>
              <w:rPr>
                <w:spacing w:val="-1"/>
              </w:rPr>
              <w:t xml:space="preserve">Member Annual Retainer </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6655" w:type="dxa"/>
            <w:tcBorders/>
            <w:shd w:fill="auto" w:val="clear"/>
            <w:vAlign w:val="center"/>
          </w:tcPr>
          <w:p>
            <w:pPr>
              <w:pStyle w:val="TableContents"/>
              <w:spacing w:lineRule="atLeast" w:line="240" w:before="0" w:after="0"/>
              <w:jc w:val="center"/>
              <w:rPr>
                <w:spacing w:val="-1"/>
              </w:rPr>
            </w:pPr>
            <w:r>
              <w:rPr>
                <w:spacing w:val="-1"/>
              </w:rPr>
              <w:t xml:space="preserve">$40,000 </w:t>
            </w:r>
          </w:p>
        </w:tc>
        <w:tc>
          <w:tcPr>
            <w:tcW w:w="155" w:type="dxa"/>
            <w:tcBorders/>
            <w:shd w:fill="auto"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2093" w:type="dxa"/>
            <w:tcBorders/>
            <w:shd w:fill="auto" w:val="clear"/>
            <w:vAlign w:val="center"/>
          </w:tcPr>
          <w:p>
            <w:pPr>
              <w:pStyle w:val="TableContents"/>
              <w:spacing w:lineRule="atLeast" w:line="240" w:before="0" w:after="0"/>
              <w:ind w:left="200" w:right="0" w:hanging="0"/>
              <w:rPr>
                <w:spacing w:val="-1"/>
              </w:rPr>
            </w:pPr>
            <w:r>
              <w:rPr>
                <w:spacing w:val="-1"/>
              </w:rPr>
              <w:t xml:space="preserve">Chairperson Annual Retainer </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6655" w:type="dxa"/>
            <w:tcBorders/>
            <w:shd w:fill="auto" w:val="clear"/>
            <w:vAlign w:val="center"/>
          </w:tcPr>
          <w:p>
            <w:pPr>
              <w:pStyle w:val="TableContents"/>
              <w:spacing w:lineRule="atLeast" w:line="240" w:before="0" w:after="0"/>
              <w:jc w:val="center"/>
              <w:rPr>
                <w:spacing w:val="-1"/>
              </w:rPr>
            </w:pPr>
            <w:r>
              <w:rPr>
                <w:spacing w:val="-1"/>
              </w:rPr>
              <w:t xml:space="preserve">$30,000 </w:t>
            </w:r>
          </w:p>
        </w:tc>
        <w:tc>
          <w:tcPr>
            <w:tcW w:w="155" w:type="dxa"/>
            <w:tcBorders/>
            <w:shd w:fill="auto"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2093" w:type="dxa"/>
            <w:tcBorders/>
            <w:shd w:fill="auto" w:val="clear"/>
            <w:vAlign w:val="center"/>
          </w:tcPr>
          <w:p>
            <w:pPr>
              <w:pStyle w:val="TableContents"/>
              <w:spacing w:lineRule="atLeast" w:line="240" w:before="0" w:after="0"/>
              <w:rPr/>
            </w:pPr>
            <w:r>
              <w:rPr>
                <w:spacing w:val="0"/>
              </w:rPr>
              <w:t>Annual Committee Chair Retainer</w:t>
            </w:r>
            <w:r>
              <w:rPr/>
              <w:t xml:space="preserve"> </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6655" w:type="dxa"/>
            <w:tcBorders/>
            <w:shd w:fill="auto" w:val="clear"/>
            <w:tcMar>
              <w:top w:w="28" w:type="dxa"/>
              <w:left w:w="28" w:type="dxa"/>
              <w:bottom w:w="28" w:type="dxa"/>
              <w:right w:w="28" w:type="dxa"/>
            </w:tcMar>
            <w:vAlign w:val="center"/>
          </w:tcPr>
          <w:p>
            <w:pPr>
              <w:pStyle w:val="TableContents"/>
              <w:spacing w:before="0" w:after="283"/>
              <w:jc w:val="center"/>
              <w:rPr/>
            </w:pPr>
            <w:r>
              <w:rPr/>
              <w:t>​</w:t>
            </w:r>
          </w:p>
        </w:tc>
        <w:tc>
          <w:tcPr>
            <w:tcW w:w="155" w:type="dxa"/>
            <w:tcBorders/>
            <w:shd w:fill="auto"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2093" w:type="dxa"/>
            <w:tcBorders/>
            <w:shd w:fill="auto" w:val="clear"/>
            <w:vAlign w:val="center"/>
          </w:tcPr>
          <w:p>
            <w:pPr>
              <w:pStyle w:val="TableContents"/>
              <w:spacing w:lineRule="atLeast" w:line="240" w:before="0" w:after="0"/>
              <w:ind w:left="200" w:right="0" w:hanging="0"/>
              <w:rPr>
                <w:spacing w:val="-1"/>
              </w:rPr>
            </w:pPr>
            <w:r>
              <w:rPr>
                <w:spacing w:val="-1"/>
              </w:rPr>
              <w:t xml:space="preserve">Audit </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6655" w:type="dxa"/>
            <w:tcBorders/>
            <w:shd w:fill="auto" w:val="clear"/>
            <w:vAlign w:val="center"/>
          </w:tcPr>
          <w:p>
            <w:pPr>
              <w:pStyle w:val="TableContents"/>
              <w:spacing w:lineRule="atLeast" w:line="240" w:before="0" w:after="0"/>
              <w:jc w:val="center"/>
              <w:rPr>
                <w:spacing w:val="-1"/>
              </w:rPr>
            </w:pPr>
            <w:r>
              <w:rPr>
                <w:spacing w:val="-1"/>
              </w:rPr>
              <w:t xml:space="preserve">$15,000 </w:t>
            </w:r>
          </w:p>
        </w:tc>
        <w:tc>
          <w:tcPr>
            <w:tcW w:w="155" w:type="dxa"/>
            <w:tcBorders/>
            <w:shd w:fill="auto"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2093" w:type="dxa"/>
            <w:tcBorders/>
            <w:shd w:fill="auto" w:val="clear"/>
            <w:vAlign w:val="center"/>
          </w:tcPr>
          <w:p>
            <w:pPr>
              <w:pStyle w:val="TableContents"/>
              <w:spacing w:lineRule="atLeast" w:line="240" w:before="0" w:after="0"/>
              <w:ind w:left="200" w:right="0" w:hanging="0"/>
              <w:rPr>
                <w:spacing w:val="-1"/>
              </w:rPr>
            </w:pPr>
            <w:r>
              <w:rPr>
                <w:spacing w:val="-1"/>
              </w:rPr>
              <w:t xml:space="preserve">Compensation </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6655" w:type="dxa"/>
            <w:tcBorders/>
            <w:shd w:fill="auto" w:val="clear"/>
            <w:vAlign w:val="center"/>
          </w:tcPr>
          <w:p>
            <w:pPr>
              <w:pStyle w:val="TableContents"/>
              <w:spacing w:lineRule="atLeast" w:line="240" w:before="0" w:after="0"/>
              <w:jc w:val="center"/>
              <w:rPr>
                <w:spacing w:val="-1"/>
              </w:rPr>
            </w:pPr>
            <w:r>
              <w:rPr>
                <w:spacing w:val="-1"/>
              </w:rPr>
              <w:t xml:space="preserve">$10,000 </w:t>
            </w:r>
          </w:p>
        </w:tc>
        <w:tc>
          <w:tcPr>
            <w:tcW w:w="155" w:type="dxa"/>
            <w:tcBorders/>
            <w:shd w:fill="auto"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2093" w:type="dxa"/>
            <w:tcBorders/>
            <w:shd w:fill="auto" w:val="clear"/>
            <w:vAlign w:val="center"/>
          </w:tcPr>
          <w:p>
            <w:pPr>
              <w:pStyle w:val="TableContents"/>
              <w:spacing w:lineRule="atLeast" w:line="240" w:before="0" w:after="0"/>
              <w:ind w:left="200" w:right="0" w:hanging="0"/>
              <w:rPr>
                <w:spacing w:val="-1"/>
              </w:rPr>
            </w:pPr>
            <w:r>
              <w:rPr>
                <w:spacing w:val="-1"/>
              </w:rPr>
              <w:t xml:space="preserve">Nominating and Corporate Governance </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6655" w:type="dxa"/>
            <w:tcBorders/>
            <w:shd w:fill="auto" w:val="clear"/>
            <w:vAlign w:val="center"/>
          </w:tcPr>
          <w:p>
            <w:pPr>
              <w:pStyle w:val="TableContents"/>
              <w:spacing w:lineRule="atLeast" w:line="240" w:before="0" w:after="0"/>
              <w:jc w:val="center"/>
              <w:rPr>
                <w:spacing w:val="-1"/>
              </w:rPr>
            </w:pPr>
            <w:r>
              <w:rPr>
                <w:spacing w:val="-1"/>
              </w:rPr>
              <w:t xml:space="preserve">$8,000 </w:t>
            </w:r>
          </w:p>
        </w:tc>
        <w:tc>
          <w:tcPr>
            <w:tcW w:w="155" w:type="dxa"/>
            <w:tcBorders/>
            <w:shd w:fill="auto"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2093" w:type="dxa"/>
            <w:tcBorders/>
            <w:shd w:fill="auto" w:val="clear"/>
            <w:vAlign w:val="center"/>
          </w:tcPr>
          <w:p>
            <w:pPr>
              <w:pStyle w:val="TableContents"/>
              <w:spacing w:lineRule="atLeast" w:line="240" w:before="0" w:after="0"/>
              <w:rPr/>
            </w:pPr>
            <w:r>
              <w:rPr>
                <w:spacing w:val="0"/>
              </w:rPr>
              <w:t>Annual Committee Member Retainer</w:t>
            </w:r>
            <w:r>
              <w:rPr/>
              <w:t xml:space="preserve"> </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6655" w:type="dxa"/>
            <w:tcBorders/>
            <w:shd w:fill="auto" w:val="clear"/>
            <w:tcMar>
              <w:top w:w="28" w:type="dxa"/>
              <w:left w:w="28" w:type="dxa"/>
              <w:bottom w:w="28" w:type="dxa"/>
              <w:right w:w="28" w:type="dxa"/>
            </w:tcMar>
            <w:vAlign w:val="center"/>
          </w:tcPr>
          <w:p>
            <w:pPr>
              <w:pStyle w:val="TableContents"/>
              <w:spacing w:before="0" w:after="283"/>
              <w:jc w:val="center"/>
              <w:rPr/>
            </w:pPr>
            <w:r>
              <w:rPr/>
              <w:t>​</w:t>
            </w:r>
          </w:p>
        </w:tc>
        <w:tc>
          <w:tcPr>
            <w:tcW w:w="155" w:type="dxa"/>
            <w:tcBorders/>
            <w:shd w:fill="auto"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2093" w:type="dxa"/>
            <w:tcBorders/>
            <w:shd w:fill="auto" w:val="clear"/>
            <w:vAlign w:val="center"/>
          </w:tcPr>
          <w:p>
            <w:pPr>
              <w:pStyle w:val="TableContents"/>
              <w:spacing w:lineRule="atLeast" w:line="240" w:before="0" w:after="0"/>
              <w:ind w:left="200" w:right="0" w:hanging="0"/>
              <w:rPr>
                <w:spacing w:val="-1"/>
              </w:rPr>
            </w:pPr>
            <w:r>
              <w:rPr>
                <w:spacing w:val="-1"/>
              </w:rPr>
              <w:t xml:space="preserve">Audit </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6655" w:type="dxa"/>
            <w:tcBorders/>
            <w:shd w:fill="auto" w:val="clear"/>
            <w:vAlign w:val="center"/>
          </w:tcPr>
          <w:p>
            <w:pPr>
              <w:pStyle w:val="TableContents"/>
              <w:spacing w:lineRule="atLeast" w:line="240" w:before="0" w:after="0"/>
              <w:jc w:val="center"/>
              <w:rPr>
                <w:spacing w:val="-1"/>
              </w:rPr>
            </w:pPr>
            <w:r>
              <w:rPr>
                <w:spacing w:val="-1"/>
              </w:rPr>
              <w:t xml:space="preserve">$7,500 </w:t>
            </w:r>
          </w:p>
        </w:tc>
        <w:tc>
          <w:tcPr>
            <w:tcW w:w="155" w:type="dxa"/>
            <w:tcBorders/>
            <w:shd w:fill="auto"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2093" w:type="dxa"/>
            <w:tcBorders/>
            <w:shd w:fill="auto" w:val="clear"/>
            <w:vAlign w:val="center"/>
          </w:tcPr>
          <w:p>
            <w:pPr>
              <w:pStyle w:val="TableContents"/>
              <w:spacing w:lineRule="atLeast" w:line="240" w:before="0" w:after="0"/>
              <w:ind w:left="200" w:right="0" w:hanging="0"/>
              <w:rPr>
                <w:spacing w:val="-1"/>
              </w:rPr>
            </w:pPr>
            <w:r>
              <w:rPr>
                <w:spacing w:val="-1"/>
              </w:rPr>
              <w:t xml:space="preserve">Compensation </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6655" w:type="dxa"/>
            <w:tcBorders/>
            <w:shd w:fill="auto" w:val="clear"/>
            <w:vAlign w:val="center"/>
          </w:tcPr>
          <w:p>
            <w:pPr>
              <w:pStyle w:val="TableContents"/>
              <w:spacing w:lineRule="atLeast" w:line="240" w:before="0" w:after="0"/>
              <w:jc w:val="center"/>
              <w:rPr>
                <w:spacing w:val="-1"/>
              </w:rPr>
            </w:pPr>
            <w:r>
              <w:rPr>
                <w:spacing w:val="-1"/>
              </w:rPr>
              <w:t xml:space="preserve">$5,000 </w:t>
            </w:r>
          </w:p>
        </w:tc>
        <w:tc>
          <w:tcPr>
            <w:tcW w:w="155" w:type="dxa"/>
            <w:tcBorders/>
            <w:shd w:fill="auto"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2093" w:type="dxa"/>
            <w:tcBorders/>
            <w:shd w:fill="auto" w:val="clear"/>
            <w:vAlign w:val="center"/>
          </w:tcPr>
          <w:p>
            <w:pPr>
              <w:pStyle w:val="TableContents"/>
              <w:spacing w:lineRule="atLeast" w:line="240" w:before="0" w:after="0"/>
              <w:ind w:left="200" w:right="0" w:hanging="0"/>
              <w:rPr>
                <w:spacing w:val="-1"/>
              </w:rPr>
            </w:pPr>
            <w:r>
              <w:rPr>
                <w:spacing w:val="-1"/>
              </w:rPr>
              <w:t xml:space="preserve">Nominating and Corporate Governance </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6655" w:type="dxa"/>
            <w:tcBorders/>
            <w:shd w:fill="auto" w:val="clear"/>
            <w:vAlign w:val="center"/>
          </w:tcPr>
          <w:p>
            <w:pPr>
              <w:pStyle w:val="TableContents"/>
              <w:spacing w:lineRule="atLeast" w:line="240" w:before="0" w:after="0"/>
              <w:jc w:val="center"/>
              <w:rPr>
                <w:spacing w:val="-1"/>
              </w:rPr>
            </w:pPr>
            <w:r>
              <w:rPr>
                <w:spacing w:val="-1"/>
              </w:rPr>
              <w:t xml:space="preserve">$4,000 </w:t>
            </w:r>
          </w:p>
        </w:tc>
        <w:tc>
          <w:tcPr>
            <w:tcW w:w="155" w:type="dxa"/>
            <w:tcBorders/>
            <w:shd w:fill="auto" w:val="clear"/>
            <w:vAlign w:val="center"/>
          </w:tcPr>
          <w:p>
            <w:pPr>
              <w:pStyle w:val="TableContents"/>
              <w:spacing w:before="0" w:after="283"/>
              <w:rPr/>
            </w:pPr>
            <w:r>
              <w:rPr/>
              <w:t>​</w:t>
            </w:r>
          </w:p>
        </w:tc>
      </w:tr>
      <w:tr>
        <w:trPr/>
        <w:tc>
          <w:tcPr>
            <w:tcW w:w="124" w:type="dxa"/>
            <w:tcBorders/>
            <w:shd w:fill="1DA46F" w:val="clear"/>
            <w:vAlign w:val="center"/>
          </w:tcPr>
          <w:p>
            <w:pPr>
              <w:pStyle w:val="TableContents"/>
              <w:spacing w:before="0" w:after="283"/>
              <w:rPr/>
            </w:pPr>
            <w:r>
              <w:rPr/>
              <w:t>​</w:t>
            </w:r>
          </w:p>
        </w:tc>
        <w:tc>
          <w:tcPr>
            <w:tcW w:w="2093" w:type="dxa"/>
            <w:tcBorders/>
            <w:shd w:fill="1DA46F" w:val="clear"/>
            <w:vAlign w:val="center"/>
          </w:tcPr>
          <w:p>
            <w:pPr>
              <w:pStyle w:val="TableContents"/>
              <w:spacing w:lineRule="atLeast" w:line="240" w:before="0" w:after="0"/>
              <w:rPr/>
            </w:pPr>
            <w:r>
              <w:rPr>
                <w:spacing w:val="0"/>
              </w:rPr>
              <w:t>Equity</w:t>
            </w:r>
            <w:r>
              <w:rPr/>
              <w:t xml:space="preserve"> </w:t>
            </w:r>
          </w:p>
        </w:tc>
        <w:tc>
          <w:tcPr>
            <w:tcW w:w="109" w:type="dxa"/>
            <w:tcBorders/>
            <w:shd w:fill="1DA46F" w:val="clear"/>
            <w:vAlign w:val="center"/>
          </w:tcPr>
          <w:p>
            <w:pPr>
              <w:pStyle w:val="TableContents"/>
              <w:spacing w:before="0" w:after="283"/>
              <w:rPr/>
            </w:pPr>
            <w:r>
              <w:rPr/>
              <w:t>​</w:t>
            </w:r>
          </w:p>
        </w:tc>
        <w:tc>
          <w:tcPr>
            <w:tcW w:w="109" w:type="dxa"/>
            <w:tcBorders/>
            <w:shd w:fill="1DA46F" w:val="clear"/>
            <w:vAlign w:val="center"/>
          </w:tcPr>
          <w:p>
            <w:pPr>
              <w:pStyle w:val="TableContents"/>
              <w:spacing w:before="0" w:after="283"/>
              <w:rPr/>
            </w:pPr>
            <w:r>
              <w:rPr/>
              <w:t>​</w:t>
            </w:r>
          </w:p>
        </w:tc>
        <w:tc>
          <w:tcPr>
            <w:tcW w:w="6655" w:type="dxa"/>
            <w:tcBorders/>
            <w:shd w:fill="1DA46F" w:val="clear"/>
            <w:tcMar>
              <w:top w:w="28" w:type="dxa"/>
              <w:left w:w="28" w:type="dxa"/>
              <w:bottom w:w="28" w:type="dxa"/>
              <w:right w:w="28" w:type="dxa"/>
            </w:tcMar>
            <w:vAlign w:val="center"/>
          </w:tcPr>
          <w:p>
            <w:pPr>
              <w:pStyle w:val="TableContents"/>
              <w:spacing w:before="0" w:after="283"/>
              <w:jc w:val="center"/>
              <w:rPr/>
            </w:pPr>
            <w:r>
              <w:rPr/>
              <w:t>​</w:t>
            </w:r>
          </w:p>
        </w:tc>
        <w:tc>
          <w:tcPr>
            <w:tcW w:w="155" w:type="dxa"/>
            <w:tcBorders/>
            <w:shd w:fill="1DA46F"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2093" w:type="dxa"/>
            <w:tcBorders/>
            <w:shd w:fill="auto" w:val="clear"/>
            <w:tcMar>
              <w:top w:w="28" w:type="dxa"/>
              <w:left w:w="28" w:type="dxa"/>
              <w:bottom w:w="28" w:type="dxa"/>
              <w:right w:w="28" w:type="dxa"/>
            </w:tcMar>
            <w:vAlign w:val="center"/>
          </w:tcPr>
          <w:p>
            <w:pPr>
              <w:pStyle w:val="TableContents"/>
              <w:spacing w:before="0" w:after="0"/>
              <w:ind w:left="200" w:right="0" w:hanging="0"/>
              <w:rPr>
                <w:b/>
              </w:rPr>
            </w:pPr>
            <w:r>
              <w:rPr>
                <w:b/>
                <w:spacing w:val="0"/>
              </w:rPr>
              <w:t>Initial Equity Grant</w:t>
            </w:r>
            <w:r>
              <w:rPr>
                <w:b/>
              </w:rPr>
              <w:t xml:space="preserve"> </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6655" w:type="dxa"/>
            <w:tcBorders/>
            <w:shd w:fill="auto" w:val="clear"/>
            <w:vAlign w:val="center"/>
          </w:tcPr>
          <w:p>
            <w:pPr>
              <w:pStyle w:val="TableContents"/>
              <w:spacing w:before="0" w:after="0"/>
              <w:jc w:val="both"/>
              <w:rPr>
                <w:spacing w:val="-1"/>
              </w:rPr>
            </w:pPr>
            <w:r>
              <w:rPr>
                <w:spacing w:val="-1"/>
              </w:rPr>
              <w:t xml:space="preserve">Option to purchase 88,000 shares of common stock, made to directors at the commencement of their director service, vesting monthly over a period of 36 months, subject generally to continued service with the Company </w:t>
            </w:r>
          </w:p>
        </w:tc>
        <w:tc>
          <w:tcPr>
            <w:tcW w:w="155" w:type="dxa"/>
            <w:tcBorders/>
            <w:shd w:fill="auto"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2093" w:type="dxa"/>
            <w:tcBorders/>
            <w:shd w:fill="auto" w:val="clear"/>
            <w:tcMar>
              <w:top w:w="28" w:type="dxa"/>
              <w:left w:w="28" w:type="dxa"/>
              <w:bottom w:w="28" w:type="dxa"/>
              <w:right w:w="28" w:type="dxa"/>
            </w:tcMar>
            <w:vAlign w:val="center"/>
          </w:tcPr>
          <w:p>
            <w:pPr>
              <w:pStyle w:val="TableContents"/>
              <w:spacing w:before="0" w:after="0"/>
              <w:ind w:left="200" w:right="200" w:hanging="0"/>
              <w:rPr>
                <w:b/>
              </w:rPr>
            </w:pPr>
            <w:r>
              <w:rPr>
                <w:b/>
                <w:spacing w:val="0"/>
              </w:rPr>
              <w:t>Annual Equity Retainer</w:t>
            </w:r>
            <w:r>
              <w:rPr>
                <w:b/>
              </w:rPr>
              <w:t xml:space="preserve"> </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6655" w:type="dxa"/>
            <w:tcBorders/>
            <w:shd w:fill="auto" w:val="clear"/>
            <w:vAlign w:val="center"/>
          </w:tcPr>
          <w:p>
            <w:pPr>
              <w:pStyle w:val="TableContents"/>
              <w:spacing w:before="0" w:after="0"/>
              <w:ind w:left="0" w:right="200" w:hanging="0"/>
              <w:jc w:val="both"/>
              <w:rPr/>
            </w:pPr>
            <w:r>
              <w:rPr>
                <w:spacing w:val="-1"/>
              </w:rPr>
              <w:t>Option to purchase 44,000 shares of common stock, vesting in full on the sooner of the first anniversary of the date of grant or the next annual shareholder meeting, subject generally to continued service with the Company</w:t>
            </w:r>
            <w:r>
              <w:rPr/>
              <w:t xml:space="preserve"> </w:t>
            </w:r>
          </w:p>
        </w:tc>
        <w:tc>
          <w:tcPr>
            <w:tcW w:w="155" w:type="dxa"/>
            <w:tcBorders/>
            <w:shd w:fill="auto" w:val="clear"/>
            <w:vAlign w:val="center"/>
          </w:tcPr>
          <w:p>
            <w:pPr>
              <w:pStyle w:val="TableContents"/>
              <w:spacing w:before="0" w:after="283"/>
              <w:rPr/>
            </w:pPr>
            <w:r>
              <w:rPr/>
              <w:t>​</w:t>
            </w:r>
          </w:p>
        </w:tc>
      </w:tr>
    </w:tbl>
    <w:p>
      <w:pPr>
        <w:pStyle w:val="TextBody"/>
        <w:spacing w:lineRule="atLeast" w:line="230" w:before="140" w:after="283"/>
        <w:ind w:left="96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Each annual cash retainer is paid quarterly in arrears. All equity awards granted under the non-employee director compensation policy will be granted under, and subject to the terms of, the Company’s 2021 Equity Incentive Plan, or the 2021 Plan.</w:t>
      </w:r>
      <w:r>
        <w:rPr>
          <w:rFonts w:ascii="Arial;Helvetica;sans-serif" w:hAnsi="Arial;Helvetica;sans-serif"/>
          <w:b w:val="false"/>
          <w:i w:val="false"/>
          <w:caps w:val="false"/>
          <w:smallCaps w:val="false"/>
          <w:color w:val="000000"/>
          <w:spacing w:val="4"/>
          <w:sz w:val="20"/>
        </w:rPr>
        <w:t xml:space="preserve"> </w:t>
      </w:r>
    </w:p>
    <w:p>
      <w:pPr>
        <w:pStyle w:val="TextBody"/>
        <w:spacing w:lineRule="atLeast" w:line="240" w:before="240" w:after="283"/>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3"/>
          <w:sz w:val="20"/>
        </w:rPr>
        <w:t>DIRECTOR COMPENSATION TABLE</w:t>
      </w:r>
      <w:r>
        <w:rPr>
          <w:rFonts w:ascii="Arial;Helvetica;sans-serif" w:hAnsi="Arial;Helvetica;sans-serif"/>
          <w:b/>
          <w:i w:val="false"/>
          <w:caps w:val="false"/>
          <w:smallCaps w:val="false"/>
          <w:color w:val="000000"/>
          <w:spacing w:val="4"/>
          <w:sz w:val="20"/>
        </w:rPr>
        <w:t xml:space="preserve"> </w:t>
      </w:r>
    </w:p>
    <w:p>
      <w:pPr>
        <w:pStyle w:val="TextBody"/>
        <w:spacing w:lineRule="atLeast" w:line="23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The following table below sets forth information for the fiscal year ended December 31, 2022 regarding the compensation of our non-employee directors.</w:t>
      </w:r>
      <w:r>
        <w:rPr>
          <w:rFonts w:ascii="Arial;Helvetica;sans-serif" w:hAnsi="Arial;Helvetica;sans-serif"/>
          <w:b w:val="false"/>
          <w:i w:val="false"/>
          <w:caps w:val="false"/>
          <w:smallCaps w:val="false"/>
          <w:color w:val="000000"/>
          <w:spacing w:val="4"/>
          <w:sz w:val="20"/>
        </w:rPr>
        <w:t xml:space="preserve"> </w:t>
      </w:r>
    </w:p>
    <w:tbl>
      <w:tblPr>
        <w:tblW w:w="9245" w:type="dxa"/>
        <w:jc w:val="left"/>
        <w:tblInd w:w="960" w:type="dxa"/>
        <w:tblCellMar>
          <w:top w:w="0" w:type="dxa"/>
          <w:left w:w="0" w:type="dxa"/>
          <w:bottom w:w="0" w:type="dxa"/>
          <w:right w:w="0" w:type="dxa"/>
        </w:tblCellMar>
      </w:tblPr>
      <w:tblGrid>
        <w:gridCol w:w="124"/>
        <w:gridCol w:w="109"/>
        <w:gridCol w:w="2328"/>
        <w:gridCol w:w="109"/>
        <w:gridCol w:w="109"/>
        <w:gridCol w:w="2638"/>
        <w:gridCol w:w="109"/>
        <w:gridCol w:w="109"/>
        <w:gridCol w:w="1928"/>
        <w:gridCol w:w="109"/>
        <w:gridCol w:w="109"/>
        <w:gridCol w:w="1199"/>
        <w:gridCol w:w="109"/>
        <w:gridCol w:w="156"/>
      </w:tblGrid>
      <w:tr>
        <w:trPr/>
        <w:tc>
          <w:tcPr>
            <w:tcW w:w="124" w:type="dxa"/>
            <w:tcBorders/>
            <w:shd w:fill="auto" w:val="clear"/>
            <w:vAlign w:val="center"/>
          </w:tcPr>
          <w:p>
            <w:pPr>
              <w:pStyle w:val="TableContents"/>
              <w:spacing w:before="0" w:after="283"/>
              <w:rPr/>
            </w:pPr>
            <w:r>
              <w:rPr/>
              <w:t>​</w:t>
            </w:r>
          </w:p>
        </w:tc>
        <w:tc>
          <w:tcPr>
            <w:tcW w:w="109" w:type="dxa"/>
            <w:tcBorders>
              <w:bottom w:val="single" w:sz="2" w:space="0" w:color="000000"/>
            </w:tcBorders>
            <w:shd w:fill="148CD9" w:val="clear"/>
            <w:tcMar>
              <w:bottom w:w="28" w:type="dxa"/>
            </w:tcMar>
            <w:vAlign w:val="center"/>
          </w:tcPr>
          <w:p>
            <w:pPr>
              <w:pStyle w:val="TableContents"/>
              <w:spacing w:before="0" w:after="283"/>
              <w:rPr/>
            </w:pPr>
            <w:r>
              <w:rPr/>
              <w:t>​</w:t>
            </w:r>
          </w:p>
        </w:tc>
        <w:tc>
          <w:tcPr>
            <w:tcW w:w="2328" w:type="dxa"/>
            <w:tcBorders>
              <w:bottom w:val="single" w:sz="2" w:space="0" w:color="000000"/>
            </w:tcBorders>
            <w:shd w:fill="148CD9" w:val="clear"/>
            <w:tcMar>
              <w:bottom w:w="28" w:type="dxa"/>
            </w:tcMar>
            <w:vAlign w:val="center"/>
          </w:tcPr>
          <w:p>
            <w:pPr>
              <w:pStyle w:val="TableContents"/>
              <w:spacing w:before="0" w:after="0"/>
              <w:jc w:val="center"/>
              <w:rPr/>
            </w:pPr>
            <w:r>
              <w:rPr>
                <w:caps/>
                <w:spacing w:val="-2"/>
              </w:rPr>
              <w:t>NAME</w:t>
            </w:r>
            <w:r>
              <w:rPr/>
              <w:t xml:space="preserve"> </w:t>
            </w:r>
          </w:p>
        </w:tc>
        <w:tc>
          <w:tcPr>
            <w:tcW w:w="109" w:type="dxa"/>
            <w:tcBorders>
              <w:bottom w:val="single" w:sz="2" w:space="0" w:color="000000"/>
            </w:tcBorders>
            <w:shd w:fill="148CD9" w:val="clear"/>
            <w:tcMar>
              <w:bottom w:w="28" w:type="dxa"/>
            </w:tcMar>
            <w:vAlign w:val="center"/>
          </w:tcPr>
          <w:p>
            <w:pPr>
              <w:pStyle w:val="TableContents"/>
              <w:spacing w:before="0" w:after="283"/>
              <w:rPr/>
            </w:pPr>
            <w:r>
              <w:rPr/>
              <w:t>​</w:t>
            </w:r>
          </w:p>
        </w:tc>
        <w:tc>
          <w:tcPr>
            <w:tcW w:w="109" w:type="dxa"/>
            <w:tcBorders>
              <w:bottom w:val="single" w:sz="2" w:space="0" w:color="000000"/>
            </w:tcBorders>
            <w:shd w:fill="148CD9" w:val="clear"/>
            <w:tcMar>
              <w:bottom w:w="28" w:type="dxa"/>
            </w:tcMar>
            <w:vAlign w:val="center"/>
          </w:tcPr>
          <w:p>
            <w:pPr>
              <w:pStyle w:val="TableContents"/>
              <w:spacing w:before="0" w:after="283"/>
              <w:rPr/>
            </w:pPr>
            <w:r>
              <w:rPr/>
              <w:t>​</w:t>
            </w:r>
          </w:p>
        </w:tc>
        <w:tc>
          <w:tcPr>
            <w:tcW w:w="2638" w:type="dxa"/>
            <w:tcBorders>
              <w:bottom w:val="single" w:sz="2" w:space="0" w:color="000000"/>
            </w:tcBorders>
            <w:shd w:fill="148CD9" w:val="clear"/>
            <w:tcMar>
              <w:bottom w:w="40" w:type="dxa"/>
            </w:tcMar>
            <w:vAlign w:val="center"/>
          </w:tcPr>
          <w:p>
            <w:pPr>
              <w:pStyle w:val="TableContents"/>
              <w:spacing w:before="0" w:after="0"/>
              <w:jc w:val="center"/>
              <w:rPr/>
            </w:pPr>
            <w:r>
              <w:rPr>
                <w:caps/>
                <w:spacing w:val="-2"/>
              </w:rPr>
              <w:t>FEES EARNED OR PAID IN</w:t>
            </w:r>
            <w:r>
              <w:rPr/>
              <w:t xml:space="preserve"> </w:t>
              <w:br/>
            </w:r>
            <w:r>
              <w:rPr>
                <w:caps/>
                <w:spacing w:val="-2"/>
              </w:rPr>
              <w:t>CASH ($)</w:t>
            </w:r>
            <w:r>
              <w:rPr/>
              <w:t xml:space="preserve"> </w:t>
            </w:r>
          </w:p>
        </w:tc>
        <w:tc>
          <w:tcPr>
            <w:tcW w:w="109" w:type="dxa"/>
            <w:tcBorders>
              <w:bottom w:val="single" w:sz="2" w:space="0" w:color="000000"/>
            </w:tcBorders>
            <w:shd w:fill="148CD9" w:val="clear"/>
            <w:tcMar>
              <w:bottom w:w="28" w:type="dxa"/>
            </w:tcMar>
            <w:vAlign w:val="center"/>
          </w:tcPr>
          <w:p>
            <w:pPr>
              <w:pStyle w:val="TableContents"/>
              <w:spacing w:before="0" w:after="283"/>
              <w:rPr/>
            </w:pPr>
            <w:r>
              <w:rPr/>
              <w:t>​</w:t>
            </w:r>
          </w:p>
        </w:tc>
        <w:tc>
          <w:tcPr>
            <w:tcW w:w="109" w:type="dxa"/>
            <w:tcBorders>
              <w:bottom w:val="single" w:sz="2" w:space="0" w:color="000000"/>
            </w:tcBorders>
            <w:shd w:fill="148CD9" w:val="clear"/>
            <w:tcMar>
              <w:bottom w:w="28" w:type="dxa"/>
            </w:tcMar>
            <w:vAlign w:val="center"/>
          </w:tcPr>
          <w:p>
            <w:pPr>
              <w:pStyle w:val="TableContents"/>
              <w:spacing w:before="0" w:after="283"/>
              <w:rPr/>
            </w:pPr>
            <w:r>
              <w:rPr/>
              <w:t>​</w:t>
            </w:r>
          </w:p>
        </w:tc>
        <w:tc>
          <w:tcPr>
            <w:tcW w:w="1928" w:type="dxa"/>
            <w:tcBorders>
              <w:bottom w:val="single" w:sz="2" w:space="0" w:color="000000"/>
            </w:tcBorders>
            <w:shd w:fill="148CD9" w:val="clear"/>
            <w:tcMar>
              <w:bottom w:w="40" w:type="dxa"/>
            </w:tcMar>
            <w:vAlign w:val="center"/>
          </w:tcPr>
          <w:p>
            <w:pPr>
              <w:pStyle w:val="TableContents"/>
              <w:spacing w:before="0" w:after="0"/>
              <w:jc w:val="center"/>
              <w:rPr/>
            </w:pPr>
            <w:r>
              <w:rPr>
                <w:caps/>
                <w:spacing w:val="-2"/>
              </w:rPr>
              <w:t>OPTION AWARDS</w:t>
            </w:r>
            <w:r>
              <w:rPr/>
              <w:t xml:space="preserve"> </w:t>
              <w:br/>
            </w:r>
            <w:r>
              <w:rPr>
                <w:caps/>
                <w:spacing w:val="-2"/>
              </w:rPr>
              <w:t>($)(1)(2)</w:t>
            </w:r>
            <w:r>
              <w:rPr/>
              <w:t xml:space="preserve"> </w:t>
            </w:r>
          </w:p>
        </w:tc>
        <w:tc>
          <w:tcPr>
            <w:tcW w:w="109" w:type="dxa"/>
            <w:tcBorders>
              <w:bottom w:val="single" w:sz="2" w:space="0" w:color="000000"/>
            </w:tcBorders>
            <w:shd w:fill="148CD9" w:val="clear"/>
            <w:tcMar>
              <w:bottom w:w="28" w:type="dxa"/>
            </w:tcMar>
            <w:vAlign w:val="center"/>
          </w:tcPr>
          <w:p>
            <w:pPr>
              <w:pStyle w:val="TableContents"/>
              <w:spacing w:before="0" w:after="283"/>
              <w:rPr/>
            </w:pPr>
            <w:r>
              <w:rPr/>
              <w:t>​</w:t>
            </w:r>
          </w:p>
        </w:tc>
        <w:tc>
          <w:tcPr>
            <w:tcW w:w="109" w:type="dxa"/>
            <w:tcBorders>
              <w:bottom w:val="single" w:sz="2" w:space="0" w:color="000000"/>
            </w:tcBorders>
            <w:shd w:fill="148CD9" w:val="clear"/>
            <w:tcMar>
              <w:bottom w:w="28" w:type="dxa"/>
            </w:tcMar>
            <w:vAlign w:val="center"/>
          </w:tcPr>
          <w:p>
            <w:pPr>
              <w:pStyle w:val="TableContents"/>
              <w:spacing w:before="0" w:after="283"/>
              <w:rPr/>
            </w:pPr>
            <w:r>
              <w:rPr/>
              <w:t>​</w:t>
            </w:r>
          </w:p>
        </w:tc>
        <w:tc>
          <w:tcPr>
            <w:tcW w:w="1199" w:type="dxa"/>
            <w:tcBorders>
              <w:bottom w:val="single" w:sz="2" w:space="0" w:color="000000"/>
            </w:tcBorders>
            <w:shd w:fill="148CD9" w:val="clear"/>
            <w:tcMar>
              <w:bottom w:w="28" w:type="dxa"/>
            </w:tcMar>
            <w:vAlign w:val="center"/>
          </w:tcPr>
          <w:p>
            <w:pPr>
              <w:pStyle w:val="TableContents"/>
              <w:spacing w:before="0" w:after="0"/>
              <w:jc w:val="center"/>
              <w:rPr/>
            </w:pPr>
            <w:r>
              <w:rPr>
                <w:caps/>
                <w:spacing w:val="-2"/>
              </w:rPr>
              <w:t>TOTAL ($)</w:t>
            </w:r>
            <w:r>
              <w:rPr/>
              <w:t xml:space="preserve"> </w:t>
            </w:r>
          </w:p>
        </w:tc>
        <w:tc>
          <w:tcPr>
            <w:tcW w:w="109" w:type="dxa"/>
            <w:tcBorders>
              <w:bottom w:val="single" w:sz="2" w:space="0" w:color="000000"/>
            </w:tcBorders>
            <w:shd w:fill="148CD9" w:val="clear"/>
            <w:tcMar>
              <w:bottom w:w="28" w:type="dxa"/>
            </w:tcMar>
            <w:vAlign w:val="center"/>
          </w:tcPr>
          <w:p>
            <w:pPr>
              <w:pStyle w:val="TableContents"/>
              <w:spacing w:before="0" w:after="283"/>
              <w:rPr/>
            </w:pPr>
            <w:r>
              <w:rPr/>
              <w:t>​</w:t>
            </w:r>
          </w:p>
        </w:tc>
        <w:tc>
          <w:tcPr>
            <w:tcW w:w="156" w:type="dxa"/>
            <w:tcBorders/>
            <w:shd w:fill="auto"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2328" w:type="dxa"/>
            <w:tcBorders>
              <w:bottom w:val="single" w:sz="2" w:space="0" w:color="000000"/>
            </w:tcBorders>
            <w:shd w:fill="auto" w:val="clear"/>
            <w:tcMar>
              <w:bottom w:w="50" w:type="dxa"/>
            </w:tcMar>
            <w:vAlign w:val="center"/>
          </w:tcPr>
          <w:p>
            <w:pPr>
              <w:pStyle w:val="TableContents"/>
              <w:spacing w:before="0" w:after="283"/>
              <w:jc w:val="left"/>
              <w:rPr>
                <w:spacing w:val="-1"/>
              </w:rPr>
            </w:pPr>
            <w:r>
              <w:rPr>
                <w:spacing w:val="-1"/>
              </w:rPr>
              <w:t xml:space="preserve">Kimberly Blackwell, M.D. </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2638" w:type="dxa"/>
            <w:tcBorders>
              <w:bottom w:val="single" w:sz="2" w:space="0" w:color="000000"/>
            </w:tcBorders>
            <w:shd w:fill="auto" w:val="clear"/>
            <w:tcMar>
              <w:bottom w:w="50" w:type="dxa"/>
            </w:tcMar>
            <w:vAlign w:val="center"/>
          </w:tcPr>
          <w:p>
            <w:pPr>
              <w:pStyle w:val="TableContents"/>
              <w:spacing w:before="0" w:after="0"/>
              <w:jc w:val="center"/>
              <w:rPr>
                <w:spacing w:val="-1"/>
              </w:rPr>
            </w:pPr>
            <w:r>
              <w:rPr>
                <w:spacing w:val="-1"/>
              </w:rPr>
              <w:t xml:space="preserve">46,500 </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928" w:type="dxa"/>
            <w:tcBorders>
              <w:bottom w:val="single" w:sz="2" w:space="0" w:color="000000"/>
            </w:tcBorders>
            <w:shd w:fill="auto" w:val="clear"/>
            <w:tcMar>
              <w:bottom w:w="50" w:type="dxa"/>
            </w:tcMar>
            <w:vAlign w:val="center"/>
          </w:tcPr>
          <w:p>
            <w:pPr>
              <w:pStyle w:val="TableContents"/>
              <w:spacing w:before="0" w:after="0"/>
              <w:jc w:val="center"/>
              <w:rPr>
                <w:spacing w:val="-1"/>
              </w:rPr>
            </w:pPr>
            <w:r>
              <w:rPr>
                <w:spacing w:val="-1"/>
              </w:rPr>
              <w:t xml:space="preserve">109,745 </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199" w:type="dxa"/>
            <w:tcBorders>
              <w:bottom w:val="single" w:sz="2" w:space="0" w:color="000000"/>
            </w:tcBorders>
            <w:shd w:fill="auto" w:val="clear"/>
            <w:tcMar>
              <w:bottom w:w="50" w:type="dxa"/>
            </w:tcMar>
            <w:vAlign w:val="center"/>
          </w:tcPr>
          <w:p>
            <w:pPr>
              <w:pStyle w:val="TableContents"/>
              <w:spacing w:before="0" w:after="0"/>
              <w:jc w:val="center"/>
              <w:rPr>
                <w:spacing w:val="-1"/>
              </w:rPr>
            </w:pPr>
            <w:r>
              <w:rPr>
                <w:spacing w:val="-1"/>
              </w:rPr>
              <w:t xml:space="preserve">156,245 </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56" w:type="dxa"/>
            <w:tcBorders/>
            <w:shd w:fill="auto"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2328" w:type="dxa"/>
            <w:tcBorders>
              <w:bottom w:val="single" w:sz="2" w:space="0" w:color="000000"/>
            </w:tcBorders>
            <w:shd w:fill="auto" w:val="clear"/>
            <w:tcMar>
              <w:bottom w:w="50" w:type="dxa"/>
            </w:tcMar>
            <w:vAlign w:val="center"/>
          </w:tcPr>
          <w:p>
            <w:pPr>
              <w:pStyle w:val="TableContents"/>
              <w:spacing w:before="0" w:after="283"/>
              <w:jc w:val="left"/>
              <w:rPr>
                <w:spacing w:val="-1"/>
              </w:rPr>
            </w:pPr>
            <w:r>
              <w:rPr>
                <w:spacing w:val="-1"/>
              </w:rPr>
              <w:t xml:space="preserve">Cynthia Butitta </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2638" w:type="dxa"/>
            <w:tcBorders>
              <w:bottom w:val="single" w:sz="2" w:space="0" w:color="000000"/>
            </w:tcBorders>
            <w:shd w:fill="auto" w:val="clear"/>
            <w:tcMar>
              <w:bottom w:w="50" w:type="dxa"/>
            </w:tcMar>
            <w:vAlign w:val="center"/>
          </w:tcPr>
          <w:p>
            <w:pPr>
              <w:pStyle w:val="TableContents"/>
              <w:spacing w:before="0" w:after="0"/>
              <w:jc w:val="center"/>
              <w:rPr>
                <w:spacing w:val="-1"/>
              </w:rPr>
            </w:pPr>
            <w:r>
              <w:rPr>
                <w:spacing w:val="-1"/>
              </w:rPr>
              <w:t xml:space="preserve">55,000 </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928" w:type="dxa"/>
            <w:tcBorders>
              <w:bottom w:val="single" w:sz="2" w:space="0" w:color="000000"/>
            </w:tcBorders>
            <w:shd w:fill="auto" w:val="clear"/>
            <w:tcMar>
              <w:bottom w:w="50" w:type="dxa"/>
            </w:tcMar>
            <w:vAlign w:val="center"/>
          </w:tcPr>
          <w:p>
            <w:pPr>
              <w:pStyle w:val="TableContents"/>
              <w:spacing w:before="0" w:after="0"/>
              <w:jc w:val="center"/>
              <w:rPr>
                <w:spacing w:val="-1"/>
              </w:rPr>
            </w:pPr>
            <w:r>
              <w:rPr>
                <w:spacing w:val="-1"/>
              </w:rPr>
              <w:t xml:space="preserve">109,745 </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199" w:type="dxa"/>
            <w:tcBorders>
              <w:bottom w:val="single" w:sz="2" w:space="0" w:color="000000"/>
            </w:tcBorders>
            <w:shd w:fill="auto" w:val="clear"/>
            <w:tcMar>
              <w:bottom w:w="50" w:type="dxa"/>
            </w:tcMar>
            <w:vAlign w:val="center"/>
          </w:tcPr>
          <w:p>
            <w:pPr>
              <w:pStyle w:val="TableContents"/>
              <w:spacing w:before="0" w:after="0"/>
              <w:jc w:val="center"/>
              <w:rPr>
                <w:spacing w:val="-1"/>
              </w:rPr>
            </w:pPr>
            <w:r>
              <w:rPr>
                <w:spacing w:val="-1"/>
              </w:rPr>
              <w:t xml:space="preserve">164,745 </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56" w:type="dxa"/>
            <w:tcBorders/>
            <w:shd w:fill="auto"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2328" w:type="dxa"/>
            <w:tcBorders>
              <w:bottom w:val="single" w:sz="2" w:space="0" w:color="000000"/>
            </w:tcBorders>
            <w:shd w:fill="auto" w:val="clear"/>
            <w:tcMar>
              <w:bottom w:w="50" w:type="dxa"/>
            </w:tcMar>
            <w:vAlign w:val="center"/>
          </w:tcPr>
          <w:p>
            <w:pPr>
              <w:pStyle w:val="TableContents"/>
              <w:spacing w:before="0" w:after="283"/>
              <w:jc w:val="left"/>
              <w:rPr>
                <w:spacing w:val="-1"/>
              </w:rPr>
            </w:pPr>
            <w:r>
              <w:rPr>
                <w:spacing w:val="-1"/>
              </w:rPr>
              <w:t xml:space="preserve">Eli Casdin (3) </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2638" w:type="dxa"/>
            <w:tcBorders>
              <w:bottom w:val="single" w:sz="2" w:space="0" w:color="000000"/>
            </w:tcBorders>
            <w:shd w:fill="auto" w:val="clear"/>
            <w:tcMar>
              <w:bottom w:w="50" w:type="dxa"/>
            </w:tcMar>
            <w:vAlign w:val="center"/>
          </w:tcPr>
          <w:p>
            <w:pPr>
              <w:pStyle w:val="TableContents"/>
              <w:spacing w:before="0" w:after="0"/>
              <w:jc w:val="center"/>
              <w:rPr>
                <w:spacing w:val="-1"/>
              </w:rPr>
            </w:pPr>
            <w:r>
              <w:rPr>
                <w:spacing w:val="-1"/>
              </w:rPr>
              <w:t xml:space="preserve">33,000 </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928" w:type="dxa"/>
            <w:tcBorders>
              <w:bottom w:val="single" w:sz="2" w:space="0" w:color="000000"/>
            </w:tcBorders>
            <w:shd w:fill="auto" w:val="clear"/>
            <w:tcMar>
              <w:bottom w:w="50" w:type="dxa"/>
            </w:tcMar>
            <w:vAlign w:val="center"/>
          </w:tcPr>
          <w:p>
            <w:pPr>
              <w:pStyle w:val="TableContents"/>
              <w:spacing w:before="0" w:after="0"/>
              <w:jc w:val="center"/>
              <w:rPr>
                <w:spacing w:val="-1"/>
              </w:rPr>
            </w:pPr>
            <w:r>
              <w:rPr>
                <w:spacing w:val="-1"/>
              </w:rPr>
              <w:t xml:space="preserve">109,745 </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199" w:type="dxa"/>
            <w:tcBorders>
              <w:bottom w:val="single" w:sz="2" w:space="0" w:color="000000"/>
            </w:tcBorders>
            <w:shd w:fill="auto" w:val="clear"/>
            <w:tcMar>
              <w:bottom w:w="50" w:type="dxa"/>
            </w:tcMar>
            <w:vAlign w:val="center"/>
          </w:tcPr>
          <w:p>
            <w:pPr>
              <w:pStyle w:val="TableContents"/>
              <w:spacing w:before="0" w:after="0"/>
              <w:jc w:val="center"/>
              <w:rPr>
                <w:spacing w:val="-1"/>
              </w:rPr>
            </w:pPr>
            <w:r>
              <w:rPr>
                <w:spacing w:val="-1"/>
              </w:rPr>
              <w:t xml:space="preserve">142,745 </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56" w:type="dxa"/>
            <w:tcBorders/>
            <w:shd w:fill="auto"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2328" w:type="dxa"/>
            <w:tcBorders>
              <w:bottom w:val="single" w:sz="2" w:space="0" w:color="000000"/>
            </w:tcBorders>
            <w:shd w:fill="auto" w:val="clear"/>
            <w:tcMar>
              <w:bottom w:w="50" w:type="dxa"/>
            </w:tcMar>
            <w:vAlign w:val="center"/>
          </w:tcPr>
          <w:p>
            <w:pPr>
              <w:pStyle w:val="TableContents"/>
              <w:spacing w:before="0" w:after="283"/>
              <w:jc w:val="left"/>
              <w:rPr>
                <w:spacing w:val="-1"/>
              </w:rPr>
            </w:pPr>
            <w:r>
              <w:rPr>
                <w:spacing w:val="-1"/>
              </w:rPr>
              <w:t xml:space="preserve">Joseph Jimenez </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2638" w:type="dxa"/>
            <w:tcBorders>
              <w:bottom w:val="single" w:sz="2" w:space="0" w:color="000000"/>
            </w:tcBorders>
            <w:shd w:fill="auto" w:val="clear"/>
            <w:tcMar>
              <w:bottom w:w="50" w:type="dxa"/>
            </w:tcMar>
            <w:vAlign w:val="center"/>
          </w:tcPr>
          <w:p>
            <w:pPr>
              <w:pStyle w:val="TableContents"/>
              <w:spacing w:before="0" w:after="0"/>
              <w:jc w:val="center"/>
              <w:rPr>
                <w:spacing w:val="-1"/>
              </w:rPr>
            </w:pPr>
            <w:r>
              <w:rPr>
                <w:spacing w:val="-1"/>
              </w:rPr>
              <w:t xml:space="preserve">78,000 </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928" w:type="dxa"/>
            <w:tcBorders>
              <w:bottom w:val="single" w:sz="2" w:space="0" w:color="000000"/>
            </w:tcBorders>
            <w:shd w:fill="auto" w:val="clear"/>
            <w:tcMar>
              <w:bottom w:w="50" w:type="dxa"/>
            </w:tcMar>
            <w:vAlign w:val="center"/>
          </w:tcPr>
          <w:p>
            <w:pPr>
              <w:pStyle w:val="TableContents"/>
              <w:spacing w:before="0" w:after="0"/>
              <w:jc w:val="center"/>
              <w:rPr>
                <w:spacing w:val="-1"/>
              </w:rPr>
            </w:pPr>
            <w:r>
              <w:rPr>
                <w:spacing w:val="-1"/>
              </w:rPr>
              <w:t xml:space="preserve">109,745 </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199" w:type="dxa"/>
            <w:tcBorders>
              <w:bottom w:val="single" w:sz="2" w:space="0" w:color="000000"/>
            </w:tcBorders>
            <w:shd w:fill="auto" w:val="clear"/>
            <w:tcMar>
              <w:bottom w:w="50" w:type="dxa"/>
            </w:tcMar>
            <w:vAlign w:val="center"/>
          </w:tcPr>
          <w:p>
            <w:pPr>
              <w:pStyle w:val="TableContents"/>
              <w:spacing w:before="0" w:after="0"/>
              <w:jc w:val="center"/>
              <w:rPr>
                <w:spacing w:val="-1"/>
              </w:rPr>
            </w:pPr>
            <w:r>
              <w:rPr>
                <w:spacing w:val="-1"/>
              </w:rPr>
              <w:t xml:space="preserve">187,745 </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56" w:type="dxa"/>
            <w:tcBorders/>
            <w:shd w:fill="auto"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2328" w:type="dxa"/>
            <w:tcBorders>
              <w:bottom w:val="single" w:sz="2" w:space="0" w:color="000000"/>
            </w:tcBorders>
            <w:shd w:fill="auto" w:val="clear"/>
            <w:tcMar>
              <w:bottom w:w="50" w:type="dxa"/>
            </w:tcMar>
            <w:vAlign w:val="center"/>
          </w:tcPr>
          <w:p>
            <w:pPr>
              <w:pStyle w:val="TableContents"/>
              <w:spacing w:before="0" w:after="283"/>
              <w:jc w:val="left"/>
              <w:rPr>
                <w:spacing w:val="-1"/>
              </w:rPr>
            </w:pPr>
            <w:r>
              <w:rPr>
                <w:spacing w:val="-1"/>
              </w:rPr>
              <w:t xml:space="preserve">Daphne Quimi </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2638" w:type="dxa"/>
            <w:tcBorders>
              <w:bottom w:val="single" w:sz="2" w:space="0" w:color="000000"/>
            </w:tcBorders>
            <w:shd w:fill="auto" w:val="clear"/>
            <w:tcMar>
              <w:bottom w:w="50" w:type="dxa"/>
            </w:tcMar>
            <w:vAlign w:val="center"/>
          </w:tcPr>
          <w:p>
            <w:pPr>
              <w:pStyle w:val="TableContents"/>
              <w:spacing w:before="0" w:after="0"/>
              <w:jc w:val="center"/>
              <w:rPr>
                <w:spacing w:val="-1"/>
              </w:rPr>
            </w:pPr>
            <w:r>
              <w:rPr>
                <w:spacing w:val="-1"/>
              </w:rPr>
              <w:t xml:space="preserve">11,625 </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928" w:type="dxa"/>
            <w:tcBorders>
              <w:bottom w:val="single" w:sz="2" w:space="0" w:color="000000"/>
            </w:tcBorders>
            <w:shd w:fill="auto" w:val="clear"/>
            <w:tcMar>
              <w:bottom w:w="50" w:type="dxa"/>
            </w:tcMar>
            <w:vAlign w:val="center"/>
          </w:tcPr>
          <w:p>
            <w:pPr>
              <w:pStyle w:val="TableContents"/>
              <w:spacing w:before="0" w:after="0"/>
              <w:jc w:val="center"/>
              <w:rPr>
                <w:spacing w:val="-1"/>
              </w:rPr>
            </w:pPr>
            <w:r>
              <w:rPr>
                <w:spacing w:val="-1"/>
              </w:rPr>
              <w:t xml:space="preserve">263,885 </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199" w:type="dxa"/>
            <w:tcBorders>
              <w:bottom w:val="single" w:sz="2" w:space="0" w:color="000000"/>
            </w:tcBorders>
            <w:shd w:fill="auto" w:val="clear"/>
            <w:tcMar>
              <w:bottom w:w="50" w:type="dxa"/>
            </w:tcMar>
            <w:vAlign w:val="center"/>
          </w:tcPr>
          <w:p>
            <w:pPr>
              <w:pStyle w:val="TableContents"/>
              <w:spacing w:before="0" w:after="0"/>
              <w:jc w:val="center"/>
              <w:rPr>
                <w:spacing w:val="-1"/>
              </w:rPr>
            </w:pPr>
            <w:r>
              <w:rPr>
                <w:spacing w:val="-1"/>
              </w:rPr>
              <w:t xml:space="preserve">275,510 </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56" w:type="dxa"/>
            <w:tcBorders/>
            <w:shd w:fill="auto"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2328" w:type="dxa"/>
            <w:tcBorders>
              <w:bottom w:val="single" w:sz="2" w:space="0" w:color="000000"/>
            </w:tcBorders>
            <w:shd w:fill="auto" w:val="clear"/>
            <w:tcMar>
              <w:bottom w:w="50" w:type="dxa"/>
            </w:tcMar>
            <w:vAlign w:val="center"/>
          </w:tcPr>
          <w:p>
            <w:pPr>
              <w:pStyle w:val="TableContents"/>
              <w:spacing w:before="0" w:after="283"/>
              <w:jc w:val="left"/>
              <w:rPr>
                <w:spacing w:val="-1"/>
              </w:rPr>
            </w:pPr>
            <w:r>
              <w:rPr>
                <w:spacing w:val="-1"/>
              </w:rPr>
              <w:t xml:space="preserve">Alessandro Riva, M.D. </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2638" w:type="dxa"/>
            <w:tcBorders>
              <w:bottom w:val="single" w:sz="2" w:space="0" w:color="000000"/>
            </w:tcBorders>
            <w:shd w:fill="auto" w:val="clear"/>
            <w:tcMar>
              <w:bottom w:w="50" w:type="dxa"/>
            </w:tcMar>
            <w:vAlign w:val="center"/>
          </w:tcPr>
          <w:p>
            <w:pPr>
              <w:pStyle w:val="TableContents"/>
              <w:spacing w:before="0" w:after="0"/>
              <w:jc w:val="center"/>
              <w:rPr>
                <w:spacing w:val="-1"/>
              </w:rPr>
            </w:pPr>
            <w:r>
              <w:rPr>
                <w:spacing w:val="-1"/>
              </w:rPr>
              <w:t xml:space="preserve">42,500 </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928" w:type="dxa"/>
            <w:tcBorders>
              <w:bottom w:val="single" w:sz="2" w:space="0" w:color="000000"/>
            </w:tcBorders>
            <w:shd w:fill="auto" w:val="clear"/>
            <w:tcMar>
              <w:bottom w:w="50" w:type="dxa"/>
            </w:tcMar>
            <w:vAlign w:val="center"/>
          </w:tcPr>
          <w:p>
            <w:pPr>
              <w:pStyle w:val="TableContents"/>
              <w:spacing w:before="0" w:after="0"/>
              <w:jc w:val="center"/>
              <w:rPr>
                <w:spacing w:val="-1"/>
              </w:rPr>
            </w:pPr>
            <w:r>
              <w:rPr>
                <w:spacing w:val="-1"/>
              </w:rPr>
              <w:t xml:space="preserve">109,745 </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199" w:type="dxa"/>
            <w:tcBorders>
              <w:bottom w:val="single" w:sz="2" w:space="0" w:color="000000"/>
            </w:tcBorders>
            <w:shd w:fill="auto" w:val="clear"/>
            <w:tcMar>
              <w:bottom w:w="50" w:type="dxa"/>
            </w:tcMar>
            <w:vAlign w:val="center"/>
          </w:tcPr>
          <w:p>
            <w:pPr>
              <w:pStyle w:val="TableContents"/>
              <w:spacing w:before="0" w:after="0"/>
              <w:jc w:val="center"/>
              <w:rPr>
                <w:spacing w:val="-1"/>
              </w:rPr>
            </w:pPr>
            <w:r>
              <w:rPr>
                <w:spacing w:val="-1"/>
              </w:rPr>
              <w:t xml:space="preserve">152,245 </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56" w:type="dxa"/>
            <w:tcBorders/>
            <w:shd w:fill="auto"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2328" w:type="dxa"/>
            <w:tcBorders>
              <w:bottom w:val="single" w:sz="2" w:space="0" w:color="000000"/>
            </w:tcBorders>
            <w:shd w:fill="auto" w:val="clear"/>
            <w:tcMar>
              <w:bottom w:w="50" w:type="dxa"/>
            </w:tcMar>
            <w:vAlign w:val="center"/>
          </w:tcPr>
          <w:p>
            <w:pPr>
              <w:pStyle w:val="TableContents"/>
              <w:spacing w:before="0" w:after="283"/>
              <w:jc w:val="left"/>
              <w:rPr>
                <w:spacing w:val="-1"/>
              </w:rPr>
            </w:pPr>
            <w:r>
              <w:rPr>
                <w:spacing w:val="-1"/>
              </w:rPr>
              <w:t xml:space="preserve">Carlo Rizzuto, Ph.D. </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2638" w:type="dxa"/>
            <w:tcBorders>
              <w:bottom w:val="single" w:sz="2" w:space="0" w:color="000000"/>
            </w:tcBorders>
            <w:shd w:fill="auto" w:val="clear"/>
            <w:tcMar>
              <w:bottom w:w="50" w:type="dxa"/>
            </w:tcMar>
            <w:vAlign w:val="center"/>
          </w:tcPr>
          <w:p>
            <w:pPr>
              <w:pStyle w:val="TableContents"/>
              <w:spacing w:before="0" w:after="0"/>
              <w:jc w:val="center"/>
              <w:rPr>
                <w:spacing w:val="-1"/>
              </w:rPr>
            </w:pPr>
            <w:r>
              <w:rPr>
                <w:spacing w:val="-1"/>
              </w:rPr>
              <w:t xml:space="preserve">49,000 </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928" w:type="dxa"/>
            <w:tcBorders>
              <w:bottom w:val="single" w:sz="2" w:space="0" w:color="000000"/>
            </w:tcBorders>
            <w:shd w:fill="auto" w:val="clear"/>
            <w:tcMar>
              <w:bottom w:w="50" w:type="dxa"/>
            </w:tcMar>
            <w:vAlign w:val="center"/>
          </w:tcPr>
          <w:p>
            <w:pPr>
              <w:pStyle w:val="TableContents"/>
              <w:spacing w:before="0" w:after="0"/>
              <w:jc w:val="center"/>
              <w:rPr>
                <w:spacing w:val="-1"/>
              </w:rPr>
            </w:pPr>
            <w:r>
              <w:rPr>
                <w:spacing w:val="-1"/>
              </w:rPr>
              <w:t xml:space="preserve">109,745 </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199" w:type="dxa"/>
            <w:tcBorders>
              <w:bottom w:val="single" w:sz="2" w:space="0" w:color="000000"/>
            </w:tcBorders>
            <w:shd w:fill="auto" w:val="clear"/>
            <w:tcMar>
              <w:bottom w:w="50" w:type="dxa"/>
            </w:tcMar>
            <w:vAlign w:val="center"/>
          </w:tcPr>
          <w:p>
            <w:pPr>
              <w:pStyle w:val="TableContents"/>
              <w:spacing w:before="0" w:after="0"/>
              <w:jc w:val="center"/>
              <w:rPr>
                <w:spacing w:val="-1"/>
              </w:rPr>
            </w:pPr>
            <w:r>
              <w:rPr>
                <w:spacing w:val="-1"/>
              </w:rPr>
              <w:t xml:space="preserve">158,745 </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56" w:type="dxa"/>
            <w:tcBorders/>
            <w:shd w:fill="auto"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2328" w:type="dxa"/>
            <w:tcBorders>
              <w:bottom w:val="single" w:sz="2" w:space="0" w:color="000000"/>
            </w:tcBorders>
            <w:shd w:fill="auto" w:val="clear"/>
            <w:tcMar>
              <w:bottom w:w="50" w:type="dxa"/>
            </w:tcMar>
            <w:vAlign w:val="center"/>
          </w:tcPr>
          <w:p>
            <w:pPr>
              <w:pStyle w:val="TableContents"/>
              <w:spacing w:before="0" w:after="283"/>
              <w:jc w:val="left"/>
              <w:rPr>
                <w:spacing w:val="-1"/>
              </w:rPr>
            </w:pPr>
            <w:r>
              <w:rPr>
                <w:spacing w:val="-1"/>
              </w:rPr>
              <w:t xml:space="preserve">Timothy Walbert </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2638" w:type="dxa"/>
            <w:tcBorders>
              <w:bottom w:val="single" w:sz="2" w:space="0" w:color="000000"/>
            </w:tcBorders>
            <w:shd w:fill="auto" w:val="clear"/>
            <w:tcMar>
              <w:bottom w:w="50" w:type="dxa"/>
            </w:tcMar>
            <w:vAlign w:val="center"/>
          </w:tcPr>
          <w:p>
            <w:pPr>
              <w:pStyle w:val="TableContents"/>
              <w:spacing w:before="0" w:after="0"/>
              <w:jc w:val="center"/>
              <w:rPr>
                <w:spacing w:val="-1"/>
              </w:rPr>
            </w:pPr>
            <w:r>
              <w:rPr>
                <w:spacing w:val="-1"/>
              </w:rPr>
              <w:t xml:space="preserve">10,000 </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928" w:type="dxa"/>
            <w:tcBorders>
              <w:bottom w:val="single" w:sz="2" w:space="0" w:color="000000"/>
            </w:tcBorders>
            <w:shd w:fill="auto" w:val="clear"/>
            <w:tcMar>
              <w:bottom w:w="50" w:type="dxa"/>
            </w:tcMar>
            <w:vAlign w:val="center"/>
          </w:tcPr>
          <w:p>
            <w:pPr>
              <w:pStyle w:val="TableContents"/>
              <w:spacing w:before="0" w:after="0"/>
              <w:jc w:val="center"/>
              <w:rPr>
                <w:spacing w:val="-1"/>
              </w:rPr>
            </w:pPr>
            <w:r>
              <w:rPr>
                <w:spacing w:val="-1"/>
              </w:rPr>
              <w:t xml:space="preserve">263,885 </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199" w:type="dxa"/>
            <w:tcBorders>
              <w:bottom w:val="single" w:sz="2" w:space="0" w:color="000000"/>
            </w:tcBorders>
            <w:shd w:fill="auto" w:val="clear"/>
            <w:tcMar>
              <w:bottom w:w="50" w:type="dxa"/>
            </w:tcMar>
            <w:vAlign w:val="center"/>
          </w:tcPr>
          <w:p>
            <w:pPr>
              <w:pStyle w:val="TableContents"/>
              <w:spacing w:before="0" w:after="0"/>
              <w:jc w:val="center"/>
              <w:rPr/>
            </w:pPr>
            <w:r>
              <w:rPr>
                <w:spacing w:val="-1"/>
              </w:rPr>
              <w:t>273,885</w:t>
            </w:r>
            <w:r>
              <w:rPr/>
              <w:t xml:space="preserve"> </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56" w:type="dxa"/>
            <w:tcBorders/>
            <w:shd w:fill="auto" w:val="clear"/>
            <w:vAlign w:val="center"/>
          </w:tcPr>
          <w:p>
            <w:pPr>
              <w:pStyle w:val="TableContents"/>
              <w:spacing w:before="0" w:after="283"/>
              <w:rPr/>
            </w:pPr>
            <w:r>
              <w:rPr/>
              <w:t>​</w:t>
            </w:r>
          </w:p>
        </w:tc>
      </w:tr>
    </w:tbl>
    <w:p>
      <w:pPr>
        <w:pStyle w:val="TextBody"/>
        <w:spacing w:before="0" w:after="0"/>
        <w:ind w:left="960" w:right="0" w:hanging="0"/>
        <w:rPr>
          <w:caps w:val="false"/>
          <w:smallCaps w:val="false"/>
          <w:color w:val="000000"/>
        </w:rPr>
      </w:pPr>
      <w:r>
        <w:rPr>
          <w:caps w:val="false"/>
          <w:smallCaps w:val="false"/>
          <w:color w:val="000000"/>
        </w:rPr>
        <w:t>​</w:t>
      </w:r>
    </w:p>
    <w:p>
      <w:pPr>
        <w:pStyle w:val="TextBody"/>
        <w:spacing w:lineRule="atLeast" w:line="200" w:before="44" w:after="0"/>
        <w:ind w:left="1360" w:right="0" w:hanging="0"/>
        <w:jc w:val="both"/>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0"/>
          <w:sz w:val="18"/>
        </w:rPr>
        <w:t>Amounts shown in this column do not reflect dollar amounts actually received by our directors. Instead, these amounts reflect the aggregate grant date fair value of each stock option granted in 2022 determined in accordance with the provisions of Financial Accounting Standards Board Accounting Standards, Codification Topic 718, Compensation  —  Stock Compensation, or FASB ASC Topic 718. The assumptions made in the calculation of these amounts are included in Note 2 of the Notes to Consolidated Financial Statements included in our 2022 Annual Report.</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27940" distB="0" distL="0" distR="0" simplePos="0" locked="0" layoutInCell="1" allowOverlap="1" relativeHeight="91">
                <wp:simplePos x="0" y="0"/>
                <wp:positionH relativeFrom="column">
                  <wp:align>left</wp:align>
                </wp:positionH>
                <wp:positionV relativeFrom="line">
                  <wp:align>top</wp:align>
                </wp:positionV>
                <wp:extent cx="254000" cy="262890"/>
                <wp:effectExtent l="0" t="0" r="0" b="0"/>
                <wp:wrapSquare wrapText="largest"/>
                <wp:docPr id="101" name="Frame68"/>
                <a:graphic xmlns:a="http://schemas.openxmlformats.org/drawingml/2006/main">
                  <a:graphicData uri="http://schemas.microsoft.com/office/word/2010/wordprocessingShape">
                    <wps:wsp>
                      <wps:cNvSpPr txBox="1"/>
                      <wps:spPr>
                        <a:xfrm>
                          <a:off x="0" y="0"/>
                          <a:ext cx="254000" cy="262890"/>
                        </a:xfrm>
                        <a:prstGeom prst="rect"/>
                      </wps:spPr>
                      <wps:txbx>
                        <w:txbxContent>
                          <w:p>
                            <w:pPr>
                              <w:pStyle w:val="TextBody"/>
                              <w:spacing w:lineRule="atLeast" w:line="200" w:before="0" w:after="283"/>
                              <w:jc w:val="both"/>
                              <w:rPr>
                                <w:sz w:val="18"/>
                              </w:rPr>
                            </w:pPr>
                            <w:r>
                              <w:rPr>
                                <w:spacing w:val="0"/>
                                <w:sz w:val="18"/>
                              </w:rPr>
                              <w:t>(1)</w:t>
                            </w:r>
                            <w:r>
                              <w:rPr>
                                <w:sz w:val="18"/>
                              </w:rPr>
                              <w:t xml:space="preserve"> </w:t>
                              <w:br/>
                            </w:r>
                          </w:p>
                        </w:txbxContent>
                      </wps:txbx>
                      <wps:bodyPr anchor="t" lIns="0" tIns="0" rIns="0" bIns="0">
                        <a:noAutofit/>
                      </wps:bodyPr>
                    </wps:wsp>
                  </a:graphicData>
                </a:graphic>
              </wp:anchor>
            </w:drawing>
          </mc:Choice>
          <mc:Fallback>
            <w:pict>
              <v:rect style="position:absolute;rotation:0;width:20pt;height:20.7pt;mso-wrap-distance-left:0pt;mso-wrap-distance-right:0pt;mso-wrap-distance-top:2.2pt;mso-wrap-distance-bottom:0pt;margin-top:2.2pt;mso-position-vertical:top;mso-position-vertical-relative:text;margin-left:0pt;mso-position-horizontal:left;mso-position-horizontal-relative:text">
                <v:textbox>
                  <w:txbxContent>
                    <w:p>
                      <w:pPr>
                        <w:pStyle w:val="TextBody"/>
                        <w:spacing w:lineRule="atLeast" w:line="200" w:before="0" w:after="283"/>
                        <w:jc w:val="both"/>
                        <w:rPr>
                          <w:sz w:val="18"/>
                        </w:rPr>
                      </w:pPr>
                      <w:r>
                        <w:rPr>
                          <w:spacing w:val="0"/>
                          <w:sz w:val="18"/>
                        </w:rPr>
                        <w:t>(1)</w:t>
                      </w:r>
                      <w:r>
                        <w:rPr>
                          <w:sz w:val="18"/>
                        </w:rPr>
                        <w:t xml:space="preserve"> </w:t>
                        <w:br/>
                      </w:r>
                    </w:p>
                  </w:txbxContent>
                </v:textbox>
                <w10:wrap type="square" side="right"/>
              </v:rect>
            </w:pict>
          </mc:Fallback>
        </mc:AlternateContent>
      </w:r>
    </w:p>
    <w:p>
      <w:pPr>
        <w:pStyle w:val="TextBody"/>
        <w:spacing w:before="0" w:after="0"/>
        <w:ind w:left="960" w:right="0" w:hanging="0"/>
        <w:rPr>
          <w:caps w:val="false"/>
          <w:smallCaps w:val="false"/>
          <w:color w:val="000000"/>
        </w:rPr>
      </w:pPr>
      <w:r>
        <w:rPr>
          <w:caps w:val="false"/>
          <w:smallCaps w:val="false"/>
          <w:color w:val="000000"/>
        </w:rPr>
        <w:t>​</w:t>
      </w:r>
    </w:p>
    <w:p>
      <w:pPr>
        <w:pStyle w:val="TextBody"/>
        <w:spacing w:lineRule="atLeast" w:line="240" w:before="100" w:after="283"/>
        <w:ind w:left="960" w:right="0" w:hanging="0"/>
        <w:jc w:val="righ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1DA46F"/>
          <w:spacing w:val="0"/>
          <w:sz w:val="20"/>
        </w:rPr>
        <w:t>Notice of Annual Meeting of Stockholders</w:t>
      </w:r>
      <w:r>
        <w:rPr>
          <w:rFonts w:ascii="Arial;Helvetica;sans-serif" w:hAnsi="Arial;Helvetica;sans-serif"/>
          <w:b/>
          <w:i w:val="false"/>
          <w:caps w:val="false"/>
          <w:smallCaps w:val="false"/>
          <w:color w:val="000000"/>
          <w:spacing w:val="0"/>
          <w:sz w:val="20"/>
        </w:rPr>
        <w:t> and 2023 Proxy Statement | </w:t>
      </w:r>
      <w:r>
        <w:rPr>
          <w:rFonts w:ascii="Arial;Helvetica;sans-serif" w:hAnsi="Arial;Helvetica;sans-serif"/>
          <w:b w:val="false"/>
          <w:i w:val="false"/>
          <w:caps w:val="false"/>
          <w:smallCaps w:val="false"/>
          <w:color w:val="000000"/>
          <w:spacing w:val="-1"/>
          <w:sz w:val="20"/>
        </w:rPr>
        <w:t>18</w:t>
      </w:r>
      <w:r>
        <w:rPr>
          <w:rFonts w:ascii="Arial;Helvetica;sans-serif" w:hAnsi="Arial;Helvetica;sans-serif"/>
          <w:b/>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tbl>
      <w:tblPr>
        <w:tblW w:w="3564" w:type="dxa"/>
        <w:jc w:val="left"/>
        <w:tblInd w:w="960" w:type="dxa"/>
        <w:tblCellMar>
          <w:top w:w="0" w:type="dxa"/>
          <w:left w:w="0" w:type="dxa"/>
          <w:bottom w:w="0" w:type="dxa"/>
          <w:right w:w="0" w:type="dxa"/>
        </w:tblCellMar>
      </w:tblPr>
      <w:tblGrid>
        <w:gridCol w:w="124"/>
        <w:gridCol w:w="3286"/>
        <w:gridCol w:w="154"/>
      </w:tblGrid>
      <w:tr>
        <w:trPr/>
        <w:tc>
          <w:tcPr>
            <w:tcW w:w="124" w:type="dxa"/>
            <w:tcBorders/>
            <w:shd w:fill="1DA46F" w:val="clear"/>
            <w:vAlign w:val="center"/>
          </w:tcPr>
          <w:p>
            <w:pPr>
              <w:pStyle w:val="TableContents"/>
              <w:spacing w:before="0" w:after="283"/>
              <w:rPr/>
            </w:pPr>
            <w:r>
              <w:rPr/>
              <w:t>​</w:t>
            </w:r>
          </w:p>
        </w:tc>
        <w:tc>
          <w:tcPr>
            <w:tcW w:w="3286" w:type="dxa"/>
            <w:tcBorders/>
            <w:shd w:fill="1DA46F" w:val="clear"/>
            <w:vAlign w:val="center"/>
          </w:tcPr>
          <w:p>
            <w:pPr>
              <w:pStyle w:val="TableContents"/>
              <w:spacing w:lineRule="atLeast" w:line="360" w:before="0" w:after="0"/>
              <w:rPr/>
            </w:pPr>
            <w:r>
              <w:rPr>
                <w:spacing w:val="-5"/>
              </w:rPr>
              <w:t>DIRECTOR COMPENSATION</w:t>
            </w:r>
            <w:r>
              <w:rPr/>
              <w:t xml:space="preserve"> </w:t>
            </w:r>
          </w:p>
        </w:tc>
        <w:tc>
          <w:tcPr>
            <w:tcW w:w="154" w:type="dxa"/>
            <w:tcBorders/>
            <w:shd w:fill="1DA46F" w:val="clear"/>
            <w:vAlign w:val="center"/>
          </w:tcPr>
          <w:p>
            <w:pPr>
              <w:pStyle w:val="TableContents"/>
              <w:spacing w:before="0" w:after="283"/>
              <w:rPr/>
            </w:pPr>
            <w:r>
              <w:rPr/>
              <w:t>​</w:t>
            </w:r>
          </w:p>
        </w:tc>
      </w:tr>
    </w:tbl>
    <w:p>
      <w:pPr>
        <w:pStyle w:val="TextBody"/>
        <w:spacing w:lineRule="atLeast" w:line="200" w:before="360" w:after="283"/>
        <w:ind w:left="1360" w:right="0" w:hanging="0"/>
        <w:jc w:val="both"/>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0"/>
          <w:sz w:val="18"/>
        </w:rPr>
        <w:t>As of December 31, 2022, Dr. Rizzuto held options to purchase 59,616 shares of our common stock; Ms. Butitta and Mr. Jimenez each held options to purchase 39,744 shares of our common stock; Dr. Riva and Dr. Blackwell each held options to purchase 139,227 shares of our common stock; and Mr. Walbert and Ms. Quimi each held options to purchase 39,744 shares of our common stock. As of December 31, 2022, Ms. Butitta held unvested stock awards totaling 74,202 shares of restricted stock.</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0" distB="0" distL="0" distR="0" simplePos="0" locked="0" layoutInCell="1" allowOverlap="1" relativeHeight="92">
                <wp:simplePos x="0" y="0"/>
                <wp:positionH relativeFrom="column">
                  <wp:align>left</wp:align>
                </wp:positionH>
                <wp:positionV relativeFrom="line">
                  <wp:posOffset>635</wp:posOffset>
                </wp:positionV>
                <wp:extent cx="254000" cy="350520"/>
                <wp:effectExtent l="0" t="0" r="0" b="0"/>
                <wp:wrapSquare wrapText="largest"/>
                <wp:docPr id="102" name="Frame69"/>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00" w:before="0" w:after="283"/>
                              <w:jc w:val="both"/>
                              <w:rPr/>
                            </w:pPr>
                            <w:r>
                              <w:rPr>
                                <w:spacing w:val="0"/>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tLeast" w:line="200" w:before="0" w:after="283"/>
                        <w:jc w:val="both"/>
                        <w:rPr/>
                      </w:pPr>
                      <w:r>
                        <w:rPr>
                          <w:spacing w:val="0"/>
                        </w:rPr>
                        <w:t>(2)</w:t>
                      </w:r>
                      <w:r>
                        <w:rPr/>
                        <w:t xml:space="preserve"> </w:t>
                        <w:br/>
                      </w:r>
                    </w:p>
                  </w:txbxContent>
                </v:textbox>
                <w10:wrap type="square" side="right"/>
              </v:rect>
            </w:pict>
          </mc:Fallback>
        </mc:AlternateContent>
      </w:r>
    </w:p>
    <w:p>
      <w:pPr>
        <w:pStyle w:val="TextBody"/>
        <w:spacing w:before="0" w:after="0"/>
        <w:ind w:left="960" w:right="0" w:hanging="0"/>
        <w:rPr>
          <w:caps w:val="false"/>
          <w:smallCaps w:val="false"/>
          <w:color w:val="000000"/>
        </w:rPr>
      </w:pPr>
      <w:r>
        <w:rPr>
          <w:caps w:val="false"/>
          <w:smallCaps w:val="false"/>
          <w:color w:val="000000"/>
        </w:rPr>
        <w:t>​</w:t>
      </w:r>
    </w:p>
    <w:p>
      <w:pPr>
        <w:pStyle w:val="TextBody"/>
        <w:spacing w:lineRule="atLeast" w:line="200" w:before="80" w:after="0"/>
        <w:ind w:left="1360" w:right="0" w:hanging="0"/>
        <w:jc w:val="both"/>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0"/>
          <w:sz w:val="18"/>
        </w:rPr>
        <w:t>Mr. Casdin resigned from our Board on September 28, 2022. As of December 31, 2022, Mr. Casdin did not hold any outstanding options.</w:t>
      </w:r>
      <w:r>
        <w:rPr>
          <w:rFonts w:ascii="Arial;Helvetica;sans-serif" w:hAnsi="Arial;Helvetica;sans-serif"/>
          <w:b w:val="false"/>
          <w:i w:val="false"/>
          <w:caps w:val="false"/>
          <w:smallCaps w:val="false"/>
          <w:color w:val="000000"/>
          <w:sz w:val="18"/>
        </w:rPr>
        <w:t xml:space="preserve"> </w:t>
      </w:r>
      <w:r>
        <mc:AlternateContent>
          <mc:Choice Requires="wps">
            <w:drawing>
              <wp:anchor behindDoc="0" distT="50800" distB="0" distL="0" distR="0" simplePos="0" locked="0" layoutInCell="1" allowOverlap="1" relativeHeight="93">
                <wp:simplePos x="0" y="0"/>
                <wp:positionH relativeFrom="column">
                  <wp:align>left</wp:align>
                </wp:positionH>
                <wp:positionV relativeFrom="line">
                  <wp:align>top</wp:align>
                </wp:positionV>
                <wp:extent cx="254000" cy="350520"/>
                <wp:effectExtent l="0" t="0" r="0" b="0"/>
                <wp:wrapSquare wrapText="largest"/>
                <wp:docPr id="103" name="Frame70"/>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00" w:before="0" w:after="283"/>
                              <w:jc w:val="both"/>
                              <w:rPr/>
                            </w:pPr>
                            <w:r>
                              <w:rPr>
                                <w:spacing w:val="0"/>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spacing w:lineRule="atLeast" w:line="200" w:before="0" w:after="283"/>
                        <w:jc w:val="both"/>
                        <w:rPr/>
                      </w:pPr>
                      <w:r>
                        <w:rPr>
                          <w:spacing w:val="0"/>
                        </w:rPr>
                        <w:t>(3)</w:t>
                      </w:r>
                      <w:r>
                        <w:rPr/>
                        <w:t xml:space="preserve"> </w:t>
                        <w:br/>
                      </w:r>
                    </w:p>
                  </w:txbxContent>
                </v:textbox>
                <w10:wrap type="square" side="right"/>
              </v:rect>
            </w:pict>
          </mc:Fallback>
        </mc:AlternateContent>
      </w:r>
    </w:p>
    <w:p>
      <w:pPr>
        <w:pStyle w:val="TextBody"/>
        <w:spacing w:before="0" w:after="0"/>
        <w:ind w:left="960" w:right="0" w:hanging="0"/>
        <w:rPr>
          <w:caps w:val="false"/>
          <w:smallCaps w:val="false"/>
          <w:color w:val="000000"/>
        </w:rPr>
      </w:pPr>
      <w:r>
        <w:rPr>
          <w:caps w:val="false"/>
          <w:smallCaps w:val="false"/>
          <w:color w:val="000000"/>
        </w:rPr>
        <w:t>​</w:t>
      </w:r>
    </w:p>
    <w:p>
      <w:pPr>
        <w:pStyle w:val="TextBody"/>
        <w:spacing w:lineRule="atLeast" w:line="240" w:before="100" w:after="283"/>
        <w:ind w:left="960" w:right="0" w:hanging="0"/>
        <w:jc w:val="righ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1DA46F"/>
          <w:spacing w:val="0"/>
          <w:sz w:val="20"/>
        </w:rPr>
        <w:t>Notice of Annual Meeting of Stockholders</w:t>
      </w:r>
      <w:r>
        <w:rPr>
          <w:rFonts w:ascii="Arial;Helvetica;sans-serif" w:hAnsi="Arial;Helvetica;sans-serif"/>
          <w:b/>
          <w:i w:val="false"/>
          <w:caps w:val="false"/>
          <w:smallCaps w:val="false"/>
          <w:color w:val="000000"/>
          <w:spacing w:val="0"/>
          <w:sz w:val="20"/>
        </w:rPr>
        <w:t> and 2023 Proxy Statement | </w:t>
      </w:r>
      <w:r>
        <w:rPr>
          <w:rFonts w:ascii="Arial;Helvetica;sans-serif" w:hAnsi="Arial;Helvetica;sans-serif"/>
          <w:b w:val="false"/>
          <w:i w:val="false"/>
          <w:caps w:val="false"/>
          <w:smallCaps w:val="false"/>
          <w:color w:val="000000"/>
          <w:spacing w:val="-1"/>
          <w:sz w:val="20"/>
        </w:rPr>
        <w:t>19</w:t>
      </w:r>
      <w:r>
        <w:rPr>
          <w:rFonts w:ascii="Arial;Helvetica;sans-serif" w:hAnsi="Arial;Helvetica;sans-serif"/>
          <w:b/>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41" w:name="tIRPA"/>
      <w:bookmarkEnd w:id="41"/>
      <w:r>
        <w:rPr>
          <w:rFonts w:ascii="calibri;arial;sans-serif" w:hAnsi="calibri;arial;sans-serif"/>
          <w:b w:val="false"/>
          <w:i w:val="false"/>
          <w:caps w:val="false"/>
          <w:smallCaps w:val="false"/>
          <w:color w:val="000000"/>
          <w:sz w:val="16"/>
        </w:rPr>
        <w:t>​</w:t>
      </w:r>
      <w:bookmarkStart w:id="42" w:name="tIRPA1"/>
      <w:bookmarkEnd w:id="42"/>
      <w:r>
        <w:rPr>
          <w:rFonts w:ascii="calibri;arial;sans-serif" w:hAnsi="calibri;arial;sans-serif"/>
          <w:b w:val="false"/>
          <w:i w:val="false"/>
          <w:caps w:val="false"/>
          <w:smallCaps w:val="false"/>
          <w:color w:val="000000"/>
          <w:sz w:val="16"/>
        </w:rPr>
        <w:t>​</w:t>
      </w:r>
      <w:bookmarkStart w:id="43" w:name="tACPP"/>
      <w:bookmarkEnd w:id="43"/>
      <w:r>
        <w:rPr>
          <w:rFonts w:ascii="calibri;arial;sans-serif" w:hAnsi="calibri;arial;sans-serif"/>
          <w:b w:val="false"/>
          <w:i w:val="false"/>
          <w:caps w:val="false"/>
          <w:smallCaps w:val="false"/>
          <w:color w:val="000000"/>
          <w:sz w:val="16"/>
        </w:rPr>
        <w:t xml:space="preserve">​ </w:t>
      </w:r>
    </w:p>
    <w:tbl>
      <w:tblPr>
        <w:tblW w:w="6174" w:type="dxa"/>
        <w:jc w:val="left"/>
        <w:tblInd w:w="960" w:type="dxa"/>
        <w:tblCellMar>
          <w:top w:w="0" w:type="dxa"/>
          <w:left w:w="0" w:type="dxa"/>
          <w:bottom w:w="0" w:type="dxa"/>
          <w:right w:w="0" w:type="dxa"/>
        </w:tblCellMar>
      </w:tblPr>
      <w:tblGrid>
        <w:gridCol w:w="124"/>
        <w:gridCol w:w="5896"/>
        <w:gridCol w:w="154"/>
      </w:tblGrid>
      <w:tr>
        <w:trPr/>
        <w:tc>
          <w:tcPr>
            <w:tcW w:w="124" w:type="dxa"/>
            <w:tcBorders/>
            <w:shd w:fill="1DA46F" w:val="clear"/>
            <w:vAlign w:val="center"/>
          </w:tcPr>
          <w:p>
            <w:pPr>
              <w:pStyle w:val="TableContents"/>
              <w:spacing w:before="0" w:after="283"/>
              <w:rPr/>
            </w:pPr>
            <w:r>
              <w:rPr/>
              <w:t>​</w:t>
            </w:r>
          </w:p>
        </w:tc>
        <w:tc>
          <w:tcPr>
            <w:tcW w:w="5896" w:type="dxa"/>
            <w:tcBorders/>
            <w:shd w:fill="1DA46F" w:val="clear"/>
            <w:vAlign w:val="center"/>
          </w:tcPr>
          <w:p>
            <w:pPr>
              <w:pStyle w:val="TableContents"/>
              <w:spacing w:lineRule="atLeast" w:line="432" w:before="0" w:after="0"/>
              <w:rPr/>
            </w:pPr>
            <w:r>
              <w:rPr>
                <w:spacing w:val="-5"/>
              </w:rPr>
              <w:t xml:space="preserve">INDEPENDENT REGISTERED PUBLIC ACCOUNTING </w:t>
            </w:r>
            <w:r>
              <w:rPr/>
              <w:br/>
            </w:r>
            <w:r>
              <w:rPr>
                <w:spacing w:val="-5"/>
              </w:rPr>
              <w:t>FIRM</w:t>
            </w:r>
            <w:r>
              <w:rPr/>
              <w:t xml:space="preserve"> </w:t>
            </w:r>
          </w:p>
        </w:tc>
        <w:tc>
          <w:tcPr>
            <w:tcW w:w="154" w:type="dxa"/>
            <w:tcBorders/>
            <w:shd w:fill="1DA46F" w:val="clear"/>
            <w:vAlign w:val="center"/>
          </w:tcPr>
          <w:p>
            <w:pPr>
              <w:pStyle w:val="TableContents"/>
              <w:spacing w:before="0" w:after="283"/>
              <w:rPr/>
            </w:pPr>
            <w:r>
              <w:rPr/>
              <w:t>​</w:t>
            </w:r>
          </w:p>
        </w:tc>
      </w:tr>
    </w:tbl>
    <w:p>
      <w:pPr>
        <w:pStyle w:val="TextBody"/>
        <w:spacing w:lineRule="atLeast" w:line="240" w:before="360" w:after="283"/>
        <w:ind w:left="960" w:right="0" w:hanging="0"/>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3"/>
          <w:sz w:val="20"/>
        </w:rPr>
        <w:t>INDEPENDENT REGISTERED PUBLIC ACCOUNTING FIRM FEES</w:t>
      </w:r>
      <w:r>
        <w:rPr>
          <w:rFonts w:ascii="Arial;Helvetica;sans-serif" w:hAnsi="Arial;Helvetica;sans-serif"/>
          <w:b/>
          <w:i w:val="false"/>
          <w:caps w:val="false"/>
          <w:smallCaps w:val="false"/>
          <w:color w:val="000000"/>
          <w:spacing w:val="4"/>
          <w:sz w:val="20"/>
        </w:rPr>
        <w:t xml:space="preserve"> </w:t>
      </w:r>
    </w:p>
    <w:p>
      <w:pPr>
        <w:pStyle w:val="TextBody"/>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The Audit Committee works with our management in order to negotiate appropriate fees with EY and is ultimately responsible for approving those fees. The following is a summary and description of fees for services provided by EY in 2022 and 2021.</w:t>
      </w:r>
      <w:r>
        <w:rPr>
          <w:rFonts w:ascii="Arial;Helvetica;sans-serif" w:hAnsi="Arial;Helvetica;sans-serif"/>
          <w:b w:val="false"/>
          <w:i w:val="false"/>
          <w:caps w:val="false"/>
          <w:smallCaps w:val="false"/>
          <w:color w:val="000000"/>
          <w:spacing w:val="4"/>
          <w:sz w:val="20"/>
        </w:rPr>
        <w:t xml:space="preserve"> </w:t>
      </w:r>
    </w:p>
    <w:tbl>
      <w:tblPr>
        <w:tblW w:w="5213" w:type="dxa"/>
        <w:jc w:val="left"/>
        <w:tblInd w:w="960" w:type="dxa"/>
        <w:tblCellMar>
          <w:top w:w="0" w:type="dxa"/>
          <w:left w:w="0" w:type="dxa"/>
          <w:bottom w:w="0" w:type="dxa"/>
          <w:right w:w="0" w:type="dxa"/>
        </w:tblCellMar>
      </w:tblPr>
      <w:tblGrid>
        <w:gridCol w:w="124"/>
        <w:gridCol w:w="109"/>
        <w:gridCol w:w="1981"/>
        <w:gridCol w:w="109"/>
        <w:gridCol w:w="109"/>
        <w:gridCol w:w="109"/>
        <w:gridCol w:w="964"/>
        <w:gridCol w:w="109"/>
        <w:gridCol w:w="109"/>
        <w:gridCol w:w="109"/>
        <w:gridCol w:w="1118"/>
        <w:gridCol w:w="109"/>
        <w:gridCol w:w="154"/>
      </w:tblGrid>
      <w:tr>
        <w:trPr/>
        <w:tc>
          <w:tcPr>
            <w:tcW w:w="124" w:type="dxa"/>
            <w:tcBorders/>
            <w:shd w:fill="auto" w:val="clear"/>
            <w:vAlign w:val="center"/>
          </w:tcPr>
          <w:p>
            <w:pPr>
              <w:pStyle w:val="TableContents"/>
              <w:spacing w:before="0" w:after="283"/>
              <w:rPr/>
            </w:pPr>
            <w:r>
              <w:rPr/>
              <w:t>​</w:t>
            </w:r>
          </w:p>
        </w:tc>
        <w:tc>
          <w:tcPr>
            <w:tcW w:w="109" w:type="dxa"/>
            <w:tcBorders>
              <w:bottom w:val="single" w:sz="2" w:space="0" w:color="000000"/>
            </w:tcBorders>
            <w:shd w:fill="148CD9" w:val="clear"/>
            <w:tcMar>
              <w:bottom w:w="28" w:type="dxa"/>
            </w:tcMar>
            <w:vAlign w:val="center"/>
          </w:tcPr>
          <w:p>
            <w:pPr>
              <w:pStyle w:val="TableContents"/>
              <w:spacing w:before="0" w:after="283"/>
              <w:rPr/>
            </w:pPr>
            <w:r>
              <w:rPr/>
              <w:t>​</w:t>
            </w:r>
          </w:p>
        </w:tc>
        <w:tc>
          <w:tcPr>
            <w:tcW w:w="1981" w:type="dxa"/>
            <w:tcBorders>
              <w:bottom w:val="single" w:sz="2" w:space="0" w:color="000000"/>
            </w:tcBorders>
            <w:shd w:fill="148CD9" w:val="clear"/>
            <w:tcMar>
              <w:bottom w:w="53" w:type="dxa"/>
            </w:tcMar>
            <w:vAlign w:val="center"/>
          </w:tcPr>
          <w:p>
            <w:pPr>
              <w:pStyle w:val="TableContents"/>
              <w:spacing w:before="0" w:after="0"/>
              <w:jc w:val="center"/>
              <w:rPr/>
            </w:pPr>
            <w:r>
              <w:rPr>
                <w:caps/>
                <w:spacing w:val="-2"/>
              </w:rPr>
              <w:t>SERVICE</w:t>
            </w:r>
            <w:r>
              <w:rPr/>
              <w:t xml:space="preserve"> </w:t>
            </w:r>
          </w:p>
        </w:tc>
        <w:tc>
          <w:tcPr>
            <w:tcW w:w="109" w:type="dxa"/>
            <w:tcBorders>
              <w:bottom w:val="single" w:sz="2" w:space="0" w:color="000000"/>
            </w:tcBorders>
            <w:shd w:fill="148CD9" w:val="clear"/>
            <w:tcMar>
              <w:bottom w:w="28" w:type="dxa"/>
            </w:tcMar>
            <w:vAlign w:val="center"/>
          </w:tcPr>
          <w:p>
            <w:pPr>
              <w:pStyle w:val="TableContents"/>
              <w:spacing w:before="0" w:after="283"/>
              <w:rPr/>
            </w:pPr>
            <w:r>
              <w:rPr/>
              <w:t>​</w:t>
            </w:r>
          </w:p>
        </w:tc>
        <w:tc>
          <w:tcPr>
            <w:tcW w:w="109" w:type="dxa"/>
            <w:tcBorders>
              <w:bottom w:val="single" w:sz="2" w:space="0" w:color="000000"/>
            </w:tcBorders>
            <w:shd w:fill="000000" w:val="clear"/>
            <w:tcMar>
              <w:bottom w:w="28" w:type="dxa"/>
            </w:tcMar>
            <w:vAlign w:val="center"/>
          </w:tcPr>
          <w:p>
            <w:pPr>
              <w:pStyle w:val="TableContents"/>
              <w:spacing w:before="0" w:after="283"/>
              <w:rPr/>
            </w:pPr>
            <w:r>
              <w:rPr/>
              <w:t>​</w:t>
            </w:r>
          </w:p>
        </w:tc>
        <w:tc>
          <w:tcPr>
            <w:tcW w:w="109" w:type="dxa"/>
            <w:tcBorders>
              <w:bottom w:val="single" w:sz="2" w:space="0" w:color="000000"/>
            </w:tcBorders>
            <w:shd w:fill="148CD9" w:val="clear"/>
            <w:tcMar>
              <w:bottom w:w="28" w:type="dxa"/>
            </w:tcMar>
            <w:vAlign w:val="center"/>
          </w:tcPr>
          <w:p>
            <w:pPr>
              <w:pStyle w:val="TableContents"/>
              <w:spacing w:before="0" w:after="283"/>
              <w:rPr/>
            </w:pPr>
            <w:r>
              <w:rPr/>
              <w:t>​</w:t>
            </w:r>
          </w:p>
        </w:tc>
        <w:tc>
          <w:tcPr>
            <w:tcW w:w="964" w:type="dxa"/>
            <w:tcBorders>
              <w:bottom w:val="single" w:sz="2" w:space="0" w:color="000000"/>
            </w:tcBorders>
            <w:shd w:fill="148CD9" w:val="clear"/>
            <w:tcMar>
              <w:bottom w:w="53" w:type="dxa"/>
            </w:tcMar>
            <w:vAlign w:val="center"/>
          </w:tcPr>
          <w:p>
            <w:pPr>
              <w:pStyle w:val="TableContents"/>
              <w:spacing w:before="0" w:after="0"/>
              <w:jc w:val="center"/>
              <w:rPr/>
            </w:pPr>
            <w:r>
              <w:rPr>
                <w:caps/>
                <w:spacing w:val="-2"/>
              </w:rPr>
              <w:t>2022 ($)</w:t>
            </w:r>
            <w:r>
              <w:rPr/>
              <w:t xml:space="preserve"> </w:t>
            </w:r>
          </w:p>
        </w:tc>
        <w:tc>
          <w:tcPr>
            <w:tcW w:w="109" w:type="dxa"/>
            <w:tcBorders>
              <w:bottom w:val="single" w:sz="2" w:space="0" w:color="000000"/>
            </w:tcBorders>
            <w:shd w:fill="148CD9" w:val="clear"/>
            <w:tcMar>
              <w:bottom w:w="28" w:type="dxa"/>
            </w:tcMar>
            <w:vAlign w:val="center"/>
          </w:tcPr>
          <w:p>
            <w:pPr>
              <w:pStyle w:val="TableContents"/>
              <w:spacing w:before="0" w:after="283"/>
              <w:rPr/>
            </w:pPr>
            <w:r>
              <w:rPr/>
              <w:t>​</w:t>
            </w:r>
          </w:p>
        </w:tc>
        <w:tc>
          <w:tcPr>
            <w:tcW w:w="109" w:type="dxa"/>
            <w:tcBorders>
              <w:bottom w:val="single" w:sz="2" w:space="0" w:color="000000"/>
            </w:tcBorders>
            <w:shd w:fill="000000" w:val="clear"/>
            <w:tcMar>
              <w:bottom w:w="28" w:type="dxa"/>
            </w:tcMar>
            <w:vAlign w:val="center"/>
          </w:tcPr>
          <w:p>
            <w:pPr>
              <w:pStyle w:val="TableContents"/>
              <w:spacing w:before="0" w:after="283"/>
              <w:rPr/>
            </w:pPr>
            <w:r>
              <w:rPr/>
              <w:t>​</w:t>
            </w:r>
          </w:p>
        </w:tc>
        <w:tc>
          <w:tcPr>
            <w:tcW w:w="109" w:type="dxa"/>
            <w:tcBorders>
              <w:bottom w:val="single" w:sz="2" w:space="0" w:color="000000"/>
            </w:tcBorders>
            <w:shd w:fill="148CD9" w:val="clear"/>
            <w:tcMar>
              <w:bottom w:w="28" w:type="dxa"/>
            </w:tcMar>
            <w:vAlign w:val="center"/>
          </w:tcPr>
          <w:p>
            <w:pPr>
              <w:pStyle w:val="TableContents"/>
              <w:spacing w:before="0" w:after="283"/>
              <w:rPr/>
            </w:pPr>
            <w:r>
              <w:rPr/>
              <w:t>​</w:t>
            </w:r>
          </w:p>
        </w:tc>
        <w:tc>
          <w:tcPr>
            <w:tcW w:w="1118" w:type="dxa"/>
            <w:tcBorders>
              <w:bottom w:val="single" w:sz="2" w:space="0" w:color="000000"/>
            </w:tcBorders>
            <w:shd w:fill="148CD9" w:val="clear"/>
            <w:tcMar>
              <w:bottom w:w="53" w:type="dxa"/>
            </w:tcMar>
            <w:vAlign w:val="center"/>
          </w:tcPr>
          <w:p>
            <w:pPr>
              <w:pStyle w:val="TableContents"/>
              <w:spacing w:before="0" w:after="0"/>
              <w:jc w:val="center"/>
              <w:rPr/>
            </w:pPr>
            <w:r>
              <w:rPr>
                <w:caps/>
                <w:spacing w:val="-2"/>
              </w:rPr>
              <w:t>2021 ($)</w:t>
            </w:r>
            <w:r>
              <w:rPr/>
              <w:t xml:space="preserve"> </w:t>
            </w:r>
          </w:p>
        </w:tc>
        <w:tc>
          <w:tcPr>
            <w:tcW w:w="109" w:type="dxa"/>
            <w:tcBorders>
              <w:bottom w:val="single" w:sz="2" w:space="0" w:color="000000"/>
            </w:tcBorders>
            <w:shd w:fill="148CD9" w:val="clear"/>
            <w:tcMar>
              <w:bottom w:w="28" w:type="dxa"/>
            </w:tcMar>
            <w:vAlign w:val="center"/>
          </w:tcPr>
          <w:p>
            <w:pPr>
              <w:pStyle w:val="TableContents"/>
              <w:spacing w:before="0" w:after="283"/>
              <w:rPr/>
            </w:pPr>
            <w:r>
              <w:rPr/>
              <w:t>​</w:t>
            </w:r>
          </w:p>
        </w:tc>
        <w:tc>
          <w:tcPr>
            <w:tcW w:w="154" w:type="dxa"/>
            <w:tcBorders/>
            <w:shd w:fill="auto"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981" w:type="dxa"/>
            <w:tcBorders>
              <w:bottom w:val="single" w:sz="2" w:space="0" w:color="000000"/>
            </w:tcBorders>
            <w:shd w:fill="auto" w:val="clear"/>
            <w:tcMar>
              <w:bottom w:w="50" w:type="dxa"/>
            </w:tcMar>
            <w:vAlign w:val="center"/>
          </w:tcPr>
          <w:p>
            <w:pPr>
              <w:pStyle w:val="TableContents"/>
              <w:spacing w:before="0" w:after="283"/>
              <w:jc w:val="left"/>
              <w:rPr>
                <w:spacing w:val="-1"/>
              </w:rPr>
            </w:pPr>
            <w:r>
              <w:rPr>
                <w:spacing w:val="-1"/>
              </w:rPr>
              <w:t xml:space="preserve">Audit Fees </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000000" w:val="clear"/>
            <w:tcMar>
              <w:bottom w:w="28" w:type="dxa"/>
            </w:tcM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964" w:type="dxa"/>
            <w:tcBorders>
              <w:bottom w:val="single" w:sz="2" w:space="0" w:color="000000"/>
            </w:tcBorders>
            <w:shd w:fill="auto" w:val="clear"/>
            <w:tcMar>
              <w:bottom w:w="50" w:type="dxa"/>
            </w:tcMar>
            <w:vAlign w:val="center"/>
          </w:tcPr>
          <w:p>
            <w:pPr>
              <w:pStyle w:val="TableContents"/>
              <w:spacing w:before="0" w:after="0"/>
              <w:jc w:val="center"/>
              <w:rPr>
                <w:spacing w:val="-1"/>
              </w:rPr>
            </w:pPr>
            <w:r>
              <w:rPr>
                <w:spacing w:val="-1"/>
              </w:rPr>
              <w:t xml:space="preserve">779,500 </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000000" w:val="clear"/>
            <w:tcMar>
              <w:bottom w:w="28" w:type="dxa"/>
            </w:tcM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118" w:type="dxa"/>
            <w:tcBorders>
              <w:bottom w:val="single" w:sz="2" w:space="0" w:color="000000"/>
            </w:tcBorders>
            <w:shd w:fill="auto" w:val="clear"/>
            <w:tcMar>
              <w:bottom w:w="50" w:type="dxa"/>
            </w:tcMar>
            <w:vAlign w:val="center"/>
          </w:tcPr>
          <w:p>
            <w:pPr>
              <w:pStyle w:val="TableContents"/>
              <w:spacing w:before="0" w:after="0"/>
              <w:jc w:val="center"/>
              <w:rPr>
                <w:spacing w:val="-1"/>
              </w:rPr>
            </w:pPr>
            <w:r>
              <w:rPr>
                <w:spacing w:val="-1"/>
              </w:rPr>
              <w:t xml:space="preserve">1,395,251 </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54" w:type="dxa"/>
            <w:tcBorders/>
            <w:shd w:fill="auto"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981" w:type="dxa"/>
            <w:tcBorders>
              <w:bottom w:val="single" w:sz="2" w:space="0" w:color="000000"/>
            </w:tcBorders>
            <w:shd w:fill="auto" w:val="clear"/>
            <w:tcMar>
              <w:bottom w:w="50" w:type="dxa"/>
            </w:tcMar>
            <w:vAlign w:val="center"/>
          </w:tcPr>
          <w:p>
            <w:pPr>
              <w:pStyle w:val="TableContents"/>
              <w:spacing w:before="0" w:after="283"/>
              <w:jc w:val="left"/>
              <w:rPr>
                <w:spacing w:val="-1"/>
              </w:rPr>
            </w:pPr>
            <w:r>
              <w:rPr>
                <w:spacing w:val="-1"/>
              </w:rPr>
              <w:t xml:space="preserve">Audit-Related Fees </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000000" w:val="clear"/>
            <w:tcMar>
              <w:bottom w:w="28" w:type="dxa"/>
            </w:tcM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964" w:type="dxa"/>
            <w:tcBorders>
              <w:bottom w:val="single" w:sz="2" w:space="0" w:color="000000"/>
            </w:tcBorders>
            <w:shd w:fill="auto" w:val="clear"/>
            <w:tcMar>
              <w:bottom w:w="50" w:type="dxa"/>
            </w:tcMar>
            <w:vAlign w:val="center"/>
          </w:tcPr>
          <w:p>
            <w:pPr>
              <w:pStyle w:val="TableContents"/>
              <w:spacing w:before="0" w:after="0"/>
              <w:jc w:val="center"/>
              <w:rPr/>
            </w:pPr>
            <w:r>
              <w:rPr>
                <w:spacing w:val="-1"/>
              </w:rPr>
              <w:t>—</w:t>
            </w:r>
            <w:r>
              <w:rPr/>
              <w:t xml:space="preserve"> </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000000" w:val="clear"/>
            <w:tcMar>
              <w:bottom w:w="28" w:type="dxa"/>
            </w:tcM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118" w:type="dxa"/>
            <w:tcBorders>
              <w:bottom w:val="single" w:sz="2" w:space="0" w:color="000000"/>
            </w:tcBorders>
            <w:shd w:fill="auto" w:val="clear"/>
            <w:tcMar>
              <w:bottom w:w="50" w:type="dxa"/>
            </w:tcMar>
            <w:vAlign w:val="center"/>
          </w:tcPr>
          <w:p>
            <w:pPr>
              <w:pStyle w:val="TableContents"/>
              <w:spacing w:before="0" w:after="0"/>
              <w:jc w:val="center"/>
              <w:rPr/>
            </w:pPr>
            <w:r>
              <w:rPr>
                <w:spacing w:val="-1"/>
              </w:rPr>
              <w:t>—</w:t>
            </w:r>
            <w:r>
              <w:rPr/>
              <w:t xml:space="preserve"> </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54" w:type="dxa"/>
            <w:tcBorders/>
            <w:shd w:fill="auto"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981" w:type="dxa"/>
            <w:tcBorders>
              <w:bottom w:val="single" w:sz="2" w:space="0" w:color="000000"/>
            </w:tcBorders>
            <w:shd w:fill="auto" w:val="clear"/>
            <w:tcMar>
              <w:bottom w:w="50" w:type="dxa"/>
            </w:tcMar>
            <w:vAlign w:val="center"/>
          </w:tcPr>
          <w:p>
            <w:pPr>
              <w:pStyle w:val="TableContents"/>
              <w:spacing w:before="0" w:after="283"/>
              <w:jc w:val="left"/>
              <w:rPr>
                <w:spacing w:val="-1"/>
              </w:rPr>
            </w:pPr>
            <w:r>
              <w:rPr>
                <w:spacing w:val="-1"/>
              </w:rPr>
              <w:t xml:space="preserve">Tax Fees </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000000" w:val="clear"/>
            <w:tcMar>
              <w:bottom w:w="28" w:type="dxa"/>
            </w:tcM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964" w:type="dxa"/>
            <w:tcBorders>
              <w:bottom w:val="single" w:sz="2" w:space="0" w:color="000000"/>
            </w:tcBorders>
            <w:shd w:fill="auto" w:val="clear"/>
            <w:tcMar>
              <w:bottom w:w="50" w:type="dxa"/>
            </w:tcMar>
            <w:vAlign w:val="center"/>
          </w:tcPr>
          <w:p>
            <w:pPr>
              <w:pStyle w:val="TableContents"/>
              <w:spacing w:before="0" w:after="0"/>
              <w:jc w:val="center"/>
              <w:rPr>
                <w:spacing w:val="-1"/>
              </w:rPr>
            </w:pPr>
            <w:r>
              <w:rPr>
                <w:spacing w:val="-1"/>
              </w:rPr>
              <w:t xml:space="preserve">198,018 </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000000" w:val="clear"/>
            <w:tcMar>
              <w:bottom w:w="28" w:type="dxa"/>
            </w:tcM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118" w:type="dxa"/>
            <w:tcBorders>
              <w:bottom w:val="single" w:sz="2" w:space="0" w:color="000000"/>
            </w:tcBorders>
            <w:shd w:fill="auto" w:val="clear"/>
            <w:tcMar>
              <w:bottom w:w="50" w:type="dxa"/>
            </w:tcMar>
            <w:vAlign w:val="center"/>
          </w:tcPr>
          <w:p>
            <w:pPr>
              <w:pStyle w:val="TableContents"/>
              <w:spacing w:before="0" w:after="0"/>
              <w:jc w:val="center"/>
              <w:rPr>
                <w:spacing w:val="-1"/>
              </w:rPr>
            </w:pPr>
            <w:r>
              <w:rPr>
                <w:spacing w:val="-1"/>
              </w:rPr>
              <w:t xml:space="preserve">452,673 </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54" w:type="dxa"/>
            <w:tcBorders/>
            <w:shd w:fill="auto"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981" w:type="dxa"/>
            <w:tcBorders>
              <w:bottom w:val="single" w:sz="2" w:space="0" w:color="000000"/>
            </w:tcBorders>
            <w:shd w:fill="auto" w:val="clear"/>
            <w:tcMar>
              <w:bottom w:w="50" w:type="dxa"/>
            </w:tcMar>
            <w:vAlign w:val="center"/>
          </w:tcPr>
          <w:p>
            <w:pPr>
              <w:pStyle w:val="TableContents"/>
              <w:spacing w:before="0" w:after="283"/>
              <w:jc w:val="left"/>
              <w:rPr>
                <w:spacing w:val="-1"/>
              </w:rPr>
            </w:pPr>
            <w:r>
              <w:rPr>
                <w:spacing w:val="-1"/>
              </w:rPr>
              <w:t xml:space="preserve">All Other Fees </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000000" w:val="clear"/>
            <w:tcMar>
              <w:bottom w:w="28" w:type="dxa"/>
            </w:tcM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964" w:type="dxa"/>
            <w:tcBorders>
              <w:bottom w:val="single" w:sz="2" w:space="0" w:color="000000"/>
            </w:tcBorders>
            <w:shd w:fill="auto" w:val="clear"/>
            <w:tcMar>
              <w:bottom w:w="50" w:type="dxa"/>
            </w:tcMar>
            <w:vAlign w:val="center"/>
          </w:tcPr>
          <w:p>
            <w:pPr>
              <w:pStyle w:val="TableContents"/>
              <w:spacing w:before="0" w:after="0"/>
              <w:jc w:val="center"/>
              <w:rPr/>
            </w:pPr>
            <w:r>
              <w:rPr>
                <w:spacing w:val="-1"/>
              </w:rPr>
              <w:t>—</w:t>
            </w:r>
            <w:r>
              <w:rPr/>
              <w:t xml:space="preserve"> </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000000" w:val="clear"/>
            <w:tcMar>
              <w:bottom w:w="28" w:type="dxa"/>
            </w:tcM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118" w:type="dxa"/>
            <w:tcBorders>
              <w:bottom w:val="single" w:sz="2" w:space="0" w:color="000000"/>
            </w:tcBorders>
            <w:shd w:fill="auto" w:val="clear"/>
            <w:tcMar>
              <w:bottom w:w="50" w:type="dxa"/>
            </w:tcMar>
            <w:vAlign w:val="center"/>
          </w:tcPr>
          <w:p>
            <w:pPr>
              <w:pStyle w:val="TableContents"/>
              <w:spacing w:before="0" w:after="0"/>
              <w:jc w:val="center"/>
              <w:rPr/>
            </w:pPr>
            <w:r>
              <w:rPr>
                <w:spacing w:val="-1"/>
              </w:rPr>
              <w:t>—</w:t>
            </w:r>
            <w:r>
              <w:rPr/>
              <w:t xml:space="preserve"> </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54" w:type="dxa"/>
            <w:tcBorders/>
            <w:shd w:fill="auto"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981" w:type="dxa"/>
            <w:tcBorders>
              <w:bottom w:val="single" w:sz="2" w:space="0" w:color="000000"/>
            </w:tcBorders>
            <w:shd w:fill="auto" w:val="clear"/>
            <w:tcMar>
              <w:bottom w:w="50" w:type="dxa"/>
            </w:tcMar>
            <w:vAlign w:val="center"/>
          </w:tcPr>
          <w:p>
            <w:pPr>
              <w:pStyle w:val="TableContents"/>
              <w:spacing w:before="0" w:after="0"/>
              <w:jc w:val="left"/>
              <w:rPr>
                <w:b/>
              </w:rPr>
            </w:pPr>
            <w:r>
              <w:rPr>
                <w:b/>
                <w:spacing w:val="0"/>
              </w:rPr>
              <w:t>Total</w:t>
            </w:r>
            <w:r>
              <w:rPr>
                <w:b/>
              </w:rPr>
              <w:t xml:space="preserve"> </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000000" w:val="clear"/>
            <w:tcMar>
              <w:bottom w:w="28" w:type="dxa"/>
            </w:tcM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964" w:type="dxa"/>
            <w:tcBorders>
              <w:bottom w:val="single" w:sz="2" w:space="0" w:color="000000"/>
            </w:tcBorders>
            <w:shd w:fill="auto" w:val="clear"/>
            <w:tcMar>
              <w:bottom w:w="50" w:type="dxa"/>
            </w:tcMar>
            <w:vAlign w:val="center"/>
          </w:tcPr>
          <w:p>
            <w:pPr>
              <w:pStyle w:val="TableContents"/>
              <w:spacing w:before="0" w:after="0"/>
              <w:jc w:val="center"/>
              <w:rPr>
                <w:spacing w:val="-1"/>
              </w:rPr>
            </w:pPr>
            <w:r>
              <w:rPr>
                <w:spacing w:val="-1"/>
              </w:rPr>
              <w:t xml:space="preserve">977,518 </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000000" w:val="clear"/>
            <w:tcMar>
              <w:bottom w:w="28" w:type="dxa"/>
            </w:tcM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118" w:type="dxa"/>
            <w:tcBorders>
              <w:bottom w:val="single" w:sz="2" w:space="0" w:color="000000"/>
            </w:tcBorders>
            <w:shd w:fill="auto" w:val="clear"/>
            <w:tcMar>
              <w:bottom w:w="50" w:type="dxa"/>
            </w:tcMar>
            <w:vAlign w:val="center"/>
          </w:tcPr>
          <w:p>
            <w:pPr>
              <w:pStyle w:val="TableContents"/>
              <w:spacing w:before="0" w:after="0"/>
              <w:jc w:val="center"/>
              <w:rPr/>
            </w:pPr>
            <w:r>
              <w:rPr>
                <w:spacing w:val="-1"/>
              </w:rPr>
              <w:t>1,847,924</w:t>
            </w:r>
            <w:r>
              <w:rPr/>
              <w:t xml:space="preserve"> </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54" w:type="dxa"/>
            <w:tcBorders/>
            <w:shd w:fill="auto" w:val="clear"/>
            <w:vAlign w:val="center"/>
          </w:tcPr>
          <w:p>
            <w:pPr>
              <w:pStyle w:val="TableContents"/>
              <w:spacing w:before="0" w:after="283"/>
              <w:rPr/>
            </w:pPr>
            <w:r>
              <w:rPr/>
              <w:t>​</w:t>
            </w:r>
          </w:p>
        </w:tc>
      </w:tr>
    </w:tbl>
    <w:p>
      <w:pPr>
        <w:pStyle w:val="TextBody"/>
        <w:spacing w:lineRule="atLeast" w:line="240" w:before="150" w:after="283"/>
        <w:ind w:left="960" w:right="0" w:hanging="0"/>
        <w:jc w:val="both"/>
        <w:rPr>
          <w:caps w:val="false"/>
          <w:smallCaps w:val="false"/>
          <w:color w:val="000000"/>
        </w:rPr>
      </w:pPr>
      <w:r>
        <w:rPr>
          <w:caps w:val="false"/>
          <w:smallCaps w:val="false"/>
          <w:color w:val="000000"/>
          <w:spacing w:val="-1"/>
        </w:rPr>
        <w:t>“</w:t>
      </w:r>
      <w:r>
        <w:rPr>
          <w:rFonts w:ascii="Arial;Helvetica;sans-serif" w:hAnsi="Arial;Helvetica;sans-serif"/>
          <w:b/>
          <w:i w:val="false"/>
          <w:caps w:val="false"/>
          <w:smallCaps w:val="false"/>
          <w:color w:val="000000"/>
          <w:spacing w:val="0"/>
          <w:sz w:val="20"/>
        </w:rPr>
        <w:t>Audit fees</w:t>
      </w:r>
      <w:r>
        <w:rPr>
          <w:rFonts w:ascii="Arial;Helvetica;sans-serif" w:hAnsi="Arial;Helvetica;sans-serif"/>
          <w:b w:val="false"/>
          <w:i w:val="false"/>
          <w:caps w:val="false"/>
          <w:smallCaps w:val="false"/>
          <w:color w:val="000000"/>
          <w:spacing w:val="-1"/>
          <w:sz w:val="20"/>
        </w:rPr>
        <w:t>” represents the aggregate fees for professional services rendered for the audit of our financial statements and the review of our quarterly financial statements on Form 10-Q that are customary under the standards of the Public Company Accounting Oversight Board (United States), or the PCAOB. Also included are the fees related to our Registration Statements on Form S-1, Form S-3 and Form S-8.</w:t>
      </w:r>
      <w:r>
        <w:rPr>
          <w:rFonts w:ascii="Arial;Helvetica;sans-serif" w:hAnsi="Arial;Helvetica;sans-serif"/>
          <w:b w:val="false"/>
          <w:i w:val="false"/>
          <w:caps w:val="false"/>
          <w:smallCaps w:val="false"/>
          <w:color w:val="000000"/>
          <w:spacing w:val="4"/>
          <w:sz w:val="20"/>
        </w:rPr>
        <w:t xml:space="preserve"> </w:t>
      </w:r>
    </w:p>
    <w:p>
      <w:pPr>
        <w:pStyle w:val="TextBody"/>
        <w:spacing w:lineRule="atLeast" w:line="240" w:before="160" w:after="283"/>
        <w:jc w:val="both"/>
        <w:rPr>
          <w:caps w:val="false"/>
          <w:smallCaps w:val="false"/>
          <w:color w:val="000000"/>
        </w:rPr>
      </w:pPr>
      <w:r>
        <w:rPr>
          <w:caps w:val="false"/>
          <w:smallCaps w:val="false"/>
          <w:color w:val="000000"/>
          <w:spacing w:val="-1"/>
        </w:rPr>
        <w:t>“</w:t>
      </w:r>
      <w:r>
        <w:rPr>
          <w:rFonts w:ascii="Arial;Helvetica;sans-serif" w:hAnsi="Arial;Helvetica;sans-serif"/>
          <w:b/>
          <w:i w:val="false"/>
          <w:caps w:val="false"/>
          <w:smallCaps w:val="false"/>
          <w:color w:val="000000"/>
          <w:spacing w:val="0"/>
          <w:sz w:val="20"/>
        </w:rPr>
        <w:t>Tax fees</w:t>
      </w:r>
      <w:r>
        <w:rPr>
          <w:rFonts w:ascii="Arial;Helvetica;sans-serif" w:hAnsi="Arial;Helvetica;sans-serif"/>
          <w:b w:val="false"/>
          <w:i w:val="false"/>
          <w:caps w:val="false"/>
          <w:smallCaps w:val="false"/>
          <w:color w:val="000000"/>
          <w:spacing w:val="-1"/>
          <w:sz w:val="20"/>
        </w:rPr>
        <w:t>” consists of fees related to tax compliance, tax planning and tax advice.</w:t>
      </w:r>
      <w:r>
        <w:rPr>
          <w:rFonts w:ascii="Arial;Helvetica;sans-serif" w:hAnsi="Arial;Helvetica;sans-serif"/>
          <w:b w:val="false"/>
          <w:i w:val="false"/>
          <w:caps w:val="false"/>
          <w:smallCaps w:val="false"/>
          <w:color w:val="000000"/>
          <w:spacing w:val="4"/>
          <w:sz w:val="20"/>
        </w:rPr>
        <w:t xml:space="preserve"> </w:t>
      </w:r>
    </w:p>
    <w:p>
      <w:pPr>
        <w:pStyle w:val="TextBody"/>
        <w:spacing w:lineRule="atLeast" w:line="240" w:before="240" w:after="283"/>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3"/>
          <w:sz w:val="20"/>
        </w:rPr>
        <w:t>AUDIT COMMITTEE PRE-APPROVAL POLICIES AND PROCEDURES</w:t>
      </w:r>
      <w:r>
        <w:rPr>
          <w:rFonts w:ascii="Arial;Helvetica;sans-serif" w:hAnsi="Arial;Helvetica;sans-serif"/>
          <w:b/>
          <w:i w:val="false"/>
          <w:caps w:val="false"/>
          <w:smallCaps w:val="false"/>
          <w:color w:val="000000"/>
          <w:spacing w:val="4"/>
          <w:sz w:val="20"/>
        </w:rPr>
        <w:t xml:space="preserve"> </w:t>
      </w:r>
    </w:p>
    <w:p>
      <w:pPr>
        <w:pStyle w:val="TextBody"/>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The Audit Committee is responsible for appointing, retaining, setting compensation for, and evaluating and overseeing the work of the independent registered public accounting firm. The Audit Committee’s charter establishes a policy that all audit and permissible non-audit services provided by the independent registered public accounting firm will be pre-approved by the Audit Committee.</w:t>
      </w:r>
      <w:r>
        <w:rPr>
          <w:rFonts w:ascii="Arial;Helvetica;sans-serif" w:hAnsi="Arial;Helvetica;sans-serif"/>
          <w:b w:val="false"/>
          <w:i w:val="false"/>
          <w:caps w:val="false"/>
          <w:smallCaps w:val="false"/>
          <w:color w:val="000000"/>
          <w:spacing w:val="4"/>
          <w:sz w:val="20"/>
        </w:rPr>
        <w:t xml:space="preserve"> </w:t>
      </w:r>
    </w:p>
    <w:p>
      <w:pPr>
        <w:pStyle w:val="TextBody"/>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The above-described services provided to us by EY prior to our initial public offering, or IPO, in June 2021 were provided under engagements entered into prior to our adoption of our pre-approval policies and, following our IPO, in accordance with such policies. These services may include audit services, audit-related services, tax services and other services. The Audit Committee considers whether the provision of each non-audit service is compatible with maintaining the independence of our independent registered public accounting firm.</w:t>
      </w:r>
      <w:r>
        <w:rPr>
          <w:rFonts w:ascii="Arial;Helvetica;sans-serif" w:hAnsi="Arial;Helvetica;sans-serif"/>
          <w:b w:val="false"/>
          <w:i w:val="false"/>
          <w:caps w:val="false"/>
          <w:smallCaps w:val="false"/>
          <w:color w:val="000000"/>
          <w:sz w:val="20"/>
        </w:rPr>
        <w:t xml:space="preserve"> </w:t>
      </w:r>
    </w:p>
    <w:p>
      <w:pPr>
        <w:pStyle w:val="TextBody"/>
        <w:spacing w:lineRule="atLeast" w:line="240" w:before="100" w:after="283"/>
        <w:ind w:left="960" w:right="0" w:hanging="0"/>
        <w:jc w:val="righ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1DA46F"/>
          <w:spacing w:val="0"/>
          <w:sz w:val="20"/>
        </w:rPr>
        <w:t>Notice of Annual Meeting of Stockholders</w:t>
      </w:r>
      <w:r>
        <w:rPr>
          <w:rFonts w:ascii="Arial;Helvetica;sans-serif" w:hAnsi="Arial;Helvetica;sans-serif"/>
          <w:b/>
          <w:i w:val="false"/>
          <w:caps w:val="false"/>
          <w:smallCaps w:val="false"/>
          <w:color w:val="000000"/>
          <w:spacing w:val="0"/>
          <w:sz w:val="20"/>
        </w:rPr>
        <w:t> and 2023 Proxy Statement | </w:t>
      </w:r>
      <w:r>
        <w:rPr>
          <w:rFonts w:ascii="Arial;Helvetica;sans-serif" w:hAnsi="Arial;Helvetica;sans-serif"/>
          <w:b w:val="false"/>
          <w:i w:val="false"/>
          <w:caps w:val="false"/>
          <w:smallCaps w:val="false"/>
          <w:color w:val="000000"/>
          <w:spacing w:val="-1"/>
          <w:sz w:val="20"/>
        </w:rPr>
        <w:t>20</w:t>
      </w:r>
      <w:r>
        <w:rPr>
          <w:rFonts w:ascii="Arial;Helvetica;sans-serif" w:hAnsi="Arial;Helvetica;sans-serif"/>
          <w:b/>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44" w:name="tACR"/>
      <w:bookmarkEnd w:id="44"/>
      <w:r>
        <w:rPr>
          <w:rFonts w:ascii="calibri;arial;sans-serif" w:hAnsi="calibri;arial;sans-serif"/>
          <w:b w:val="false"/>
          <w:i w:val="false"/>
          <w:caps w:val="false"/>
          <w:smallCaps w:val="false"/>
          <w:color w:val="000000"/>
          <w:sz w:val="16"/>
        </w:rPr>
        <w:t xml:space="preserve">​ </w:t>
      </w:r>
    </w:p>
    <w:tbl>
      <w:tblPr>
        <w:tblW w:w="3629" w:type="dxa"/>
        <w:jc w:val="left"/>
        <w:tblInd w:w="960" w:type="dxa"/>
        <w:tblCellMar>
          <w:top w:w="0" w:type="dxa"/>
          <w:left w:w="0" w:type="dxa"/>
          <w:bottom w:w="0" w:type="dxa"/>
          <w:right w:w="0" w:type="dxa"/>
        </w:tblCellMar>
      </w:tblPr>
      <w:tblGrid>
        <w:gridCol w:w="124"/>
        <w:gridCol w:w="3351"/>
        <w:gridCol w:w="154"/>
      </w:tblGrid>
      <w:tr>
        <w:trPr/>
        <w:tc>
          <w:tcPr>
            <w:tcW w:w="124" w:type="dxa"/>
            <w:tcBorders/>
            <w:shd w:fill="1DA46F" w:val="clear"/>
            <w:vAlign w:val="center"/>
          </w:tcPr>
          <w:p>
            <w:pPr>
              <w:pStyle w:val="TableContents"/>
              <w:spacing w:before="0" w:after="283"/>
              <w:rPr/>
            </w:pPr>
            <w:r>
              <w:rPr/>
              <w:t>​</w:t>
            </w:r>
          </w:p>
        </w:tc>
        <w:tc>
          <w:tcPr>
            <w:tcW w:w="3351" w:type="dxa"/>
            <w:tcBorders/>
            <w:shd w:fill="1DA46F" w:val="clear"/>
            <w:vAlign w:val="center"/>
          </w:tcPr>
          <w:p>
            <w:pPr>
              <w:pStyle w:val="TableContents"/>
              <w:spacing w:lineRule="atLeast" w:line="360" w:before="0" w:after="0"/>
              <w:rPr/>
            </w:pPr>
            <w:r>
              <w:rPr>
                <w:spacing w:val="-5"/>
              </w:rPr>
              <w:t>AUDIT COMMITTEE REPORT</w:t>
            </w:r>
            <w:r>
              <w:rPr/>
              <w:t xml:space="preserve"> </w:t>
            </w:r>
          </w:p>
        </w:tc>
        <w:tc>
          <w:tcPr>
            <w:tcW w:w="154" w:type="dxa"/>
            <w:tcBorders/>
            <w:shd w:fill="1DA46F" w:val="clear"/>
            <w:vAlign w:val="center"/>
          </w:tcPr>
          <w:p>
            <w:pPr>
              <w:pStyle w:val="TableContents"/>
              <w:spacing w:before="0" w:after="283"/>
              <w:rPr/>
            </w:pPr>
            <w:r>
              <w:rPr/>
              <w:t>​</w:t>
            </w:r>
          </w:p>
        </w:tc>
      </w:tr>
    </w:tbl>
    <w:p>
      <w:pPr>
        <w:pStyle w:val="TextBody"/>
        <w:spacing w:lineRule="atLeast" w:line="240" w:before="360" w:after="283"/>
        <w:ind w:left="96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The audit committee is appointed by the board of directors to assist the board of directors in fulfilling its oversight responsibilities with respect to (1) the integrity of the Company’s financial statements and financial reporting process and systems of internal controls regarding finance, accounting, and compliance with legal and regulatory requirements, (2) the qualifications, independence, and performance of the Company’s independent registered public accounting firm, (3) the performance of the Company’s internal audit function, if any, and (4) other matters as set forth in the charter of the audit committee approved by the board of directors.</w:t>
      </w:r>
      <w:r>
        <w:rPr>
          <w:rFonts w:ascii="Arial;Helvetica;sans-serif" w:hAnsi="Arial;Helvetica;sans-serif"/>
          <w:b w:val="false"/>
          <w:i w:val="false"/>
          <w:caps w:val="false"/>
          <w:smallCaps w:val="false"/>
          <w:color w:val="000000"/>
          <w:spacing w:val="4"/>
          <w:sz w:val="20"/>
        </w:rPr>
        <w:t xml:space="preserve"> </w:t>
      </w:r>
    </w:p>
    <w:p>
      <w:pPr>
        <w:pStyle w:val="TextBody"/>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Management is responsible for the preparation of the Company’s financial statements and the financial reporting process, including its system of internal control over financial reporting and its disclosure controls and procedures. The independent registered public accounting firm is responsible for performing an audit of the Company’s financial statements in accordance with the standards of the Public Company Accounting Oversight Board, or the PCAOB, and issuing a report thereon. The audit committee’s responsibility is to monitor and oversee these processes.</w:t>
      </w:r>
      <w:r>
        <w:rPr>
          <w:rFonts w:ascii="Arial;Helvetica;sans-serif" w:hAnsi="Arial;Helvetica;sans-serif"/>
          <w:b w:val="false"/>
          <w:i w:val="false"/>
          <w:caps w:val="false"/>
          <w:smallCaps w:val="false"/>
          <w:color w:val="000000"/>
          <w:spacing w:val="4"/>
          <w:sz w:val="20"/>
        </w:rPr>
        <w:t xml:space="preserve"> </w:t>
      </w:r>
    </w:p>
    <w:p>
      <w:pPr>
        <w:pStyle w:val="TextBody"/>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In connection with these responsibilities, the audit committee reviewed and discussed with management and the independent registered public accounting firm the audited consolidated financial statements of the Company for the fiscal year ended December 31, 2022. The audit committee also discussed with the independent registered public accounting firm the matters required to be discussed by the PCAOB’s Auditing Standard No. 1301, Communication with Audit Committees. In addition, the audit committee received written communications from the independent registered public accounting firm confirming their independence as required by the applicable requirements of the PCAOB and has discussed with the independent registered public accounting firm their independence.</w:t>
      </w:r>
      <w:r>
        <w:rPr>
          <w:rFonts w:ascii="Arial;Helvetica;sans-serif" w:hAnsi="Arial;Helvetica;sans-serif"/>
          <w:b w:val="false"/>
          <w:i w:val="false"/>
          <w:caps w:val="false"/>
          <w:smallCaps w:val="false"/>
          <w:color w:val="000000"/>
          <w:spacing w:val="4"/>
          <w:sz w:val="20"/>
        </w:rPr>
        <w:t xml:space="preserve"> </w:t>
      </w:r>
    </w:p>
    <w:p>
      <w:pPr>
        <w:pStyle w:val="TextBody"/>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Based on the reviews and discussions referred to above, the audit committee recommended to the board of directors that the audited consolidated financial statements of the Company be included in the Company’s Annual Report on Form 10-K for the fiscal year ended December 31, 2022, that was filed with the SEC. The information contained in this report shall not be deemed to be (1) “soliciting material,” ​(2) “filed” with the SEC, (3) subject to Regulations 14A or 14C of the Securities Exchange Act of 1934, as amended, or the Exchange Act, or (4) subject to the liabilities of Section 18 of the Exchange Act. This report shall not be deemed incorporated by reference into any of our other filings under the Exchange Act or the Securities Act of 1933, as amended, or the Securities Act, except to the extent that we specifically incorporate it by reference into such filing.</w:t>
      </w:r>
      <w:r>
        <w:rPr>
          <w:rFonts w:ascii="Arial;Helvetica;sans-serif" w:hAnsi="Arial;Helvetica;sans-serif"/>
          <w:b w:val="false"/>
          <w:i w:val="false"/>
          <w:caps w:val="false"/>
          <w:smallCaps w:val="false"/>
          <w:color w:val="000000"/>
          <w:spacing w:val="4"/>
          <w:sz w:val="20"/>
        </w:rPr>
        <w:t xml:space="preserve"> </w:t>
      </w:r>
    </w:p>
    <w:p>
      <w:pPr>
        <w:pStyle w:val="TextBody"/>
        <w:spacing w:lineRule="atLeast" w:line="240" w:before="480" w:after="283"/>
        <w:rPr>
          <w:rFonts w:ascii="Arial;Helvetica;sans-serif" w:hAnsi="Arial;Helvetica;sans-serif"/>
          <w:b/>
          <w:i w:val="false"/>
          <w:caps w:val="false"/>
          <w:smallCaps w:val="false"/>
          <w:color w:val="148CD9"/>
          <w:sz w:val="20"/>
        </w:rPr>
      </w:pPr>
      <w:r>
        <w:rPr>
          <w:rFonts w:ascii="Arial;Helvetica;sans-serif" w:hAnsi="Arial;Helvetica;sans-serif"/>
          <w:b/>
          <w:i w:val="false"/>
          <w:caps w:val="false"/>
          <w:smallCaps w:val="false"/>
          <w:color w:val="148CD9"/>
          <w:spacing w:val="-3"/>
          <w:sz w:val="20"/>
        </w:rPr>
        <w:t>THE AUDIT COMMITTEE OF THE</w:t>
      </w:r>
      <w:r>
        <w:rPr>
          <w:rFonts w:ascii="Arial;Helvetica;sans-serif" w:hAnsi="Arial;Helvetica;sans-serif"/>
          <w:b/>
          <w:i w:val="false"/>
          <w:caps w:val="false"/>
          <w:smallCaps w:val="false"/>
          <w:color w:val="148CD9"/>
          <w:sz w:val="20"/>
        </w:rPr>
        <w:t xml:space="preserve"> </w:t>
        <w:br/>
      </w:r>
      <w:r>
        <w:rPr>
          <w:rFonts w:ascii="Arial;Helvetica;sans-serif" w:hAnsi="Arial;Helvetica;sans-serif"/>
          <w:b/>
          <w:i w:val="false"/>
          <w:caps w:val="false"/>
          <w:smallCaps w:val="false"/>
          <w:color w:val="148CD9"/>
          <w:spacing w:val="-3"/>
          <w:sz w:val="20"/>
        </w:rPr>
        <w:t>BOARD OF DIRECTORS OF</w:t>
      </w:r>
      <w:r>
        <w:rPr>
          <w:rFonts w:ascii="Arial;Helvetica;sans-serif" w:hAnsi="Arial;Helvetica;sans-serif"/>
          <w:b/>
          <w:i w:val="false"/>
          <w:caps w:val="false"/>
          <w:smallCaps w:val="false"/>
          <w:color w:val="148CD9"/>
          <w:sz w:val="20"/>
        </w:rPr>
        <w:t xml:space="preserve"> </w:t>
        <w:br/>
      </w:r>
      <w:r>
        <w:rPr>
          <w:rFonts w:ascii="Arial;Helvetica;sans-serif" w:hAnsi="Arial;Helvetica;sans-serif"/>
          <w:b/>
          <w:i w:val="false"/>
          <w:caps w:val="false"/>
          <w:smallCaps w:val="false"/>
          <w:color w:val="148CD9"/>
          <w:spacing w:val="-3"/>
          <w:sz w:val="20"/>
        </w:rPr>
        <w:t>CENTURY THERAPEUTICS, INC.</w:t>
      </w:r>
      <w:r>
        <w:rPr>
          <w:rFonts w:ascii="Arial;Helvetica;sans-serif" w:hAnsi="Arial;Helvetica;sans-serif"/>
          <w:b/>
          <w:i w:val="false"/>
          <w:caps w:val="false"/>
          <w:smallCaps w:val="false"/>
          <w:color w:val="000000"/>
          <w:spacing w:val="4"/>
          <w:sz w:val="20"/>
        </w:rPr>
        <w:t xml:space="preserve"> </w:t>
      </w:r>
    </w:p>
    <w:p>
      <w:pPr>
        <w:pStyle w:val="TextBody"/>
        <w:spacing w:lineRule="atLeast" w:line="240" w:before="240" w:after="283"/>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 xml:space="preserve">Cynthia Butitta, Chairperson </w:t>
      </w:r>
      <w:r>
        <w:rPr>
          <w:rFonts w:ascii="Arial;Helvetica;sans-serif" w:hAnsi="Arial;Helvetica;sans-serif"/>
          <w:b w:val="false"/>
          <w:i w:val="false"/>
          <w:caps w:val="false"/>
          <w:smallCaps w:val="false"/>
          <w:color w:val="000000"/>
          <w:sz w:val="20"/>
        </w:rPr>
        <w:br/>
      </w:r>
      <w:r>
        <w:rPr>
          <w:rFonts w:ascii="Arial;Helvetica;sans-serif" w:hAnsi="Arial;Helvetica;sans-serif"/>
          <w:b w:val="false"/>
          <w:i w:val="false"/>
          <w:caps w:val="false"/>
          <w:smallCaps w:val="false"/>
          <w:color w:val="000000"/>
          <w:spacing w:val="-1"/>
          <w:sz w:val="20"/>
        </w:rPr>
        <w:t xml:space="preserve">Kimberly Blackwell, M.D. </w:t>
      </w:r>
      <w:r>
        <w:rPr>
          <w:rFonts w:ascii="Arial;Helvetica;sans-serif" w:hAnsi="Arial;Helvetica;sans-serif"/>
          <w:b w:val="false"/>
          <w:i w:val="false"/>
          <w:caps w:val="false"/>
          <w:smallCaps w:val="false"/>
          <w:color w:val="000000"/>
          <w:sz w:val="20"/>
        </w:rPr>
        <w:br/>
      </w:r>
      <w:r>
        <w:rPr>
          <w:rFonts w:ascii="Arial;Helvetica;sans-serif" w:hAnsi="Arial;Helvetica;sans-serif"/>
          <w:b w:val="false"/>
          <w:i w:val="false"/>
          <w:caps w:val="false"/>
          <w:smallCaps w:val="false"/>
          <w:color w:val="000000"/>
          <w:spacing w:val="-1"/>
          <w:sz w:val="20"/>
        </w:rPr>
        <w:t xml:space="preserve">Alessandro Riva, M.D. </w:t>
      </w:r>
      <w:r>
        <w:rPr>
          <w:rFonts w:ascii="Arial;Helvetica;sans-serif" w:hAnsi="Arial;Helvetica;sans-serif"/>
          <w:b w:val="false"/>
          <w:i w:val="false"/>
          <w:caps w:val="false"/>
          <w:smallCaps w:val="false"/>
          <w:color w:val="000000"/>
          <w:sz w:val="20"/>
        </w:rPr>
        <w:br/>
      </w:r>
      <w:r>
        <w:rPr>
          <w:rFonts w:ascii="Arial;Helvetica;sans-serif" w:hAnsi="Arial;Helvetica;sans-serif"/>
          <w:b w:val="false"/>
          <w:i w:val="false"/>
          <w:caps w:val="false"/>
          <w:smallCaps w:val="false"/>
          <w:color w:val="000000"/>
          <w:spacing w:val="-1"/>
          <w:sz w:val="20"/>
        </w:rPr>
        <w:t>Daphne Quimi</w:t>
      </w:r>
      <w:r>
        <w:rPr>
          <w:rFonts w:ascii="Arial;Helvetica;sans-serif" w:hAnsi="Arial;Helvetica;sans-serif"/>
          <w:b w:val="false"/>
          <w:i w:val="false"/>
          <w:caps w:val="false"/>
          <w:smallCaps w:val="false"/>
          <w:color w:val="000000"/>
          <w:spacing w:val="4"/>
          <w:sz w:val="20"/>
        </w:rPr>
        <w:t xml:space="preserve"> </w:t>
      </w:r>
    </w:p>
    <w:p>
      <w:pPr>
        <w:pStyle w:val="TextBody"/>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April 28, 2023</w:t>
      </w:r>
      <w:r>
        <w:rPr>
          <w:rFonts w:ascii="Arial;Helvetica;sans-serif" w:hAnsi="Arial;Helvetica;sans-serif"/>
          <w:b w:val="false"/>
          <w:i w:val="false"/>
          <w:caps w:val="false"/>
          <w:smallCaps w:val="false"/>
          <w:color w:val="000000"/>
          <w:sz w:val="20"/>
        </w:rPr>
        <w:t xml:space="preserve"> </w:t>
      </w:r>
    </w:p>
    <w:p>
      <w:pPr>
        <w:pStyle w:val="TextBody"/>
        <w:spacing w:lineRule="atLeast" w:line="240" w:before="100" w:after="283"/>
        <w:ind w:left="960" w:right="0" w:hanging="0"/>
        <w:jc w:val="righ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1DA46F"/>
          <w:spacing w:val="0"/>
          <w:sz w:val="20"/>
        </w:rPr>
        <w:t>Notice of Annual Meeting of Stockholders</w:t>
      </w:r>
      <w:r>
        <w:rPr>
          <w:rFonts w:ascii="Arial;Helvetica;sans-serif" w:hAnsi="Arial;Helvetica;sans-serif"/>
          <w:b/>
          <w:i w:val="false"/>
          <w:caps w:val="false"/>
          <w:smallCaps w:val="false"/>
          <w:color w:val="000000"/>
          <w:spacing w:val="0"/>
          <w:sz w:val="20"/>
        </w:rPr>
        <w:t> and 2023 Proxy Statement | </w:t>
      </w:r>
      <w:r>
        <w:rPr>
          <w:rFonts w:ascii="Arial;Helvetica;sans-serif" w:hAnsi="Arial;Helvetica;sans-serif"/>
          <w:b w:val="false"/>
          <w:i w:val="false"/>
          <w:caps w:val="false"/>
          <w:smallCaps w:val="false"/>
          <w:color w:val="000000"/>
          <w:spacing w:val="-1"/>
          <w:sz w:val="20"/>
        </w:rPr>
        <w:t>21</w:t>
      </w:r>
      <w:r>
        <w:rPr>
          <w:rFonts w:ascii="Arial;Helvetica;sans-serif" w:hAnsi="Arial;Helvetica;sans-serif"/>
          <w:b/>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45" w:name="tEXOF"/>
      <w:bookmarkEnd w:id="45"/>
      <w:r>
        <w:rPr>
          <w:rFonts w:ascii="calibri;arial;sans-serif" w:hAnsi="calibri;arial;sans-serif"/>
          <w:b w:val="false"/>
          <w:i w:val="false"/>
          <w:caps w:val="false"/>
          <w:smallCaps w:val="false"/>
          <w:color w:val="000000"/>
          <w:sz w:val="16"/>
        </w:rPr>
        <w:t xml:space="preserve">​ </w:t>
      </w:r>
    </w:p>
    <w:tbl>
      <w:tblPr>
        <w:tblW w:w="2949" w:type="dxa"/>
        <w:jc w:val="left"/>
        <w:tblInd w:w="960" w:type="dxa"/>
        <w:tblCellMar>
          <w:top w:w="0" w:type="dxa"/>
          <w:left w:w="0" w:type="dxa"/>
          <w:bottom w:w="0" w:type="dxa"/>
          <w:right w:w="0" w:type="dxa"/>
        </w:tblCellMar>
      </w:tblPr>
      <w:tblGrid>
        <w:gridCol w:w="124"/>
        <w:gridCol w:w="2671"/>
        <w:gridCol w:w="154"/>
      </w:tblGrid>
      <w:tr>
        <w:trPr/>
        <w:tc>
          <w:tcPr>
            <w:tcW w:w="124" w:type="dxa"/>
            <w:tcBorders/>
            <w:shd w:fill="1DA46F" w:val="clear"/>
            <w:vAlign w:val="center"/>
          </w:tcPr>
          <w:p>
            <w:pPr>
              <w:pStyle w:val="TableContents"/>
              <w:spacing w:before="0" w:after="283"/>
              <w:rPr/>
            </w:pPr>
            <w:r>
              <w:rPr/>
              <w:t>​</w:t>
            </w:r>
          </w:p>
        </w:tc>
        <w:tc>
          <w:tcPr>
            <w:tcW w:w="2671" w:type="dxa"/>
            <w:tcBorders/>
            <w:shd w:fill="1DA46F" w:val="clear"/>
            <w:vAlign w:val="center"/>
          </w:tcPr>
          <w:p>
            <w:pPr>
              <w:pStyle w:val="TableContents"/>
              <w:spacing w:lineRule="atLeast" w:line="360" w:before="0" w:after="0"/>
              <w:rPr/>
            </w:pPr>
            <w:r>
              <w:rPr>
                <w:spacing w:val="-5"/>
              </w:rPr>
              <w:t>EXECUTIVE OFFICERS</w:t>
            </w:r>
            <w:r>
              <w:rPr/>
              <w:t xml:space="preserve"> </w:t>
            </w:r>
          </w:p>
        </w:tc>
        <w:tc>
          <w:tcPr>
            <w:tcW w:w="154" w:type="dxa"/>
            <w:tcBorders/>
            <w:shd w:fill="1DA46F" w:val="clear"/>
            <w:vAlign w:val="center"/>
          </w:tcPr>
          <w:p>
            <w:pPr>
              <w:pStyle w:val="TableContents"/>
              <w:spacing w:before="0" w:after="283"/>
              <w:rPr/>
            </w:pPr>
            <w:r>
              <w:rPr/>
              <w:t>​</w:t>
            </w:r>
          </w:p>
        </w:tc>
      </w:tr>
    </w:tbl>
    <w:p>
      <w:pPr>
        <w:pStyle w:val="TextBody"/>
        <w:spacing w:lineRule="atLeast" w:line="230" w:before="360" w:after="283"/>
        <w:ind w:left="96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The following table sets forth the name, age and position of each of our executive officers as of the date of this Proxy Statement:</w:t>
      </w:r>
      <w:r>
        <w:rPr>
          <w:rFonts w:ascii="Arial;Helvetica;sans-serif" w:hAnsi="Arial;Helvetica;sans-serif"/>
          <w:b w:val="false"/>
          <w:i w:val="false"/>
          <w:caps w:val="false"/>
          <w:smallCaps w:val="false"/>
          <w:color w:val="000000"/>
          <w:spacing w:val="4"/>
          <w:sz w:val="20"/>
        </w:rPr>
        <w:t xml:space="preserve"> </w:t>
      </w:r>
    </w:p>
    <w:tbl>
      <w:tblPr>
        <w:tblW w:w="8514" w:type="dxa"/>
        <w:jc w:val="left"/>
        <w:tblInd w:w="960" w:type="dxa"/>
        <w:tblCellMar>
          <w:top w:w="0" w:type="dxa"/>
          <w:left w:w="0" w:type="dxa"/>
          <w:bottom w:w="0" w:type="dxa"/>
          <w:right w:w="0" w:type="dxa"/>
        </w:tblCellMar>
      </w:tblPr>
      <w:tblGrid>
        <w:gridCol w:w="124"/>
        <w:gridCol w:w="109"/>
        <w:gridCol w:w="2443"/>
        <w:gridCol w:w="109"/>
        <w:gridCol w:w="109"/>
        <w:gridCol w:w="4467"/>
        <w:gridCol w:w="109"/>
        <w:gridCol w:w="109"/>
        <w:gridCol w:w="672"/>
        <w:gridCol w:w="109"/>
        <w:gridCol w:w="154"/>
      </w:tblGrid>
      <w:tr>
        <w:trPr/>
        <w:tc>
          <w:tcPr>
            <w:tcW w:w="124" w:type="dxa"/>
            <w:tcBorders/>
            <w:shd w:fill="auto" w:val="clear"/>
            <w:vAlign w:val="center"/>
          </w:tcPr>
          <w:p>
            <w:pPr>
              <w:pStyle w:val="TableContents"/>
              <w:spacing w:before="0" w:after="283"/>
              <w:rPr/>
            </w:pPr>
            <w:r>
              <w:rPr/>
              <w:t>​</w:t>
            </w:r>
          </w:p>
        </w:tc>
        <w:tc>
          <w:tcPr>
            <w:tcW w:w="109" w:type="dxa"/>
            <w:tcBorders>
              <w:bottom w:val="single" w:sz="2" w:space="0" w:color="000000"/>
            </w:tcBorders>
            <w:shd w:fill="148CD9" w:val="clear"/>
            <w:tcMar>
              <w:bottom w:w="28" w:type="dxa"/>
            </w:tcMar>
            <w:vAlign w:val="center"/>
          </w:tcPr>
          <w:p>
            <w:pPr>
              <w:pStyle w:val="TableContents"/>
              <w:spacing w:before="0" w:after="283"/>
              <w:rPr/>
            </w:pPr>
            <w:r>
              <w:rPr/>
              <w:t>​</w:t>
            </w:r>
          </w:p>
        </w:tc>
        <w:tc>
          <w:tcPr>
            <w:tcW w:w="2443" w:type="dxa"/>
            <w:tcBorders>
              <w:bottom w:val="single" w:sz="2" w:space="0" w:color="000000"/>
            </w:tcBorders>
            <w:shd w:fill="148CD9" w:val="clear"/>
            <w:tcMar>
              <w:bottom w:w="50" w:type="dxa"/>
            </w:tcMar>
            <w:vAlign w:val="center"/>
          </w:tcPr>
          <w:p>
            <w:pPr>
              <w:pStyle w:val="TableContents"/>
              <w:spacing w:before="0" w:after="0"/>
              <w:rPr/>
            </w:pPr>
            <w:r>
              <w:rPr>
                <w:caps/>
                <w:spacing w:val="-2"/>
              </w:rPr>
              <w:t>NAME</w:t>
            </w:r>
            <w:r>
              <w:rPr/>
              <w:t xml:space="preserve"> </w:t>
            </w:r>
          </w:p>
        </w:tc>
        <w:tc>
          <w:tcPr>
            <w:tcW w:w="109" w:type="dxa"/>
            <w:tcBorders>
              <w:bottom w:val="single" w:sz="2" w:space="0" w:color="000000"/>
            </w:tcBorders>
            <w:shd w:fill="148CD9" w:val="clear"/>
            <w:tcMar>
              <w:bottom w:w="28" w:type="dxa"/>
            </w:tcMar>
            <w:vAlign w:val="center"/>
          </w:tcPr>
          <w:p>
            <w:pPr>
              <w:pStyle w:val="TableContents"/>
              <w:spacing w:before="0" w:after="283"/>
              <w:rPr/>
            </w:pPr>
            <w:r>
              <w:rPr/>
              <w:t>​</w:t>
            </w:r>
          </w:p>
        </w:tc>
        <w:tc>
          <w:tcPr>
            <w:tcW w:w="109" w:type="dxa"/>
            <w:tcBorders>
              <w:bottom w:val="single" w:sz="2" w:space="0" w:color="000000"/>
            </w:tcBorders>
            <w:shd w:fill="148CD9" w:val="clear"/>
            <w:tcMar>
              <w:bottom w:w="28" w:type="dxa"/>
            </w:tcMar>
            <w:vAlign w:val="center"/>
          </w:tcPr>
          <w:p>
            <w:pPr>
              <w:pStyle w:val="TableContents"/>
              <w:spacing w:before="0" w:after="283"/>
              <w:rPr/>
            </w:pPr>
            <w:r>
              <w:rPr/>
              <w:t>​</w:t>
            </w:r>
          </w:p>
        </w:tc>
        <w:tc>
          <w:tcPr>
            <w:tcW w:w="4467" w:type="dxa"/>
            <w:tcBorders>
              <w:bottom w:val="single" w:sz="2" w:space="0" w:color="000000"/>
            </w:tcBorders>
            <w:shd w:fill="148CD9" w:val="clear"/>
            <w:tcMar>
              <w:bottom w:w="50" w:type="dxa"/>
            </w:tcMar>
            <w:vAlign w:val="center"/>
          </w:tcPr>
          <w:p>
            <w:pPr>
              <w:pStyle w:val="TableContents"/>
              <w:spacing w:before="0" w:after="0"/>
              <w:rPr/>
            </w:pPr>
            <w:r>
              <w:rPr>
                <w:caps/>
                <w:spacing w:val="-2"/>
              </w:rPr>
              <w:t>POSITION</w:t>
            </w:r>
            <w:r>
              <w:rPr/>
              <w:t xml:space="preserve"> </w:t>
            </w:r>
          </w:p>
        </w:tc>
        <w:tc>
          <w:tcPr>
            <w:tcW w:w="109" w:type="dxa"/>
            <w:tcBorders>
              <w:bottom w:val="single" w:sz="2" w:space="0" w:color="000000"/>
            </w:tcBorders>
            <w:shd w:fill="148CD9" w:val="clear"/>
            <w:tcMar>
              <w:bottom w:w="28" w:type="dxa"/>
            </w:tcMar>
            <w:vAlign w:val="center"/>
          </w:tcPr>
          <w:p>
            <w:pPr>
              <w:pStyle w:val="TableContents"/>
              <w:spacing w:before="0" w:after="283"/>
              <w:rPr/>
            </w:pPr>
            <w:r>
              <w:rPr/>
              <w:t>​</w:t>
            </w:r>
          </w:p>
        </w:tc>
        <w:tc>
          <w:tcPr>
            <w:tcW w:w="109" w:type="dxa"/>
            <w:tcBorders>
              <w:bottom w:val="single" w:sz="2" w:space="0" w:color="000000"/>
            </w:tcBorders>
            <w:shd w:fill="148CD9" w:val="clear"/>
            <w:tcMar>
              <w:bottom w:w="28" w:type="dxa"/>
            </w:tcMar>
            <w:vAlign w:val="center"/>
          </w:tcPr>
          <w:p>
            <w:pPr>
              <w:pStyle w:val="TableContents"/>
              <w:spacing w:before="0" w:after="283"/>
              <w:rPr/>
            </w:pPr>
            <w:r>
              <w:rPr/>
              <w:t>​</w:t>
            </w:r>
          </w:p>
        </w:tc>
        <w:tc>
          <w:tcPr>
            <w:tcW w:w="672" w:type="dxa"/>
            <w:tcBorders>
              <w:bottom w:val="single" w:sz="2" w:space="0" w:color="000000"/>
            </w:tcBorders>
            <w:shd w:fill="148CD9" w:val="clear"/>
            <w:tcMar>
              <w:bottom w:w="50" w:type="dxa"/>
            </w:tcMar>
            <w:vAlign w:val="center"/>
          </w:tcPr>
          <w:p>
            <w:pPr>
              <w:pStyle w:val="TableContents"/>
              <w:spacing w:before="0" w:after="0"/>
              <w:jc w:val="center"/>
              <w:rPr/>
            </w:pPr>
            <w:r>
              <w:rPr>
                <w:caps/>
                <w:spacing w:val="-2"/>
              </w:rPr>
              <w:t>AGE</w:t>
            </w:r>
            <w:r>
              <w:rPr/>
              <w:t xml:space="preserve"> </w:t>
            </w:r>
          </w:p>
        </w:tc>
        <w:tc>
          <w:tcPr>
            <w:tcW w:w="109" w:type="dxa"/>
            <w:tcBorders>
              <w:bottom w:val="single" w:sz="2" w:space="0" w:color="000000"/>
            </w:tcBorders>
            <w:shd w:fill="148CD9" w:val="clear"/>
            <w:tcMar>
              <w:bottom w:w="28" w:type="dxa"/>
            </w:tcMar>
            <w:vAlign w:val="center"/>
          </w:tcPr>
          <w:p>
            <w:pPr>
              <w:pStyle w:val="TableContents"/>
              <w:spacing w:before="0" w:after="283"/>
              <w:rPr/>
            </w:pPr>
            <w:r>
              <w:rPr/>
              <w:t>​</w:t>
            </w:r>
          </w:p>
        </w:tc>
        <w:tc>
          <w:tcPr>
            <w:tcW w:w="154" w:type="dxa"/>
            <w:tcBorders/>
            <w:shd w:fill="auto"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2443" w:type="dxa"/>
            <w:tcBorders>
              <w:bottom w:val="single" w:sz="2" w:space="0" w:color="000000"/>
            </w:tcBorders>
            <w:shd w:fill="auto" w:val="clear"/>
            <w:tcMar>
              <w:bottom w:w="50" w:type="dxa"/>
            </w:tcMar>
            <w:vAlign w:val="center"/>
          </w:tcPr>
          <w:p>
            <w:pPr>
              <w:pStyle w:val="TableContents"/>
              <w:spacing w:before="0" w:after="283"/>
              <w:rPr>
                <w:spacing w:val="-1"/>
              </w:rPr>
            </w:pPr>
            <w:r>
              <w:rPr>
                <w:spacing w:val="-1"/>
              </w:rPr>
              <w:t xml:space="preserve">Gregory Russotti, Ph.D. </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4467" w:type="dxa"/>
            <w:tcBorders>
              <w:bottom w:val="single" w:sz="2" w:space="0" w:color="000000"/>
            </w:tcBorders>
            <w:shd w:fill="auto" w:val="clear"/>
            <w:tcMar>
              <w:bottom w:w="50" w:type="dxa"/>
            </w:tcMar>
            <w:vAlign w:val="center"/>
          </w:tcPr>
          <w:p>
            <w:pPr>
              <w:pStyle w:val="TableContents"/>
              <w:spacing w:before="0" w:after="283"/>
              <w:rPr>
                <w:spacing w:val="-1"/>
              </w:rPr>
            </w:pPr>
            <w:r>
              <w:rPr>
                <w:spacing w:val="-1"/>
              </w:rPr>
              <w:t xml:space="preserve">Interim President and Chief Executive Officer </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672" w:type="dxa"/>
            <w:tcBorders>
              <w:bottom w:val="single" w:sz="2" w:space="0" w:color="000000"/>
            </w:tcBorders>
            <w:shd w:fill="auto" w:val="clear"/>
            <w:tcMar>
              <w:bottom w:w="50" w:type="dxa"/>
            </w:tcMar>
            <w:vAlign w:val="center"/>
          </w:tcPr>
          <w:p>
            <w:pPr>
              <w:pStyle w:val="TableContents"/>
              <w:spacing w:before="0" w:after="0"/>
              <w:jc w:val="center"/>
              <w:rPr>
                <w:spacing w:val="-1"/>
              </w:rPr>
            </w:pPr>
            <w:r>
              <w:rPr>
                <w:spacing w:val="-1"/>
              </w:rPr>
              <w:t xml:space="preserve">56 </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54" w:type="dxa"/>
            <w:tcBorders/>
            <w:shd w:fill="auto"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2443" w:type="dxa"/>
            <w:tcBorders>
              <w:bottom w:val="single" w:sz="2" w:space="0" w:color="000000"/>
            </w:tcBorders>
            <w:shd w:fill="auto" w:val="clear"/>
            <w:tcMar>
              <w:bottom w:w="50" w:type="dxa"/>
            </w:tcMar>
            <w:vAlign w:val="center"/>
          </w:tcPr>
          <w:p>
            <w:pPr>
              <w:pStyle w:val="TableContents"/>
              <w:spacing w:before="0" w:after="283"/>
              <w:rPr>
                <w:spacing w:val="-1"/>
              </w:rPr>
            </w:pPr>
            <w:r>
              <w:rPr>
                <w:spacing w:val="-1"/>
              </w:rPr>
              <w:t xml:space="preserve">Michael Diem, M.D. </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4467" w:type="dxa"/>
            <w:tcBorders>
              <w:bottom w:val="single" w:sz="2" w:space="0" w:color="000000"/>
            </w:tcBorders>
            <w:shd w:fill="auto" w:val="clear"/>
            <w:tcMar>
              <w:bottom w:w="50" w:type="dxa"/>
            </w:tcMar>
            <w:vAlign w:val="center"/>
          </w:tcPr>
          <w:p>
            <w:pPr>
              <w:pStyle w:val="TableContents"/>
              <w:spacing w:before="0" w:after="283"/>
              <w:rPr>
                <w:spacing w:val="-1"/>
              </w:rPr>
            </w:pPr>
            <w:r>
              <w:rPr>
                <w:spacing w:val="-1"/>
              </w:rPr>
              <w:t xml:space="preserve">Chief Financial Officer </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672" w:type="dxa"/>
            <w:tcBorders>
              <w:bottom w:val="single" w:sz="2" w:space="0" w:color="000000"/>
            </w:tcBorders>
            <w:shd w:fill="auto" w:val="clear"/>
            <w:tcMar>
              <w:bottom w:w="50" w:type="dxa"/>
            </w:tcMar>
            <w:vAlign w:val="center"/>
          </w:tcPr>
          <w:p>
            <w:pPr>
              <w:pStyle w:val="TableContents"/>
              <w:spacing w:before="0" w:after="0"/>
              <w:jc w:val="center"/>
              <w:rPr>
                <w:spacing w:val="-1"/>
              </w:rPr>
            </w:pPr>
            <w:r>
              <w:rPr>
                <w:spacing w:val="-1"/>
              </w:rPr>
              <w:t xml:space="preserve">53 </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54" w:type="dxa"/>
            <w:tcBorders/>
            <w:shd w:fill="auto"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2443" w:type="dxa"/>
            <w:tcBorders>
              <w:bottom w:val="single" w:sz="2" w:space="0" w:color="000000"/>
            </w:tcBorders>
            <w:shd w:fill="auto" w:val="clear"/>
            <w:tcMar>
              <w:bottom w:w="50" w:type="dxa"/>
            </w:tcMar>
            <w:vAlign w:val="center"/>
          </w:tcPr>
          <w:p>
            <w:pPr>
              <w:pStyle w:val="TableContents"/>
              <w:spacing w:before="0" w:after="283"/>
              <w:rPr>
                <w:spacing w:val="-1"/>
              </w:rPr>
            </w:pPr>
            <w:r>
              <w:rPr>
                <w:spacing w:val="-1"/>
              </w:rPr>
              <w:t xml:space="preserve">Adrienne Farid, Ph.D. </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4467" w:type="dxa"/>
            <w:tcBorders>
              <w:bottom w:val="single" w:sz="2" w:space="0" w:color="000000"/>
            </w:tcBorders>
            <w:shd w:fill="auto" w:val="clear"/>
            <w:tcMar>
              <w:bottom w:w="50" w:type="dxa"/>
            </w:tcMar>
            <w:vAlign w:val="center"/>
          </w:tcPr>
          <w:p>
            <w:pPr>
              <w:pStyle w:val="TableContents"/>
              <w:spacing w:before="0" w:after="283"/>
              <w:rPr>
                <w:spacing w:val="-1"/>
              </w:rPr>
            </w:pPr>
            <w:r>
              <w:rPr>
                <w:spacing w:val="-1"/>
              </w:rPr>
              <w:t xml:space="preserve">Chief Operations Officer </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672" w:type="dxa"/>
            <w:tcBorders>
              <w:bottom w:val="single" w:sz="2" w:space="0" w:color="000000"/>
            </w:tcBorders>
            <w:shd w:fill="auto" w:val="clear"/>
            <w:tcMar>
              <w:bottom w:w="50" w:type="dxa"/>
            </w:tcMar>
            <w:vAlign w:val="center"/>
          </w:tcPr>
          <w:p>
            <w:pPr>
              <w:pStyle w:val="TableContents"/>
              <w:spacing w:before="0" w:after="0"/>
              <w:jc w:val="center"/>
              <w:rPr>
                <w:spacing w:val="-1"/>
              </w:rPr>
            </w:pPr>
            <w:r>
              <w:rPr>
                <w:spacing w:val="-1"/>
              </w:rPr>
              <w:t xml:space="preserve">61 </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54" w:type="dxa"/>
            <w:tcBorders/>
            <w:shd w:fill="auto"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2443" w:type="dxa"/>
            <w:tcBorders>
              <w:bottom w:val="single" w:sz="2" w:space="0" w:color="000000"/>
            </w:tcBorders>
            <w:shd w:fill="auto" w:val="clear"/>
            <w:tcMar>
              <w:bottom w:w="50" w:type="dxa"/>
            </w:tcMar>
            <w:vAlign w:val="center"/>
          </w:tcPr>
          <w:p>
            <w:pPr>
              <w:pStyle w:val="TableContents"/>
              <w:spacing w:before="0" w:after="283"/>
              <w:rPr>
                <w:spacing w:val="-1"/>
              </w:rPr>
            </w:pPr>
            <w:r>
              <w:rPr>
                <w:spacing w:val="-1"/>
              </w:rPr>
              <w:t xml:space="preserve">Hy Levitsky, Ph.D. </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4467" w:type="dxa"/>
            <w:tcBorders>
              <w:bottom w:val="single" w:sz="2" w:space="0" w:color="000000"/>
            </w:tcBorders>
            <w:shd w:fill="auto" w:val="clear"/>
            <w:tcMar>
              <w:bottom w:w="50" w:type="dxa"/>
            </w:tcMar>
            <w:vAlign w:val="center"/>
          </w:tcPr>
          <w:p>
            <w:pPr>
              <w:pStyle w:val="TableContents"/>
              <w:spacing w:before="0" w:after="283"/>
              <w:rPr>
                <w:spacing w:val="-1"/>
              </w:rPr>
            </w:pPr>
            <w:r>
              <w:rPr>
                <w:spacing w:val="-1"/>
              </w:rPr>
              <w:t xml:space="preserve">President, Research and Development </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672" w:type="dxa"/>
            <w:tcBorders>
              <w:bottom w:val="single" w:sz="2" w:space="0" w:color="000000"/>
            </w:tcBorders>
            <w:shd w:fill="auto" w:val="clear"/>
            <w:tcMar>
              <w:bottom w:w="50" w:type="dxa"/>
            </w:tcMar>
            <w:vAlign w:val="center"/>
          </w:tcPr>
          <w:p>
            <w:pPr>
              <w:pStyle w:val="TableContents"/>
              <w:spacing w:before="0" w:after="0"/>
              <w:jc w:val="center"/>
              <w:rPr/>
            </w:pPr>
            <w:r>
              <w:rPr>
                <w:spacing w:val="-1"/>
              </w:rPr>
              <w:t>65</w:t>
            </w:r>
            <w:r>
              <w:rPr/>
              <w:t xml:space="preserve"> </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54" w:type="dxa"/>
            <w:tcBorders/>
            <w:shd w:fill="auto" w:val="clear"/>
            <w:vAlign w:val="center"/>
          </w:tcPr>
          <w:p>
            <w:pPr>
              <w:pStyle w:val="TableContents"/>
              <w:spacing w:before="0" w:after="283"/>
              <w:rPr/>
            </w:pPr>
            <w:r>
              <w:rPr/>
              <w:t>​</w:t>
            </w:r>
          </w:p>
        </w:tc>
      </w:tr>
    </w:tbl>
    <w:p>
      <w:pPr>
        <w:pStyle w:val="TextBody"/>
        <w:spacing w:lineRule="atLeast" w:line="230" w:before="146" w:after="283"/>
        <w:ind w:left="96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i/>
          <w:caps w:val="false"/>
          <w:smallCaps w:val="false"/>
          <w:color w:val="000000"/>
          <w:sz w:val="20"/>
        </w:rPr>
        <w:t>Gregory Russotti, Ph.D.</w:t>
      </w:r>
      <w:r>
        <w:rPr>
          <w:rFonts w:ascii="Arial;Helvetica;sans-serif" w:hAnsi="Arial;Helvetica;sans-serif"/>
          <w:b w:val="false"/>
          <w:i w:val="false"/>
          <w:caps w:val="false"/>
          <w:smallCaps w:val="false"/>
          <w:color w:val="000000"/>
          <w:spacing w:val="-1"/>
          <w:sz w:val="20"/>
        </w:rPr>
        <w:t xml:space="preserve"> assumed the position of Interim President and Chief Executive Officer on April 11, 2023. Prior to this, Dr. Russotti served as our Chief Technology Officer since January 2020. Prior to joining us, Dr. Russotti held multiple positions at Celgene Corporation, a Bristol Myers Squibb company, from 2016 through 2019, including, Vice President of Cell Therapy Technical Development from January 2018 to November 2019 and Vice President of Cell Therapy Development and Operations from October 2016 to December 2017. Dr. Russotti served as Vice President of Technical Operations of Celgene Cellular Therapeutics from May 2013 to October 2016, and Executive Director of Technical Operations of Celgene Cellular Therapeutics from June 2011 to May 2013. Prior to this, Dr. Russotti served as Senior Investigator at Merck &amp; Co., where he oversaw process development of vaccines and biologics from December 2004 to November 2006, and various positions of increasing responsibility dating back to 1991, when he began his career at Merck. Dr. Russotti holds a number of honors including the ECI and NIIMBL Cell Therapy Manufacturing Award for leadership in cell therapy process development, scale-up, and manufacturing in 2019 as well as receiving the Rutgers Engineering School Distinguished Alumnus Medal of Excellence in Education and Research in 2013 and the John W. Jackson Leadership Award in 2011, an award that was given to one leader at Celgene each year. Dr. Russotti holds both a B.S. and M.S. in chemical engineering from Rensselaer Polytechnic Institute. He received his Ph.D. in biochemical and chemical engineering from Rutgers University</w:t>
      </w:r>
      <w:r>
        <w:rPr>
          <w:rFonts w:ascii="Arial;Helvetica;sans-serif" w:hAnsi="Arial;Helvetica;sans-serif"/>
          <w:b w:val="false"/>
          <w:i w:val="false"/>
          <w:caps w:val="false"/>
          <w:smallCaps w:val="false"/>
          <w:color w:val="000000"/>
          <w:spacing w:val="4"/>
          <w:sz w:val="20"/>
        </w:rPr>
        <w:t xml:space="preserve"> </w:t>
      </w:r>
    </w:p>
    <w:p>
      <w:pPr>
        <w:pStyle w:val="TextBody"/>
        <w:spacing w:lineRule="atLeast" w:line="23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i/>
          <w:caps w:val="false"/>
          <w:smallCaps w:val="false"/>
          <w:color w:val="000000"/>
          <w:sz w:val="20"/>
        </w:rPr>
        <w:t>Adrienne Farid, Ph.D.</w:t>
      </w:r>
      <w:r>
        <w:rPr>
          <w:rFonts w:ascii="Arial;Helvetica;sans-serif" w:hAnsi="Arial;Helvetica;sans-serif"/>
          <w:b w:val="false"/>
          <w:i w:val="false"/>
          <w:caps w:val="false"/>
          <w:smallCaps w:val="false"/>
          <w:color w:val="000000"/>
          <w:spacing w:val="-1"/>
          <w:sz w:val="20"/>
        </w:rPr>
        <w:t xml:space="preserve"> has served as our Chief Operations Officer and Head of Early Development since April 2021 and previously served as Chief Development Officer from March 2019 until April 2021. Prior to joining us, Dr. Farid was Corporate Vice President Project Leadership and Business Operations in Research &amp; Early Development from July 2017 to February 2019, and Vice President of Project Leadership, Research &amp; Early Development from July 2014 until July 2017 with Celgene Corporation, a Bristol Myers Squibb global biopharmaceutical company; and held prior positions with Celgene Corporation from 2011. Dr. Farid held positions of Global Head, Project and Portfolio Management in Research &amp; Early Development, or pRED, and in Clinical Research and Exploratory Development and Pharmaceutical and Analytical R&amp;D, at Roche Pharmaceuticals from 1995 to 2011. Dr. Farid also worked as a Senior Investigator at GlaxoSmithKline from 1990 until 1994. Dr. Farid completed her postdoctoral fellowship at the California Institute of Technology. Dr. Farid received a B.A. in biochemistry from Barnard College. She holds a Ph.D. in Chemistry from Columbia University.</w:t>
      </w:r>
      <w:r>
        <w:rPr>
          <w:rFonts w:ascii="Arial;Helvetica;sans-serif" w:hAnsi="Arial;Helvetica;sans-serif"/>
          <w:b w:val="false"/>
          <w:i w:val="false"/>
          <w:caps w:val="false"/>
          <w:smallCaps w:val="false"/>
          <w:color w:val="000000"/>
          <w:spacing w:val="4"/>
          <w:sz w:val="20"/>
        </w:rPr>
        <w:t xml:space="preserve"> </w:t>
      </w:r>
    </w:p>
    <w:p>
      <w:pPr>
        <w:pStyle w:val="TextBody"/>
        <w:spacing w:lineRule="atLeast" w:line="23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i/>
          <w:caps w:val="false"/>
          <w:smallCaps w:val="false"/>
          <w:color w:val="000000"/>
          <w:sz w:val="20"/>
        </w:rPr>
        <w:t>Michael Diem, M.D.</w:t>
      </w:r>
      <w:r>
        <w:rPr>
          <w:rFonts w:ascii="Arial;Helvetica;sans-serif" w:hAnsi="Arial;Helvetica;sans-serif"/>
          <w:b w:val="false"/>
          <w:i w:val="false"/>
          <w:caps w:val="false"/>
          <w:smallCaps w:val="false"/>
          <w:color w:val="000000"/>
          <w:spacing w:val="-1"/>
          <w:sz w:val="20"/>
        </w:rPr>
        <w:t xml:space="preserve"> assumed the position of Chief Financial Officer on April 11, 2023. Prior to this, Dr. Diem served as our Chief Business Officer since September 2020 Prior to joining us, Dr. Diem was Senior Vice President of Business and Corporate Development at Amicus Therapeutics, a global biotechnology company, from September 2017 to September 2020, and prior to that, he served as Senior Vice President, Business and Corporate Development at Aevi Genomic Medicine, a biopharmaceutical company, from May 2016 to September 2017. From October 2013 to April 2016, Dr. Diem was the Global Head of Corporate Strategy and Corporate Development at AstraZeneca, a global biopharmaceutical company, where he was responsible for mergers and acquisitions, divestitures, and managed the company’s strategic investment activities and MedImmune Ventures. Dr. Diem currently serves as an advisor to an investment fund of UPMC Enterprises, and has held this role since December 2020. Dr. Diem holds a B.A. in biological sciences from Rutgers University, an M.D. from the Rutgers-Robert Wood Johnson Medical School, and an M.B.A. from Case Western Reserve University. Dr. Diem completed his medical training at Duke University and is a Kauffman Fellow.</w:t>
      </w:r>
      <w:r>
        <w:rPr>
          <w:rFonts w:ascii="Arial;Helvetica;sans-serif" w:hAnsi="Arial;Helvetica;sans-serif"/>
          <w:b w:val="false"/>
          <w:i w:val="false"/>
          <w:caps w:val="false"/>
          <w:smallCaps w:val="false"/>
          <w:color w:val="000000"/>
          <w:spacing w:val="4"/>
          <w:sz w:val="20"/>
        </w:rPr>
        <w:t xml:space="preserve"> </w:t>
      </w:r>
    </w:p>
    <w:p>
      <w:pPr>
        <w:pStyle w:val="TextBody"/>
        <w:spacing w:lineRule="atLeast" w:line="23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i/>
          <w:caps w:val="false"/>
          <w:smallCaps w:val="false"/>
          <w:color w:val="000000"/>
          <w:sz w:val="20"/>
        </w:rPr>
        <w:t>Hyam Levitsky, M.D.</w:t>
      </w:r>
      <w:r>
        <w:rPr>
          <w:rFonts w:ascii="Arial;Helvetica;sans-serif" w:hAnsi="Arial;Helvetica;sans-serif"/>
          <w:b w:val="false"/>
          <w:i w:val="false"/>
          <w:caps w:val="false"/>
          <w:smallCaps w:val="false"/>
          <w:color w:val="000000"/>
          <w:spacing w:val="-1"/>
          <w:sz w:val="20"/>
        </w:rPr>
        <w:t xml:space="preserve"> served as our President, Research and Development from May 2019 until January 2023. From February 2023 until April 2023, Dr. Levitsky focused on his board representation at Replimune Therapeutics, Inc., where he has served a director since May 2018. In April 2023, Dr. Levitsky reassumed his role as our President, Research and Development. Dr. Levitsky served as Executive Vice President and Chief Scientific Officer at Juno Therapeutics, Inc. from 2015 to 2018 and was Head of Cancer Immunotherapy Experimental Medicine at </w:t>
      </w:r>
    </w:p>
    <w:p>
      <w:pPr>
        <w:pStyle w:val="TextBody"/>
        <w:spacing w:lineRule="atLeast" w:line="240" w:before="100" w:after="283"/>
        <w:ind w:left="960" w:right="0" w:hanging="0"/>
        <w:jc w:val="righ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1DA46F"/>
          <w:spacing w:val="0"/>
          <w:sz w:val="20"/>
        </w:rPr>
        <w:t>Notice of Annual Meeting of Stockholders</w:t>
      </w:r>
      <w:r>
        <w:rPr>
          <w:rFonts w:ascii="Arial;Helvetica;sans-serif" w:hAnsi="Arial;Helvetica;sans-serif"/>
          <w:b/>
          <w:i w:val="false"/>
          <w:caps w:val="false"/>
          <w:smallCaps w:val="false"/>
          <w:color w:val="000000"/>
          <w:spacing w:val="0"/>
          <w:sz w:val="20"/>
        </w:rPr>
        <w:t> and 2023 Proxy Statement | </w:t>
      </w:r>
      <w:r>
        <w:rPr>
          <w:rFonts w:ascii="Arial;Helvetica;sans-serif" w:hAnsi="Arial;Helvetica;sans-serif"/>
          <w:b w:val="false"/>
          <w:i w:val="false"/>
          <w:caps w:val="false"/>
          <w:smallCaps w:val="false"/>
          <w:color w:val="000000"/>
          <w:spacing w:val="-1"/>
          <w:sz w:val="20"/>
        </w:rPr>
        <w:t>22</w:t>
      </w:r>
      <w:r>
        <w:rPr>
          <w:rFonts w:ascii="Arial;Helvetica;sans-serif" w:hAnsi="Arial;Helvetica;sans-serif"/>
          <w:b/>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tbl>
      <w:tblPr>
        <w:tblW w:w="2949" w:type="dxa"/>
        <w:jc w:val="left"/>
        <w:tblInd w:w="960" w:type="dxa"/>
        <w:tblCellMar>
          <w:top w:w="0" w:type="dxa"/>
          <w:left w:w="0" w:type="dxa"/>
          <w:bottom w:w="0" w:type="dxa"/>
          <w:right w:w="0" w:type="dxa"/>
        </w:tblCellMar>
      </w:tblPr>
      <w:tblGrid>
        <w:gridCol w:w="124"/>
        <w:gridCol w:w="2671"/>
        <w:gridCol w:w="154"/>
      </w:tblGrid>
      <w:tr>
        <w:trPr/>
        <w:tc>
          <w:tcPr>
            <w:tcW w:w="124" w:type="dxa"/>
            <w:tcBorders/>
            <w:shd w:fill="1DA46F" w:val="clear"/>
            <w:vAlign w:val="center"/>
          </w:tcPr>
          <w:p>
            <w:pPr>
              <w:pStyle w:val="TableContents"/>
              <w:spacing w:before="0" w:after="283"/>
              <w:rPr/>
            </w:pPr>
            <w:r>
              <w:rPr/>
              <w:t>​</w:t>
            </w:r>
          </w:p>
        </w:tc>
        <w:tc>
          <w:tcPr>
            <w:tcW w:w="2671" w:type="dxa"/>
            <w:tcBorders/>
            <w:shd w:fill="1DA46F" w:val="clear"/>
            <w:vAlign w:val="center"/>
          </w:tcPr>
          <w:p>
            <w:pPr>
              <w:pStyle w:val="TableContents"/>
              <w:spacing w:lineRule="atLeast" w:line="360" w:before="0" w:after="0"/>
              <w:rPr/>
            </w:pPr>
            <w:r>
              <w:rPr>
                <w:spacing w:val="-5"/>
              </w:rPr>
              <w:t>EXECUTIVE OFFICERS</w:t>
            </w:r>
            <w:r>
              <w:rPr/>
              <w:t xml:space="preserve"> </w:t>
            </w:r>
          </w:p>
        </w:tc>
        <w:tc>
          <w:tcPr>
            <w:tcW w:w="154" w:type="dxa"/>
            <w:tcBorders/>
            <w:shd w:fill="1DA46F" w:val="clear"/>
            <w:vAlign w:val="center"/>
          </w:tcPr>
          <w:p>
            <w:pPr>
              <w:pStyle w:val="TableContents"/>
              <w:spacing w:before="0" w:after="283"/>
              <w:rPr/>
            </w:pPr>
            <w:r>
              <w:rPr/>
              <w:t>​</w:t>
            </w:r>
          </w:p>
        </w:tc>
      </w:tr>
    </w:tbl>
    <w:p>
      <w:pPr>
        <w:pStyle w:val="TextBody"/>
        <w:spacing w:lineRule="atLeast" w:line="240" w:before="360" w:after="283"/>
        <w:ind w:left="96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F. Hoffmann-La Roche &amp; Co. from 2011 to 2015. Previously, Dr. Levitsky was Professor of Oncology, Medicine, and Urology at The Johns Hopkins University School of Medicine and the Sidney Kimmel Comprehensive Cancer Center where he began as an Assistant Professor of Oncology in 1991 and rose to Professor in 2002. At The Johns Hopkins University, Dr. Levitsky served as Scientific Director of the George Santos Bone Marrow Transplant Program from 2005 to 2011. He served on the External Scientific Advisory Board of the Pasteur Institute’s Center for Human Immunology from 2008 to 2010. Dr. Levitsky holds a number of honors including being named a Stohlman Scholar by the Leukemia and Lymphoma Society in 2002, and was elected as a member of the American Society for Clinical Investigation in 2002. Dr. Levitsky received a B.S. from the University of Pennsylvania School of Engineering and Applied Science and an M.D. from The Johns Hopkins University School of Medicine.</w:t>
      </w:r>
      <w:r>
        <w:rPr>
          <w:rFonts w:ascii="Arial;Helvetica;sans-serif" w:hAnsi="Arial;Helvetica;sans-serif"/>
          <w:b w:val="false"/>
          <w:i w:val="false"/>
          <w:caps w:val="false"/>
          <w:smallCaps w:val="false"/>
          <w:color w:val="000000"/>
          <w:sz w:val="20"/>
        </w:rPr>
        <w:t xml:space="preserve"> </w:t>
      </w:r>
    </w:p>
    <w:p>
      <w:pPr>
        <w:pStyle w:val="TextBody"/>
        <w:spacing w:lineRule="atLeast" w:line="240" w:before="100" w:after="283"/>
        <w:ind w:left="960" w:right="0" w:hanging="0"/>
        <w:jc w:val="righ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1DA46F"/>
          <w:spacing w:val="0"/>
          <w:sz w:val="20"/>
        </w:rPr>
        <w:t>Notice of Annual Meeting of Stockholders</w:t>
      </w:r>
      <w:r>
        <w:rPr>
          <w:rFonts w:ascii="Arial;Helvetica;sans-serif" w:hAnsi="Arial;Helvetica;sans-serif"/>
          <w:b/>
          <w:i w:val="false"/>
          <w:caps w:val="false"/>
          <w:smallCaps w:val="false"/>
          <w:color w:val="000000"/>
          <w:spacing w:val="0"/>
          <w:sz w:val="20"/>
        </w:rPr>
        <w:t> and 2023 Proxy Statement | </w:t>
      </w:r>
      <w:r>
        <w:rPr>
          <w:rFonts w:ascii="Arial;Helvetica;sans-serif" w:hAnsi="Arial;Helvetica;sans-serif"/>
          <w:b w:val="false"/>
          <w:i w:val="false"/>
          <w:caps w:val="false"/>
          <w:smallCaps w:val="false"/>
          <w:color w:val="000000"/>
          <w:spacing w:val="-1"/>
          <w:sz w:val="20"/>
        </w:rPr>
        <w:t>23</w:t>
      </w:r>
      <w:r>
        <w:rPr>
          <w:rFonts w:ascii="Arial;Helvetica;sans-serif" w:hAnsi="Arial;Helvetica;sans-serif"/>
          <w:b/>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46" w:name="tSCT"/>
      <w:bookmarkEnd w:id="46"/>
      <w:r>
        <w:rPr>
          <w:rFonts w:ascii="calibri;arial;sans-serif" w:hAnsi="calibri;arial;sans-serif"/>
          <w:b w:val="false"/>
          <w:i w:val="false"/>
          <w:caps w:val="false"/>
          <w:smallCaps w:val="false"/>
          <w:color w:val="000000"/>
          <w:sz w:val="16"/>
        </w:rPr>
        <w:t xml:space="preserve">​ </w:t>
      </w:r>
    </w:p>
    <w:tbl>
      <w:tblPr>
        <w:tblW w:w="3709" w:type="dxa"/>
        <w:jc w:val="left"/>
        <w:tblInd w:w="960" w:type="dxa"/>
        <w:tblCellMar>
          <w:top w:w="0" w:type="dxa"/>
          <w:left w:w="0" w:type="dxa"/>
          <w:bottom w:w="0" w:type="dxa"/>
          <w:right w:w="0" w:type="dxa"/>
        </w:tblCellMar>
      </w:tblPr>
      <w:tblGrid>
        <w:gridCol w:w="124"/>
        <w:gridCol w:w="3431"/>
        <w:gridCol w:w="154"/>
      </w:tblGrid>
      <w:tr>
        <w:trPr/>
        <w:tc>
          <w:tcPr>
            <w:tcW w:w="124" w:type="dxa"/>
            <w:tcBorders/>
            <w:shd w:fill="1DA46F" w:val="clear"/>
            <w:vAlign w:val="center"/>
          </w:tcPr>
          <w:p>
            <w:pPr>
              <w:pStyle w:val="TableContents"/>
              <w:spacing w:before="0" w:after="283"/>
              <w:rPr/>
            </w:pPr>
            <w:r>
              <w:rPr/>
              <w:t>​</w:t>
            </w:r>
          </w:p>
        </w:tc>
        <w:tc>
          <w:tcPr>
            <w:tcW w:w="3431" w:type="dxa"/>
            <w:tcBorders/>
            <w:shd w:fill="1DA46F" w:val="clear"/>
            <w:vAlign w:val="center"/>
          </w:tcPr>
          <w:p>
            <w:pPr>
              <w:pStyle w:val="TableContents"/>
              <w:spacing w:lineRule="atLeast" w:line="360" w:before="0" w:after="0"/>
              <w:rPr/>
            </w:pPr>
            <w:r>
              <w:rPr>
                <w:spacing w:val="-5"/>
              </w:rPr>
              <w:t>EXECUTIVE COMPENSATION</w:t>
            </w:r>
            <w:r>
              <w:rPr/>
              <w:t xml:space="preserve"> </w:t>
            </w:r>
          </w:p>
        </w:tc>
        <w:tc>
          <w:tcPr>
            <w:tcW w:w="154" w:type="dxa"/>
            <w:tcBorders/>
            <w:shd w:fill="1DA46F" w:val="clear"/>
            <w:vAlign w:val="center"/>
          </w:tcPr>
          <w:p>
            <w:pPr>
              <w:pStyle w:val="TableContents"/>
              <w:spacing w:before="0" w:after="283"/>
              <w:rPr/>
            </w:pPr>
            <w:r>
              <w:rPr/>
              <w:t>​</w:t>
            </w:r>
          </w:p>
        </w:tc>
      </w:tr>
    </w:tbl>
    <w:p>
      <w:pPr>
        <w:pStyle w:val="TextBody"/>
        <w:spacing w:lineRule="atLeast" w:line="230" w:before="360" w:after="283"/>
        <w:ind w:left="96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This section discusses the material components of the executive compensation program for our named executive officers, or NEOs. In 2022, our NEOs were Osvaldo Flores, Ph.D., our former President and Chief Executive Officer, Michael Diem, M.D., our Chief Financial Officer and Adrienne Farid, Ph.D., our Chief Operations Officer.</w:t>
      </w:r>
      <w:r>
        <w:rPr>
          <w:rFonts w:ascii="Arial;Helvetica;sans-serif" w:hAnsi="Arial;Helvetica;sans-serif"/>
          <w:b w:val="false"/>
          <w:i w:val="false"/>
          <w:caps w:val="false"/>
          <w:smallCaps w:val="false"/>
          <w:color w:val="000000"/>
          <w:spacing w:val="4"/>
          <w:sz w:val="20"/>
        </w:rPr>
        <w:t xml:space="preserve"> </w:t>
      </w:r>
    </w:p>
    <w:p>
      <w:pPr>
        <w:pStyle w:val="TextBody"/>
        <w:spacing w:lineRule="atLeast" w:line="240" w:before="240" w:after="283"/>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3"/>
          <w:sz w:val="20"/>
        </w:rPr>
        <w:t>SUMMARY COMPENSATION TABLE</w:t>
      </w:r>
      <w:r>
        <w:rPr>
          <w:rFonts w:ascii="Arial;Helvetica;sans-serif" w:hAnsi="Arial;Helvetica;sans-serif"/>
          <w:b/>
          <w:i w:val="false"/>
          <w:caps w:val="false"/>
          <w:smallCaps w:val="false"/>
          <w:color w:val="000000"/>
          <w:spacing w:val="4"/>
          <w:sz w:val="20"/>
        </w:rPr>
        <w:t xml:space="preserve"> </w:t>
      </w:r>
    </w:p>
    <w:p>
      <w:pPr>
        <w:pStyle w:val="TextBody"/>
        <w:spacing w:lineRule="atLeast" w:line="23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The following table sets forth information concerning the compensation of our 2022 NEOs during the fiscal years ended December 31, 2022 and December 31, 2021:</w:t>
      </w:r>
      <w:r>
        <w:rPr>
          <w:rFonts w:ascii="Arial;Helvetica;sans-serif" w:hAnsi="Arial;Helvetica;sans-serif"/>
          <w:b w:val="false"/>
          <w:i w:val="false"/>
          <w:caps w:val="false"/>
          <w:smallCaps w:val="false"/>
          <w:color w:val="000000"/>
          <w:spacing w:val="4"/>
          <w:sz w:val="20"/>
        </w:rPr>
        <w:t xml:space="preserve"> </w:t>
      </w:r>
    </w:p>
    <w:tbl>
      <w:tblPr>
        <w:tblW w:w="13785" w:type="dxa"/>
        <w:jc w:val="left"/>
        <w:tblInd w:w="960" w:type="dxa"/>
        <w:tblCellMar>
          <w:top w:w="0" w:type="dxa"/>
          <w:left w:w="0" w:type="dxa"/>
          <w:bottom w:w="0" w:type="dxa"/>
          <w:right w:w="0" w:type="dxa"/>
        </w:tblCellMar>
      </w:tblPr>
      <w:tblGrid>
        <w:gridCol w:w="124"/>
        <w:gridCol w:w="109"/>
        <w:gridCol w:w="1350"/>
        <w:gridCol w:w="109"/>
        <w:gridCol w:w="109"/>
        <w:gridCol w:w="775"/>
        <w:gridCol w:w="109"/>
        <w:gridCol w:w="109"/>
        <w:gridCol w:w="1086"/>
        <w:gridCol w:w="109"/>
        <w:gridCol w:w="109"/>
        <w:gridCol w:w="938"/>
        <w:gridCol w:w="109"/>
        <w:gridCol w:w="109"/>
        <w:gridCol w:w="1161"/>
        <w:gridCol w:w="109"/>
        <w:gridCol w:w="109"/>
        <w:gridCol w:w="1161"/>
        <w:gridCol w:w="109"/>
        <w:gridCol w:w="109"/>
        <w:gridCol w:w="2004"/>
        <w:gridCol w:w="109"/>
        <w:gridCol w:w="109"/>
        <w:gridCol w:w="2004"/>
        <w:gridCol w:w="109"/>
        <w:gridCol w:w="109"/>
        <w:gridCol w:w="1066"/>
        <w:gridCol w:w="109"/>
        <w:gridCol w:w="154"/>
      </w:tblGrid>
      <w:tr>
        <w:trPr/>
        <w:tc>
          <w:tcPr>
            <w:tcW w:w="124" w:type="dxa"/>
            <w:tcBorders/>
            <w:shd w:fill="auto" w:val="clear"/>
            <w:vAlign w:val="center"/>
          </w:tcPr>
          <w:p>
            <w:pPr>
              <w:pStyle w:val="TableContents"/>
              <w:spacing w:before="0" w:after="283"/>
              <w:rPr/>
            </w:pPr>
            <w:r>
              <w:rPr/>
              <w:t>​</w:t>
            </w:r>
          </w:p>
        </w:tc>
        <w:tc>
          <w:tcPr>
            <w:tcW w:w="109" w:type="dxa"/>
            <w:tcBorders/>
            <w:shd w:fill="148CD9" w:val="clear"/>
            <w:vAlign w:val="center"/>
          </w:tcPr>
          <w:p>
            <w:pPr>
              <w:pStyle w:val="TableContents"/>
              <w:spacing w:before="0" w:after="283"/>
              <w:rPr/>
            </w:pPr>
            <w:r>
              <w:rPr/>
              <w:t>​</w:t>
            </w:r>
          </w:p>
        </w:tc>
        <w:tc>
          <w:tcPr>
            <w:tcW w:w="1350" w:type="dxa"/>
            <w:tcBorders/>
            <w:shd w:fill="148CD9" w:val="clear"/>
            <w:tcMar>
              <w:top w:w="28" w:type="dxa"/>
              <w:left w:w="28" w:type="dxa"/>
              <w:bottom w:w="28" w:type="dxa"/>
              <w:right w:w="28" w:type="dxa"/>
            </w:tcMar>
            <w:vAlign w:val="center"/>
          </w:tcPr>
          <w:p>
            <w:pPr>
              <w:pStyle w:val="TableContents"/>
              <w:spacing w:before="0" w:after="283"/>
              <w:jc w:val="left"/>
              <w:rPr/>
            </w:pPr>
            <w:r>
              <w:rPr>
                <w:spacing w:val="-2"/>
              </w:rPr>
              <w:t>NAME AND</w:t>
            </w:r>
            <w:r>
              <w:rPr/>
              <w:t xml:space="preserve"> </w:t>
              <w:br/>
            </w:r>
            <w:r>
              <w:rPr>
                <w:spacing w:val="-2"/>
              </w:rPr>
              <w:t>PRINCIPAL</w:t>
            </w:r>
            <w:r>
              <w:rPr/>
              <w:t xml:space="preserve"> </w:t>
              <w:br/>
            </w:r>
            <w:r>
              <w:rPr>
                <w:spacing w:val="-2"/>
              </w:rPr>
              <w:t xml:space="preserve">POSITION </w:t>
            </w:r>
          </w:p>
        </w:tc>
        <w:tc>
          <w:tcPr>
            <w:tcW w:w="109" w:type="dxa"/>
            <w:tcBorders/>
            <w:shd w:fill="148CD9" w:val="clear"/>
            <w:vAlign w:val="center"/>
          </w:tcPr>
          <w:p>
            <w:pPr>
              <w:pStyle w:val="TableContents"/>
              <w:spacing w:before="0" w:after="283"/>
              <w:rPr/>
            </w:pPr>
            <w:r>
              <w:rPr/>
              <w:t>​</w:t>
            </w:r>
          </w:p>
        </w:tc>
        <w:tc>
          <w:tcPr>
            <w:tcW w:w="109" w:type="dxa"/>
            <w:tcBorders/>
            <w:shd w:fill="148CD9" w:val="clear"/>
            <w:vAlign w:val="center"/>
          </w:tcPr>
          <w:p>
            <w:pPr>
              <w:pStyle w:val="TableContents"/>
              <w:spacing w:before="0" w:after="283"/>
              <w:rPr/>
            </w:pPr>
            <w:r>
              <w:rPr/>
              <w:t>​</w:t>
            </w:r>
          </w:p>
        </w:tc>
        <w:tc>
          <w:tcPr>
            <w:tcW w:w="775" w:type="dxa"/>
            <w:tcBorders/>
            <w:shd w:fill="148CD9" w:val="clear"/>
            <w:tcMar>
              <w:top w:w="28" w:type="dxa"/>
              <w:left w:w="28" w:type="dxa"/>
              <w:bottom w:w="28" w:type="dxa"/>
              <w:right w:w="28" w:type="dxa"/>
            </w:tcMar>
            <w:vAlign w:val="center"/>
          </w:tcPr>
          <w:p>
            <w:pPr>
              <w:pStyle w:val="TableContents"/>
              <w:spacing w:before="0" w:after="0"/>
              <w:jc w:val="center"/>
              <w:rPr>
                <w:spacing w:val="-2"/>
              </w:rPr>
            </w:pPr>
            <w:r>
              <w:rPr>
                <w:spacing w:val="-2"/>
              </w:rPr>
              <w:t xml:space="preserve">YEAR </w:t>
            </w:r>
          </w:p>
        </w:tc>
        <w:tc>
          <w:tcPr>
            <w:tcW w:w="109" w:type="dxa"/>
            <w:tcBorders/>
            <w:shd w:fill="148CD9" w:val="clear"/>
            <w:vAlign w:val="center"/>
          </w:tcPr>
          <w:p>
            <w:pPr>
              <w:pStyle w:val="TableContents"/>
              <w:spacing w:before="0" w:after="283"/>
              <w:rPr/>
            </w:pPr>
            <w:r>
              <w:rPr/>
              <w:t>​</w:t>
            </w:r>
          </w:p>
        </w:tc>
        <w:tc>
          <w:tcPr>
            <w:tcW w:w="109" w:type="dxa"/>
            <w:tcBorders/>
            <w:shd w:fill="148CD9" w:val="clear"/>
            <w:vAlign w:val="center"/>
          </w:tcPr>
          <w:p>
            <w:pPr>
              <w:pStyle w:val="TableContents"/>
              <w:spacing w:before="0" w:after="283"/>
              <w:rPr/>
            </w:pPr>
            <w:r>
              <w:rPr/>
              <w:t>​</w:t>
            </w:r>
          </w:p>
        </w:tc>
        <w:tc>
          <w:tcPr>
            <w:tcW w:w="1086" w:type="dxa"/>
            <w:tcBorders/>
            <w:shd w:fill="148CD9" w:val="clear"/>
            <w:tcMar>
              <w:top w:w="28" w:type="dxa"/>
              <w:left w:w="28" w:type="dxa"/>
              <w:bottom w:w="28" w:type="dxa"/>
              <w:right w:w="28" w:type="dxa"/>
            </w:tcMar>
            <w:vAlign w:val="center"/>
          </w:tcPr>
          <w:p>
            <w:pPr>
              <w:pStyle w:val="TableContents"/>
              <w:spacing w:before="0" w:after="0"/>
              <w:jc w:val="center"/>
              <w:rPr/>
            </w:pPr>
            <w:r>
              <w:rPr>
                <w:spacing w:val="-2"/>
              </w:rPr>
              <w:t xml:space="preserve">SALARY </w:t>
            </w:r>
            <w:r>
              <w:rPr/>
              <w:br/>
            </w:r>
            <w:r>
              <w:rPr>
                <w:spacing w:val="-2"/>
              </w:rPr>
              <w:t xml:space="preserve">($) </w:t>
            </w:r>
          </w:p>
        </w:tc>
        <w:tc>
          <w:tcPr>
            <w:tcW w:w="109" w:type="dxa"/>
            <w:tcBorders/>
            <w:shd w:fill="148CD9" w:val="clear"/>
            <w:vAlign w:val="center"/>
          </w:tcPr>
          <w:p>
            <w:pPr>
              <w:pStyle w:val="TableContents"/>
              <w:spacing w:before="0" w:after="283"/>
              <w:rPr/>
            </w:pPr>
            <w:r>
              <w:rPr/>
              <w:t>​</w:t>
            </w:r>
          </w:p>
        </w:tc>
        <w:tc>
          <w:tcPr>
            <w:tcW w:w="109" w:type="dxa"/>
            <w:tcBorders/>
            <w:shd w:fill="148CD9" w:val="clear"/>
            <w:vAlign w:val="center"/>
          </w:tcPr>
          <w:p>
            <w:pPr>
              <w:pStyle w:val="TableContents"/>
              <w:spacing w:before="0" w:after="283"/>
              <w:rPr/>
            </w:pPr>
            <w:r>
              <w:rPr/>
              <w:t>​</w:t>
            </w:r>
          </w:p>
        </w:tc>
        <w:tc>
          <w:tcPr>
            <w:tcW w:w="938" w:type="dxa"/>
            <w:tcBorders/>
            <w:shd w:fill="148CD9" w:val="clear"/>
            <w:tcMar>
              <w:top w:w="28" w:type="dxa"/>
              <w:left w:w="28" w:type="dxa"/>
              <w:bottom w:w="28" w:type="dxa"/>
              <w:right w:w="28" w:type="dxa"/>
            </w:tcMar>
            <w:vAlign w:val="center"/>
          </w:tcPr>
          <w:p>
            <w:pPr>
              <w:pStyle w:val="TableContents"/>
              <w:spacing w:before="0" w:after="0"/>
              <w:jc w:val="center"/>
              <w:rPr/>
            </w:pPr>
            <w:r>
              <w:rPr>
                <w:spacing w:val="-2"/>
              </w:rPr>
              <w:t>BONUS</w:t>
            </w:r>
            <w:r>
              <w:rPr/>
              <w:t xml:space="preserve"> </w:t>
              <w:br/>
            </w:r>
            <w:r>
              <w:rPr>
                <w:spacing w:val="-2"/>
              </w:rPr>
              <w:t xml:space="preserve">($) </w:t>
            </w:r>
          </w:p>
        </w:tc>
        <w:tc>
          <w:tcPr>
            <w:tcW w:w="109" w:type="dxa"/>
            <w:tcBorders/>
            <w:shd w:fill="148CD9" w:val="clear"/>
            <w:vAlign w:val="center"/>
          </w:tcPr>
          <w:p>
            <w:pPr>
              <w:pStyle w:val="TableContents"/>
              <w:spacing w:before="0" w:after="283"/>
              <w:rPr/>
            </w:pPr>
            <w:r>
              <w:rPr/>
              <w:t>​</w:t>
            </w:r>
          </w:p>
        </w:tc>
        <w:tc>
          <w:tcPr>
            <w:tcW w:w="109" w:type="dxa"/>
            <w:tcBorders/>
            <w:shd w:fill="148CD9" w:val="clear"/>
            <w:vAlign w:val="center"/>
          </w:tcPr>
          <w:p>
            <w:pPr>
              <w:pStyle w:val="TableContents"/>
              <w:spacing w:before="0" w:after="283"/>
              <w:rPr/>
            </w:pPr>
            <w:r>
              <w:rPr/>
              <w:t>​</w:t>
            </w:r>
          </w:p>
        </w:tc>
        <w:tc>
          <w:tcPr>
            <w:tcW w:w="1161" w:type="dxa"/>
            <w:tcBorders/>
            <w:shd w:fill="148CD9" w:val="clear"/>
            <w:tcMar>
              <w:top w:w="28" w:type="dxa"/>
              <w:left w:w="28" w:type="dxa"/>
              <w:bottom w:w="28" w:type="dxa"/>
              <w:right w:w="28" w:type="dxa"/>
            </w:tcMar>
            <w:vAlign w:val="center"/>
          </w:tcPr>
          <w:p>
            <w:pPr>
              <w:pStyle w:val="TableContents"/>
              <w:spacing w:before="0" w:after="0"/>
              <w:jc w:val="center"/>
              <w:rPr/>
            </w:pPr>
            <w:r>
              <w:rPr>
                <w:spacing w:val="-2"/>
              </w:rPr>
              <w:t xml:space="preserve">STOCK </w:t>
            </w:r>
            <w:r>
              <w:rPr/>
              <w:br/>
            </w:r>
            <w:r>
              <w:rPr>
                <w:spacing w:val="-2"/>
              </w:rPr>
              <w:t xml:space="preserve">AWARDS </w:t>
            </w:r>
            <w:r>
              <w:rPr/>
              <w:br/>
            </w:r>
            <w:r>
              <w:rPr>
                <w:spacing w:val="-2"/>
              </w:rPr>
              <w:t xml:space="preserve">($) </w:t>
            </w:r>
          </w:p>
        </w:tc>
        <w:tc>
          <w:tcPr>
            <w:tcW w:w="109" w:type="dxa"/>
            <w:tcBorders/>
            <w:shd w:fill="148CD9" w:val="clear"/>
            <w:vAlign w:val="center"/>
          </w:tcPr>
          <w:p>
            <w:pPr>
              <w:pStyle w:val="TableContents"/>
              <w:spacing w:before="0" w:after="283"/>
              <w:rPr/>
            </w:pPr>
            <w:r>
              <w:rPr/>
              <w:t>​</w:t>
            </w:r>
          </w:p>
        </w:tc>
        <w:tc>
          <w:tcPr>
            <w:tcW w:w="109" w:type="dxa"/>
            <w:tcBorders/>
            <w:shd w:fill="148CD9" w:val="clear"/>
            <w:vAlign w:val="center"/>
          </w:tcPr>
          <w:p>
            <w:pPr>
              <w:pStyle w:val="TableContents"/>
              <w:spacing w:before="0" w:after="283"/>
              <w:rPr/>
            </w:pPr>
            <w:r>
              <w:rPr/>
              <w:t>​</w:t>
            </w:r>
          </w:p>
        </w:tc>
        <w:tc>
          <w:tcPr>
            <w:tcW w:w="1161" w:type="dxa"/>
            <w:tcBorders/>
            <w:shd w:fill="148CD9" w:val="clear"/>
            <w:tcMar>
              <w:top w:w="28" w:type="dxa"/>
              <w:left w:w="28" w:type="dxa"/>
              <w:bottom w:w="28" w:type="dxa"/>
              <w:right w:w="28" w:type="dxa"/>
            </w:tcMar>
            <w:vAlign w:val="center"/>
          </w:tcPr>
          <w:p>
            <w:pPr>
              <w:pStyle w:val="TableContents"/>
              <w:spacing w:before="0" w:after="0"/>
              <w:jc w:val="center"/>
              <w:rPr/>
            </w:pPr>
            <w:r>
              <w:rPr>
                <w:spacing w:val="-2"/>
              </w:rPr>
              <w:t>OPTION</w:t>
            </w:r>
            <w:r>
              <w:rPr/>
              <w:t xml:space="preserve"> </w:t>
              <w:br/>
            </w:r>
            <w:r>
              <w:rPr>
                <w:spacing w:val="-2"/>
              </w:rPr>
              <w:t>AWARDS</w:t>
            </w:r>
            <w:r>
              <w:rPr/>
              <w:t xml:space="preserve"> </w:t>
              <w:br/>
            </w:r>
            <w:r>
              <w:rPr>
                <w:spacing w:val="-2"/>
              </w:rPr>
              <w:t xml:space="preserve">($)(1) </w:t>
            </w:r>
          </w:p>
        </w:tc>
        <w:tc>
          <w:tcPr>
            <w:tcW w:w="109" w:type="dxa"/>
            <w:tcBorders/>
            <w:shd w:fill="148CD9" w:val="clear"/>
            <w:vAlign w:val="center"/>
          </w:tcPr>
          <w:p>
            <w:pPr>
              <w:pStyle w:val="TableContents"/>
              <w:spacing w:before="0" w:after="283"/>
              <w:rPr/>
            </w:pPr>
            <w:r>
              <w:rPr/>
              <w:t>​</w:t>
            </w:r>
          </w:p>
        </w:tc>
        <w:tc>
          <w:tcPr>
            <w:tcW w:w="109" w:type="dxa"/>
            <w:tcBorders/>
            <w:shd w:fill="148CD9" w:val="clear"/>
            <w:vAlign w:val="center"/>
          </w:tcPr>
          <w:p>
            <w:pPr>
              <w:pStyle w:val="TableContents"/>
              <w:spacing w:before="0" w:after="283"/>
              <w:rPr/>
            </w:pPr>
            <w:r>
              <w:rPr/>
              <w:t>​</w:t>
            </w:r>
          </w:p>
        </w:tc>
        <w:tc>
          <w:tcPr>
            <w:tcW w:w="2004" w:type="dxa"/>
            <w:tcBorders/>
            <w:shd w:fill="148CD9" w:val="clear"/>
            <w:vAlign w:val="center"/>
          </w:tcPr>
          <w:p>
            <w:pPr>
              <w:pStyle w:val="TableContents"/>
              <w:spacing w:before="0" w:after="0"/>
              <w:jc w:val="center"/>
              <w:rPr/>
            </w:pPr>
            <w:r>
              <w:rPr>
                <w:spacing w:val="-2"/>
              </w:rPr>
              <w:t xml:space="preserve">NON-EQUITY </w:t>
            </w:r>
            <w:r>
              <w:rPr/>
              <w:br/>
            </w:r>
            <w:r>
              <w:rPr>
                <w:spacing w:val="-2"/>
              </w:rPr>
              <w:t xml:space="preserve">INCENTIVE </w:t>
            </w:r>
            <w:r>
              <w:rPr/>
              <w:br/>
            </w:r>
            <w:r>
              <w:rPr>
                <w:spacing w:val="-2"/>
              </w:rPr>
              <w:t xml:space="preserve">PLAN </w:t>
            </w:r>
            <w:r>
              <w:rPr/>
              <w:br/>
            </w:r>
            <w:r>
              <w:rPr>
                <w:spacing w:val="-2"/>
              </w:rPr>
              <w:t>COMPENSATION</w:t>
            </w:r>
            <w:r>
              <w:rPr/>
              <w:t xml:space="preserve"> </w:t>
              <w:br/>
            </w:r>
            <w:r>
              <w:rPr>
                <w:spacing w:val="-2"/>
              </w:rPr>
              <w:t xml:space="preserve">($)(2) </w:t>
            </w:r>
          </w:p>
        </w:tc>
        <w:tc>
          <w:tcPr>
            <w:tcW w:w="109" w:type="dxa"/>
            <w:tcBorders/>
            <w:shd w:fill="148CD9" w:val="clear"/>
            <w:vAlign w:val="center"/>
          </w:tcPr>
          <w:p>
            <w:pPr>
              <w:pStyle w:val="TableContents"/>
              <w:spacing w:before="0" w:after="283"/>
              <w:rPr/>
            </w:pPr>
            <w:r>
              <w:rPr/>
              <w:t>​</w:t>
            </w:r>
          </w:p>
        </w:tc>
        <w:tc>
          <w:tcPr>
            <w:tcW w:w="109" w:type="dxa"/>
            <w:tcBorders/>
            <w:shd w:fill="148CD9" w:val="clear"/>
            <w:vAlign w:val="center"/>
          </w:tcPr>
          <w:p>
            <w:pPr>
              <w:pStyle w:val="TableContents"/>
              <w:spacing w:before="0" w:after="283"/>
              <w:rPr/>
            </w:pPr>
            <w:r>
              <w:rPr/>
              <w:t>​</w:t>
            </w:r>
          </w:p>
        </w:tc>
        <w:tc>
          <w:tcPr>
            <w:tcW w:w="2004" w:type="dxa"/>
            <w:tcBorders/>
            <w:shd w:fill="148CD9" w:val="clear"/>
            <w:tcMar>
              <w:top w:w="28" w:type="dxa"/>
              <w:left w:w="28" w:type="dxa"/>
              <w:bottom w:w="28" w:type="dxa"/>
              <w:right w:w="28" w:type="dxa"/>
            </w:tcMar>
            <w:vAlign w:val="center"/>
          </w:tcPr>
          <w:p>
            <w:pPr>
              <w:pStyle w:val="TableContents"/>
              <w:spacing w:before="0" w:after="0"/>
              <w:jc w:val="center"/>
              <w:rPr/>
            </w:pPr>
            <w:r>
              <w:rPr>
                <w:spacing w:val="-2"/>
              </w:rPr>
              <w:t>ALL OTHER</w:t>
            </w:r>
            <w:r>
              <w:rPr/>
              <w:t xml:space="preserve"> </w:t>
              <w:br/>
            </w:r>
            <w:r>
              <w:rPr>
                <w:spacing w:val="-2"/>
              </w:rPr>
              <w:t>COMPENSATION</w:t>
            </w:r>
            <w:r>
              <w:rPr/>
              <w:t xml:space="preserve"> </w:t>
              <w:br/>
            </w:r>
            <w:r>
              <w:rPr>
                <w:spacing w:val="-2"/>
              </w:rPr>
              <w:t xml:space="preserve">($)(3) </w:t>
            </w:r>
          </w:p>
        </w:tc>
        <w:tc>
          <w:tcPr>
            <w:tcW w:w="109" w:type="dxa"/>
            <w:tcBorders/>
            <w:shd w:fill="148CD9" w:val="clear"/>
            <w:vAlign w:val="center"/>
          </w:tcPr>
          <w:p>
            <w:pPr>
              <w:pStyle w:val="TableContents"/>
              <w:spacing w:before="0" w:after="283"/>
              <w:rPr/>
            </w:pPr>
            <w:r>
              <w:rPr/>
              <w:t>​</w:t>
            </w:r>
          </w:p>
        </w:tc>
        <w:tc>
          <w:tcPr>
            <w:tcW w:w="109" w:type="dxa"/>
            <w:tcBorders/>
            <w:shd w:fill="148CD9" w:val="clear"/>
            <w:vAlign w:val="center"/>
          </w:tcPr>
          <w:p>
            <w:pPr>
              <w:pStyle w:val="TableContents"/>
              <w:spacing w:before="0" w:after="283"/>
              <w:rPr/>
            </w:pPr>
            <w:r>
              <w:rPr/>
              <w:t>​</w:t>
            </w:r>
          </w:p>
        </w:tc>
        <w:tc>
          <w:tcPr>
            <w:tcW w:w="1066" w:type="dxa"/>
            <w:tcBorders/>
            <w:shd w:fill="148CD9" w:val="clear"/>
            <w:tcMar>
              <w:top w:w="28" w:type="dxa"/>
              <w:left w:w="28" w:type="dxa"/>
              <w:bottom w:w="28" w:type="dxa"/>
              <w:right w:w="28" w:type="dxa"/>
            </w:tcMar>
            <w:vAlign w:val="center"/>
          </w:tcPr>
          <w:p>
            <w:pPr>
              <w:pStyle w:val="TableContents"/>
              <w:spacing w:before="0" w:after="0"/>
              <w:jc w:val="center"/>
              <w:rPr/>
            </w:pPr>
            <w:r>
              <w:rPr>
                <w:spacing w:val="-2"/>
              </w:rPr>
              <w:t xml:space="preserve">TOTAL </w:t>
            </w:r>
            <w:r>
              <w:rPr/>
              <w:br/>
            </w:r>
            <w:r>
              <w:rPr>
                <w:spacing w:val="-2"/>
              </w:rPr>
              <w:t>($)</w:t>
            </w:r>
            <w:r>
              <w:rPr/>
              <w:t xml:space="preserve"> </w:t>
            </w:r>
          </w:p>
        </w:tc>
        <w:tc>
          <w:tcPr>
            <w:tcW w:w="109" w:type="dxa"/>
            <w:tcBorders/>
            <w:shd w:fill="148CD9" w:val="clear"/>
            <w:vAlign w:val="center"/>
          </w:tcPr>
          <w:p>
            <w:pPr>
              <w:pStyle w:val="TableContents"/>
              <w:spacing w:before="0" w:after="283"/>
              <w:rPr/>
            </w:pPr>
            <w:r>
              <w:rPr/>
              <w:t>​</w:t>
            </w:r>
          </w:p>
        </w:tc>
        <w:tc>
          <w:tcPr>
            <w:tcW w:w="154" w:type="dxa"/>
            <w:tcBorders/>
            <w:shd w:fill="auto" w:val="clear"/>
            <w:vAlign w:val="center"/>
          </w:tcPr>
          <w:p>
            <w:pPr>
              <w:pStyle w:val="TableContents"/>
              <w:spacing w:before="0" w:after="283"/>
              <w:rPr/>
            </w:pPr>
            <w:r>
              <w:rPr/>
              <w:t>​</w:t>
            </w:r>
          </w:p>
        </w:tc>
      </w:tr>
      <w:tr>
        <w:trPr/>
        <w:tc>
          <w:tcPr>
            <w:tcW w:w="124" w:type="dxa"/>
            <w:vMerge w:val="restart"/>
            <w:tcBorders/>
            <w:shd w:fill="auto" w:val="clear"/>
            <w:vAlign w:val="center"/>
          </w:tcPr>
          <w:p>
            <w:pPr>
              <w:pStyle w:val="TableContents"/>
              <w:spacing w:before="0" w:after="283"/>
              <w:rPr/>
            </w:pPr>
            <w:r>
              <w:rPr/>
              <w:t>​</w:t>
            </w:r>
          </w:p>
        </w:tc>
        <w:tc>
          <w:tcPr>
            <w:tcW w:w="109" w:type="dxa"/>
            <w:vMerge w:val="restart"/>
            <w:tcBorders>
              <w:bottom w:val="single" w:sz="2" w:space="0" w:color="000000"/>
            </w:tcBorders>
            <w:shd w:fill="auto" w:val="clear"/>
            <w:tcMar>
              <w:bottom w:w="28" w:type="dxa"/>
            </w:tcMar>
            <w:vAlign w:val="center"/>
          </w:tcPr>
          <w:p>
            <w:pPr>
              <w:pStyle w:val="TableContents"/>
              <w:spacing w:before="0" w:after="283"/>
              <w:rPr/>
            </w:pPr>
            <w:r>
              <w:rPr/>
              <w:t>​</w:t>
            </w:r>
          </w:p>
        </w:tc>
        <w:tc>
          <w:tcPr>
            <w:tcW w:w="1350" w:type="dxa"/>
            <w:vMerge w:val="restart"/>
            <w:tcBorders>
              <w:bottom w:val="single" w:sz="2" w:space="0" w:color="000000"/>
            </w:tcBorders>
            <w:shd w:fill="auto" w:val="clear"/>
            <w:tcMar>
              <w:bottom w:w="56" w:type="dxa"/>
            </w:tcMar>
            <w:vAlign w:val="center"/>
          </w:tcPr>
          <w:p>
            <w:pPr>
              <w:pStyle w:val="TableContents"/>
              <w:spacing w:lineRule="atLeast" w:line="192" w:before="0" w:after="0"/>
              <w:jc w:val="left"/>
              <w:rPr/>
            </w:pPr>
            <w:r>
              <w:rPr>
                <w:b/>
                <w:spacing w:val="0"/>
              </w:rPr>
              <w:t>Osvaldo Flores, Ph.D.</w:t>
            </w:r>
            <w:r>
              <w:rPr>
                <w:spacing w:val="0"/>
              </w:rPr>
              <w:t xml:space="preserve"> Former </w:t>
            </w:r>
            <w:r>
              <w:rPr/>
              <w:br/>
            </w:r>
            <w:r>
              <w:rPr>
                <w:spacing w:val="0"/>
              </w:rPr>
              <w:t xml:space="preserve">President and Chief Executive Officer(4) </w:t>
            </w:r>
          </w:p>
        </w:tc>
        <w:tc>
          <w:tcPr>
            <w:tcW w:w="109" w:type="dxa"/>
            <w:vMerge w:val="restart"/>
            <w:tcBorders>
              <w:bottom w:val="single" w:sz="2" w:space="0" w:color="000000"/>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775" w:type="dxa"/>
            <w:tcBorders>
              <w:bottom w:val="single" w:sz="2" w:space="0" w:color="000000"/>
            </w:tcBorders>
            <w:shd w:fill="auto" w:val="clear"/>
            <w:tcMar>
              <w:bottom w:w="28" w:type="dxa"/>
            </w:tcMar>
            <w:vAlign w:val="center"/>
          </w:tcPr>
          <w:p>
            <w:pPr>
              <w:pStyle w:val="TableContents"/>
              <w:spacing w:lineRule="atLeast" w:line="192" w:before="0" w:after="0"/>
              <w:jc w:val="center"/>
              <w:rPr>
                <w:spacing w:val="0"/>
              </w:rPr>
            </w:pPr>
            <w:r>
              <w:rPr>
                <w:spacing w:val="0"/>
              </w:rPr>
              <w:t xml:space="preserve">2022 </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086" w:type="dxa"/>
            <w:tcBorders>
              <w:bottom w:val="single" w:sz="2" w:space="0" w:color="000000"/>
            </w:tcBorders>
            <w:shd w:fill="auto" w:val="clear"/>
            <w:tcMar>
              <w:bottom w:w="28" w:type="dxa"/>
            </w:tcMar>
            <w:vAlign w:val="center"/>
          </w:tcPr>
          <w:p>
            <w:pPr>
              <w:pStyle w:val="TableContents"/>
              <w:spacing w:lineRule="atLeast" w:line="192" w:before="0" w:after="0"/>
              <w:jc w:val="center"/>
              <w:rPr>
                <w:spacing w:val="0"/>
              </w:rPr>
            </w:pPr>
            <w:r>
              <w:rPr>
                <w:spacing w:val="0"/>
              </w:rPr>
              <w:t xml:space="preserve">580,208 </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938" w:type="dxa"/>
            <w:tcBorders>
              <w:bottom w:val="single" w:sz="2" w:space="0" w:color="000000"/>
            </w:tcBorders>
            <w:shd w:fill="auto" w:val="clear"/>
            <w:tcMar>
              <w:bottom w:w="28" w:type="dxa"/>
            </w:tcMar>
            <w:vAlign w:val="center"/>
          </w:tcPr>
          <w:p>
            <w:pPr>
              <w:pStyle w:val="TableContents"/>
              <w:spacing w:lineRule="atLeast" w:line="192" w:before="0" w:after="0"/>
              <w:jc w:val="center"/>
              <w:rPr/>
            </w:pPr>
            <w:r>
              <w:rPr>
                <w:spacing w:val="0"/>
              </w:rPr>
              <w:t>—</w:t>
            </w:r>
            <w:r>
              <w:rPr/>
              <w:t xml:space="preserve"> </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161" w:type="dxa"/>
            <w:tcBorders>
              <w:bottom w:val="single" w:sz="2" w:space="0" w:color="000000"/>
            </w:tcBorders>
            <w:shd w:fill="auto" w:val="clear"/>
            <w:tcMar>
              <w:bottom w:w="28" w:type="dxa"/>
            </w:tcMar>
            <w:vAlign w:val="center"/>
          </w:tcPr>
          <w:p>
            <w:pPr>
              <w:pStyle w:val="TableContents"/>
              <w:spacing w:lineRule="atLeast" w:line="192" w:before="0" w:after="0"/>
              <w:jc w:val="center"/>
              <w:rPr/>
            </w:pPr>
            <w:r>
              <w:rPr>
                <w:spacing w:val="0"/>
              </w:rPr>
              <w:t>—</w:t>
            </w:r>
            <w:r>
              <w:rPr/>
              <w:t xml:space="preserve"> </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161" w:type="dxa"/>
            <w:tcBorders>
              <w:bottom w:val="single" w:sz="2" w:space="0" w:color="000000"/>
            </w:tcBorders>
            <w:shd w:fill="auto" w:val="clear"/>
            <w:tcMar>
              <w:bottom w:w="28" w:type="dxa"/>
            </w:tcMar>
            <w:vAlign w:val="center"/>
          </w:tcPr>
          <w:p>
            <w:pPr>
              <w:pStyle w:val="TableContents"/>
              <w:spacing w:lineRule="atLeast" w:line="192" w:before="0" w:after="0"/>
              <w:jc w:val="center"/>
              <w:rPr>
                <w:spacing w:val="0"/>
              </w:rPr>
            </w:pPr>
            <w:r>
              <w:rPr>
                <w:spacing w:val="0"/>
              </w:rPr>
              <w:t xml:space="preserve">2,707,003 </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2004" w:type="dxa"/>
            <w:tcBorders>
              <w:bottom w:val="single" w:sz="2" w:space="0" w:color="000000"/>
            </w:tcBorders>
            <w:shd w:fill="auto" w:val="clear"/>
            <w:tcMar>
              <w:bottom w:w="28" w:type="dxa"/>
            </w:tcMar>
            <w:vAlign w:val="center"/>
          </w:tcPr>
          <w:p>
            <w:pPr>
              <w:pStyle w:val="TableContents"/>
              <w:spacing w:lineRule="atLeast" w:line="192" w:before="0" w:after="0"/>
              <w:jc w:val="center"/>
              <w:rPr>
                <w:spacing w:val="0"/>
              </w:rPr>
            </w:pPr>
            <w:r>
              <w:rPr>
                <w:spacing w:val="0"/>
              </w:rPr>
              <w:t xml:space="preserve">290,104 </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2004" w:type="dxa"/>
            <w:tcBorders>
              <w:bottom w:val="single" w:sz="2" w:space="0" w:color="000000"/>
            </w:tcBorders>
            <w:shd w:fill="auto" w:val="clear"/>
            <w:tcMar>
              <w:bottom w:w="28" w:type="dxa"/>
            </w:tcMar>
            <w:vAlign w:val="center"/>
          </w:tcPr>
          <w:p>
            <w:pPr>
              <w:pStyle w:val="TableContents"/>
              <w:spacing w:lineRule="atLeast" w:line="192" w:before="0" w:after="0"/>
              <w:jc w:val="center"/>
              <w:rPr/>
            </w:pPr>
            <w:r>
              <w:rPr>
                <w:spacing w:val="0"/>
              </w:rPr>
              <w:t>—</w:t>
            </w:r>
            <w:r>
              <w:rPr/>
              <w:t xml:space="preserve"> </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066" w:type="dxa"/>
            <w:tcBorders>
              <w:bottom w:val="single" w:sz="2" w:space="0" w:color="000000"/>
            </w:tcBorders>
            <w:shd w:fill="auto" w:val="clear"/>
            <w:tcMar>
              <w:bottom w:w="28" w:type="dxa"/>
            </w:tcMar>
            <w:vAlign w:val="center"/>
          </w:tcPr>
          <w:p>
            <w:pPr>
              <w:pStyle w:val="TableContents"/>
              <w:spacing w:lineRule="atLeast" w:line="192" w:before="0" w:after="0"/>
              <w:jc w:val="center"/>
              <w:rPr>
                <w:spacing w:val="0"/>
              </w:rPr>
            </w:pPr>
            <w:r>
              <w:rPr>
                <w:spacing w:val="0"/>
              </w:rPr>
              <w:t xml:space="preserve">3,577,315 </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54" w:type="dxa"/>
            <w:tcBorders/>
            <w:shd w:fill="auto" w:val="clear"/>
            <w:vAlign w:val="center"/>
          </w:tcPr>
          <w:p>
            <w:pPr>
              <w:pStyle w:val="TableContents"/>
              <w:spacing w:before="0" w:after="283"/>
              <w:rPr/>
            </w:pPr>
            <w:r>
              <w:rPr/>
              <w:t>​</w:t>
            </w:r>
          </w:p>
        </w:tc>
      </w:tr>
      <w:tr>
        <w:trPr/>
        <w:tc>
          <w:tcPr>
            <w:tcW w:w="124" w:type="dxa"/>
            <w:vMerge w:val="continue"/>
            <w:tcBorders/>
            <w:shd w:fill="auto" w:val="clear"/>
            <w:vAlign w:val="center"/>
          </w:tcPr>
          <w:p>
            <w:pPr>
              <w:pStyle w:val="Normal"/>
              <w:rPr/>
            </w:pPr>
            <w:r>
              <w:rPr/>
            </w:r>
          </w:p>
        </w:tc>
        <w:tc>
          <w:tcPr>
            <w:tcW w:w="109" w:type="dxa"/>
            <w:vMerge w:val="continue"/>
            <w:tcBorders>
              <w:bottom w:val="single" w:sz="2" w:space="0" w:color="000000"/>
            </w:tcBorders>
            <w:shd w:fill="auto" w:val="clear"/>
            <w:tcMar>
              <w:bottom w:w="28" w:type="dxa"/>
            </w:tcMar>
            <w:vAlign w:val="center"/>
          </w:tcPr>
          <w:p>
            <w:pPr>
              <w:pStyle w:val="Normal"/>
              <w:rPr/>
            </w:pPr>
            <w:r>
              <w:rPr/>
            </w:r>
          </w:p>
        </w:tc>
        <w:tc>
          <w:tcPr>
            <w:tcW w:w="1350" w:type="dxa"/>
            <w:vMerge w:val="continue"/>
            <w:tcBorders>
              <w:bottom w:val="single" w:sz="2" w:space="0" w:color="000000"/>
            </w:tcBorders>
            <w:shd w:fill="auto" w:val="clear"/>
            <w:tcMar>
              <w:bottom w:w="56" w:type="dxa"/>
            </w:tcMar>
            <w:vAlign w:val="center"/>
          </w:tcPr>
          <w:p>
            <w:pPr>
              <w:pStyle w:val="Normal"/>
              <w:rPr/>
            </w:pPr>
            <w:r>
              <w:rPr/>
            </w:r>
          </w:p>
        </w:tc>
        <w:tc>
          <w:tcPr>
            <w:tcW w:w="109" w:type="dxa"/>
            <w:vMerge w:val="continue"/>
            <w:tcBorders>
              <w:bottom w:val="single" w:sz="2" w:space="0" w:color="000000"/>
            </w:tcBorders>
            <w:shd w:fill="auto" w:val="clear"/>
            <w:tcMar>
              <w:bottom w:w="28" w:type="dxa"/>
            </w:tcMar>
            <w:vAlign w:val="center"/>
          </w:tcPr>
          <w:p>
            <w:pPr>
              <w:pStyle w:val="Normal"/>
              <w:rPr/>
            </w:pPr>
            <w:r>
              <w:rPr/>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775" w:type="dxa"/>
            <w:tcBorders>
              <w:bottom w:val="single" w:sz="2" w:space="0" w:color="000000"/>
            </w:tcBorders>
            <w:shd w:fill="auto" w:val="clear"/>
            <w:tcMar>
              <w:bottom w:w="28" w:type="dxa"/>
            </w:tcMar>
            <w:vAlign w:val="center"/>
          </w:tcPr>
          <w:p>
            <w:pPr>
              <w:pStyle w:val="TableContents"/>
              <w:spacing w:lineRule="atLeast" w:line="192" w:before="0" w:after="0"/>
              <w:jc w:val="center"/>
              <w:rPr>
                <w:spacing w:val="0"/>
              </w:rPr>
            </w:pPr>
            <w:r>
              <w:rPr>
                <w:spacing w:val="0"/>
              </w:rPr>
              <w:t xml:space="preserve">2021 </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086" w:type="dxa"/>
            <w:tcBorders>
              <w:bottom w:val="single" w:sz="2" w:space="0" w:color="000000"/>
            </w:tcBorders>
            <w:shd w:fill="auto" w:val="clear"/>
            <w:tcMar>
              <w:bottom w:w="28" w:type="dxa"/>
            </w:tcMar>
            <w:vAlign w:val="center"/>
          </w:tcPr>
          <w:p>
            <w:pPr>
              <w:pStyle w:val="TableContents"/>
              <w:spacing w:lineRule="atLeast" w:line="192" w:before="0" w:after="0"/>
              <w:jc w:val="center"/>
              <w:rPr>
                <w:spacing w:val="0"/>
              </w:rPr>
            </w:pPr>
            <w:r>
              <w:rPr>
                <w:spacing w:val="0"/>
              </w:rPr>
              <w:t xml:space="preserve">519,313 </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938" w:type="dxa"/>
            <w:tcBorders>
              <w:bottom w:val="single" w:sz="2" w:space="0" w:color="000000"/>
            </w:tcBorders>
            <w:shd w:fill="auto" w:val="clear"/>
            <w:tcMar>
              <w:bottom w:w="28" w:type="dxa"/>
            </w:tcMar>
            <w:vAlign w:val="center"/>
          </w:tcPr>
          <w:p>
            <w:pPr>
              <w:pStyle w:val="TableContents"/>
              <w:spacing w:lineRule="atLeast" w:line="192" w:before="0" w:after="0"/>
              <w:jc w:val="center"/>
              <w:rPr/>
            </w:pPr>
            <w:r>
              <w:rPr>
                <w:spacing w:val="0"/>
              </w:rPr>
              <w:t>—</w:t>
            </w:r>
            <w:r>
              <w:rPr/>
              <w:t xml:space="preserve"> </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161" w:type="dxa"/>
            <w:tcBorders>
              <w:bottom w:val="single" w:sz="2" w:space="0" w:color="000000"/>
            </w:tcBorders>
            <w:shd w:fill="auto" w:val="clear"/>
            <w:tcMar>
              <w:bottom w:w="28" w:type="dxa"/>
            </w:tcMar>
            <w:vAlign w:val="center"/>
          </w:tcPr>
          <w:p>
            <w:pPr>
              <w:pStyle w:val="TableContents"/>
              <w:spacing w:lineRule="atLeast" w:line="192" w:before="0" w:after="0"/>
              <w:jc w:val="center"/>
              <w:rPr/>
            </w:pPr>
            <w:r>
              <w:rPr>
                <w:spacing w:val="0"/>
              </w:rPr>
              <w:t>—</w:t>
            </w:r>
            <w:r>
              <w:rPr/>
              <w:t xml:space="preserve"> </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161" w:type="dxa"/>
            <w:tcBorders>
              <w:bottom w:val="single" w:sz="2" w:space="0" w:color="000000"/>
            </w:tcBorders>
            <w:shd w:fill="auto" w:val="clear"/>
            <w:tcMar>
              <w:bottom w:w="28" w:type="dxa"/>
            </w:tcMar>
            <w:vAlign w:val="center"/>
          </w:tcPr>
          <w:p>
            <w:pPr>
              <w:pStyle w:val="TableContents"/>
              <w:spacing w:lineRule="atLeast" w:line="192" w:before="0" w:after="0"/>
              <w:jc w:val="center"/>
              <w:rPr>
                <w:spacing w:val="0"/>
              </w:rPr>
            </w:pPr>
            <w:r>
              <w:rPr>
                <w:spacing w:val="0"/>
              </w:rPr>
              <w:t xml:space="preserve">3,539,110 </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2004" w:type="dxa"/>
            <w:tcBorders>
              <w:bottom w:val="single" w:sz="2" w:space="0" w:color="000000"/>
            </w:tcBorders>
            <w:shd w:fill="auto" w:val="clear"/>
            <w:tcMar>
              <w:bottom w:w="28" w:type="dxa"/>
            </w:tcMar>
            <w:vAlign w:val="center"/>
          </w:tcPr>
          <w:p>
            <w:pPr>
              <w:pStyle w:val="TableContents"/>
              <w:spacing w:lineRule="atLeast" w:line="192" w:before="0" w:after="0"/>
              <w:jc w:val="center"/>
              <w:rPr>
                <w:spacing w:val="0"/>
              </w:rPr>
            </w:pPr>
            <w:r>
              <w:rPr>
                <w:spacing w:val="0"/>
              </w:rPr>
              <w:t xml:space="preserve">258,745 </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2004" w:type="dxa"/>
            <w:tcBorders>
              <w:bottom w:val="single" w:sz="2" w:space="0" w:color="000000"/>
            </w:tcBorders>
            <w:shd w:fill="auto" w:val="clear"/>
            <w:tcMar>
              <w:bottom w:w="28" w:type="dxa"/>
            </w:tcMar>
            <w:vAlign w:val="center"/>
          </w:tcPr>
          <w:p>
            <w:pPr>
              <w:pStyle w:val="TableContents"/>
              <w:spacing w:lineRule="atLeast" w:line="192" w:before="0" w:after="0"/>
              <w:jc w:val="center"/>
              <w:rPr/>
            </w:pPr>
            <w:r>
              <w:rPr>
                <w:spacing w:val="0"/>
              </w:rPr>
              <w:t>—</w:t>
            </w:r>
            <w:r>
              <w:rPr/>
              <w:t xml:space="preserve"> </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066" w:type="dxa"/>
            <w:tcBorders>
              <w:bottom w:val="single" w:sz="2" w:space="0" w:color="000000"/>
            </w:tcBorders>
            <w:shd w:fill="auto" w:val="clear"/>
            <w:tcMar>
              <w:bottom w:w="28" w:type="dxa"/>
            </w:tcMar>
            <w:vAlign w:val="center"/>
          </w:tcPr>
          <w:p>
            <w:pPr>
              <w:pStyle w:val="TableContents"/>
              <w:spacing w:lineRule="atLeast" w:line="192" w:before="0" w:after="0"/>
              <w:jc w:val="center"/>
              <w:rPr>
                <w:spacing w:val="0"/>
              </w:rPr>
            </w:pPr>
            <w:r>
              <w:rPr>
                <w:spacing w:val="0"/>
              </w:rPr>
              <w:t xml:space="preserve">4,317,168 </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54" w:type="dxa"/>
            <w:tcBorders/>
            <w:shd w:fill="auto" w:val="clear"/>
            <w:vAlign w:val="center"/>
          </w:tcPr>
          <w:p>
            <w:pPr>
              <w:pStyle w:val="TableContents"/>
              <w:spacing w:before="0" w:after="283"/>
              <w:rPr/>
            </w:pPr>
            <w:r>
              <w:rPr/>
              <w:t>​</w:t>
            </w:r>
          </w:p>
        </w:tc>
      </w:tr>
      <w:tr>
        <w:trPr/>
        <w:tc>
          <w:tcPr>
            <w:tcW w:w="124" w:type="dxa"/>
            <w:vMerge w:val="restart"/>
            <w:tcBorders/>
            <w:shd w:fill="auto" w:val="clear"/>
            <w:vAlign w:val="center"/>
          </w:tcPr>
          <w:p>
            <w:pPr>
              <w:pStyle w:val="TableContents"/>
              <w:spacing w:before="0" w:after="283"/>
              <w:rPr/>
            </w:pPr>
            <w:r>
              <w:rPr/>
              <w:t>​</w:t>
            </w:r>
          </w:p>
        </w:tc>
        <w:tc>
          <w:tcPr>
            <w:tcW w:w="109" w:type="dxa"/>
            <w:vMerge w:val="restart"/>
            <w:tcBorders>
              <w:bottom w:val="single" w:sz="2" w:space="0" w:color="000000"/>
            </w:tcBorders>
            <w:shd w:fill="auto" w:val="clear"/>
            <w:tcMar>
              <w:bottom w:w="28" w:type="dxa"/>
            </w:tcMar>
            <w:vAlign w:val="center"/>
          </w:tcPr>
          <w:p>
            <w:pPr>
              <w:pStyle w:val="TableContents"/>
              <w:spacing w:before="0" w:after="283"/>
              <w:rPr/>
            </w:pPr>
            <w:r>
              <w:rPr/>
              <w:t>​</w:t>
            </w:r>
          </w:p>
        </w:tc>
        <w:tc>
          <w:tcPr>
            <w:tcW w:w="1350" w:type="dxa"/>
            <w:vMerge w:val="restart"/>
            <w:tcBorders>
              <w:bottom w:val="single" w:sz="2" w:space="0" w:color="000000"/>
            </w:tcBorders>
            <w:shd w:fill="auto" w:val="clear"/>
            <w:tcMar>
              <w:bottom w:w="56" w:type="dxa"/>
            </w:tcMar>
            <w:vAlign w:val="center"/>
          </w:tcPr>
          <w:p>
            <w:pPr>
              <w:pStyle w:val="TableContents"/>
              <w:spacing w:lineRule="atLeast" w:line="192" w:before="0" w:after="0"/>
              <w:jc w:val="left"/>
              <w:rPr>
                <w:b/>
              </w:rPr>
            </w:pPr>
            <w:r>
              <w:rPr>
                <w:b/>
                <w:spacing w:val="0"/>
              </w:rPr>
              <w:t xml:space="preserve">Michael Diem, </w:t>
            </w:r>
            <w:r>
              <w:rPr>
                <w:b/>
                <w:spacing w:val="-2"/>
              </w:rPr>
              <w:t>M.D.</w:t>
            </w:r>
            <w:r>
              <w:rPr>
                <w:b/>
                <w:spacing w:val="0"/>
              </w:rPr>
              <w:t xml:space="preserve"> </w:t>
            </w:r>
            <w:r>
              <w:rPr>
                <w:b w:val="false"/>
                <w:spacing w:val="0"/>
              </w:rPr>
              <w:t xml:space="preserve">Chief </w:t>
            </w:r>
            <w:r>
              <w:rPr>
                <w:b/>
              </w:rPr>
              <w:br/>
            </w:r>
            <w:r>
              <w:rPr>
                <w:b w:val="false"/>
                <w:spacing w:val="0"/>
              </w:rPr>
              <w:t xml:space="preserve">Financial Officer </w:t>
            </w:r>
          </w:p>
        </w:tc>
        <w:tc>
          <w:tcPr>
            <w:tcW w:w="109" w:type="dxa"/>
            <w:vMerge w:val="restart"/>
            <w:tcBorders>
              <w:bottom w:val="single" w:sz="2" w:space="0" w:color="000000"/>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775" w:type="dxa"/>
            <w:tcBorders>
              <w:bottom w:val="single" w:sz="2" w:space="0" w:color="000000"/>
            </w:tcBorders>
            <w:shd w:fill="auto" w:val="clear"/>
            <w:tcMar>
              <w:bottom w:w="28" w:type="dxa"/>
            </w:tcMar>
            <w:vAlign w:val="center"/>
          </w:tcPr>
          <w:p>
            <w:pPr>
              <w:pStyle w:val="TableContents"/>
              <w:spacing w:lineRule="atLeast" w:line="192" w:before="0" w:after="0"/>
              <w:jc w:val="center"/>
              <w:rPr>
                <w:spacing w:val="0"/>
              </w:rPr>
            </w:pPr>
            <w:r>
              <w:rPr>
                <w:spacing w:val="0"/>
              </w:rPr>
              <w:t xml:space="preserve">2022 </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086" w:type="dxa"/>
            <w:tcBorders>
              <w:bottom w:val="single" w:sz="2" w:space="0" w:color="000000"/>
            </w:tcBorders>
            <w:shd w:fill="auto" w:val="clear"/>
            <w:tcMar>
              <w:bottom w:w="28" w:type="dxa"/>
            </w:tcMar>
            <w:vAlign w:val="center"/>
          </w:tcPr>
          <w:p>
            <w:pPr>
              <w:pStyle w:val="TableContents"/>
              <w:spacing w:lineRule="atLeast" w:line="192" w:before="0" w:after="0"/>
              <w:jc w:val="center"/>
              <w:rPr>
                <w:spacing w:val="0"/>
              </w:rPr>
            </w:pPr>
            <w:r>
              <w:rPr>
                <w:spacing w:val="0"/>
              </w:rPr>
              <w:t xml:space="preserve">456,042 </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938" w:type="dxa"/>
            <w:tcBorders>
              <w:bottom w:val="single" w:sz="2" w:space="0" w:color="000000"/>
            </w:tcBorders>
            <w:shd w:fill="auto" w:val="clear"/>
            <w:tcMar>
              <w:bottom w:w="28" w:type="dxa"/>
            </w:tcMar>
            <w:vAlign w:val="center"/>
          </w:tcPr>
          <w:p>
            <w:pPr>
              <w:pStyle w:val="TableContents"/>
              <w:spacing w:lineRule="atLeast" w:line="192" w:before="0" w:after="0"/>
              <w:jc w:val="center"/>
              <w:rPr/>
            </w:pPr>
            <w:r>
              <w:rPr>
                <w:spacing w:val="0"/>
              </w:rPr>
              <w:t>—</w:t>
            </w:r>
            <w:r>
              <w:rPr/>
              <w:t xml:space="preserve"> </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161" w:type="dxa"/>
            <w:tcBorders>
              <w:bottom w:val="single" w:sz="2" w:space="0" w:color="000000"/>
            </w:tcBorders>
            <w:shd w:fill="auto" w:val="clear"/>
            <w:tcMar>
              <w:bottom w:w="28" w:type="dxa"/>
            </w:tcMar>
            <w:vAlign w:val="center"/>
          </w:tcPr>
          <w:p>
            <w:pPr>
              <w:pStyle w:val="TableContents"/>
              <w:spacing w:lineRule="atLeast" w:line="192" w:before="0" w:after="0"/>
              <w:jc w:val="center"/>
              <w:rPr/>
            </w:pPr>
            <w:r>
              <w:rPr>
                <w:spacing w:val="0"/>
              </w:rPr>
              <w:t>—</w:t>
            </w:r>
            <w:r>
              <w:rPr/>
              <w:t xml:space="preserve"> </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161" w:type="dxa"/>
            <w:tcBorders>
              <w:bottom w:val="single" w:sz="2" w:space="0" w:color="000000"/>
            </w:tcBorders>
            <w:shd w:fill="auto" w:val="clear"/>
            <w:tcMar>
              <w:bottom w:w="28" w:type="dxa"/>
            </w:tcMar>
            <w:vAlign w:val="center"/>
          </w:tcPr>
          <w:p>
            <w:pPr>
              <w:pStyle w:val="TableContents"/>
              <w:spacing w:lineRule="atLeast" w:line="192" w:before="0" w:after="0"/>
              <w:jc w:val="center"/>
              <w:rPr>
                <w:spacing w:val="0"/>
              </w:rPr>
            </w:pPr>
            <w:r>
              <w:rPr>
                <w:spacing w:val="0"/>
              </w:rPr>
              <w:t xml:space="preserve">902,334 </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2004" w:type="dxa"/>
            <w:tcBorders>
              <w:bottom w:val="single" w:sz="2" w:space="0" w:color="000000"/>
            </w:tcBorders>
            <w:shd w:fill="auto" w:val="clear"/>
            <w:tcMar>
              <w:bottom w:w="28" w:type="dxa"/>
            </w:tcMar>
            <w:vAlign w:val="center"/>
          </w:tcPr>
          <w:p>
            <w:pPr>
              <w:pStyle w:val="TableContents"/>
              <w:spacing w:lineRule="atLeast" w:line="192" w:before="0" w:after="0"/>
              <w:jc w:val="center"/>
              <w:rPr>
                <w:spacing w:val="0"/>
              </w:rPr>
            </w:pPr>
            <w:r>
              <w:rPr>
                <w:spacing w:val="0"/>
              </w:rPr>
              <w:t xml:space="preserve">182,417 </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2004" w:type="dxa"/>
            <w:tcBorders>
              <w:bottom w:val="single" w:sz="2" w:space="0" w:color="000000"/>
            </w:tcBorders>
            <w:shd w:fill="auto" w:val="clear"/>
            <w:tcMar>
              <w:bottom w:w="28" w:type="dxa"/>
            </w:tcMar>
            <w:vAlign w:val="center"/>
          </w:tcPr>
          <w:p>
            <w:pPr>
              <w:pStyle w:val="TableContents"/>
              <w:spacing w:lineRule="atLeast" w:line="192" w:before="0" w:after="0"/>
              <w:jc w:val="center"/>
              <w:rPr>
                <w:spacing w:val="0"/>
              </w:rPr>
            </w:pPr>
            <w:r>
              <w:rPr>
                <w:spacing w:val="0"/>
              </w:rPr>
              <w:t xml:space="preserve">12,200 </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066" w:type="dxa"/>
            <w:tcBorders>
              <w:bottom w:val="single" w:sz="2" w:space="0" w:color="000000"/>
            </w:tcBorders>
            <w:shd w:fill="auto" w:val="clear"/>
            <w:tcMar>
              <w:bottom w:w="28" w:type="dxa"/>
            </w:tcMar>
            <w:vAlign w:val="center"/>
          </w:tcPr>
          <w:p>
            <w:pPr>
              <w:pStyle w:val="TableContents"/>
              <w:spacing w:lineRule="atLeast" w:line="192" w:before="0" w:after="0"/>
              <w:jc w:val="center"/>
              <w:rPr>
                <w:spacing w:val="0"/>
              </w:rPr>
            </w:pPr>
            <w:r>
              <w:rPr>
                <w:spacing w:val="0"/>
              </w:rPr>
              <w:t xml:space="preserve">1,552,993 </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54" w:type="dxa"/>
            <w:tcBorders/>
            <w:shd w:fill="auto" w:val="clear"/>
            <w:vAlign w:val="center"/>
          </w:tcPr>
          <w:p>
            <w:pPr>
              <w:pStyle w:val="TableContents"/>
              <w:spacing w:before="0" w:after="283"/>
              <w:rPr/>
            </w:pPr>
            <w:r>
              <w:rPr/>
              <w:t>​</w:t>
            </w:r>
          </w:p>
        </w:tc>
      </w:tr>
      <w:tr>
        <w:trPr/>
        <w:tc>
          <w:tcPr>
            <w:tcW w:w="124" w:type="dxa"/>
            <w:vMerge w:val="continue"/>
            <w:tcBorders/>
            <w:shd w:fill="auto" w:val="clear"/>
            <w:vAlign w:val="center"/>
          </w:tcPr>
          <w:p>
            <w:pPr>
              <w:pStyle w:val="Normal"/>
              <w:rPr/>
            </w:pPr>
            <w:r>
              <w:rPr/>
            </w:r>
          </w:p>
        </w:tc>
        <w:tc>
          <w:tcPr>
            <w:tcW w:w="109" w:type="dxa"/>
            <w:vMerge w:val="continue"/>
            <w:tcBorders>
              <w:bottom w:val="single" w:sz="2" w:space="0" w:color="000000"/>
            </w:tcBorders>
            <w:shd w:fill="auto" w:val="clear"/>
            <w:tcMar>
              <w:bottom w:w="28" w:type="dxa"/>
            </w:tcMar>
            <w:vAlign w:val="center"/>
          </w:tcPr>
          <w:p>
            <w:pPr>
              <w:pStyle w:val="Normal"/>
              <w:rPr/>
            </w:pPr>
            <w:r>
              <w:rPr/>
            </w:r>
          </w:p>
        </w:tc>
        <w:tc>
          <w:tcPr>
            <w:tcW w:w="1350" w:type="dxa"/>
            <w:vMerge w:val="continue"/>
            <w:tcBorders>
              <w:bottom w:val="single" w:sz="2" w:space="0" w:color="000000"/>
            </w:tcBorders>
            <w:shd w:fill="auto" w:val="clear"/>
            <w:tcMar>
              <w:bottom w:w="56" w:type="dxa"/>
            </w:tcMar>
            <w:vAlign w:val="center"/>
          </w:tcPr>
          <w:p>
            <w:pPr>
              <w:pStyle w:val="Normal"/>
              <w:rPr/>
            </w:pPr>
            <w:r>
              <w:rPr/>
            </w:r>
          </w:p>
        </w:tc>
        <w:tc>
          <w:tcPr>
            <w:tcW w:w="109" w:type="dxa"/>
            <w:vMerge w:val="continue"/>
            <w:tcBorders>
              <w:bottom w:val="single" w:sz="2" w:space="0" w:color="000000"/>
            </w:tcBorders>
            <w:shd w:fill="auto" w:val="clear"/>
            <w:tcMar>
              <w:bottom w:w="28" w:type="dxa"/>
            </w:tcMar>
            <w:vAlign w:val="center"/>
          </w:tcPr>
          <w:p>
            <w:pPr>
              <w:pStyle w:val="Normal"/>
              <w:rPr/>
            </w:pPr>
            <w:r>
              <w:rPr/>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775" w:type="dxa"/>
            <w:tcBorders>
              <w:bottom w:val="single" w:sz="2" w:space="0" w:color="000000"/>
            </w:tcBorders>
            <w:shd w:fill="auto" w:val="clear"/>
            <w:tcMar>
              <w:bottom w:w="28" w:type="dxa"/>
            </w:tcMar>
            <w:vAlign w:val="center"/>
          </w:tcPr>
          <w:p>
            <w:pPr>
              <w:pStyle w:val="TableContents"/>
              <w:spacing w:lineRule="atLeast" w:line="192" w:before="0" w:after="0"/>
              <w:jc w:val="center"/>
              <w:rPr>
                <w:spacing w:val="0"/>
              </w:rPr>
            </w:pPr>
            <w:r>
              <w:rPr>
                <w:spacing w:val="0"/>
              </w:rPr>
              <w:t xml:space="preserve">2021 </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086" w:type="dxa"/>
            <w:tcBorders>
              <w:bottom w:val="single" w:sz="2" w:space="0" w:color="000000"/>
            </w:tcBorders>
            <w:shd w:fill="auto" w:val="clear"/>
            <w:tcMar>
              <w:bottom w:w="28" w:type="dxa"/>
            </w:tcMar>
            <w:vAlign w:val="center"/>
          </w:tcPr>
          <w:p>
            <w:pPr>
              <w:pStyle w:val="TableContents"/>
              <w:spacing w:lineRule="atLeast" w:line="192" w:before="0" w:after="0"/>
              <w:jc w:val="center"/>
              <w:rPr>
                <w:spacing w:val="0"/>
              </w:rPr>
            </w:pPr>
            <w:r>
              <w:rPr>
                <w:spacing w:val="0"/>
              </w:rPr>
              <w:t xml:space="preserve">437,776 </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938" w:type="dxa"/>
            <w:tcBorders>
              <w:bottom w:val="single" w:sz="2" w:space="0" w:color="000000"/>
            </w:tcBorders>
            <w:shd w:fill="auto" w:val="clear"/>
            <w:tcMar>
              <w:bottom w:w="28" w:type="dxa"/>
            </w:tcMar>
            <w:vAlign w:val="center"/>
          </w:tcPr>
          <w:p>
            <w:pPr>
              <w:pStyle w:val="TableContents"/>
              <w:spacing w:lineRule="atLeast" w:line="192" w:before="0" w:after="0"/>
              <w:jc w:val="center"/>
              <w:rPr/>
            </w:pPr>
            <w:r>
              <w:rPr>
                <w:spacing w:val="0"/>
              </w:rPr>
              <w:t>—</w:t>
            </w:r>
            <w:r>
              <w:rPr/>
              <w:t xml:space="preserve"> </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161" w:type="dxa"/>
            <w:tcBorders>
              <w:bottom w:val="single" w:sz="2" w:space="0" w:color="000000"/>
            </w:tcBorders>
            <w:shd w:fill="auto" w:val="clear"/>
            <w:tcMar>
              <w:bottom w:w="28" w:type="dxa"/>
            </w:tcMar>
            <w:vAlign w:val="center"/>
          </w:tcPr>
          <w:p>
            <w:pPr>
              <w:pStyle w:val="TableContents"/>
              <w:spacing w:lineRule="atLeast" w:line="192" w:before="0" w:after="0"/>
              <w:jc w:val="center"/>
              <w:rPr/>
            </w:pPr>
            <w:r>
              <w:rPr>
                <w:spacing w:val="0"/>
              </w:rPr>
              <w:t>—</w:t>
            </w:r>
            <w:r>
              <w:rPr/>
              <w:t xml:space="preserve"> </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161" w:type="dxa"/>
            <w:tcBorders>
              <w:bottom w:val="single" w:sz="2" w:space="0" w:color="000000"/>
            </w:tcBorders>
            <w:shd w:fill="auto" w:val="clear"/>
            <w:tcMar>
              <w:bottom w:w="28" w:type="dxa"/>
            </w:tcMar>
            <w:vAlign w:val="center"/>
          </w:tcPr>
          <w:p>
            <w:pPr>
              <w:pStyle w:val="TableContents"/>
              <w:spacing w:lineRule="atLeast" w:line="192" w:before="0" w:after="0"/>
              <w:jc w:val="center"/>
              <w:rPr>
                <w:spacing w:val="0"/>
              </w:rPr>
            </w:pPr>
            <w:r>
              <w:rPr>
                <w:spacing w:val="0"/>
              </w:rPr>
              <w:t xml:space="preserve">578,974 </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2004" w:type="dxa"/>
            <w:tcBorders>
              <w:bottom w:val="single" w:sz="2" w:space="0" w:color="000000"/>
            </w:tcBorders>
            <w:shd w:fill="auto" w:val="clear"/>
            <w:tcMar>
              <w:bottom w:w="28" w:type="dxa"/>
            </w:tcMar>
            <w:vAlign w:val="center"/>
          </w:tcPr>
          <w:p>
            <w:pPr>
              <w:pStyle w:val="TableContents"/>
              <w:spacing w:lineRule="atLeast" w:line="192" w:before="0" w:after="0"/>
              <w:jc w:val="center"/>
              <w:rPr>
                <w:spacing w:val="0"/>
              </w:rPr>
            </w:pPr>
            <w:r>
              <w:rPr>
                <w:spacing w:val="0"/>
              </w:rPr>
              <w:t xml:space="preserve">191,219 </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2004" w:type="dxa"/>
            <w:tcBorders>
              <w:bottom w:val="single" w:sz="2" w:space="0" w:color="000000"/>
            </w:tcBorders>
            <w:shd w:fill="auto" w:val="clear"/>
            <w:tcMar>
              <w:bottom w:w="28" w:type="dxa"/>
            </w:tcMar>
            <w:vAlign w:val="center"/>
          </w:tcPr>
          <w:p>
            <w:pPr>
              <w:pStyle w:val="TableContents"/>
              <w:spacing w:lineRule="atLeast" w:line="192" w:before="0" w:after="0"/>
              <w:jc w:val="center"/>
              <w:rPr>
                <w:spacing w:val="0"/>
              </w:rPr>
            </w:pPr>
            <w:r>
              <w:rPr>
                <w:spacing w:val="0"/>
              </w:rPr>
              <w:t xml:space="preserve">11,600 </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066" w:type="dxa"/>
            <w:tcBorders>
              <w:bottom w:val="single" w:sz="2" w:space="0" w:color="000000"/>
            </w:tcBorders>
            <w:shd w:fill="auto" w:val="clear"/>
            <w:tcMar>
              <w:bottom w:w="28" w:type="dxa"/>
            </w:tcMar>
            <w:vAlign w:val="center"/>
          </w:tcPr>
          <w:p>
            <w:pPr>
              <w:pStyle w:val="TableContents"/>
              <w:spacing w:lineRule="atLeast" w:line="192" w:before="0" w:after="0"/>
              <w:jc w:val="center"/>
              <w:rPr>
                <w:spacing w:val="0"/>
              </w:rPr>
            </w:pPr>
            <w:r>
              <w:rPr>
                <w:spacing w:val="0"/>
              </w:rPr>
              <w:t xml:space="preserve">1,219,569 </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54" w:type="dxa"/>
            <w:tcBorders/>
            <w:shd w:fill="auto" w:val="clear"/>
            <w:vAlign w:val="center"/>
          </w:tcPr>
          <w:p>
            <w:pPr>
              <w:pStyle w:val="TableContents"/>
              <w:spacing w:before="0" w:after="283"/>
              <w:rPr/>
            </w:pPr>
            <w:r>
              <w:rPr/>
              <w:t>​</w:t>
            </w:r>
          </w:p>
        </w:tc>
      </w:tr>
      <w:tr>
        <w:trPr/>
        <w:tc>
          <w:tcPr>
            <w:tcW w:w="124" w:type="dxa"/>
            <w:vMerge w:val="restart"/>
            <w:tcBorders/>
            <w:shd w:fill="auto" w:val="clear"/>
            <w:vAlign w:val="center"/>
          </w:tcPr>
          <w:p>
            <w:pPr>
              <w:pStyle w:val="TableContents"/>
              <w:spacing w:before="0" w:after="283"/>
              <w:rPr/>
            </w:pPr>
            <w:r>
              <w:rPr/>
              <w:t>​</w:t>
            </w:r>
          </w:p>
        </w:tc>
        <w:tc>
          <w:tcPr>
            <w:tcW w:w="109" w:type="dxa"/>
            <w:vMerge w:val="restart"/>
            <w:tcBorders/>
            <w:shd w:fill="auto" w:val="clear"/>
            <w:vAlign w:val="center"/>
          </w:tcPr>
          <w:p>
            <w:pPr>
              <w:pStyle w:val="TableContents"/>
              <w:spacing w:before="0" w:after="283"/>
              <w:rPr/>
            </w:pPr>
            <w:r>
              <w:rPr/>
              <w:t>​</w:t>
            </w:r>
          </w:p>
        </w:tc>
        <w:tc>
          <w:tcPr>
            <w:tcW w:w="1350" w:type="dxa"/>
            <w:vMerge w:val="restart"/>
            <w:tcBorders/>
            <w:shd w:fill="auto" w:val="clear"/>
            <w:vAlign w:val="center"/>
          </w:tcPr>
          <w:p>
            <w:pPr>
              <w:pStyle w:val="TableContents"/>
              <w:spacing w:lineRule="atLeast" w:line="192" w:before="0" w:after="0"/>
              <w:jc w:val="left"/>
              <w:rPr>
                <w:b/>
              </w:rPr>
            </w:pPr>
            <w:r>
              <w:rPr>
                <w:b/>
                <w:spacing w:val="0"/>
              </w:rPr>
              <w:t xml:space="preserve">Adrienne Farid, Ph.D. </w:t>
            </w:r>
            <w:r>
              <w:rPr>
                <w:b w:val="false"/>
                <w:spacing w:val="0"/>
              </w:rPr>
              <w:t xml:space="preserve">Chief Operations Officer </w:t>
            </w:r>
          </w:p>
        </w:tc>
        <w:tc>
          <w:tcPr>
            <w:tcW w:w="109" w:type="dxa"/>
            <w:vMerge w:val="restart"/>
            <w:tcBorders/>
            <w:shd w:fill="auto" w:val="cle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775" w:type="dxa"/>
            <w:tcBorders>
              <w:bottom w:val="single" w:sz="2" w:space="0" w:color="000000"/>
            </w:tcBorders>
            <w:shd w:fill="auto" w:val="clear"/>
            <w:tcMar>
              <w:bottom w:w="28" w:type="dxa"/>
            </w:tcMar>
            <w:vAlign w:val="center"/>
          </w:tcPr>
          <w:p>
            <w:pPr>
              <w:pStyle w:val="TableContents"/>
              <w:spacing w:lineRule="atLeast" w:line="192" w:before="0" w:after="0"/>
              <w:jc w:val="center"/>
              <w:rPr>
                <w:spacing w:val="0"/>
              </w:rPr>
            </w:pPr>
            <w:r>
              <w:rPr>
                <w:spacing w:val="0"/>
              </w:rPr>
              <w:t xml:space="preserve">2022 </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086" w:type="dxa"/>
            <w:tcBorders>
              <w:bottom w:val="single" w:sz="2" w:space="0" w:color="000000"/>
            </w:tcBorders>
            <w:shd w:fill="auto" w:val="clear"/>
            <w:tcMar>
              <w:bottom w:w="28" w:type="dxa"/>
            </w:tcMar>
            <w:vAlign w:val="center"/>
          </w:tcPr>
          <w:p>
            <w:pPr>
              <w:pStyle w:val="TableContents"/>
              <w:spacing w:lineRule="atLeast" w:line="192" w:before="0" w:after="0"/>
              <w:jc w:val="center"/>
              <w:rPr>
                <w:spacing w:val="0"/>
              </w:rPr>
            </w:pPr>
            <w:r>
              <w:rPr>
                <w:spacing w:val="0"/>
              </w:rPr>
              <w:t xml:space="preserve">456,042 </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938" w:type="dxa"/>
            <w:tcBorders>
              <w:bottom w:val="single" w:sz="2" w:space="0" w:color="000000"/>
            </w:tcBorders>
            <w:shd w:fill="auto" w:val="clear"/>
            <w:tcMar>
              <w:bottom w:w="28" w:type="dxa"/>
            </w:tcMar>
            <w:vAlign w:val="center"/>
          </w:tcPr>
          <w:p>
            <w:pPr>
              <w:pStyle w:val="TableContents"/>
              <w:spacing w:lineRule="atLeast" w:line="192" w:before="0" w:after="0"/>
              <w:jc w:val="center"/>
              <w:rPr/>
            </w:pPr>
            <w:r>
              <w:rPr>
                <w:spacing w:val="0"/>
              </w:rPr>
              <w:t>—</w:t>
            </w:r>
            <w:r>
              <w:rPr/>
              <w:t xml:space="preserve"> </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161" w:type="dxa"/>
            <w:tcBorders>
              <w:bottom w:val="single" w:sz="2" w:space="0" w:color="000000"/>
            </w:tcBorders>
            <w:shd w:fill="auto" w:val="clear"/>
            <w:tcMar>
              <w:bottom w:w="28" w:type="dxa"/>
            </w:tcMar>
            <w:vAlign w:val="center"/>
          </w:tcPr>
          <w:p>
            <w:pPr>
              <w:pStyle w:val="TableContents"/>
              <w:spacing w:lineRule="atLeast" w:line="192" w:before="0" w:after="0"/>
              <w:jc w:val="center"/>
              <w:rPr/>
            </w:pPr>
            <w:r>
              <w:rPr>
                <w:spacing w:val="0"/>
              </w:rPr>
              <w:t>—</w:t>
            </w:r>
            <w:r>
              <w:rPr/>
              <w:t xml:space="preserve"> </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161" w:type="dxa"/>
            <w:tcBorders>
              <w:bottom w:val="single" w:sz="2" w:space="0" w:color="000000"/>
            </w:tcBorders>
            <w:shd w:fill="auto" w:val="clear"/>
            <w:tcMar>
              <w:bottom w:w="28" w:type="dxa"/>
            </w:tcMar>
            <w:vAlign w:val="center"/>
          </w:tcPr>
          <w:p>
            <w:pPr>
              <w:pStyle w:val="TableContents"/>
              <w:spacing w:lineRule="atLeast" w:line="192" w:before="0" w:after="0"/>
              <w:jc w:val="center"/>
              <w:rPr>
                <w:spacing w:val="0"/>
              </w:rPr>
            </w:pPr>
            <w:r>
              <w:rPr>
                <w:spacing w:val="0"/>
              </w:rPr>
              <w:t xml:space="preserve">902,334 </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2004" w:type="dxa"/>
            <w:tcBorders>
              <w:bottom w:val="single" w:sz="2" w:space="0" w:color="000000"/>
            </w:tcBorders>
            <w:shd w:fill="auto" w:val="clear"/>
            <w:tcMar>
              <w:bottom w:w="28" w:type="dxa"/>
            </w:tcMar>
            <w:vAlign w:val="center"/>
          </w:tcPr>
          <w:p>
            <w:pPr>
              <w:pStyle w:val="TableContents"/>
              <w:spacing w:lineRule="atLeast" w:line="192" w:before="0" w:after="0"/>
              <w:jc w:val="center"/>
              <w:rPr>
                <w:spacing w:val="0"/>
              </w:rPr>
            </w:pPr>
            <w:r>
              <w:rPr>
                <w:spacing w:val="0"/>
              </w:rPr>
              <w:t xml:space="preserve">182,417 </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2004" w:type="dxa"/>
            <w:tcBorders>
              <w:bottom w:val="single" w:sz="2" w:space="0" w:color="000000"/>
            </w:tcBorders>
            <w:shd w:fill="auto" w:val="clear"/>
            <w:tcMar>
              <w:bottom w:w="28" w:type="dxa"/>
            </w:tcMar>
            <w:vAlign w:val="center"/>
          </w:tcPr>
          <w:p>
            <w:pPr>
              <w:pStyle w:val="TableContents"/>
              <w:spacing w:lineRule="atLeast" w:line="192" w:before="0" w:after="0"/>
              <w:jc w:val="center"/>
              <w:rPr>
                <w:spacing w:val="0"/>
              </w:rPr>
            </w:pPr>
            <w:r>
              <w:rPr>
                <w:spacing w:val="0"/>
              </w:rPr>
              <w:t xml:space="preserve">12,200 </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066" w:type="dxa"/>
            <w:tcBorders>
              <w:bottom w:val="single" w:sz="2" w:space="0" w:color="000000"/>
            </w:tcBorders>
            <w:shd w:fill="auto" w:val="clear"/>
            <w:tcMar>
              <w:bottom w:w="28" w:type="dxa"/>
            </w:tcMar>
            <w:vAlign w:val="center"/>
          </w:tcPr>
          <w:p>
            <w:pPr>
              <w:pStyle w:val="TableContents"/>
              <w:spacing w:lineRule="atLeast" w:line="192" w:before="0" w:after="0"/>
              <w:jc w:val="center"/>
              <w:rPr>
                <w:spacing w:val="0"/>
              </w:rPr>
            </w:pPr>
            <w:r>
              <w:rPr>
                <w:spacing w:val="0"/>
              </w:rPr>
              <w:t xml:space="preserve">1,552,993 </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54" w:type="dxa"/>
            <w:tcBorders/>
            <w:shd w:fill="auto" w:val="clear"/>
            <w:vAlign w:val="center"/>
          </w:tcPr>
          <w:p>
            <w:pPr>
              <w:pStyle w:val="TableContents"/>
              <w:spacing w:before="0" w:after="283"/>
              <w:rPr/>
            </w:pPr>
            <w:r>
              <w:rPr/>
              <w:t>​</w:t>
            </w:r>
          </w:p>
        </w:tc>
      </w:tr>
      <w:tr>
        <w:trPr/>
        <w:tc>
          <w:tcPr>
            <w:tcW w:w="124" w:type="dxa"/>
            <w:vMerge w:val="continue"/>
            <w:tcBorders/>
            <w:shd w:fill="auto" w:val="clear"/>
            <w:vAlign w:val="center"/>
          </w:tcPr>
          <w:p>
            <w:pPr>
              <w:pStyle w:val="Normal"/>
              <w:rPr/>
            </w:pPr>
            <w:r>
              <w:rPr/>
            </w:r>
          </w:p>
        </w:tc>
        <w:tc>
          <w:tcPr>
            <w:tcW w:w="109" w:type="dxa"/>
            <w:vMerge w:val="continue"/>
            <w:tcBorders/>
            <w:shd w:fill="auto" w:val="clear"/>
            <w:vAlign w:val="center"/>
          </w:tcPr>
          <w:p>
            <w:pPr>
              <w:pStyle w:val="Normal"/>
              <w:rPr/>
            </w:pPr>
            <w:r>
              <w:rPr/>
            </w:r>
          </w:p>
        </w:tc>
        <w:tc>
          <w:tcPr>
            <w:tcW w:w="1350" w:type="dxa"/>
            <w:vMerge w:val="continue"/>
            <w:tcBorders/>
            <w:shd w:fill="auto" w:val="clear"/>
            <w:vAlign w:val="center"/>
          </w:tcPr>
          <w:p>
            <w:pPr>
              <w:pStyle w:val="Normal"/>
              <w:rPr/>
            </w:pPr>
            <w:r>
              <w:rPr/>
            </w:r>
          </w:p>
        </w:tc>
        <w:tc>
          <w:tcPr>
            <w:tcW w:w="109" w:type="dxa"/>
            <w:vMerge w:val="continue"/>
            <w:tcBorders/>
            <w:shd w:fill="auto" w:val="clear"/>
            <w:vAlign w:val="center"/>
          </w:tcPr>
          <w:p>
            <w:pPr>
              <w:pStyle w:val="Normal"/>
              <w:rPr/>
            </w:pPr>
            <w:r>
              <w:rPr/>
            </w:r>
          </w:p>
        </w:tc>
        <w:tc>
          <w:tcPr>
            <w:tcW w:w="109" w:type="dxa"/>
            <w:tcBorders/>
            <w:shd w:fill="auto" w:val="clear"/>
            <w:vAlign w:val="center"/>
          </w:tcPr>
          <w:p>
            <w:pPr>
              <w:pStyle w:val="TableContents"/>
              <w:spacing w:before="0" w:after="283"/>
              <w:rPr/>
            </w:pPr>
            <w:r>
              <w:rPr/>
              <w:t>​</w:t>
            </w:r>
          </w:p>
        </w:tc>
        <w:tc>
          <w:tcPr>
            <w:tcW w:w="775" w:type="dxa"/>
            <w:tcBorders/>
            <w:shd w:fill="auto" w:val="clear"/>
            <w:vAlign w:val="center"/>
          </w:tcPr>
          <w:p>
            <w:pPr>
              <w:pStyle w:val="TableContents"/>
              <w:spacing w:before="0" w:after="0"/>
              <w:jc w:val="center"/>
              <w:rPr>
                <w:spacing w:val="0"/>
              </w:rPr>
            </w:pPr>
            <w:r>
              <w:rPr>
                <w:spacing w:val="0"/>
              </w:rPr>
              <w:t xml:space="preserve">2021 </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86" w:type="dxa"/>
            <w:tcBorders/>
            <w:shd w:fill="auto" w:val="clear"/>
            <w:vAlign w:val="center"/>
          </w:tcPr>
          <w:p>
            <w:pPr>
              <w:pStyle w:val="TableContents"/>
              <w:spacing w:before="0" w:after="0"/>
              <w:jc w:val="center"/>
              <w:rPr>
                <w:spacing w:val="0"/>
              </w:rPr>
            </w:pPr>
            <w:r>
              <w:rPr>
                <w:spacing w:val="0"/>
              </w:rPr>
              <w:t xml:space="preserve">416,367 </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938" w:type="dxa"/>
            <w:tcBorders/>
            <w:shd w:fill="auto" w:val="clear"/>
            <w:vAlign w:val="center"/>
          </w:tcPr>
          <w:p>
            <w:pPr>
              <w:pStyle w:val="TableContents"/>
              <w:spacing w:before="0" w:after="0"/>
              <w:jc w:val="center"/>
              <w:rPr/>
            </w:pPr>
            <w:r>
              <w:rPr>
                <w:spacing w:val="0"/>
              </w:rPr>
              <w:t>—</w:t>
            </w:r>
            <w:r>
              <w:rPr/>
              <w:t xml:space="preserve"> </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161" w:type="dxa"/>
            <w:tcBorders/>
            <w:shd w:fill="auto" w:val="clear"/>
            <w:vAlign w:val="center"/>
          </w:tcPr>
          <w:p>
            <w:pPr>
              <w:pStyle w:val="TableContents"/>
              <w:spacing w:before="0" w:after="0"/>
              <w:jc w:val="center"/>
              <w:rPr/>
            </w:pPr>
            <w:r>
              <w:rPr>
                <w:spacing w:val="0"/>
              </w:rPr>
              <w:t>—</w:t>
            </w:r>
            <w:r>
              <w:rPr/>
              <w:t xml:space="preserve"> </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161" w:type="dxa"/>
            <w:tcBorders/>
            <w:shd w:fill="auto" w:val="clear"/>
            <w:vAlign w:val="center"/>
          </w:tcPr>
          <w:p>
            <w:pPr>
              <w:pStyle w:val="TableContents"/>
              <w:spacing w:before="0" w:after="0"/>
              <w:jc w:val="center"/>
              <w:rPr>
                <w:spacing w:val="0"/>
              </w:rPr>
            </w:pPr>
            <w:r>
              <w:rPr>
                <w:spacing w:val="0"/>
              </w:rPr>
              <w:t xml:space="preserve">945,301 </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2004" w:type="dxa"/>
            <w:tcBorders/>
            <w:shd w:fill="auto" w:val="clear"/>
            <w:vAlign w:val="center"/>
          </w:tcPr>
          <w:p>
            <w:pPr>
              <w:pStyle w:val="TableContents"/>
              <w:spacing w:before="0" w:after="0"/>
              <w:jc w:val="center"/>
              <w:rPr>
                <w:spacing w:val="0"/>
              </w:rPr>
            </w:pPr>
            <w:r>
              <w:rPr>
                <w:spacing w:val="0"/>
              </w:rPr>
              <w:t xml:space="preserve">161,498 </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2004" w:type="dxa"/>
            <w:tcBorders/>
            <w:shd w:fill="auto" w:val="clear"/>
            <w:vAlign w:val="center"/>
          </w:tcPr>
          <w:p>
            <w:pPr>
              <w:pStyle w:val="TableContents"/>
              <w:spacing w:before="0" w:after="0"/>
              <w:jc w:val="center"/>
              <w:rPr>
                <w:spacing w:val="0"/>
              </w:rPr>
            </w:pPr>
            <w:r>
              <w:rPr>
                <w:spacing w:val="0"/>
              </w:rPr>
              <w:t xml:space="preserve">11,600 </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66" w:type="dxa"/>
            <w:tcBorders/>
            <w:shd w:fill="auto" w:val="clear"/>
            <w:vAlign w:val="center"/>
          </w:tcPr>
          <w:p>
            <w:pPr>
              <w:pStyle w:val="TableContents"/>
              <w:spacing w:before="0" w:after="0"/>
              <w:jc w:val="center"/>
              <w:rPr/>
            </w:pPr>
            <w:r>
              <w:rPr>
                <w:spacing w:val="0"/>
              </w:rPr>
              <w:t>1,534,766</w:t>
            </w:r>
            <w:r>
              <w:rPr/>
              <w:t xml:space="preserve"> </w:t>
            </w:r>
          </w:p>
        </w:tc>
        <w:tc>
          <w:tcPr>
            <w:tcW w:w="109" w:type="dxa"/>
            <w:tcBorders/>
            <w:shd w:fill="auto" w:val="clear"/>
            <w:vAlign w:val="center"/>
          </w:tcPr>
          <w:p>
            <w:pPr>
              <w:pStyle w:val="TableContents"/>
              <w:spacing w:before="0" w:after="283"/>
              <w:rPr/>
            </w:pPr>
            <w:r>
              <w:rPr/>
              <w:t>​</w:t>
            </w:r>
          </w:p>
        </w:tc>
        <w:tc>
          <w:tcPr>
            <w:tcW w:w="154" w:type="dxa"/>
            <w:tcBorders/>
            <w:shd w:fill="auto" w:val="clear"/>
            <w:vAlign w:val="center"/>
          </w:tcPr>
          <w:p>
            <w:pPr>
              <w:pStyle w:val="TableContents"/>
              <w:spacing w:before="0" w:after="283"/>
              <w:rPr/>
            </w:pPr>
            <w:r>
              <w:rPr/>
              <w:t>​</w:t>
            </w:r>
          </w:p>
        </w:tc>
      </w:tr>
    </w:tbl>
    <w:p>
      <w:pPr>
        <w:pStyle w:val="TextBody"/>
        <w:spacing w:before="0" w:after="0"/>
        <w:ind w:left="960" w:right="0" w:hanging="0"/>
        <w:rPr>
          <w:caps w:val="false"/>
          <w:smallCaps w:val="false"/>
          <w:color w:val="000000"/>
        </w:rPr>
      </w:pPr>
      <w:r>
        <w:rPr>
          <w:caps w:val="false"/>
          <w:smallCaps w:val="false"/>
          <w:color w:val="000000"/>
        </w:rPr>
        <w:t>​</w:t>
      </w:r>
    </w:p>
    <w:p>
      <w:pPr>
        <w:pStyle w:val="TextBody"/>
        <w:spacing w:lineRule="atLeast" w:line="200" w:before="50" w:after="0"/>
        <w:ind w:left="1360" w:right="0" w:hanging="0"/>
        <w:jc w:val="both"/>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0"/>
          <w:sz w:val="18"/>
        </w:rPr>
        <w:t>Amounts shown in this column do not reflect dollar amounts actually received by our NEOs. Instead, these amounts reflect the aggregate grant date fair value of each stock option, determined in accordance with the provisions of FASB ASC Topic 718. The assumptions made in the calculation of these amounts are included in Note 2 of the Notes to the Consolidated Financial Statements included in our 2022 Annual Report.</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31750" distB="0" distL="0" distR="0" simplePos="0" locked="0" layoutInCell="1" allowOverlap="1" relativeHeight="94">
                <wp:simplePos x="0" y="0"/>
                <wp:positionH relativeFrom="column">
                  <wp:align>left</wp:align>
                </wp:positionH>
                <wp:positionV relativeFrom="line">
                  <wp:align>top</wp:align>
                </wp:positionV>
                <wp:extent cx="254000" cy="262890"/>
                <wp:effectExtent l="0" t="0" r="0" b="0"/>
                <wp:wrapSquare wrapText="largest"/>
                <wp:docPr id="104" name="Frame71"/>
                <a:graphic xmlns:a="http://schemas.openxmlformats.org/drawingml/2006/main">
                  <a:graphicData uri="http://schemas.microsoft.com/office/word/2010/wordprocessingShape">
                    <wps:wsp>
                      <wps:cNvSpPr txBox="1"/>
                      <wps:spPr>
                        <a:xfrm>
                          <a:off x="0" y="0"/>
                          <a:ext cx="254000" cy="262890"/>
                        </a:xfrm>
                        <a:prstGeom prst="rect"/>
                      </wps:spPr>
                      <wps:txbx>
                        <w:txbxContent>
                          <w:p>
                            <w:pPr>
                              <w:pStyle w:val="TextBody"/>
                              <w:spacing w:lineRule="atLeast" w:line="200" w:before="0" w:after="283"/>
                              <w:jc w:val="both"/>
                              <w:rPr>
                                <w:sz w:val="18"/>
                              </w:rPr>
                            </w:pPr>
                            <w:r>
                              <w:rPr>
                                <w:spacing w:val="0"/>
                                <w:sz w:val="18"/>
                              </w:rPr>
                              <w:t>(1)</w:t>
                            </w:r>
                            <w:r>
                              <w:rPr>
                                <w:sz w:val="18"/>
                              </w:rPr>
                              <w:t xml:space="preserve"> </w:t>
                              <w:br/>
                            </w:r>
                          </w:p>
                        </w:txbxContent>
                      </wps:txbx>
                      <wps:bodyPr anchor="t" lIns="0" tIns="0" rIns="0" bIns="0">
                        <a:noAutofit/>
                      </wps:bodyPr>
                    </wps:wsp>
                  </a:graphicData>
                </a:graphic>
              </wp:anchor>
            </w:drawing>
          </mc:Choice>
          <mc:Fallback>
            <w:pict>
              <v:rect style="position:absolute;rotation:0;width:20pt;height:20.7pt;mso-wrap-distance-left:0pt;mso-wrap-distance-right:0pt;mso-wrap-distance-top:2.5pt;mso-wrap-distance-bottom:0pt;margin-top:2.5pt;mso-position-vertical:top;mso-position-vertical-relative:text;margin-left:0pt;mso-position-horizontal:left;mso-position-horizontal-relative:text">
                <v:textbox>
                  <w:txbxContent>
                    <w:p>
                      <w:pPr>
                        <w:pStyle w:val="TextBody"/>
                        <w:spacing w:lineRule="atLeast" w:line="200" w:before="0" w:after="283"/>
                        <w:jc w:val="both"/>
                        <w:rPr>
                          <w:sz w:val="18"/>
                        </w:rPr>
                      </w:pPr>
                      <w:r>
                        <w:rPr>
                          <w:spacing w:val="0"/>
                          <w:sz w:val="18"/>
                        </w:rPr>
                        <w:t>(1)</w:t>
                      </w:r>
                      <w:r>
                        <w:rPr>
                          <w:sz w:val="18"/>
                        </w:rPr>
                        <w:t xml:space="preserve"> </w:t>
                        <w:br/>
                      </w:r>
                    </w:p>
                  </w:txbxContent>
                </v:textbox>
                <w10:wrap type="square" side="right"/>
              </v:rect>
            </w:pict>
          </mc:Fallback>
        </mc:AlternateContent>
      </w:r>
    </w:p>
    <w:p>
      <w:pPr>
        <w:pStyle w:val="TextBody"/>
        <w:spacing w:before="0" w:after="0"/>
        <w:ind w:left="960" w:right="0" w:hanging="0"/>
        <w:rPr>
          <w:caps w:val="false"/>
          <w:smallCaps w:val="false"/>
          <w:color w:val="000000"/>
        </w:rPr>
      </w:pPr>
      <w:r>
        <w:rPr>
          <w:caps w:val="false"/>
          <w:smallCaps w:val="false"/>
          <w:color w:val="000000"/>
        </w:rPr>
        <w:t>​</w:t>
      </w:r>
    </w:p>
    <w:p>
      <w:pPr>
        <w:pStyle w:val="TextBody"/>
        <w:spacing w:lineRule="atLeast" w:line="200" w:before="74" w:after="0"/>
        <w:ind w:left="1360" w:right="0" w:hanging="0"/>
        <w:jc w:val="both"/>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0"/>
          <w:sz w:val="18"/>
        </w:rPr>
        <w:t>Amounts shown for 2022 are cash incentive payments earned in respect of 2022 performance and paid in the first quarter of 2023. Amounts shown for 2021 are cash incentive payments earned in respect of 2021 performance and paid in the first quarter of 2022.</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46990" distB="0" distL="0" distR="0" simplePos="0" locked="0" layoutInCell="1" allowOverlap="1" relativeHeight="95">
                <wp:simplePos x="0" y="0"/>
                <wp:positionH relativeFrom="column">
                  <wp:align>left</wp:align>
                </wp:positionH>
                <wp:positionV relativeFrom="line">
                  <wp:align>top</wp:align>
                </wp:positionV>
                <wp:extent cx="254000" cy="262890"/>
                <wp:effectExtent l="0" t="0" r="0" b="0"/>
                <wp:wrapSquare wrapText="largest"/>
                <wp:docPr id="105" name="Frame72"/>
                <a:graphic xmlns:a="http://schemas.openxmlformats.org/drawingml/2006/main">
                  <a:graphicData uri="http://schemas.microsoft.com/office/word/2010/wordprocessingShape">
                    <wps:wsp>
                      <wps:cNvSpPr txBox="1"/>
                      <wps:spPr>
                        <a:xfrm>
                          <a:off x="0" y="0"/>
                          <a:ext cx="254000" cy="262890"/>
                        </a:xfrm>
                        <a:prstGeom prst="rect"/>
                      </wps:spPr>
                      <wps:txbx>
                        <w:txbxContent>
                          <w:p>
                            <w:pPr>
                              <w:pStyle w:val="TextBody"/>
                              <w:spacing w:lineRule="atLeast" w:line="200" w:before="0" w:after="283"/>
                              <w:jc w:val="both"/>
                              <w:rPr>
                                <w:sz w:val="18"/>
                              </w:rPr>
                            </w:pPr>
                            <w:r>
                              <w:rPr>
                                <w:spacing w:val="0"/>
                                <w:sz w:val="18"/>
                              </w:rPr>
                              <w:t>(2)</w:t>
                            </w:r>
                            <w:r>
                              <w:rPr>
                                <w:sz w:val="18"/>
                              </w:rPr>
                              <w:t xml:space="preserve"> </w:t>
                              <w:br/>
                            </w:r>
                          </w:p>
                        </w:txbxContent>
                      </wps:txbx>
                      <wps:bodyPr anchor="t" lIns="0" tIns="0" rIns="0" bIns="0">
                        <a:noAutofit/>
                      </wps:bodyPr>
                    </wps:wsp>
                  </a:graphicData>
                </a:graphic>
              </wp:anchor>
            </w:drawing>
          </mc:Choice>
          <mc:Fallback>
            <w:pict>
              <v:rect style="position:absolute;rotation:0;width:20pt;height:20.7pt;mso-wrap-distance-left:0pt;mso-wrap-distance-right:0pt;mso-wrap-distance-top:3.7pt;mso-wrap-distance-bottom:0pt;margin-top:3.7pt;mso-position-vertical:top;mso-position-vertical-relative:text;margin-left:0pt;mso-position-horizontal:left;mso-position-horizontal-relative:text">
                <v:textbox>
                  <w:txbxContent>
                    <w:p>
                      <w:pPr>
                        <w:pStyle w:val="TextBody"/>
                        <w:spacing w:lineRule="atLeast" w:line="200" w:before="0" w:after="283"/>
                        <w:jc w:val="both"/>
                        <w:rPr>
                          <w:sz w:val="18"/>
                        </w:rPr>
                      </w:pPr>
                      <w:r>
                        <w:rPr>
                          <w:spacing w:val="0"/>
                          <w:sz w:val="18"/>
                        </w:rPr>
                        <w:t>(2)</w:t>
                      </w:r>
                      <w:r>
                        <w:rPr>
                          <w:sz w:val="18"/>
                        </w:rPr>
                        <w:t xml:space="preserve"> </w:t>
                        <w:br/>
                      </w:r>
                    </w:p>
                  </w:txbxContent>
                </v:textbox>
                <w10:wrap type="square" side="right"/>
              </v:rect>
            </w:pict>
          </mc:Fallback>
        </mc:AlternateContent>
      </w:r>
    </w:p>
    <w:p>
      <w:pPr>
        <w:pStyle w:val="TextBody"/>
        <w:spacing w:before="0" w:after="0"/>
        <w:ind w:left="960" w:right="0" w:hanging="0"/>
        <w:rPr>
          <w:caps w:val="false"/>
          <w:smallCaps w:val="false"/>
          <w:color w:val="000000"/>
        </w:rPr>
      </w:pPr>
      <w:r>
        <w:rPr>
          <w:caps w:val="false"/>
          <w:smallCaps w:val="false"/>
          <w:color w:val="000000"/>
        </w:rPr>
        <w:t>​</w:t>
      </w:r>
    </w:p>
    <w:p>
      <w:pPr>
        <w:pStyle w:val="TextBody"/>
        <w:spacing w:lineRule="atLeast" w:line="200" w:before="74" w:after="0"/>
        <w:ind w:left="136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0"/>
          <w:sz w:val="18"/>
        </w:rPr>
        <w:t>Amounts represent 401(k) matching contributions.</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46990" distB="0" distL="0" distR="0" simplePos="0" locked="0" layoutInCell="1" allowOverlap="1" relativeHeight="96">
                <wp:simplePos x="0" y="0"/>
                <wp:positionH relativeFrom="column">
                  <wp:align>left</wp:align>
                </wp:positionH>
                <wp:positionV relativeFrom="line">
                  <wp:align>top</wp:align>
                </wp:positionV>
                <wp:extent cx="254000" cy="262890"/>
                <wp:effectExtent l="0" t="0" r="0" b="0"/>
                <wp:wrapSquare wrapText="largest"/>
                <wp:docPr id="106" name="Frame73"/>
                <a:graphic xmlns:a="http://schemas.openxmlformats.org/drawingml/2006/main">
                  <a:graphicData uri="http://schemas.microsoft.com/office/word/2010/wordprocessingShape">
                    <wps:wsp>
                      <wps:cNvSpPr txBox="1"/>
                      <wps:spPr>
                        <a:xfrm>
                          <a:off x="0" y="0"/>
                          <a:ext cx="254000" cy="262890"/>
                        </a:xfrm>
                        <a:prstGeom prst="rect"/>
                      </wps:spPr>
                      <wps:txbx>
                        <w:txbxContent>
                          <w:p>
                            <w:pPr>
                              <w:pStyle w:val="TextBody"/>
                              <w:spacing w:lineRule="atLeast" w:line="200" w:before="0" w:after="283"/>
                              <w:jc w:val="left"/>
                              <w:rPr>
                                <w:sz w:val="18"/>
                              </w:rPr>
                            </w:pPr>
                            <w:r>
                              <w:rPr>
                                <w:spacing w:val="0"/>
                                <w:sz w:val="18"/>
                              </w:rPr>
                              <w:t>(3)</w:t>
                            </w:r>
                            <w:r>
                              <w:rPr>
                                <w:sz w:val="18"/>
                              </w:rPr>
                              <w:t xml:space="preserve"> </w:t>
                              <w:br/>
                            </w:r>
                          </w:p>
                        </w:txbxContent>
                      </wps:txbx>
                      <wps:bodyPr anchor="t" lIns="0" tIns="0" rIns="0" bIns="0">
                        <a:noAutofit/>
                      </wps:bodyPr>
                    </wps:wsp>
                  </a:graphicData>
                </a:graphic>
              </wp:anchor>
            </w:drawing>
          </mc:Choice>
          <mc:Fallback>
            <w:pict>
              <v:rect style="position:absolute;rotation:0;width:20pt;height:20.7pt;mso-wrap-distance-left:0pt;mso-wrap-distance-right:0pt;mso-wrap-distance-top:3.7pt;mso-wrap-distance-bottom:0pt;margin-top:3.7pt;mso-position-vertical:top;mso-position-vertical-relative:text;margin-left:0pt;mso-position-horizontal:left;mso-position-horizontal-relative:text">
                <v:textbox>
                  <w:txbxContent>
                    <w:p>
                      <w:pPr>
                        <w:pStyle w:val="TextBody"/>
                        <w:spacing w:lineRule="atLeast" w:line="200" w:before="0" w:after="283"/>
                        <w:jc w:val="left"/>
                        <w:rPr>
                          <w:sz w:val="18"/>
                        </w:rPr>
                      </w:pPr>
                      <w:r>
                        <w:rPr>
                          <w:spacing w:val="0"/>
                          <w:sz w:val="18"/>
                        </w:rPr>
                        <w:t>(3)</w:t>
                      </w:r>
                      <w:r>
                        <w:rPr>
                          <w:sz w:val="18"/>
                        </w:rPr>
                        <w:t xml:space="preserve"> </w:t>
                        <w:br/>
                      </w:r>
                    </w:p>
                  </w:txbxContent>
                </v:textbox>
                <w10:wrap type="square" side="right"/>
              </v:rect>
            </w:pict>
          </mc:Fallback>
        </mc:AlternateContent>
      </w:r>
    </w:p>
    <w:p>
      <w:pPr>
        <w:pStyle w:val="TextBody"/>
        <w:spacing w:before="0" w:after="0"/>
        <w:ind w:left="960" w:right="0" w:hanging="0"/>
        <w:rPr>
          <w:caps w:val="false"/>
          <w:smallCaps w:val="false"/>
          <w:color w:val="000000"/>
        </w:rPr>
      </w:pPr>
      <w:r>
        <w:rPr>
          <w:caps w:val="false"/>
          <w:smallCaps w:val="false"/>
          <w:color w:val="000000"/>
        </w:rPr>
        <w:t>​</w:t>
      </w:r>
    </w:p>
    <w:p>
      <w:pPr>
        <w:pStyle w:val="TextBody"/>
        <w:spacing w:lineRule="atLeast" w:line="200" w:before="74" w:after="0"/>
        <w:ind w:left="136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0"/>
          <w:sz w:val="18"/>
        </w:rPr>
        <w:t>Dr. Flores served as President and Chief Executive Officer until April 11, 2023.</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46990" distB="0" distL="0" distR="0" simplePos="0" locked="0" layoutInCell="1" allowOverlap="1" relativeHeight="97">
                <wp:simplePos x="0" y="0"/>
                <wp:positionH relativeFrom="column">
                  <wp:align>left</wp:align>
                </wp:positionH>
                <wp:positionV relativeFrom="line">
                  <wp:align>top</wp:align>
                </wp:positionV>
                <wp:extent cx="254000" cy="262890"/>
                <wp:effectExtent l="0" t="0" r="0" b="0"/>
                <wp:wrapSquare wrapText="largest"/>
                <wp:docPr id="107" name="Frame74"/>
                <a:graphic xmlns:a="http://schemas.openxmlformats.org/drawingml/2006/main">
                  <a:graphicData uri="http://schemas.microsoft.com/office/word/2010/wordprocessingShape">
                    <wps:wsp>
                      <wps:cNvSpPr txBox="1"/>
                      <wps:spPr>
                        <a:xfrm>
                          <a:off x="0" y="0"/>
                          <a:ext cx="254000" cy="262890"/>
                        </a:xfrm>
                        <a:prstGeom prst="rect"/>
                      </wps:spPr>
                      <wps:txbx>
                        <w:txbxContent>
                          <w:p>
                            <w:pPr>
                              <w:pStyle w:val="TextBody"/>
                              <w:spacing w:lineRule="atLeast" w:line="200" w:before="0" w:after="283"/>
                              <w:jc w:val="left"/>
                              <w:rPr>
                                <w:sz w:val="18"/>
                              </w:rPr>
                            </w:pPr>
                            <w:r>
                              <w:rPr>
                                <w:spacing w:val="0"/>
                                <w:sz w:val="18"/>
                              </w:rPr>
                              <w:t>(4)</w:t>
                            </w:r>
                            <w:r>
                              <w:rPr>
                                <w:sz w:val="18"/>
                              </w:rPr>
                              <w:t xml:space="preserve"> </w:t>
                              <w:br/>
                            </w:r>
                          </w:p>
                        </w:txbxContent>
                      </wps:txbx>
                      <wps:bodyPr anchor="t" lIns="0" tIns="0" rIns="0" bIns="0">
                        <a:noAutofit/>
                      </wps:bodyPr>
                    </wps:wsp>
                  </a:graphicData>
                </a:graphic>
              </wp:anchor>
            </w:drawing>
          </mc:Choice>
          <mc:Fallback>
            <w:pict>
              <v:rect style="position:absolute;rotation:0;width:20pt;height:20.7pt;mso-wrap-distance-left:0pt;mso-wrap-distance-right:0pt;mso-wrap-distance-top:3.7pt;mso-wrap-distance-bottom:0pt;margin-top:3.7pt;mso-position-vertical:top;mso-position-vertical-relative:text;margin-left:0pt;mso-position-horizontal:left;mso-position-horizontal-relative:text">
                <v:textbox>
                  <w:txbxContent>
                    <w:p>
                      <w:pPr>
                        <w:pStyle w:val="TextBody"/>
                        <w:spacing w:lineRule="atLeast" w:line="200" w:before="0" w:after="283"/>
                        <w:jc w:val="left"/>
                        <w:rPr>
                          <w:sz w:val="18"/>
                        </w:rPr>
                      </w:pPr>
                      <w:r>
                        <w:rPr>
                          <w:spacing w:val="0"/>
                          <w:sz w:val="18"/>
                        </w:rPr>
                        <w:t>(4)</w:t>
                      </w:r>
                      <w:r>
                        <w:rPr>
                          <w:sz w:val="18"/>
                        </w:rPr>
                        <w:t xml:space="preserve"> </w:t>
                        <w:br/>
                      </w:r>
                    </w:p>
                  </w:txbxContent>
                </v:textbox>
                <w10:wrap type="square" side="right"/>
              </v:rect>
            </w:pict>
          </mc:Fallback>
        </mc:AlternateContent>
      </w:r>
    </w:p>
    <w:p>
      <w:pPr>
        <w:pStyle w:val="TextBody"/>
        <w:spacing w:before="0" w:after="0"/>
        <w:ind w:left="960" w:right="0" w:hanging="0"/>
        <w:rPr>
          <w:caps w:val="false"/>
          <w:smallCaps w:val="false"/>
          <w:color w:val="000000"/>
        </w:rPr>
      </w:pPr>
      <w:r>
        <w:rPr>
          <w:caps w:val="false"/>
          <w:smallCaps w:val="false"/>
          <w:color w:val="000000"/>
        </w:rPr>
        <w:t>​</w:t>
      </w:r>
    </w:p>
    <w:p>
      <w:pPr>
        <w:pStyle w:val="TextBody"/>
        <w:spacing w:lineRule="atLeast" w:line="240" w:before="240" w:after="283"/>
        <w:rPr>
          <w:rFonts w:ascii="Arial;Helvetica;sans-serif" w:hAnsi="Arial;Helvetica;sans-serif"/>
          <w:b/>
          <w:i/>
          <w:caps w:val="false"/>
          <w:smallCaps w:val="false"/>
          <w:color w:val="000000"/>
          <w:sz w:val="20"/>
        </w:rPr>
      </w:pPr>
      <w:r>
        <w:rPr>
          <w:rFonts w:ascii="Arial;Helvetica;sans-serif" w:hAnsi="Arial;Helvetica;sans-serif"/>
          <w:b/>
          <w:i/>
          <w:caps w:val="false"/>
          <w:smallCaps w:val="false"/>
          <w:color w:val="000000"/>
          <w:sz w:val="20"/>
        </w:rPr>
        <w:t>Elements of Compensation</w:t>
      </w:r>
      <w:r>
        <w:rPr>
          <w:rFonts w:ascii="Arial;Helvetica;sans-serif" w:hAnsi="Arial;Helvetica;sans-serif"/>
          <w:b/>
          <w:i/>
          <w:caps w:val="false"/>
          <w:smallCaps w:val="false"/>
          <w:color w:val="000000"/>
          <w:spacing w:val="4"/>
          <w:sz w:val="20"/>
        </w:rPr>
        <w:t xml:space="preserve"> </w:t>
      </w:r>
    </w:p>
    <w:p>
      <w:pPr>
        <w:pStyle w:val="TextBody"/>
        <w:spacing w:lineRule="atLeast" w:line="23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The compensation of our NEOs generally consists of base salary, annual cash incentive opportunities, long term incentive compensation in the form of equity awards, and other benefits, as described below.</w:t>
      </w:r>
      <w:r>
        <w:rPr>
          <w:rFonts w:ascii="Arial;Helvetica;sans-serif" w:hAnsi="Arial;Helvetica;sans-serif"/>
          <w:b w:val="false"/>
          <w:i w:val="false"/>
          <w:caps w:val="false"/>
          <w:smallCaps w:val="false"/>
          <w:color w:val="000000"/>
          <w:spacing w:val="4"/>
          <w:sz w:val="20"/>
        </w:rPr>
        <w:t xml:space="preserve"> </w:t>
      </w:r>
    </w:p>
    <w:p>
      <w:pPr>
        <w:pStyle w:val="TextBody"/>
        <w:spacing w:lineRule="atLeast" w:line="240" w:before="240" w:after="283"/>
        <w:rPr>
          <w:rFonts w:ascii="Arial;Helvetica;sans-serif" w:hAnsi="Arial;Helvetica;sans-serif"/>
          <w:b/>
          <w:i/>
          <w:caps w:val="false"/>
          <w:smallCaps w:val="false"/>
          <w:color w:val="000000"/>
          <w:sz w:val="20"/>
        </w:rPr>
      </w:pPr>
      <w:r>
        <w:rPr>
          <w:rFonts w:ascii="Arial;Helvetica;sans-serif" w:hAnsi="Arial;Helvetica;sans-serif"/>
          <w:b/>
          <w:i/>
          <w:caps w:val="false"/>
          <w:smallCaps w:val="false"/>
          <w:color w:val="000000"/>
          <w:sz w:val="20"/>
        </w:rPr>
        <w:t>Base salary</w:t>
      </w:r>
      <w:r>
        <w:rPr>
          <w:rFonts w:ascii="Arial;Helvetica;sans-serif" w:hAnsi="Arial;Helvetica;sans-serif"/>
          <w:b/>
          <w:i/>
          <w:caps w:val="false"/>
          <w:smallCaps w:val="false"/>
          <w:color w:val="000000"/>
          <w:spacing w:val="4"/>
          <w:sz w:val="20"/>
        </w:rPr>
        <w:t xml:space="preserve"> </w:t>
      </w:r>
    </w:p>
    <w:p>
      <w:pPr>
        <w:pStyle w:val="TextBody"/>
        <w:spacing w:lineRule="atLeast" w:line="23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The base salary payable to each NEO is intended to provide a fixed component of compensation reflecting the executive’s skill set, experience, role, responsibilities, and contributions. Each NEO’s initial base salary was specified in his or her employment agreement, as described below, and is reviewed (and, if applicable, adjusted) from time to time by our Board or Compensation Committee, as applicable. In 2022, the annual base salary rates for our NEOs were $584,900 for Dr. Flores, $459,600 for Dr. Diem and $459,700 for Dr. Farid.</w:t>
      </w:r>
      <w:r>
        <w:rPr>
          <w:rFonts w:ascii="Arial;Helvetica;sans-serif" w:hAnsi="Arial;Helvetica;sans-serif"/>
          <w:b w:val="false"/>
          <w:i w:val="false"/>
          <w:caps w:val="false"/>
          <w:smallCaps w:val="false"/>
          <w:color w:val="000000"/>
          <w:spacing w:val="4"/>
          <w:sz w:val="20"/>
        </w:rPr>
        <w:t xml:space="preserve"> </w:t>
      </w:r>
    </w:p>
    <w:p>
      <w:pPr>
        <w:pStyle w:val="TextBody"/>
        <w:spacing w:lineRule="atLeast" w:line="240" w:before="240" w:after="283"/>
        <w:rPr>
          <w:rFonts w:ascii="Arial;Helvetica;sans-serif" w:hAnsi="Arial;Helvetica;sans-serif"/>
          <w:b/>
          <w:i/>
          <w:caps w:val="false"/>
          <w:smallCaps w:val="false"/>
          <w:color w:val="000000"/>
          <w:sz w:val="20"/>
        </w:rPr>
      </w:pPr>
      <w:r>
        <w:rPr>
          <w:rFonts w:ascii="Arial;Helvetica;sans-serif" w:hAnsi="Arial;Helvetica;sans-serif"/>
          <w:b/>
          <w:i/>
          <w:caps w:val="false"/>
          <w:smallCaps w:val="false"/>
          <w:color w:val="000000"/>
          <w:sz w:val="20"/>
        </w:rPr>
        <w:t>Annual Incentive Opportunities</w:t>
      </w:r>
      <w:r>
        <w:rPr>
          <w:rFonts w:ascii="Arial;Helvetica;sans-serif" w:hAnsi="Arial;Helvetica;sans-serif"/>
          <w:b/>
          <w:i/>
          <w:caps w:val="false"/>
          <w:smallCaps w:val="false"/>
          <w:color w:val="000000"/>
          <w:spacing w:val="4"/>
          <w:sz w:val="20"/>
        </w:rPr>
        <w:t xml:space="preserve"> </w:t>
      </w:r>
    </w:p>
    <w:p>
      <w:pPr>
        <w:pStyle w:val="TextBody"/>
        <w:spacing w:lineRule="atLeast" w:line="230" w:before="160" w:after="283"/>
        <w:jc w:val="both"/>
        <w:rPr>
          <w:rFonts w:ascii="Arial;Helvetica;sans-serif" w:hAnsi="Arial;Helvetica;sans-serif"/>
          <w:b w:val="false"/>
          <w:i w:val="false"/>
          <w:caps w:val="false"/>
          <w:smallCaps w:val="false"/>
          <w:color w:val="000000"/>
          <w:spacing w:val="-1"/>
          <w:sz w:val="20"/>
        </w:rPr>
      </w:pPr>
      <w:r>
        <w:rPr>
          <w:rFonts w:ascii="Arial;Helvetica;sans-serif" w:hAnsi="Arial;Helvetica;sans-serif"/>
          <w:b w:val="false"/>
          <w:i w:val="false"/>
          <w:caps w:val="false"/>
          <w:smallCaps w:val="false"/>
          <w:color w:val="000000"/>
          <w:spacing w:val="-1"/>
          <w:sz w:val="20"/>
        </w:rPr>
        <w:t xml:space="preserve">Each of our NEOs’ annual non-equity incentive opportunity is expressed as a percentage of base salary that can be earned based on the achievement of predetermined corporate and individual performance objectives. The 2022 annual bonus opportunities for Dr. Flores, Dr. Diem, and Dr. Farid were targeted at 50%, 40%, and 40% of their respective base salaries. For 2022, all NEOs were eligible to earn their annual cash incentives pursuant to the achievement of corporate and/or individual performance goals approved by our Board. These goals primarily related to pipeline and platform development, financing, operations, business development, intellectual property and increasing external visibility. The Board determined that the 2022 corporate goals were achieved at 100%. Following a review of 2022 performance, our Compensation Committee approved, and, in the case of Dr. Flores, our Compensation Committee recommended and our Board approved, 2022 annual cash incentive payouts to each of </w:t>
      </w:r>
    </w:p>
    <w:p>
      <w:pPr>
        <w:pStyle w:val="TextBody"/>
        <w:spacing w:lineRule="atLeast" w:line="240" w:before="100" w:after="283"/>
        <w:ind w:left="960" w:right="0" w:hanging="0"/>
        <w:jc w:val="righ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1DA46F"/>
          <w:spacing w:val="0"/>
          <w:sz w:val="20"/>
        </w:rPr>
        <w:t>Notice of Annual Meeting of Stockholders</w:t>
      </w:r>
      <w:r>
        <w:rPr>
          <w:rFonts w:ascii="Arial;Helvetica;sans-serif" w:hAnsi="Arial;Helvetica;sans-serif"/>
          <w:b/>
          <w:i w:val="false"/>
          <w:caps w:val="false"/>
          <w:smallCaps w:val="false"/>
          <w:color w:val="000000"/>
          <w:spacing w:val="0"/>
          <w:sz w:val="20"/>
        </w:rPr>
        <w:t> and 2023 Proxy Statement | </w:t>
      </w:r>
      <w:r>
        <w:rPr>
          <w:rFonts w:ascii="Arial;Helvetica;sans-serif" w:hAnsi="Arial;Helvetica;sans-serif"/>
          <w:b w:val="false"/>
          <w:i w:val="false"/>
          <w:caps w:val="false"/>
          <w:smallCaps w:val="false"/>
          <w:color w:val="000000"/>
          <w:spacing w:val="-1"/>
          <w:sz w:val="20"/>
        </w:rPr>
        <w:t>24</w:t>
      </w:r>
      <w:r>
        <w:rPr>
          <w:rFonts w:ascii="Arial;Helvetica;sans-serif" w:hAnsi="Arial;Helvetica;sans-serif"/>
          <w:b/>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47" w:name="tPAHP"/>
      <w:bookmarkEnd w:id="47"/>
      <w:r>
        <w:rPr>
          <w:rFonts w:ascii="calibri;arial;sans-serif" w:hAnsi="calibri;arial;sans-serif"/>
          <w:b w:val="false"/>
          <w:i w:val="false"/>
          <w:caps w:val="false"/>
          <w:smallCaps w:val="false"/>
          <w:color w:val="000000"/>
          <w:sz w:val="16"/>
        </w:rPr>
        <w:t>​</w:t>
      </w:r>
      <w:bookmarkStart w:id="48" w:name="tOEAA"/>
      <w:bookmarkEnd w:id="48"/>
      <w:r>
        <w:rPr>
          <w:rFonts w:ascii="calibri;arial;sans-serif" w:hAnsi="calibri;arial;sans-serif"/>
          <w:b w:val="false"/>
          <w:i w:val="false"/>
          <w:caps w:val="false"/>
          <w:smallCaps w:val="false"/>
          <w:color w:val="000000"/>
          <w:sz w:val="16"/>
        </w:rPr>
        <w:t xml:space="preserve">​ </w:t>
      </w:r>
    </w:p>
    <w:tbl>
      <w:tblPr>
        <w:tblW w:w="3709" w:type="dxa"/>
        <w:jc w:val="left"/>
        <w:tblInd w:w="960" w:type="dxa"/>
        <w:tblCellMar>
          <w:top w:w="0" w:type="dxa"/>
          <w:left w:w="0" w:type="dxa"/>
          <w:bottom w:w="0" w:type="dxa"/>
          <w:right w:w="0" w:type="dxa"/>
        </w:tblCellMar>
      </w:tblPr>
      <w:tblGrid>
        <w:gridCol w:w="124"/>
        <w:gridCol w:w="3431"/>
        <w:gridCol w:w="154"/>
      </w:tblGrid>
      <w:tr>
        <w:trPr/>
        <w:tc>
          <w:tcPr>
            <w:tcW w:w="124" w:type="dxa"/>
            <w:tcBorders/>
            <w:shd w:fill="1DA46F" w:val="clear"/>
            <w:vAlign w:val="center"/>
          </w:tcPr>
          <w:p>
            <w:pPr>
              <w:pStyle w:val="TableContents"/>
              <w:spacing w:before="0" w:after="283"/>
              <w:rPr/>
            </w:pPr>
            <w:r>
              <w:rPr/>
              <w:t>​</w:t>
            </w:r>
          </w:p>
        </w:tc>
        <w:tc>
          <w:tcPr>
            <w:tcW w:w="3431" w:type="dxa"/>
            <w:tcBorders/>
            <w:shd w:fill="1DA46F" w:val="clear"/>
            <w:vAlign w:val="center"/>
          </w:tcPr>
          <w:p>
            <w:pPr>
              <w:pStyle w:val="TableContents"/>
              <w:spacing w:lineRule="atLeast" w:line="360" w:before="0" w:after="0"/>
              <w:rPr/>
            </w:pPr>
            <w:r>
              <w:rPr>
                <w:spacing w:val="-5"/>
              </w:rPr>
              <w:t>EXECUTIVE COMPENSATION</w:t>
            </w:r>
            <w:r>
              <w:rPr/>
              <w:t xml:space="preserve"> </w:t>
            </w:r>
          </w:p>
        </w:tc>
        <w:tc>
          <w:tcPr>
            <w:tcW w:w="154" w:type="dxa"/>
            <w:tcBorders/>
            <w:shd w:fill="1DA46F" w:val="clear"/>
            <w:vAlign w:val="center"/>
          </w:tcPr>
          <w:p>
            <w:pPr>
              <w:pStyle w:val="TableContents"/>
              <w:spacing w:before="0" w:after="283"/>
              <w:rPr/>
            </w:pPr>
            <w:r>
              <w:rPr/>
              <w:t>​</w:t>
            </w:r>
          </w:p>
        </w:tc>
      </w:tr>
    </w:tbl>
    <w:p>
      <w:pPr>
        <w:pStyle w:val="TextBody"/>
        <w:spacing w:lineRule="atLeast" w:line="230" w:before="360" w:after="283"/>
        <w:ind w:left="96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Dr. Flores, Dr. Diem, and Dr. Farid equal to $290,104, $183,876 and $183,876, respectively, in each case representing 100% of the target cash incentive for each such NEO.</w:t>
      </w:r>
      <w:r>
        <w:rPr>
          <w:rFonts w:ascii="Arial;Helvetica;sans-serif" w:hAnsi="Arial;Helvetica;sans-serif"/>
          <w:b w:val="false"/>
          <w:i w:val="false"/>
          <w:caps w:val="false"/>
          <w:smallCaps w:val="false"/>
          <w:color w:val="000000"/>
          <w:spacing w:val="4"/>
          <w:sz w:val="20"/>
        </w:rPr>
        <w:t xml:space="preserve"> </w:t>
      </w:r>
    </w:p>
    <w:p>
      <w:pPr>
        <w:pStyle w:val="TextBody"/>
        <w:spacing w:lineRule="atLeast" w:line="240" w:before="195" w:after="283"/>
        <w:rPr>
          <w:rFonts w:ascii="Arial;Helvetica;sans-serif" w:hAnsi="Arial;Helvetica;sans-serif"/>
          <w:b/>
          <w:i/>
          <w:caps w:val="false"/>
          <w:smallCaps w:val="false"/>
          <w:color w:val="000000"/>
          <w:sz w:val="20"/>
        </w:rPr>
      </w:pPr>
      <w:r>
        <w:rPr>
          <w:rFonts w:ascii="Arial;Helvetica;sans-serif" w:hAnsi="Arial;Helvetica;sans-serif"/>
          <w:b/>
          <w:i/>
          <w:caps w:val="false"/>
          <w:smallCaps w:val="false"/>
          <w:color w:val="000000"/>
          <w:sz w:val="20"/>
        </w:rPr>
        <w:t>Long Term Equity Incentives</w:t>
      </w:r>
      <w:r>
        <w:rPr>
          <w:rFonts w:ascii="Arial;Helvetica;sans-serif" w:hAnsi="Arial;Helvetica;sans-serif"/>
          <w:b/>
          <w:i/>
          <w:caps w:val="false"/>
          <w:smallCaps w:val="false"/>
          <w:color w:val="000000"/>
          <w:spacing w:val="4"/>
          <w:sz w:val="20"/>
        </w:rPr>
        <w:t xml:space="preserve"> </w:t>
      </w:r>
    </w:p>
    <w:p>
      <w:pPr>
        <w:pStyle w:val="TextBody"/>
        <w:spacing w:lineRule="atLeast" w:line="23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Our equity-based incentive awards are designed to align the interests of our stockholders with those of our NEOs. Our Board or Compensation Committee, as applicable, approves equity grants to NEOs under our 2021 Plan. In 2022, our Compensation Committee approved, and, in the case of Dr. Flores, our Compensation Committee recommended and our Board approved, equity grants to each of Dr. Flores, Dr. Diem, and Dr. Farid in the amount of 315,000, 105,000 and 105,000 options to purchase shares of common stock, respectively.</w:t>
      </w:r>
      <w:r>
        <w:rPr>
          <w:rFonts w:ascii="Arial;Helvetica;sans-serif" w:hAnsi="Arial;Helvetica;sans-serif"/>
          <w:b w:val="false"/>
          <w:i w:val="false"/>
          <w:caps w:val="false"/>
          <w:smallCaps w:val="false"/>
          <w:color w:val="000000"/>
          <w:spacing w:val="4"/>
          <w:sz w:val="20"/>
        </w:rPr>
        <w:t xml:space="preserve"> </w:t>
      </w:r>
    </w:p>
    <w:p>
      <w:pPr>
        <w:pStyle w:val="TextBody"/>
        <w:spacing w:lineRule="atLeast" w:line="230" w:before="142"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Stock option awards to our NEOs generally vest 25% on the first anniversary of the grant date, with the remaining 75% vesting in equal monthly installments on the last day of each of the 36 calendar months immediately following the first anniversary of the grant date, subject generally to the NEO’s continuous service through the relevant vesting dates.</w:t>
      </w:r>
      <w:r>
        <w:rPr>
          <w:rFonts w:ascii="Arial;Helvetica;sans-serif" w:hAnsi="Arial;Helvetica;sans-serif"/>
          <w:b w:val="false"/>
          <w:i w:val="false"/>
          <w:caps w:val="false"/>
          <w:smallCaps w:val="false"/>
          <w:color w:val="000000"/>
          <w:spacing w:val="4"/>
          <w:sz w:val="20"/>
        </w:rPr>
        <w:t xml:space="preserve"> </w:t>
      </w:r>
    </w:p>
    <w:p>
      <w:pPr>
        <w:pStyle w:val="TextBody"/>
        <w:spacing w:lineRule="atLeast" w:line="240" w:before="195" w:after="283"/>
        <w:rPr>
          <w:rFonts w:ascii="Arial;Helvetica;sans-serif" w:hAnsi="Arial;Helvetica;sans-serif"/>
          <w:b/>
          <w:i/>
          <w:caps w:val="false"/>
          <w:smallCaps w:val="false"/>
          <w:color w:val="000000"/>
          <w:sz w:val="20"/>
        </w:rPr>
      </w:pPr>
      <w:r>
        <w:rPr>
          <w:rFonts w:ascii="Arial;Helvetica;sans-serif" w:hAnsi="Arial;Helvetica;sans-serif"/>
          <w:b/>
          <w:i/>
          <w:caps w:val="false"/>
          <w:smallCaps w:val="false"/>
          <w:color w:val="000000"/>
          <w:sz w:val="20"/>
        </w:rPr>
        <w:t>Other Benefits</w:t>
      </w:r>
      <w:r>
        <w:rPr>
          <w:rFonts w:ascii="Arial;Helvetica;sans-serif" w:hAnsi="Arial;Helvetica;sans-serif"/>
          <w:b/>
          <w:i/>
          <w:caps w:val="false"/>
          <w:smallCaps w:val="false"/>
          <w:color w:val="000000"/>
          <w:spacing w:val="4"/>
          <w:sz w:val="20"/>
        </w:rPr>
        <w:t xml:space="preserve"> </w:t>
      </w:r>
    </w:p>
    <w:p>
      <w:pPr>
        <w:pStyle w:val="TextBody"/>
        <w:spacing w:lineRule="atLeast" w:line="23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Our NEOs are eligible for the same welfare benefits that are generally available to all of our salaries employees, including health, dental, life, vision, and disability insurance.</w:t>
      </w:r>
      <w:r>
        <w:rPr>
          <w:rFonts w:ascii="Arial;Helvetica;sans-serif" w:hAnsi="Arial;Helvetica;sans-serif"/>
          <w:b w:val="false"/>
          <w:i w:val="false"/>
          <w:caps w:val="false"/>
          <w:smallCaps w:val="false"/>
          <w:color w:val="000000"/>
          <w:spacing w:val="4"/>
          <w:sz w:val="20"/>
        </w:rPr>
        <w:t xml:space="preserve"> </w:t>
      </w:r>
    </w:p>
    <w:p>
      <w:pPr>
        <w:pStyle w:val="TextBody"/>
        <w:spacing w:lineRule="atLeast" w:line="230" w:before="142"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In addition, we maintain, and the NEOs are eligible to participate in, a 401(k) plan that provides eligible employees with an opportunity to save for retirement on a tax-advantaged basis and under which we make safe harbor matching employer contributions. We match 100% of each participating employee’s contributions (up to the first 3% of eligible compensation) and 50% of the participating employee’s contributions (for the next 2% of eligible compensation), and participants are always fully vested in these employer matching contributions. For 2022, the IRS limit on eligible compensation for this purpose was $305,000. Employees’ pre-tax contributions are allocated to each participant’s individual account and are then invested in selected investment alternatives according to the participant’s directions. The 401(k) plan is intended to be qualified under Section 401(a) of the Internal Revenue Code.</w:t>
      </w:r>
      <w:r>
        <w:rPr>
          <w:rFonts w:ascii="Arial;Helvetica;sans-serif" w:hAnsi="Arial;Helvetica;sans-serif"/>
          <w:b w:val="false"/>
          <w:i w:val="false"/>
          <w:caps w:val="false"/>
          <w:smallCaps w:val="false"/>
          <w:color w:val="000000"/>
          <w:spacing w:val="4"/>
          <w:sz w:val="20"/>
        </w:rPr>
        <w:t xml:space="preserve"> </w:t>
      </w:r>
    </w:p>
    <w:p>
      <w:pPr>
        <w:pStyle w:val="TextBody"/>
        <w:spacing w:lineRule="atLeast" w:line="240" w:before="192" w:after="283"/>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3"/>
          <w:sz w:val="20"/>
        </w:rPr>
        <w:t>PLEDGING AND HEDGING POLICIES</w:t>
      </w:r>
      <w:r>
        <w:rPr>
          <w:rFonts w:ascii="Arial;Helvetica;sans-serif" w:hAnsi="Arial;Helvetica;sans-serif"/>
          <w:b/>
          <w:i w:val="false"/>
          <w:caps w:val="false"/>
          <w:smallCaps w:val="false"/>
          <w:color w:val="000000"/>
          <w:spacing w:val="4"/>
          <w:sz w:val="20"/>
        </w:rPr>
        <w:t xml:space="preserve"> </w:t>
      </w:r>
    </w:p>
    <w:p>
      <w:pPr>
        <w:pStyle w:val="TextBody"/>
        <w:spacing w:lineRule="atLeast" w:line="23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Under the terms of our Insider Trading Policy, our executive officers and directors are prohibited from: trading in call or put options involving our securities and other derivative securities; engaging in short sales of our securities; holding our securities in a margin account; all forms of hedging or monetizing our transactions, such as zero-cost collars and forward sale contracts; and pledging company securities to secure margin or other loans.</w:t>
      </w:r>
      <w:r>
        <w:rPr>
          <w:rFonts w:ascii="Arial;Helvetica;sans-serif" w:hAnsi="Arial;Helvetica;sans-serif"/>
          <w:b w:val="false"/>
          <w:i w:val="false"/>
          <w:caps w:val="false"/>
          <w:smallCaps w:val="false"/>
          <w:color w:val="000000"/>
          <w:spacing w:val="4"/>
          <w:sz w:val="20"/>
        </w:rPr>
        <w:t xml:space="preserve"> </w:t>
      </w:r>
    </w:p>
    <w:p>
      <w:pPr>
        <w:pStyle w:val="TextBody"/>
        <w:spacing w:lineRule="atLeast" w:line="240" w:before="193" w:after="283"/>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3"/>
          <w:sz w:val="20"/>
        </w:rPr>
        <w:t>OUTSTANDING EQUITY AWARDS AT FISCAL YEAR-END</w:t>
      </w:r>
      <w:r>
        <w:rPr>
          <w:rFonts w:ascii="Arial;Helvetica;sans-serif" w:hAnsi="Arial;Helvetica;sans-serif"/>
          <w:b/>
          <w:i w:val="false"/>
          <w:caps w:val="false"/>
          <w:smallCaps w:val="false"/>
          <w:color w:val="000000"/>
          <w:spacing w:val="4"/>
          <w:sz w:val="20"/>
        </w:rPr>
        <w:t xml:space="preserve"> </w:t>
      </w:r>
    </w:p>
    <w:p>
      <w:pPr>
        <w:pStyle w:val="TextBody"/>
        <w:spacing w:lineRule="atLeast" w:line="23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The following table sets forth information regarding the number of shares of common stock underlying outstanding plan awards held by each of our NEOs as of December 31, 2022:</w:t>
      </w:r>
      <w:r>
        <w:rPr>
          <w:rFonts w:ascii="Arial;Helvetica;sans-serif" w:hAnsi="Arial;Helvetica;sans-serif"/>
          <w:b w:val="false"/>
          <w:i w:val="false"/>
          <w:caps w:val="false"/>
          <w:smallCaps w:val="false"/>
          <w:color w:val="000000"/>
          <w:spacing w:val="4"/>
          <w:sz w:val="20"/>
        </w:rPr>
        <w:t xml:space="preserve"> </w:t>
      </w:r>
    </w:p>
    <w:tbl>
      <w:tblPr>
        <w:tblW w:w="10436" w:type="dxa"/>
        <w:jc w:val="left"/>
        <w:tblInd w:w="960" w:type="dxa"/>
        <w:tblCellMar>
          <w:top w:w="0" w:type="dxa"/>
          <w:left w:w="0" w:type="dxa"/>
          <w:bottom w:w="0" w:type="dxa"/>
          <w:right w:w="0" w:type="dxa"/>
        </w:tblCellMar>
      </w:tblPr>
      <w:tblGrid>
        <w:gridCol w:w="124"/>
        <w:gridCol w:w="109"/>
        <w:gridCol w:w="1066"/>
        <w:gridCol w:w="109"/>
        <w:gridCol w:w="109"/>
        <w:gridCol w:w="109"/>
        <w:gridCol w:w="109"/>
        <w:gridCol w:w="661"/>
        <w:gridCol w:w="109"/>
        <w:gridCol w:w="109"/>
        <w:gridCol w:w="109"/>
        <w:gridCol w:w="1796"/>
        <w:gridCol w:w="109"/>
        <w:gridCol w:w="109"/>
        <w:gridCol w:w="2180"/>
        <w:gridCol w:w="109"/>
        <w:gridCol w:w="109"/>
        <w:gridCol w:w="1262"/>
        <w:gridCol w:w="109"/>
        <w:gridCol w:w="109"/>
        <w:gridCol w:w="1558"/>
        <w:gridCol w:w="109"/>
        <w:gridCol w:w="154"/>
      </w:tblGrid>
      <w:tr>
        <w:trPr/>
        <w:tc>
          <w:tcPr>
            <w:tcW w:w="124" w:type="dxa"/>
            <w:vMerge w:val="restart"/>
            <w:tcBorders/>
            <w:shd w:fill="auto" w:val="clear"/>
            <w:vAlign w:val="center"/>
          </w:tcPr>
          <w:p>
            <w:pPr>
              <w:pStyle w:val="TableContents"/>
              <w:spacing w:before="0" w:after="283"/>
              <w:rPr/>
            </w:pPr>
            <w:r>
              <w:rPr/>
              <w:t>​</w:t>
            </w:r>
          </w:p>
        </w:tc>
        <w:tc>
          <w:tcPr>
            <w:tcW w:w="109" w:type="dxa"/>
            <w:vMerge w:val="restart"/>
            <w:tcBorders>
              <w:bottom w:val="single" w:sz="2" w:space="0" w:color="000000"/>
            </w:tcBorders>
            <w:shd w:fill="148CD9" w:val="clear"/>
            <w:tcMar>
              <w:bottom w:w="28" w:type="dxa"/>
            </w:tcMar>
            <w:vAlign w:val="center"/>
          </w:tcPr>
          <w:p>
            <w:pPr>
              <w:pStyle w:val="TableContents"/>
              <w:spacing w:before="0" w:after="283"/>
              <w:rPr/>
            </w:pPr>
            <w:r>
              <w:rPr/>
              <w:t>​</w:t>
            </w:r>
          </w:p>
        </w:tc>
        <w:tc>
          <w:tcPr>
            <w:tcW w:w="1066" w:type="dxa"/>
            <w:vMerge w:val="restart"/>
            <w:tcBorders>
              <w:bottom w:val="single" w:sz="2" w:space="0" w:color="000000"/>
            </w:tcBorders>
            <w:shd w:fill="148CD9" w:val="clear"/>
            <w:tcMar>
              <w:bottom w:w="28" w:type="dxa"/>
            </w:tcMar>
            <w:vAlign w:val="center"/>
          </w:tcPr>
          <w:p>
            <w:pPr>
              <w:pStyle w:val="TableContents"/>
              <w:spacing w:lineRule="atLeast" w:line="180" w:before="0" w:after="0"/>
              <w:jc w:val="left"/>
              <w:rPr>
                <w:spacing w:val="-2"/>
              </w:rPr>
            </w:pPr>
            <w:r>
              <w:rPr>
                <w:spacing w:val="-2"/>
              </w:rPr>
              <w:t xml:space="preserve">NAME </w:t>
            </w:r>
          </w:p>
        </w:tc>
        <w:tc>
          <w:tcPr>
            <w:tcW w:w="109" w:type="dxa"/>
            <w:vMerge w:val="restart"/>
            <w:tcBorders>
              <w:bottom w:val="single" w:sz="2" w:space="0" w:color="000000"/>
            </w:tcBorders>
            <w:shd w:fill="148CD9" w:val="clear"/>
            <w:tcMar>
              <w:bottom w:w="28" w:type="dxa"/>
            </w:tcMar>
            <w:vAlign w:val="center"/>
          </w:tcPr>
          <w:p>
            <w:pPr>
              <w:pStyle w:val="TableContents"/>
              <w:spacing w:before="0" w:after="283"/>
              <w:rPr/>
            </w:pPr>
            <w:r>
              <w:rPr/>
              <w:t>​</w:t>
            </w:r>
          </w:p>
        </w:tc>
        <w:tc>
          <w:tcPr>
            <w:tcW w:w="109" w:type="dxa"/>
            <w:vMerge w:val="restart"/>
            <w:tcBorders>
              <w:bottom w:val="single" w:sz="2" w:space="0" w:color="000000"/>
            </w:tcBorders>
            <w:shd w:fill="148CD9" w:val="clear"/>
            <w:tcMar>
              <w:bottom w:w="28" w:type="dxa"/>
            </w:tcMar>
            <w:vAlign w:val="center"/>
          </w:tcPr>
          <w:p>
            <w:pPr>
              <w:pStyle w:val="TableContents"/>
              <w:spacing w:before="0" w:after="283"/>
              <w:rPr/>
            </w:pPr>
            <w:r>
              <w:rPr/>
              <w:t>​</w:t>
            </w:r>
          </w:p>
        </w:tc>
        <w:tc>
          <w:tcPr>
            <w:tcW w:w="988" w:type="dxa"/>
            <w:gridSpan w:val="4"/>
            <w:vMerge w:val="restart"/>
            <w:tcBorders>
              <w:bottom w:val="single" w:sz="2" w:space="0" w:color="000000"/>
            </w:tcBorders>
            <w:shd w:fill="148CD9" w:val="clear"/>
            <w:tcMar>
              <w:bottom w:w="28" w:type="dxa"/>
            </w:tcMar>
            <w:vAlign w:val="center"/>
          </w:tcPr>
          <w:p>
            <w:pPr>
              <w:pStyle w:val="TableContents"/>
              <w:spacing w:lineRule="atLeast" w:line="180" w:before="0" w:after="0"/>
              <w:jc w:val="center"/>
              <w:rPr>
                <w:spacing w:val="-2"/>
              </w:rPr>
            </w:pPr>
            <w:r>
              <w:rPr>
                <w:spacing w:val="-2"/>
              </w:rPr>
              <w:t xml:space="preserve">GRANT DATE </w:t>
            </w:r>
          </w:p>
        </w:tc>
        <w:tc>
          <w:tcPr>
            <w:tcW w:w="109" w:type="dxa"/>
            <w:vMerge w:val="restart"/>
            <w:tcBorders>
              <w:bottom w:val="single" w:sz="2" w:space="0" w:color="000000"/>
            </w:tcBorders>
            <w:shd w:fill="148CD9" w:val="clear"/>
            <w:tcMar>
              <w:bottom w:w="28" w:type="dxa"/>
            </w:tcMar>
            <w:vAlign w:val="center"/>
          </w:tcPr>
          <w:p>
            <w:pPr>
              <w:pStyle w:val="TableContents"/>
              <w:spacing w:before="0" w:after="283"/>
              <w:rPr/>
            </w:pPr>
            <w:r>
              <w:rPr/>
              <w:t>​</w:t>
            </w:r>
          </w:p>
        </w:tc>
        <w:tc>
          <w:tcPr>
            <w:tcW w:w="109" w:type="dxa"/>
            <w:tcBorders>
              <w:bottom w:val="single" w:sz="2" w:space="0" w:color="000000"/>
            </w:tcBorders>
            <w:shd w:fill="148CD9" w:val="clear"/>
            <w:tcMar>
              <w:bottom w:w="28" w:type="dxa"/>
            </w:tcMar>
            <w:vAlign w:val="center"/>
          </w:tcPr>
          <w:p>
            <w:pPr>
              <w:pStyle w:val="TableContents"/>
              <w:spacing w:before="0" w:after="283"/>
              <w:rPr/>
            </w:pPr>
            <w:r>
              <w:rPr/>
              <w:t>​</w:t>
            </w:r>
          </w:p>
        </w:tc>
        <w:tc>
          <w:tcPr>
            <w:tcW w:w="7450" w:type="dxa"/>
            <w:gridSpan w:val="10"/>
            <w:tcBorders>
              <w:bottom w:val="single" w:sz="2" w:space="0" w:color="000000"/>
            </w:tcBorders>
            <w:shd w:fill="148CD9" w:val="clear"/>
            <w:tcMar>
              <w:bottom w:w="50" w:type="dxa"/>
            </w:tcMar>
            <w:vAlign w:val="center"/>
          </w:tcPr>
          <w:p>
            <w:pPr>
              <w:pStyle w:val="TableContents"/>
              <w:spacing w:before="0" w:after="0"/>
              <w:jc w:val="center"/>
              <w:rPr>
                <w:spacing w:val="-2"/>
              </w:rPr>
            </w:pPr>
            <w:r>
              <w:rPr>
                <w:spacing w:val="-2"/>
              </w:rPr>
              <w:t xml:space="preserve">OPTION AWARDS </w:t>
            </w:r>
          </w:p>
        </w:tc>
        <w:tc>
          <w:tcPr>
            <w:tcW w:w="109" w:type="dxa"/>
            <w:tcBorders>
              <w:bottom w:val="single" w:sz="2" w:space="0" w:color="000000"/>
            </w:tcBorders>
            <w:shd w:fill="148CD9" w:val="clear"/>
            <w:tcMar>
              <w:bottom w:w="28" w:type="dxa"/>
            </w:tcMar>
            <w:vAlign w:val="center"/>
          </w:tcPr>
          <w:p>
            <w:pPr>
              <w:pStyle w:val="TableContents"/>
              <w:spacing w:before="0" w:after="283"/>
              <w:rPr/>
            </w:pPr>
            <w:r>
              <w:rPr/>
              <w:t>​</w:t>
            </w:r>
          </w:p>
        </w:tc>
        <w:tc>
          <w:tcPr>
            <w:tcW w:w="154" w:type="dxa"/>
            <w:tcBorders/>
            <w:shd w:fill="auto" w:val="clear"/>
            <w:vAlign w:val="center"/>
          </w:tcPr>
          <w:p>
            <w:pPr>
              <w:pStyle w:val="TableContents"/>
              <w:spacing w:before="0" w:after="283"/>
              <w:rPr/>
            </w:pPr>
            <w:r>
              <w:rPr/>
              <w:t>​</w:t>
            </w:r>
          </w:p>
        </w:tc>
      </w:tr>
      <w:tr>
        <w:trPr/>
        <w:tc>
          <w:tcPr>
            <w:tcW w:w="124" w:type="dxa"/>
            <w:vMerge w:val="continue"/>
            <w:tcBorders/>
            <w:shd w:fill="auto" w:val="clear"/>
            <w:vAlign w:val="center"/>
          </w:tcPr>
          <w:p>
            <w:pPr>
              <w:pStyle w:val="Normal"/>
              <w:rPr/>
            </w:pPr>
            <w:r>
              <w:rPr/>
            </w:r>
          </w:p>
        </w:tc>
        <w:tc>
          <w:tcPr>
            <w:tcW w:w="109" w:type="dxa"/>
            <w:vMerge w:val="continue"/>
            <w:tcBorders>
              <w:bottom w:val="single" w:sz="2" w:space="0" w:color="000000"/>
            </w:tcBorders>
            <w:shd w:fill="148CD9" w:val="clear"/>
            <w:tcMar>
              <w:bottom w:w="28" w:type="dxa"/>
            </w:tcMar>
            <w:vAlign w:val="center"/>
          </w:tcPr>
          <w:p>
            <w:pPr>
              <w:pStyle w:val="Normal"/>
              <w:rPr/>
            </w:pPr>
            <w:r>
              <w:rPr/>
            </w:r>
          </w:p>
        </w:tc>
        <w:tc>
          <w:tcPr>
            <w:tcW w:w="1066" w:type="dxa"/>
            <w:vMerge w:val="continue"/>
            <w:tcBorders>
              <w:bottom w:val="single" w:sz="2" w:space="0" w:color="000000"/>
            </w:tcBorders>
            <w:shd w:fill="148CD9" w:val="clear"/>
            <w:tcMar>
              <w:bottom w:w="28" w:type="dxa"/>
            </w:tcMar>
            <w:vAlign w:val="center"/>
          </w:tcPr>
          <w:p>
            <w:pPr>
              <w:pStyle w:val="Normal"/>
              <w:rPr/>
            </w:pPr>
            <w:r>
              <w:rPr/>
            </w:r>
          </w:p>
        </w:tc>
        <w:tc>
          <w:tcPr>
            <w:tcW w:w="109" w:type="dxa"/>
            <w:vMerge w:val="continue"/>
            <w:tcBorders>
              <w:bottom w:val="single" w:sz="2" w:space="0" w:color="000000"/>
            </w:tcBorders>
            <w:shd w:fill="148CD9" w:val="clear"/>
            <w:tcMar>
              <w:bottom w:w="28" w:type="dxa"/>
            </w:tcMar>
            <w:vAlign w:val="center"/>
          </w:tcPr>
          <w:p>
            <w:pPr>
              <w:pStyle w:val="Normal"/>
              <w:rPr/>
            </w:pPr>
            <w:r>
              <w:rPr/>
            </w:r>
          </w:p>
        </w:tc>
        <w:tc>
          <w:tcPr>
            <w:tcW w:w="109" w:type="dxa"/>
            <w:vMerge w:val="continue"/>
            <w:tcBorders>
              <w:bottom w:val="single" w:sz="2" w:space="0" w:color="000000"/>
            </w:tcBorders>
            <w:shd w:fill="148CD9" w:val="clear"/>
            <w:tcMar>
              <w:bottom w:w="28" w:type="dxa"/>
            </w:tcMar>
            <w:vAlign w:val="center"/>
          </w:tcPr>
          <w:p>
            <w:pPr>
              <w:pStyle w:val="Normal"/>
              <w:rPr/>
            </w:pPr>
            <w:r>
              <w:rPr/>
            </w:r>
          </w:p>
        </w:tc>
        <w:tc>
          <w:tcPr>
            <w:tcW w:w="988" w:type="dxa"/>
            <w:gridSpan w:val="4"/>
            <w:vMerge w:val="continue"/>
            <w:tcBorders>
              <w:bottom w:val="single" w:sz="2" w:space="0" w:color="000000"/>
            </w:tcBorders>
            <w:shd w:fill="148CD9" w:val="clear"/>
            <w:tcMar>
              <w:bottom w:w="28" w:type="dxa"/>
            </w:tcMar>
            <w:vAlign w:val="center"/>
          </w:tcPr>
          <w:p>
            <w:pPr>
              <w:pStyle w:val="Normal"/>
              <w:rPr/>
            </w:pPr>
            <w:r>
              <w:rPr/>
            </w:r>
          </w:p>
        </w:tc>
        <w:tc>
          <w:tcPr>
            <w:tcW w:w="109" w:type="dxa"/>
            <w:vMerge w:val="continue"/>
            <w:tcBorders>
              <w:bottom w:val="single" w:sz="2" w:space="0" w:color="000000"/>
            </w:tcBorders>
            <w:shd w:fill="148CD9" w:val="clear"/>
            <w:tcMar>
              <w:bottom w:w="28" w:type="dxa"/>
            </w:tcMar>
            <w:vAlign w:val="center"/>
          </w:tcPr>
          <w:p>
            <w:pPr>
              <w:pStyle w:val="Normal"/>
              <w:rPr/>
            </w:pPr>
            <w:r>
              <w:rPr/>
            </w:r>
          </w:p>
        </w:tc>
        <w:tc>
          <w:tcPr>
            <w:tcW w:w="109" w:type="dxa"/>
            <w:tcBorders>
              <w:bottom w:val="single" w:sz="2" w:space="0" w:color="000000"/>
            </w:tcBorders>
            <w:shd w:fill="148CD9" w:val="clear"/>
            <w:tcMar>
              <w:bottom w:w="28" w:type="dxa"/>
            </w:tcMar>
            <w:vAlign w:val="center"/>
          </w:tcPr>
          <w:p>
            <w:pPr>
              <w:pStyle w:val="TableContents"/>
              <w:spacing w:before="0" w:after="283"/>
              <w:rPr/>
            </w:pPr>
            <w:r>
              <w:rPr/>
              <w:t>​</w:t>
            </w:r>
          </w:p>
        </w:tc>
        <w:tc>
          <w:tcPr>
            <w:tcW w:w="1796" w:type="dxa"/>
            <w:tcBorders>
              <w:bottom w:val="single" w:sz="2" w:space="0" w:color="000000"/>
            </w:tcBorders>
            <w:shd w:fill="148CD9" w:val="clear"/>
            <w:tcMar>
              <w:bottom w:w="28" w:type="dxa"/>
            </w:tcMar>
            <w:vAlign w:val="center"/>
          </w:tcPr>
          <w:p>
            <w:pPr>
              <w:pStyle w:val="TableContents"/>
              <w:spacing w:before="0" w:after="0"/>
              <w:jc w:val="center"/>
              <w:rPr/>
            </w:pPr>
            <w:r>
              <w:rPr>
                <w:spacing w:val="-2"/>
              </w:rPr>
              <w:t xml:space="preserve">NUMBER OF </w:t>
            </w:r>
            <w:r>
              <w:rPr/>
              <w:br/>
            </w:r>
            <w:r>
              <w:rPr>
                <w:spacing w:val="-2"/>
              </w:rPr>
              <w:t>SECURITIES</w:t>
            </w:r>
            <w:r>
              <w:rPr/>
              <w:t xml:space="preserve"> </w:t>
              <w:br/>
            </w:r>
            <w:r>
              <w:rPr>
                <w:spacing w:val="-2"/>
              </w:rPr>
              <w:t xml:space="preserve">UNDERLYING </w:t>
            </w:r>
            <w:r>
              <w:rPr/>
              <w:br/>
            </w:r>
            <w:r>
              <w:rPr>
                <w:spacing w:val="-2"/>
              </w:rPr>
              <w:t>UNEXERCISED</w:t>
            </w:r>
            <w:r>
              <w:rPr/>
              <w:t xml:space="preserve"> </w:t>
              <w:br/>
            </w:r>
            <w:r>
              <w:rPr>
                <w:spacing w:val="-2"/>
              </w:rPr>
              <w:t xml:space="preserve">OPTIONS (#) </w:t>
            </w:r>
            <w:r>
              <w:rPr/>
              <w:br/>
            </w:r>
            <w:r>
              <w:rPr>
                <w:spacing w:val="-2"/>
              </w:rPr>
              <w:t xml:space="preserve">EXERCISABLE </w:t>
            </w:r>
          </w:p>
        </w:tc>
        <w:tc>
          <w:tcPr>
            <w:tcW w:w="109" w:type="dxa"/>
            <w:tcBorders>
              <w:bottom w:val="single" w:sz="2" w:space="0" w:color="000000"/>
            </w:tcBorders>
            <w:shd w:fill="148CD9" w:val="clear"/>
            <w:tcMar>
              <w:bottom w:w="28" w:type="dxa"/>
            </w:tcMar>
            <w:vAlign w:val="center"/>
          </w:tcPr>
          <w:p>
            <w:pPr>
              <w:pStyle w:val="TableContents"/>
              <w:spacing w:before="0" w:after="283"/>
              <w:rPr/>
            </w:pPr>
            <w:r>
              <w:rPr/>
              <w:t>​</w:t>
            </w:r>
          </w:p>
        </w:tc>
        <w:tc>
          <w:tcPr>
            <w:tcW w:w="109" w:type="dxa"/>
            <w:tcBorders>
              <w:bottom w:val="single" w:sz="2" w:space="0" w:color="000000"/>
            </w:tcBorders>
            <w:shd w:fill="148CD9" w:val="clear"/>
            <w:tcMar>
              <w:bottom w:w="28" w:type="dxa"/>
            </w:tcMar>
            <w:vAlign w:val="center"/>
          </w:tcPr>
          <w:p>
            <w:pPr>
              <w:pStyle w:val="TableContents"/>
              <w:spacing w:before="0" w:after="283"/>
              <w:rPr/>
            </w:pPr>
            <w:r>
              <w:rPr/>
              <w:t>​</w:t>
            </w:r>
          </w:p>
        </w:tc>
        <w:tc>
          <w:tcPr>
            <w:tcW w:w="2180" w:type="dxa"/>
            <w:tcBorders>
              <w:bottom w:val="single" w:sz="2" w:space="0" w:color="000000"/>
            </w:tcBorders>
            <w:shd w:fill="148CD9" w:val="clear"/>
            <w:tcMar>
              <w:bottom w:w="28" w:type="dxa"/>
            </w:tcMar>
            <w:vAlign w:val="center"/>
          </w:tcPr>
          <w:p>
            <w:pPr>
              <w:pStyle w:val="TableContents"/>
              <w:spacing w:before="0" w:after="0"/>
              <w:jc w:val="center"/>
              <w:rPr/>
            </w:pPr>
            <w:r>
              <w:rPr>
                <w:spacing w:val="-2"/>
              </w:rPr>
              <w:t xml:space="preserve">NUMBER OF </w:t>
            </w:r>
            <w:r>
              <w:rPr/>
              <w:br/>
            </w:r>
            <w:r>
              <w:rPr>
                <w:spacing w:val="-2"/>
              </w:rPr>
              <w:t>SECURITIES</w:t>
            </w:r>
            <w:r>
              <w:rPr/>
              <w:t xml:space="preserve"> </w:t>
              <w:br/>
            </w:r>
            <w:r>
              <w:rPr>
                <w:spacing w:val="-2"/>
              </w:rPr>
              <w:t xml:space="preserve">UNDERLYING </w:t>
            </w:r>
            <w:r>
              <w:rPr/>
              <w:br/>
            </w:r>
            <w:r>
              <w:rPr>
                <w:spacing w:val="-2"/>
              </w:rPr>
              <w:t>UNEXERCISED</w:t>
            </w:r>
            <w:r>
              <w:rPr/>
              <w:t xml:space="preserve"> </w:t>
              <w:br/>
            </w:r>
            <w:r>
              <w:rPr>
                <w:spacing w:val="-2"/>
              </w:rPr>
              <w:t xml:space="preserve">OPTIONS (#) </w:t>
            </w:r>
            <w:r>
              <w:rPr/>
              <w:br/>
            </w:r>
            <w:r>
              <w:rPr>
                <w:spacing w:val="-2"/>
              </w:rPr>
              <w:t xml:space="preserve">UN-EXERCISABLE </w:t>
            </w:r>
          </w:p>
        </w:tc>
        <w:tc>
          <w:tcPr>
            <w:tcW w:w="109" w:type="dxa"/>
            <w:tcBorders>
              <w:bottom w:val="single" w:sz="2" w:space="0" w:color="000000"/>
            </w:tcBorders>
            <w:shd w:fill="148CD9" w:val="clear"/>
            <w:tcMar>
              <w:bottom w:w="28" w:type="dxa"/>
            </w:tcMar>
            <w:vAlign w:val="center"/>
          </w:tcPr>
          <w:p>
            <w:pPr>
              <w:pStyle w:val="TableContents"/>
              <w:spacing w:before="0" w:after="283"/>
              <w:rPr/>
            </w:pPr>
            <w:r>
              <w:rPr/>
              <w:t>​</w:t>
            </w:r>
          </w:p>
        </w:tc>
        <w:tc>
          <w:tcPr>
            <w:tcW w:w="109" w:type="dxa"/>
            <w:tcBorders>
              <w:bottom w:val="single" w:sz="2" w:space="0" w:color="000000"/>
            </w:tcBorders>
            <w:shd w:fill="148CD9" w:val="clear"/>
            <w:tcMar>
              <w:bottom w:w="28" w:type="dxa"/>
            </w:tcMar>
            <w:vAlign w:val="center"/>
          </w:tcPr>
          <w:p>
            <w:pPr>
              <w:pStyle w:val="TableContents"/>
              <w:spacing w:before="0" w:after="283"/>
              <w:rPr/>
            </w:pPr>
            <w:r>
              <w:rPr/>
              <w:t>​</w:t>
            </w:r>
          </w:p>
        </w:tc>
        <w:tc>
          <w:tcPr>
            <w:tcW w:w="1262" w:type="dxa"/>
            <w:tcBorders>
              <w:bottom w:val="single" w:sz="2" w:space="0" w:color="000000"/>
            </w:tcBorders>
            <w:shd w:fill="148CD9" w:val="clear"/>
            <w:tcMar>
              <w:bottom w:w="28" w:type="dxa"/>
            </w:tcMar>
            <w:vAlign w:val="center"/>
          </w:tcPr>
          <w:p>
            <w:pPr>
              <w:pStyle w:val="TableContents"/>
              <w:spacing w:before="0" w:after="0"/>
              <w:jc w:val="center"/>
              <w:rPr/>
            </w:pPr>
            <w:r>
              <w:rPr>
                <w:spacing w:val="-2"/>
              </w:rPr>
              <w:t xml:space="preserve">OPTION </w:t>
            </w:r>
            <w:r>
              <w:rPr/>
              <w:br/>
            </w:r>
            <w:r>
              <w:rPr>
                <w:spacing w:val="-2"/>
              </w:rPr>
              <w:t>EXERCISE</w:t>
            </w:r>
            <w:r>
              <w:rPr/>
              <w:t xml:space="preserve"> </w:t>
              <w:br/>
            </w:r>
            <w:r>
              <w:rPr>
                <w:spacing w:val="-2"/>
              </w:rPr>
              <w:t xml:space="preserve">PRICE ($) </w:t>
            </w:r>
          </w:p>
        </w:tc>
        <w:tc>
          <w:tcPr>
            <w:tcW w:w="109" w:type="dxa"/>
            <w:tcBorders>
              <w:bottom w:val="single" w:sz="2" w:space="0" w:color="000000"/>
            </w:tcBorders>
            <w:shd w:fill="148CD9" w:val="clear"/>
            <w:tcMar>
              <w:bottom w:w="28" w:type="dxa"/>
            </w:tcMar>
            <w:vAlign w:val="center"/>
          </w:tcPr>
          <w:p>
            <w:pPr>
              <w:pStyle w:val="TableContents"/>
              <w:spacing w:before="0" w:after="283"/>
              <w:rPr/>
            </w:pPr>
            <w:r>
              <w:rPr/>
              <w:t>​</w:t>
            </w:r>
          </w:p>
        </w:tc>
        <w:tc>
          <w:tcPr>
            <w:tcW w:w="109" w:type="dxa"/>
            <w:tcBorders>
              <w:bottom w:val="single" w:sz="2" w:space="0" w:color="000000"/>
            </w:tcBorders>
            <w:shd w:fill="148CD9" w:val="clear"/>
            <w:tcMar>
              <w:bottom w:w="28" w:type="dxa"/>
            </w:tcMar>
            <w:vAlign w:val="center"/>
          </w:tcPr>
          <w:p>
            <w:pPr>
              <w:pStyle w:val="TableContents"/>
              <w:spacing w:before="0" w:after="283"/>
              <w:rPr/>
            </w:pPr>
            <w:r>
              <w:rPr/>
              <w:t>​</w:t>
            </w:r>
          </w:p>
        </w:tc>
        <w:tc>
          <w:tcPr>
            <w:tcW w:w="1558" w:type="dxa"/>
            <w:tcBorders>
              <w:bottom w:val="single" w:sz="2" w:space="0" w:color="000000"/>
            </w:tcBorders>
            <w:shd w:fill="148CD9" w:val="clear"/>
            <w:tcMar>
              <w:bottom w:w="28" w:type="dxa"/>
            </w:tcMar>
            <w:vAlign w:val="center"/>
          </w:tcPr>
          <w:p>
            <w:pPr>
              <w:pStyle w:val="TableContents"/>
              <w:spacing w:before="0" w:after="0"/>
              <w:jc w:val="center"/>
              <w:rPr/>
            </w:pPr>
            <w:r>
              <w:rPr>
                <w:spacing w:val="-2"/>
              </w:rPr>
              <w:t xml:space="preserve">OPTION </w:t>
            </w:r>
            <w:r>
              <w:rPr/>
              <w:br/>
            </w:r>
            <w:r>
              <w:rPr>
                <w:spacing w:val="-2"/>
              </w:rPr>
              <w:t>EXPIRATION</w:t>
            </w:r>
            <w:r>
              <w:rPr/>
              <w:t xml:space="preserve"> </w:t>
              <w:br/>
            </w:r>
            <w:r>
              <w:rPr>
                <w:spacing w:val="-2"/>
              </w:rPr>
              <w:t>DATE</w:t>
            </w:r>
            <w:r>
              <w:rPr/>
              <w:t xml:space="preserve"> </w:t>
            </w:r>
          </w:p>
        </w:tc>
        <w:tc>
          <w:tcPr>
            <w:tcW w:w="109" w:type="dxa"/>
            <w:tcBorders>
              <w:bottom w:val="single" w:sz="2" w:space="0" w:color="000000"/>
            </w:tcBorders>
            <w:shd w:fill="148CD9" w:val="clear"/>
            <w:tcMar>
              <w:bottom w:w="28" w:type="dxa"/>
            </w:tcMar>
            <w:vAlign w:val="center"/>
          </w:tcPr>
          <w:p>
            <w:pPr>
              <w:pStyle w:val="TableContents"/>
              <w:spacing w:before="0" w:after="283"/>
              <w:rPr/>
            </w:pPr>
            <w:r>
              <w:rPr/>
              <w:t>​</w:t>
            </w:r>
          </w:p>
        </w:tc>
        <w:tc>
          <w:tcPr>
            <w:tcW w:w="154" w:type="dxa"/>
            <w:tcBorders/>
            <w:shd w:fill="auto" w:val="clear"/>
            <w:vAlign w:val="center"/>
          </w:tcPr>
          <w:p>
            <w:pPr>
              <w:pStyle w:val="TableContents"/>
              <w:spacing w:before="0" w:after="283"/>
              <w:rPr/>
            </w:pPr>
            <w:r>
              <w:rPr/>
              <w:t>​</w:t>
            </w:r>
          </w:p>
        </w:tc>
      </w:tr>
      <w:tr>
        <w:trPr/>
        <w:tc>
          <w:tcPr>
            <w:tcW w:w="124" w:type="dxa"/>
            <w:vMerge w:val="restart"/>
            <w:tcBorders/>
            <w:shd w:fill="auto" w:val="clear"/>
            <w:vAlign w:val="center"/>
          </w:tcPr>
          <w:p>
            <w:pPr>
              <w:pStyle w:val="TableContents"/>
              <w:spacing w:before="0" w:after="283"/>
              <w:rPr/>
            </w:pPr>
            <w:r>
              <w:rPr/>
              <w:t>​</w:t>
            </w:r>
          </w:p>
        </w:tc>
        <w:tc>
          <w:tcPr>
            <w:tcW w:w="109" w:type="dxa"/>
            <w:vMerge w:val="restart"/>
            <w:tcBorders>
              <w:bottom w:val="single" w:sz="2" w:space="0" w:color="000000"/>
            </w:tcBorders>
            <w:shd w:fill="auto" w:val="clear"/>
            <w:tcMar>
              <w:bottom w:w="28" w:type="dxa"/>
            </w:tcMar>
            <w:vAlign w:val="center"/>
          </w:tcPr>
          <w:p>
            <w:pPr>
              <w:pStyle w:val="TableContents"/>
              <w:spacing w:before="0" w:after="283"/>
              <w:rPr/>
            </w:pPr>
            <w:r>
              <w:rPr/>
              <w:t>​</w:t>
            </w:r>
          </w:p>
        </w:tc>
        <w:tc>
          <w:tcPr>
            <w:tcW w:w="1066" w:type="dxa"/>
            <w:vMerge w:val="restart"/>
            <w:tcBorders>
              <w:bottom w:val="single" w:sz="2" w:space="0" w:color="000000"/>
            </w:tcBorders>
            <w:shd w:fill="auto" w:val="clear"/>
            <w:tcMar>
              <w:bottom w:w="56" w:type="dxa"/>
            </w:tcMar>
            <w:vAlign w:val="center"/>
          </w:tcPr>
          <w:p>
            <w:pPr>
              <w:pStyle w:val="TableContents"/>
              <w:spacing w:lineRule="atLeast" w:line="192" w:before="0" w:after="0"/>
              <w:jc w:val="left"/>
              <w:rPr>
                <w:b/>
              </w:rPr>
            </w:pPr>
            <w:r>
              <w:rPr>
                <w:b/>
                <w:spacing w:val="0"/>
              </w:rPr>
              <w:t>Osvaldo Flores, Ph.D.</w:t>
            </w:r>
            <w:r>
              <w:rPr>
                <w:b/>
              </w:rPr>
              <w:t xml:space="preserve"> </w:t>
            </w:r>
          </w:p>
        </w:tc>
        <w:tc>
          <w:tcPr>
            <w:tcW w:w="109" w:type="dxa"/>
            <w:vMerge w:val="restart"/>
            <w:tcBorders>
              <w:bottom w:val="single" w:sz="2" w:space="0" w:color="000000"/>
            </w:tcBorders>
            <w:shd w:fill="auto" w:val="clear"/>
            <w:tcMar>
              <w:bottom w:w="28" w:type="dxa"/>
            </w:tcM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lineRule="atLeast" w:line="192" w:before="0" w:after="283"/>
              <w:jc w:val="right"/>
              <w:rPr/>
            </w:pPr>
            <w:r>
              <w:rPr/>
              <w:t>​</w:t>
            </w:r>
          </w:p>
        </w:tc>
        <w:tc>
          <w:tcPr>
            <w:tcW w:w="661" w:type="dxa"/>
            <w:tcBorders/>
            <w:shd w:fill="auto" w:val="clear"/>
            <w:vAlign w:val="center"/>
          </w:tcPr>
          <w:p>
            <w:pPr>
              <w:pStyle w:val="TableContents"/>
              <w:spacing w:lineRule="atLeast" w:line="192" w:before="0" w:after="283"/>
              <w:jc w:val="right"/>
              <w:rPr/>
            </w:pPr>
            <w:r>
              <w:rPr/>
              <w:t>10/1/2020(2)</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796" w:type="dxa"/>
            <w:tcBorders/>
            <w:shd w:fill="auto" w:val="clear"/>
            <w:vAlign w:val="center"/>
          </w:tcPr>
          <w:p>
            <w:pPr>
              <w:pStyle w:val="TableContents"/>
              <w:spacing w:lineRule="atLeast" w:line="192" w:before="0" w:after="0"/>
              <w:jc w:val="center"/>
              <w:rPr>
                <w:spacing w:val="0"/>
              </w:rPr>
            </w:pPr>
            <w:r>
              <w:rPr>
                <w:spacing w:val="0"/>
              </w:rPr>
              <w:t xml:space="preserve">213,624 </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2180" w:type="dxa"/>
            <w:tcBorders/>
            <w:shd w:fill="auto" w:val="clear"/>
            <w:vAlign w:val="center"/>
          </w:tcPr>
          <w:p>
            <w:pPr>
              <w:pStyle w:val="TableContents"/>
              <w:spacing w:lineRule="atLeast" w:line="192" w:before="0" w:after="0"/>
              <w:jc w:val="center"/>
              <w:rPr/>
            </w:pPr>
            <w:r>
              <w:rPr>
                <w:spacing w:val="0"/>
              </w:rPr>
              <w:t>—</w:t>
            </w:r>
            <w:r>
              <w:rPr/>
              <w:t xml:space="preserve"> </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262" w:type="dxa"/>
            <w:tcBorders/>
            <w:shd w:fill="auto" w:val="clear"/>
            <w:vAlign w:val="center"/>
          </w:tcPr>
          <w:p>
            <w:pPr>
              <w:pStyle w:val="TableContents"/>
              <w:spacing w:lineRule="atLeast" w:line="192" w:before="0" w:after="0"/>
              <w:jc w:val="center"/>
              <w:rPr>
                <w:spacing w:val="0"/>
              </w:rPr>
            </w:pPr>
            <w:r>
              <w:rPr>
                <w:spacing w:val="0"/>
              </w:rPr>
              <w:t xml:space="preserve">$1.74 </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558" w:type="dxa"/>
            <w:tcBorders/>
            <w:shd w:fill="auto" w:val="clear"/>
            <w:vAlign w:val="center"/>
          </w:tcPr>
          <w:p>
            <w:pPr>
              <w:pStyle w:val="TableContents"/>
              <w:spacing w:lineRule="atLeast" w:line="192" w:before="0" w:after="0"/>
              <w:jc w:val="center"/>
              <w:rPr>
                <w:spacing w:val="0"/>
              </w:rPr>
            </w:pPr>
            <w:r>
              <w:rPr>
                <w:spacing w:val="0"/>
              </w:rPr>
              <w:t xml:space="preserve">9/30/2030 </w:t>
            </w:r>
          </w:p>
        </w:tc>
        <w:tc>
          <w:tcPr>
            <w:tcW w:w="109" w:type="dxa"/>
            <w:tcBorders/>
            <w:shd w:fill="auto" w:val="clear"/>
            <w:vAlign w:val="center"/>
          </w:tcPr>
          <w:p>
            <w:pPr>
              <w:pStyle w:val="TableContents"/>
              <w:spacing w:before="0" w:after="283"/>
              <w:rPr/>
            </w:pPr>
            <w:r>
              <w:rPr/>
              <w:t>​</w:t>
            </w:r>
          </w:p>
        </w:tc>
        <w:tc>
          <w:tcPr>
            <w:tcW w:w="154" w:type="dxa"/>
            <w:tcBorders/>
            <w:shd w:fill="auto" w:val="clear"/>
            <w:vAlign w:val="center"/>
          </w:tcPr>
          <w:p>
            <w:pPr>
              <w:pStyle w:val="TableContents"/>
              <w:spacing w:before="0" w:after="283"/>
              <w:rPr/>
            </w:pPr>
            <w:r>
              <w:rPr/>
              <w:t>​</w:t>
            </w:r>
          </w:p>
        </w:tc>
      </w:tr>
      <w:tr>
        <w:trPr/>
        <w:tc>
          <w:tcPr>
            <w:tcW w:w="124" w:type="dxa"/>
            <w:vMerge w:val="continue"/>
            <w:tcBorders/>
            <w:shd w:fill="auto" w:val="clear"/>
            <w:vAlign w:val="center"/>
          </w:tcPr>
          <w:p>
            <w:pPr>
              <w:pStyle w:val="Normal"/>
              <w:rPr/>
            </w:pPr>
            <w:r>
              <w:rPr/>
            </w:r>
          </w:p>
        </w:tc>
        <w:tc>
          <w:tcPr>
            <w:tcW w:w="109" w:type="dxa"/>
            <w:vMerge w:val="continue"/>
            <w:tcBorders>
              <w:bottom w:val="single" w:sz="2" w:space="0" w:color="000000"/>
            </w:tcBorders>
            <w:shd w:fill="auto" w:val="clear"/>
            <w:tcMar>
              <w:bottom w:w="28" w:type="dxa"/>
            </w:tcMar>
            <w:vAlign w:val="center"/>
          </w:tcPr>
          <w:p>
            <w:pPr>
              <w:pStyle w:val="Normal"/>
              <w:rPr/>
            </w:pPr>
            <w:r>
              <w:rPr/>
            </w:r>
          </w:p>
        </w:tc>
        <w:tc>
          <w:tcPr>
            <w:tcW w:w="1066" w:type="dxa"/>
            <w:vMerge w:val="continue"/>
            <w:tcBorders>
              <w:bottom w:val="single" w:sz="2" w:space="0" w:color="000000"/>
            </w:tcBorders>
            <w:shd w:fill="auto" w:val="clear"/>
            <w:tcMar>
              <w:bottom w:w="56" w:type="dxa"/>
            </w:tcMar>
            <w:vAlign w:val="center"/>
          </w:tcPr>
          <w:p>
            <w:pPr>
              <w:pStyle w:val="Normal"/>
              <w:rPr/>
            </w:pPr>
            <w:r>
              <w:rPr/>
            </w:r>
          </w:p>
        </w:tc>
        <w:tc>
          <w:tcPr>
            <w:tcW w:w="109" w:type="dxa"/>
            <w:vMerge w:val="continue"/>
            <w:tcBorders>
              <w:bottom w:val="single" w:sz="2" w:space="0" w:color="000000"/>
            </w:tcBorders>
            <w:shd w:fill="auto" w:val="clear"/>
            <w:tcMar>
              <w:bottom w:w="28" w:type="dxa"/>
            </w:tcMar>
            <w:vAlign w:val="center"/>
          </w:tcPr>
          <w:p>
            <w:pPr>
              <w:pStyle w:val="Normal"/>
              <w:rPr/>
            </w:pPr>
            <w:r>
              <w:rPr/>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661" w:type="dxa"/>
            <w:tcBorders/>
            <w:shd w:fill="auto" w:val="clear"/>
            <w:vAlign w:val="center"/>
          </w:tcPr>
          <w:p>
            <w:pPr>
              <w:pStyle w:val="TableContents"/>
              <w:spacing w:before="0" w:after="283"/>
              <w:jc w:val="right"/>
              <w:rPr/>
            </w:pPr>
            <w:r>
              <w:rPr/>
              <w:t>4/16/2021(3)</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796" w:type="dxa"/>
            <w:tcBorders/>
            <w:shd w:fill="auto" w:val="clear"/>
            <w:vAlign w:val="center"/>
          </w:tcPr>
          <w:p>
            <w:pPr>
              <w:pStyle w:val="TableContents"/>
              <w:spacing w:before="0" w:after="0"/>
              <w:jc w:val="center"/>
              <w:rPr>
                <w:spacing w:val="0"/>
              </w:rPr>
            </w:pPr>
            <w:r>
              <w:rPr>
                <w:spacing w:val="0"/>
              </w:rPr>
              <w:t xml:space="preserve">291,531 </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2180" w:type="dxa"/>
            <w:tcBorders/>
            <w:shd w:fill="auto" w:val="clear"/>
            <w:vAlign w:val="center"/>
          </w:tcPr>
          <w:p>
            <w:pPr>
              <w:pStyle w:val="TableContents"/>
              <w:spacing w:before="0" w:after="0"/>
              <w:jc w:val="center"/>
              <w:rPr>
                <w:spacing w:val="0"/>
              </w:rPr>
            </w:pPr>
            <w:r>
              <w:rPr>
                <w:spacing w:val="0"/>
              </w:rPr>
              <w:t xml:space="preserve">485,886 </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262" w:type="dxa"/>
            <w:tcBorders/>
            <w:shd w:fill="auto" w:val="clear"/>
            <w:vAlign w:val="center"/>
          </w:tcPr>
          <w:p>
            <w:pPr>
              <w:pStyle w:val="TableContents"/>
              <w:spacing w:before="0" w:after="0"/>
              <w:jc w:val="center"/>
              <w:rPr>
                <w:spacing w:val="0"/>
              </w:rPr>
            </w:pPr>
            <w:r>
              <w:rPr>
                <w:spacing w:val="0"/>
              </w:rPr>
              <w:t xml:space="preserve">$7.27 </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558" w:type="dxa"/>
            <w:tcBorders/>
            <w:shd w:fill="auto" w:val="clear"/>
            <w:vAlign w:val="center"/>
          </w:tcPr>
          <w:p>
            <w:pPr>
              <w:pStyle w:val="TableContents"/>
              <w:spacing w:before="0" w:after="0"/>
              <w:jc w:val="center"/>
              <w:rPr>
                <w:spacing w:val="0"/>
              </w:rPr>
            </w:pPr>
            <w:r>
              <w:rPr>
                <w:spacing w:val="0"/>
              </w:rPr>
              <w:t xml:space="preserve">4/15/2031 </w:t>
            </w:r>
          </w:p>
        </w:tc>
        <w:tc>
          <w:tcPr>
            <w:tcW w:w="109" w:type="dxa"/>
            <w:tcBorders/>
            <w:shd w:fill="auto" w:val="clear"/>
            <w:vAlign w:val="center"/>
          </w:tcPr>
          <w:p>
            <w:pPr>
              <w:pStyle w:val="TableContents"/>
              <w:spacing w:before="0" w:after="283"/>
              <w:rPr/>
            </w:pPr>
            <w:r>
              <w:rPr/>
              <w:t>​</w:t>
            </w:r>
          </w:p>
        </w:tc>
        <w:tc>
          <w:tcPr>
            <w:tcW w:w="154" w:type="dxa"/>
            <w:tcBorders/>
            <w:shd w:fill="auto" w:val="clear"/>
            <w:vAlign w:val="center"/>
          </w:tcPr>
          <w:p>
            <w:pPr>
              <w:pStyle w:val="TableContents"/>
              <w:spacing w:before="0" w:after="283"/>
              <w:rPr/>
            </w:pPr>
            <w:r>
              <w:rPr/>
              <w:t>​</w:t>
            </w:r>
          </w:p>
        </w:tc>
      </w:tr>
      <w:tr>
        <w:trPr/>
        <w:tc>
          <w:tcPr>
            <w:tcW w:w="124" w:type="dxa"/>
            <w:vMerge w:val="continue"/>
            <w:tcBorders/>
            <w:shd w:fill="auto" w:val="clear"/>
            <w:vAlign w:val="center"/>
          </w:tcPr>
          <w:p>
            <w:pPr>
              <w:pStyle w:val="Normal"/>
              <w:rPr/>
            </w:pPr>
            <w:r>
              <w:rPr/>
            </w:r>
          </w:p>
        </w:tc>
        <w:tc>
          <w:tcPr>
            <w:tcW w:w="109" w:type="dxa"/>
            <w:vMerge w:val="continue"/>
            <w:tcBorders>
              <w:bottom w:val="single" w:sz="2" w:space="0" w:color="000000"/>
            </w:tcBorders>
            <w:shd w:fill="auto" w:val="clear"/>
            <w:tcMar>
              <w:bottom w:w="28" w:type="dxa"/>
            </w:tcMar>
            <w:vAlign w:val="center"/>
          </w:tcPr>
          <w:p>
            <w:pPr>
              <w:pStyle w:val="Normal"/>
              <w:rPr/>
            </w:pPr>
            <w:r>
              <w:rPr/>
            </w:r>
          </w:p>
        </w:tc>
        <w:tc>
          <w:tcPr>
            <w:tcW w:w="1066" w:type="dxa"/>
            <w:vMerge w:val="continue"/>
            <w:tcBorders>
              <w:bottom w:val="single" w:sz="2" w:space="0" w:color="000000"/>
            </w:tcBorders>
            <w:shd w:fill="auto" w:val="clear"/>
            <w:tcMar>
              <w:bottom w:w="56" w:type="dxa"/>
            </w:tcMar>
            <w:vAlign w:val="center"/>
          </w:tcPr>
          <w:p>
            <w:pPr>
              <w:pStyle w:val="Normal"/>
              <w:rPr/>
            </w:pPr>
            <w:r>
              <w:rPr/>
            </w:r>
          </w:p>
        </w:tc>
        <w:tc>
          <w:tcPr>
            <w:tcW w:w="109" w:type="dxa"/>
            <w:vMerge w:val="continue"/>
            <w:tcBorders>
              <w:bottom w:val="single" w:sz="2" w:space="0" w:color="000000"/>
            </w:tcBorders>
            <w:shd w:fill="auto" w:val="clear"/>
            <w:tcMar>
              <w:bottom w:w="28" w:type="dxa"/>
            </w:tcMar>
            <w:vAlign w:val="center"/>
          </w:tcPr>
          <w:p>
            <w:pPr>
              <w:pStyle w:val="Normal"/>
              <w:rPr/>
            </w:pPr>
            <w:r>
              <w:rPr/>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auto" w:val="clear"/>
            <w:tcMar>
              <w:bottom w:w="56" w:type="dxa"/>
            </w:tcMar>
            <w:vAlign w:val="center"/>
          </w:tcPr>
          <w:p>
            <w:pPr>
              <w:pStyle w:val="TableContents"/>
              <w:spacing w:before="0" w:after="283"/>
              <w:jc w:val="right"/>
              <w:rPr/>
            </w:pPr>
            <w:r>
              <w:rPr/>
              <w:t>​</w:t>
            </w:r>
          </w:p>
        </w:tc>
        <w:tc>
          <w:tcPr>
            <w:tcW w:w="661" w:type="dxa"/>
            <w:tcBorders>
              <w:bottom w:val="single" w:sz="2" w:space="0" w:color="000000"/>
            </w:tcBorders>
            <w:shd w:fill="auto" w:val="clear"/>
            <w:tcMar>
              <w:bottom w:w="56" w:type="dxa"/>
            </w:tcMar>
            <w:vAlign w:val="center"/>
          </w:tcPr>
          <w:p>
            <w:pPr>
              <w:pStyle w:val="TableContents"/>
              <w:spacing w:before="0" w:after="283"/>
              <w:jc w:val="right"/>
              <w:rPr/>
            </w:pPr>
            <w:r>
              <w:rPr/>
              <w:t>1/25/2022(4)</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796" w:type="dxa"/>
            <w:tcBorders>
              <w:bottom w:val="single" w:sz="2" w:space="0" w:color="000000"/>
            </w:tcBorders>
            <w:shd w:fill="auto" w:val="clear"/>
            <w:tcMar>
              <w:bottom w:w="28" w:type="dxa"/>
            </w:tcMar>
            <w:vAlign w:val="center"/>
          </w:tcPr>
          <w:p>
            <w:pPr>
              <w:pStyle w:val="TableContents"/>
              <w:spacing w:before="0" w:after="0"/>
              <w:jc w:val="center"/>
              <w:rPr/>
            </w:pPr>
            <w:r>
              <w:rPr>
                <w:spacing w:val="0"/>
              </w:rPr>
              <w:t>—</w:t>
            </w:r>
            <w:r>
              <w:rPr/>
              <w:t xml:space="preserve"> </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2180" w:type="dxa"/>
            <w:tcBorders>
              <w:bottom w:val="single" w:sz="2" w:space="0" w:color="000000"/>
            </w:tcBorders>
            <w:shd w:fill="auto" w:val="clear"/>
            <w:tcMar>
              <w:bottom w:w="28" w:type="dxa"/>
            </w:tcMar>
            <w:vAlign w:val="center"/>
          </w:tcPr>
          <w:p>
            <w:pPr>
              <w:pStyle w:val="TableContents"/>
              <w:spacing w:before="0" w:after="0"/>
              <w:jc w:val="center"/>
              <w:rPr>
                <w:spacing w:val="0"/>
              </w:rPr>
            </w:pPr>
            <w:r>
              <w:rPr>
                <w:spacing w:val="0"/>
              </w:rPr>
              <w:t xml:space="preserve">315,000 </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262" w:type="dxa"/>
            <w:tcBorders>
              <w:bottom w:val="single" w:sz="2" w:space="0" w:color="000000"/>
            </w:tcBorders>
            <w:shd w:fill="auto" w:val="clear"/>
            <w:tcMar>
              <w:bottom w:w="28" w:type="dxa"/>
            </w:tcMar>
            <w:vAlign w:val="center"/>
          </w:tcPr>
          <w:p>
            <w:pPr>
              <w:pStyle w:val="TableContents"/>
              <w:spacing w:before="0" w:after="0"/>
              <w:jc w:val="center"/>
              <w:rPr>
                <w:spacing w:val="0"/>
              </w:rPr>
            </w:pPr>
            <w:r>
              <w:rPr>
                <w:spacing w:val="0"/>
              </w:rPr>
              <w:t xml:space="preserve">$13.15 </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558" w:type="dxa"/>
            <w:tcBorders>
              <w:bottom w:val="single" w:sz="2" w:space="0" w:color="000000"/>
            </w:tcBorders>
            <w:shd w:fill="auto" w:val="clear"/>
            <w:tcMar>
              <w:bottom w:w="28" w:type="dxa"/>
            </w:tcMar>
            <w:vAlign w:val="center"/>
          </w:tcPr>
          <w:p>
            <w:pPr>
              <w:pStyle w:val="TableContents"/>
              <w:spacing w:before="0" w:after="0"/>
              <w:jc w:val="center"/>
              <w:rPr>
                <w:spacing w:val="0"/>
              </w:rPr>
            </w:pPr>
            <w:r>
              <w:rPr>
                <w:spacing w:val="0"/>
              </w:rPr>
              <w:t xml:space="preserve">1/25/2032 </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54" w:type="dxa"/>
            <w:tcBorders/>
            <w:shd w:fill="auto" w:val="clear"/>
            <w:vAlign w:val="center"/>
          </w:tcPr>
          <w:p>
            <w:pPr>
              <w:pStyle w:val="TableContents"/>
              <w:spacing w:before="0" w:after="283"/>
              <w:rPr/>
            </w:pPr>
            <w:r>
              <w:rPr/>
              <w:t>​</w:t>
            </w:r>
          </w:p>
        </w:tc>
      </w:tr>
      <w:tr>
        <w:trPr/>
        <w:tc>
          <w:tcPr>
            <w:tcW w:w="124" w:type="dxa"/>
            <w:vMerge w:val="restart"/>
            <w:tcBorders/>
            <w:shd w:fill="auto" w:val="clear"/>
            <w:vAlign w:val="center"/>
          </w:tcPr>
          <w:p>
            <w:pPr>
              <w:pStyle w:val="TableContents"/>
              <w:spacing w:before="0" w:after="283"/>
              <w:rPr/>
            </w:pPr>
            <w:r>
              <w:rPr/>
              <w:t>​</w:t>
            </w:r>
          </w:p>
        </w:tc>
        <w:tc>
          <w:tcPr>
            <w:tcW w:w="109" w:type="dxa"/>
            <w:vMerge w:val="restart"/>
            <w:tcBorders>
              <w:bottom w:val="single" w:sz="2" w:space="0" w:color="000000"/>
            </w:tcBorders>
            <w:shd w:fill="auto" w:val="clear"/>
            <w:tcMar>
              <w:bottom w:w="28" w:type="dxa"/>
            </w:tcMar>
            <w:vAlign w:val="center"/>
          </w:tcPr>
          <w:p>
            <w:pPr>
              <w:pStyle w:val="TableContents"/>
              <w:spacing w:before="0" w:after="283"/>
              <w:rPr/>
            </w:pPr>
            <w:r>
              <w:rPr/>
              <w:t>​</w:t>
            </w:r>
          </w:p>
        </w:tc>
        <w:tc>
          <w:tcPr>
            <w:tcW w:w="1066" w:type="dxa"/>
            <w:vMerge w:val="restart"/>
            <w:tcBorders>
              <w:bottom w:val="single" w:sz="2" w:space="0" w:color="000000"/>
            </w:tcBorders>
            <w:shd w:fill="auto" w:val="clear"/>
            <w:tcMar>
              <w:bottom w:w="56" w:type="dxa"/>
            </w:tcMar>
            <w:vAlign w:val="center"/>
          </w:tcPr>
          <w:p>
            <w:pPr>
              <w:pStyle w:val="TableContents"/>
              <w:spacing w:lineRule="atLeast" w:line="192" w:before="0" w:after="0"/>
              <w:jc w:val="left"/>
              <w:rPr>
                <w:b/>
              </w:rPr>
            </w:pPr>
            <w:r>
              <w:rPr>
                <w:b/>
                <w:spacing w:val="0"/>
              </w:rPr>
              <w:t>Michael Diem, M.D.</w:t>
            </w:r>
            <w:r>
              <w:rPr>
                <w:b/>
              </w:rPr>
              <w:t xml:space="preserve"> </w:t>
            </w:r>
          </w:p>
        </w:tc>
        <w:tc>
          <w:tcPr>
            <w:tcW w:w="109" w:type="dxa"/>
            <w:vMerge w:val="restart"/>
            <w:tcBorders>
              <w:bottom w:val="single" w:sz="2" w:space="0" w:color="000000"/>
            </w:tcBorders>
            <w:shd w:fill="auto" w:val="clear"/>
            <w:tcMar>
              <w:bottom w:w="28" w:type="dxa"/>
            </w:tcM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lineRule="atLeast" w:line="192" w:before="0" w:after="283"/>
              <w:jc w:val="right"/>
              <w:rPr/>
            </w:pPr>
            <w:r>
              <w:rPr/>
              <w:t>​</w:t>
            </w:r>
          </w:p>
        </w:tc>
        <w:tc>
          <w:tcPr>
            <w:tcW w:w="661" w:type="dxa"/>
            <w:tcBorders/>
            <w:shd w:fill="auto" w:val="clear"/>
            <w:vAlign w:val="center"/>
          </w:tcPr>
          <w:p>
            <w:pPr>
              <w:pStyle w:val="TableContents"/>
              <w:spacing w:lineRule="atLeast" w:line="192" w:before="0" w:after="283"/>
              <w:jc w:val="right"/>
              <w:rPr/>
            </w:pPr>
            <w:r>
              <w:rPr/>
              <w:t>10/1/2020(5)</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796" w:type="dxa"/>
            <w:tcBorders/>
            <w:shd w:fill="auto" w:val="clear"/>
            <w:vAlign w:val="center"/>
          </w:tcPr>
          <w:p>
            <w:pPr>
              <w:pStyle w:val="TableContents"/>
              <w:spacing w:lineRule="atLeast" w:line="192" w:before="0" w:after="0"/>
              <w:jc w:val="center"/>
              <w:rPr>
                <w:spacing w:val="0"/>
              </w:rPr>
            </w:pPr>
            <w:r>
              <w:rPr>
                <w:spacing w:val="0"/>
              </w:rPr>
              <w:t xml:space="preserve">129,251 </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2180" w:type="dxa"/>
            <w:tcBorders/>
            <w:shd w:fill="auto" w:val="clear"/>
            <w:vAlign w:val="center"/>
          </w:tcPr>
          <w:p>
            <w:pPr>
              <w:pStyle w:val="TableContents"/>
              <w:spacing w:lineRule="atLeast" w:line="192" w:before="0" w:after="0"/>
              <w:jc w:val="center"/>
              <w:rPr>
                <w:spacing w:val="0"/>
              </w:rPr>
            </w:pPr>
            <w:r>
              <w:rPr>
                <w:spacing w:val="0"/>
              </w:rPr>
              <w:t xml:space="preserve">162,353 </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262" w:type="dxa"/>
            <w:tcBorders/>
            <w:shd w:fill="auto" w:val="clear"/>
            <w:vAlign w:val="center"/>
          </w:tcPr>
          <w:p>
            <w:pPr>
              <w:pStyle w:val="TableContents"/>
              <w:spacing w:lineRule="atLeast" w:line="192" w:before="0" w:after="0"/>
              <w:jc w:val="center"/>
              <w:rPr>
                <w:spacing w:val="0"/>
              </w:rPr>
            </w:pPr>
            <w:r>
              <w:rPr>
                <w:spacing w:val="0"/>
              </w:rPr>
              <w:t xml:space="preserve">$1.74 </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558" w:type="dxa"/>
            <w:tcBorders/>
            <w:shd w:fill="auto" w:val="clear"/>
            <w:vAlign w:val="center"/>
          </w:tcPr>
          <w:p>
            <w:pPr>
              <w:pStyle w:val="TableContents"/>
              <w:spacing w:lineRule="atLeast" w:line="192" w:before="0" w:after="0"/>
              <w:jc w:val="center"/>
              <w:rPr>
                <w:spacing w:val="0"/>
              </w:rPr>
            </w:pPr>
            <w:r>
              <w:rPr>
                <w:spacing w:val="0"/>
              </w:rPr>
              <w:t xml:space="preserve">9/30/2030 </w:t>
            </w:r>
          </w:p>
        </w:tc>
        <w:tc>
          <w:tcPr>
            <w:tcW w:w="109" w:type="dxa"/>
            <w:tcBorders/>
            <w:shd w:fill="auto" w:val="clear"/>
            <w:vAlign w:val="center"/>
          </w:tcPr>
          <w:p>
            <w:pPr>
              <w:pStyle w:val="TableContents"/>
              <w:spacing w:before="0" w:after="283"/>
              <w:rPr/>
            </w:pPr>
            <w:r>
              <w:rPr/>
              <w:t>​</w:t>
            </w:r>
          </w:p>
        </w:tc>
        <w:tc>
          <w:tcPr>
            <w:tcW w:w="154" w:type="dxa"/>
            <w:tcBorders/>
            <w:shd w:fill="auto" w:val="clear"/>
            <w:vAlign w:val="center"/>
          </w:tcPr>
          <w:p>
            <w:pPr>
              <w:pStyle w:val="TableContents"/>
              <w:spacing w:before="0" w:after="283"/>
              <w:rPr/>
            </w:pPr>
            <w:r>
              <w:rPr/>
              <w:t>​</w:t>
            </w:r>
          </w:p>
        </w:tc>
      </w:tr>
      <w:tr>
        <w:trPr/>
        <w:tc>
          <w:tcPr>
            <w:tcW w:w="124" w:type="dxa"/>
            <w:vMerge w:val="continue"/>
            <w:tcBorders/>
            <w:shd w:fill="auto" w:val="clear"/>
            <w:vAlign w:val="center"/>
          </w:tcPr>
          <w:p>
            <w:pPr>
              <w:pStyle w:val="Normal"/>
              <w:rPr/>
            </w:pPr>
            <w:r>
              <w:rPr/>
            </w:r>
          </w:p>
        </w:tc>
        <w:tc>
          <w:tcPr>
            <w:tcW w:w="109" w:type="dxa"/>
            <w:vMerge w:val="continue"/>
            <w:tcBorders>
              <w:bottom w:val="single" w:sz="2" w:space="0" w:color="000000"/>
            </w:tcBorders>
            <w:shd w:fill="auto" w:val="clear"/>
            <w:tcMar>
              <w:bottom w:w="28" w:type="dxa"/>
            </w:tcMar>
            <w:vAlign w:val="center"/>
          </w:tcPr>
          <w:p>
            <w:pPr>
              <w:pStyle w:val="Normal"/>
              <w:rPr/>
            </w:pPr>
            <w:r>
              <w:rPr/>
            </w:r>
          </w:p>
        </w:tc>
        <w:tc>
          <w:tcPr>
            <w:tcW w:w="1066" w:type="dxa"/>
            <w:vMerge w:val="continue"/>
            <w:tcBorders>
              <w:bottom w:val="single" w:sz="2" w:space="0" w:color="000000"/>
            </w:tcBorders>
            <w:shd w:fill="auto" w:val="clear"/>
            <w:tcMar>
              <w:bottom w:w="56" w:type="dxa"/>
            </w:tcMar>
            <w:vAlign w:val="center"/>
          </w:tcPr>
          <w:p>
            <w:pPr>
              <w:pStyle w:val="Normal"/>
              <w:rPr/>
            </w:pPr>
            <w:r>
              <w:rPr/>
            </w:r>
          </w:p>
        </w:tc>
        <w:tc>
          <w:tcPr>
            <w:tcW w:w="109" w:type="dxa"/>
            <w:vMerge w:val="continue"/>
            <w:tcBorders>
              <w:bottom w:val="single" w:sz="2" w:space="0" w:color="000000"/>
            </w:tcBorders>
            <w:shd w:fill="auto" w:val="clear"/>
            <w:tcMar>
              <w:bottom w:w="28" w:type="dxa"/>
            </w:tcMar>
            <w:vAlign w:val="center"/>
          </w:tcPr>
          <w:p>
            <w:pPr>
              <w:pStyle w:val="Normal"/>
              <w:rPr/>
            </w:pPr>
            <w:r>
              <w:rPr/>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661" w:type="dxa"/>
            <w:tcBorders/>
            <w:shd w:fill="auto" w:val="clear"/>
            <w:vAlign w:val="center"/>
          </w:tcPr>
          <w:p>
            <w:pPr>
              <w:pStyle w:val="TableContents"/>
              <w:spacing w:before="0" w:after="283"/>
              <w:jc w:val="right"/>
              <w:rPr/>
            </w:pPr>
            <w:r>
              <w:rPr/>
              <w:t>4/16/2021(3)</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796" w:type="dxa"/>
            <w:tcBorders/>
            <w:shd w:fill="auto" w:val="clear"/>
            <w:vAlign w:val="center"/>
          </w:tcPr>
          <w:p>
            <w:pPr>
              <w:pStyle w:val="TableContents"/>
              <w:spacing w:before="0" w:after="0"/>
              <w:jc w:val="center"/>
              <w:rPr>
                <w:spacing w:val="0"/>
              </w:rPr>
            </w:pPr>
            <w:r>
              <w:rPr>
                <w:spacing w:val="0"/>
              </w:rPr>
              <w:t xml:space="preserve">47,692 </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2180" w:type="dxa"/>
            <w:tcBorders/>
            <w:shd w:fill="auto" w:val="clear"/>
            <w:vAlign w:val="center"/>
          </w:tcPr>
          <w:p>
            <w:pPr>
              <w:pStyle w:val="TableContents"/>
              <w:spacing w:before="0" w:after="0"/>
              <w:jc w:val="center"/>
              <w:rPr>
                <w:spacing w:val="0"/>
              </w:rPr>
            </w:pPr>
            <w:r>
              <w:rPr>
                <w:spacing w:val="0"/>
              </w:rPr>
              <w:t xml:space="preserve">79,488 </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262" w:type="dxa"/>
            <w:tcBorders/>
            <w:shd w:fill="auto" w:val="clear"/>
            <w:vAlign w:val="center"/>
          </w:tcPr>
          <w:p>
            <w:pPr>
              <w:pStyle w:val="TableContents"/>
              <w:spacing w:before="0" w:after="0"/>
              <w:jc w:val="center"/>
              <w:rPr>
                <w:spacing w:val="0"/>
              </w:rPr>
            </w:pPr>
            <w:r>
              <w:rPr>
                <w:spacing w:val="0"/>
              </w:rPr>
              <w:t xml:space="preserve">$7.27 </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558" w:type="dxa"/>
            <w:tcBorders/>
            <w:shd w:fill="auto" w:val="clear"/>
            <w:vAlign w:val="center"/>
          </w:tcPr>
          <w:p>
            <w:pPr>
              <w:pStyle w:val="TableContents"/>
              <w:spacing w:before="0" w:after="0"/>
              <w:jc w:val="center"/>
              <w:rPr>
                <w:spacing w:val="0"/>
              </w:rPr>
            </w:pPr>
            <w:r>
              <w:rPr>
                <w:spacing w:val="0"/>
              </w:rPr>
              <w:t xml:space="preserve">4/15/2031 </w:t>
            </w:r>
          </w:p>
        </w:tc>
        <w:tc>
          <w:tcPr>
            <w:tcW w:w="109" w:type="dxa"/>
            <w:tcBorders/>
            <w:shd w:fill="auto" w:val="clear"/>
            <w:vAlign w:val="center"/>
          </w:tcPr>
          <w:p>
            <w:pPr>
              <w:pStyle w:val="TableContents"/>
              <w:spacing w:before="0" w:after="283"/>
              <w:rPr/>
            </w:pPr>
            <w:r>
              <w:rPr/>
              <w:t>​</w:t>
            </w:r>
          </w:p>
        </w:tc>
        <w:tc>
          <w:tcPr>
            <w:tcW w:w="154" w:type="dxa"/>
            <w:tcBorders/>
            <w:shd w:fill="auto" w:val="clear"/>
            <w:vAlign w:val="center"/>
          </w:tcPr>
          <w:p>
            <w:pPr>
              <w:pStyle w:val="TableContents"/>
              <w:spacing w:before="0" w:after="283"/>
              <w:rPr/>
            </w:pPr>
            <w:r>
              <w:rPr/>
              <w:t>​</w:t>
            </w:r>
          </w:p>
        </w:tc>
      </w:tr>
      <w:tr>
        <w:trPr/>
        <w:tc>
          <w:tcPr>
            <w:tcW w:w="124" w:type="dxa"/>
            <w:vMerge w:val="continue"/>
            <w:tcBorders/>
            <w:shd w:fill="auto" w:val="clear"/>
            <w:vAlign w:val="center"/>
          </w:tcPr>
          <w:p>
            <w:pPr>
              <w:pStyle w:val="Normal"/>
              <w:rPr/>
            </w:pPr>
            <w:r>
              <w:rPr/>
            </w:r>
          </w:p>
        </w:tc>
        <w:tc>
          <w:tcPr>
            <w:tcW w:w="109" w:type="dxa"/>
            <w:vMerge w:val="continue"/>
            <w:tcBorders>
              <w:bottom w:val="single" w:sz="2" w:space="0" w:color="000000"/>
            </w:tcBorders>
            <w:shd w:fill="auto" w:val="clear"/>
            <w:tcMar>
              <w:bottom w:w="28" w:type="dxa"/>
            </w:tcMar>
            <w:vAlign w:val="center"/>
          </w:tcPr>
          <w:p>
            <w:pPr>
              <w:pStyle w:val="Normal"/>
              <w:rPr/>
            </w:pPr>
            <w:r>
              <w:rPr/>
            </w:r>
          </w:p>
        </w:tc>
        <w:tc>
          <w:tcPr>
            <w:tcW w:w="1066" w:type="dxa"/>
            <w:vMerge w:val="continue"/>
            <w:tcBorders>
              <w:bottom w:val="single" w:sz="2" w:space="0" w:color="000000"/>
            </w:tcBorders>
            <w:shd w:fill="auto" w:val="clear"/>
            <w:tcMar>
              <w:bottom w:w="56" w:type="dxa"/>
            </w:tcMar>
            <w:vAlign w:val="center"/>
          </w:tcPr>
          <w:p>
            <w:pPr>
              <w:pStyle w:val="Normal"/>
              <w:rPr/>
            </w:pPr>
            <w:r>
              <w:rPr/>
            </w:r>
          </w:p>
        </w:tc>
        <w:tc>
          <w:tcPr>
            <w:tcW w:w="109" w:type="dxa"/>
            <w:vMerge w:val="continue"/>
            <w:tcBorders>
              <w:bottom w:val="single" w:sz="2" w:space="0" w:color="000000"/>
            </w:tcBorders>
            <w:shd w:fill="auto" w:val="clear"/>
            <w:tcMar>
              <w:bottom w:w="28" w:type="dxa"/>
            </w:tcMar>
            <w:vAlign w:val="center"/>
          </w:tcPr>
          <w:p>
            <w:pPr>
              <w:pStyle w:val="Normal"/>
              <w:rPr/>
            </w:pPr>
            <w:r>
              <w:rPr/>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auto" w:val="clear"/>
            <w:tcMar>
              <w:bottom w:w="56" w:type="dxa"/>
            </w:tcMar>
            <w:vAlign w:val="center"/>
          </w:tcPr>
          <w:p>
            <w:pPr>
              <w:pStyle w:val="TableContents"/>
              <w:spacing w:before="0" w:after="283"/>
              <w:jc w:val="right"/>
              <w:rPr/>
            </w:pPr>
            <w:r>
              <w:rPr/>
              <w:t>​</w:t>
            </w:r>
          </w:p>
        </w:tc>
        <w:tc>
          <w:tcPr>
            <w:tcW w:w="661" w:type="dxa"/>
            <w:tcBorders>
              <w:bottom w:val="single" w:sz="2" w:space="0" w:color="000000"/>
            </w:tcBorders>
            <w:shd w:fill="auto" w:val="clear"/>
            <w:tcMar>
              <w:bottom w:w="56" w:type="dxa"/>
            </w:tcMar>
            <w:vAlign w:val="center"/>
          </w:tcPr>
          <w:p>
            <w:pPr>
              <w:pStyle w:val="TableContents"/>
              <w:spacing w:before="0" w:after="283"/>
              <w:jc w:val="right"/>
              <w:rPr/>
            </w:pPr>
            <w:r>
              <w:rPr/>
              <w:t>1/25/2022(4)</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796" w:type="dxa"/>
            <w:tcBorders>
              <w:bottom w:val="single" w:sz="2" w:space="0" w:color="000000"/>
            </w:tcBorders>
            <w:shd w:fill="auto" w:val="clear"/>
            <w:tcMar>
              <w:bottom w:w="28" w:type="dxa"/>
            </w:tcMar>
            <w:vAlign w:val="center"/>
          </w:tcPr>
          <w:p>
            <w:pPr>
              <w:pStyle w:val="TableContents"/>
              <w:spacing w:before="0" w:after="0"/>
              <w:jc w:val="center"/>
              <w:rPr/>
            </w:pPr>
            <w:r>
              <w:rPr>
                <w:spacing w:val="0"/>
              </w:rPr>
              <w:t>—</w:t>
            </w:r>
            <w:r>
              <w:rPr/>
              <w:t xml:space="preserve"> </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2180" w:type="dxa"/>
            <w:tcBorders>
              <w:bottom w:val="single" w:sz="2" w:space="0" w:color="000000"/>
            </w:tcBorders>
            <w:shd w:fill="auto" w:val="clear"/>
            <w:tcMar>
              <w:bottom w:w="28" w:type="dxa"/>
            </w:tcMar>
            <w:vAlign w:val="center"/>
          </w:tcPr>
          <w:p>
            <w:pPr>
              <w:pStyle w:val="TableContents"/>
              <w:spacing w:before="0" w:after="0"/>
              <w:jc w:val="center"/>
              <w:rPr>
                <w:spacing w:val="0"/>
              </w:rPr>
            </w:pPr>
            <w:r>
              <w:rPr>
                <w:spacing w:val="0"/>
              </w:rPr>
              <w:t xml:space="preserve">105,000 </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262" w:type="dxa"/>
            <w:tcBorders>
              <w:bottom w:val="single" w:sz="2" w:space="0" w:color="000000"/>
            </w:tcBorders>
            <w:shd w:fill="auto" w:val="clear"/>
            <w:tcMar>
              <w:bottom w:w="28" w:type="dxa"/>
            </w:tcMar>
            <w:vAlign w:val="center"/>
          </w:tcPr>
          <w:p>
            <w:pPr>
              <w:pStyle w:val="TableContents"/>
              <w:spacing w:before="0" w:after="0"/>
              <w:jc w:val="center"/>
              <w:rPr>
                <w:spacing w:val="0"/>
              </w:rPr>
            </w:pPr>
            <w:r>
              <w:rPr>
                <w:spacing w:val="0"/>
              </w:rPr>
              <w:t xml:space="preserve">$13.15 </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558" w:type="dxa"/>
            <w:tcBorders>
              <w:bottom w:val="single" w:sz="2" w:space="0" w:color="000000"/>
            </w:tcBorders>
            <w:shd w:fill="auto" w:val="clear"/>
            <w:tcMar>
              <w:bottom w:w="28" w:type="dxa"/>
            </w:tcMar>
            <w:vAlign w:val="center"/>
          </w:tcPr>
          <w:p>
            <w:pPr>
              <w:pStyle w:val="TableContents"/>
              <w:spacing w:before="0" w:after="0"/>
              <w:jc w:val="center"/>
              <w:rPr>
                <w:spacing w:val="0"/>
              </w:rPr>
            </w:pPr>
            <w:r>
              <w:rPr>
                <w:spacing w:val="0"/>
              </w:rPr>
              <w:t xml:space="preserve">1/25/2032 </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54" w:type="dxa"/>
            <w:tcBorders/>
            <w:shd w:fill="auto" w:val="clear"/>
            <w:vAlign w:val="center"/>
          </w:tcPr>
          <w:p>
            <w:pPr>
              <w:pStyle w:val="TableContents"/>
              <w:spacing w:before="0" w:after="283"/>
              <w:rPr/>
            </w:pPr>
            <w:r>
              <w:rPr/>
              <w:t>​</w:t>
            </w:r>
          </w:p>
        </w:tc>
      </w:tr>
      <w:tr>
        <w:trPr/>
        <w:tc>
          <w:tcPr>
            <w:tcW w:w="124" w:type="dxa"/>
            <w:vMerge w:val="restart"/>
            <w:tcBorders/>
            <w:shd w:fill="auto" w:val="clear"/>
            <w:vAlign w:val="center"/>
          </w:tcPr>
          <w:p>
            <w:pPr>
              <w:pStyle w:val="TableContents"/>
              <w:spacing w:before="0" w:after="283"/>
              <w:rPr/>
            </w:pPr>
            <w:r>
              <w:rPr/>
              <w:t>​</w:t>
            </w:r>
          </w:p>
        </w:tc>
        <w:tc>
          <w:tcPr>
            <w:tcW w:w="109" w:type="dxa"/>
            <w:vMerge w:val="restart"/>
            <w:tcBorders>
              <w:bottom w:val="single" w:sz="6" w:space="0" w:color="000000"/>
            </w:tcBorders>
            <w:shd w:fill="auto" w:val="clear"/>
            <w:tcMar>
              <w:bottom w:w="28" w:type="dxa"/>
            </w:tcMar>
            <w:vAlign w:val="center"/>
          </w:tcPr>
          <w:p>
            <w:pPr>
              <w:pStyle w:val="TableContents"/>
              <w:spacing w:before="0" w:after="283"/>
              <w:rPr/>
            </w:pPr>
            <w:r>
              <w:rPr/>
              <w:t>​</w:t>
            </w:r>
          </w:p>
        </w:tc>
        <w:tc>
          <w:tcPr>
            <w:tcW w:w="1066" w:type="dxa"/>
            <w:vMerge w:val="restart"/>
            <w:tcBorders>
              <w:bottom w:val="single" w:sz="6" w:space="0" w:color="000000"/>
            </w:tcBorders>
            <w:shd w:fill="auto" w:val="clear"/>
            <w:tcMar>
              <w:bottom w:w="28" w:type="dxa"/>
            </w:tcMar>
            <w:vAlign w:val="center"/>
          </w:tcPr>
          <w:p>
            <w:pPr>
              <w:pStyle w:val="TableContents"/>
              <w:spacing w:lineRule="atLeast" w:line="192" w:before="0" w:after="0"/>
              <w:jc w:val="left"/>
              <w:rPr>
                <w:b/>
              </w:rPr>
            </w:pPr>
            <w:r>
              <w:rPr>
                <w:b/>
                <w:spacing w:val="0"/>
              </w:rPr>
              <w:t>Adrienne Farid, Ph.D.</w:t>
            </w:r>
            <w:r>
              <w:rPr>
                <w:b/>
              </w:rPr>
              <w:t xml:space="preserve"> </w:t>
            </w:r>
          </w:p>
        </w:tc>
        <w:tc>
          <w:tcPr>
            <w:tcW w:w="109" w:type="dxa"/>
            <w:vMerge w:val="restart"/>
            <w:tcBorders>
              <w:bottom w:val="single" w:sz="6" w:space="0" w:color="000000"/>
            </w:tcBorders>
            <w:shd w:fill="auto" w:val="clear"/>
            <w:tcMar>
              <w:bottom w:w="28" w:type="dxa"/>
            </w:tcM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lineRule="atLeast" w:line="192" w:before="0" w:after="283"/>
              <w:jc w:val="right"/>
              <w:rPr/>
            </w:pPr>
            <w:r>
              <w:rPr/>
              <w:t>​</w:t>
            </w:r>
          </w:p>
        </w:tc>
        <w:tc>
          <w:tcPr>
            <w:tcW w:w="661" w:type="dxa"/>
            <w:tcBorders/>
            <w:shd w:fill="auto" w:val="clear"/>
            <w:vAlign w:val="center"/>
          </w:tcPr>
          <w:p>
            <w:pPr>
              <w:pStyle w:val="TableContents"/>
              <w:spacing w:lineRule="atLeast" w:line="192" w:before="0" w:after="283"/>
              <w:jc w:val="right"/>
              <w:rPr/>
            </w:pPr>
            <w:r>
              <w:rPr/>
              <w:t>7/18/2019(6)</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796" w:type="dxa"/>
            <w:tcBorders/>
            <w:shd w:fill="auto" w:val="clear"/>
            <w:vAlign w:val="center"/>
          </w:tcPr>
          <w:p>
            <w:pPr>
              <w:pStyle w:val="TableContents"/>
              <w:spacing w:lineRule="atLeast" w:line="192" w:before="0" w:after="0"/>
              <w:jc w:val="center"/>
              <w:rPr>
                <w:spacing w:val="0"/>
              </w:rPr>
            </w:pPr>
            <w:r>
              <w:rPr>
                <w:spacing w:val="0"/>
              </w:rPr>
              <w:t xml:space="preserve">153,075 </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2180" w:type="dxa"/>
            <w:tcBorders/>
            <w:shd w:fill="auto" w:val="clear"/>
            <w:vAlign w:val="center"/>
          </w:tcPr>
          <w:p>
            <w:pPr>
              <w:pStyle w:val="TableContents"/>
              <w:spacing w:lineRule="atLeast" w:line="192" w:before="0" w:after="0"/>
              <w:jc w:val="center"/>
              <w:rPr>
                <w:spacing w:val="0"/>
              </w:rPr>
            </w:pPr>
            <w:r>
              <w:rPr>
                <w:spacing w:val="0"/>
              </w:rPr>
              <w:t xml:space="preserve">69,580 </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262" w:type="dxa"/>
            <w:tcBorders/>
            <w:shd w:fill="auto" w:val="clear"/>
            <w:vAlign w:val="center"/>
          </w:tcPr>
          <w:p>
            <w:pPr>
              <w:pStyle w:val="TableContents"/>
              <w:spacing w:lineRule="atLeast" w:line="192" w:before="0" w:after="0"/>
              <w:jc w:val="center"/>
              <w:rPr>
                <w:spacing w:val="0"/>
              </w:rPr>
            </w:pPr>
            <w:r>
              <w:rPr>
                <w:spacing w:val="0"/>
              </w:rPr>
              <w:t xml:space="preserve">$1.03 </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558" w:type="dxa"/>
            <w:tcBorders/>
            <w:shd w:fill="auto" w:val="clear"/>
            <w:vAlign w:val="center"/>
          </w:tcPr>
          <w:p>
            <w:pPr>
              <w:pStyle w:val="TableContents"/>
              <w:spacing w:lineRule="atLeast" w:line="192" w:before="0" w:after="0"/>
              <w:jc w:val="center"/>
              <w:rPr>
                <w:spacing w:val="0"/>
              </w:rPr>
            </w:pPr>
            <w:r>
              <w:rPr>
                <w:spacing w:val="0"/>
              </w:rPr>
              <w:t xml:space="preserve">7/17/2029 </w:t>
            </w:r>
          </w:p>
        </w:tc>
        <w:tc>
          <w:tcPr>
            <w:tcW w:w="109" w:type="dxa"/>
            <w:tcBorders/>
            <w:shd w:fill="auto" w:val="clear"/>
            <w:vAlign w:val="center"/>
          </w:tcPr>
          <w:p>
            <w:pPr>
              <w:pStyle w:val="TableContents"/>
              <w:spacing w:before="0" w:after="283"/>
              <w:rPr/>
            </w:pPr>
            <w:r>
              <w:rPr/>
              <w:t>​</w:t>
            </w:r>
          </w:p>
        </w:tc>
        <w:tc>
          <w:tcPr>
            <w:tcW w:w="154" w:type="dxa"/>
            <w:tcBorders/>
            <w:shd w:fill="auto" w:val="clear"/>
            <w:vAlign w:val="center"/>
          </w:tcPr>
          <w:p>
            <w:pPr>
              <w:pStyle w:val="TableContents"/>
              <w:spacing w:before="0" w:after="283"/>
              <w:rPr/>
            </w:pPr>
            <w:r>
              <w:rPr/>
              <w:t>​</w:t>
            </w:r>
          </w:p>
        </w:tc>
      </w:tr>
      <w:tr>
        <w:trPr/>
        <w:tc>
          <w:tcPr>
            <w:tcW w:w="124" w:type="dxa"/>
            <w:vMerge w:val="continue"/>
            <w:tcBorders/>
            <w:shd w:fill="auto" w:val="clear"/>
            <w:vAlign w:val="center"/>
          </w:tcPr>
          <w:p>
            <w:pPr>
              <w:pStyle w:val="Normal"/>
              <w:rPr/>
            </w:pPr>
            <w:r>
              <w:rPr/>
            </w:r>
          </w:p>
        </w:tc>
        <w:tc>
          <w:tcPr>
            <w:tcW w:w="109" w:type="dxa"/>
            <w:vMerge w:val="continue"/>
            <w:tcBorders>
              <w:bottom w:val="single" w:sz="6" w:space="0" w:color="000000"/>
            </w:tcBorders>
            <w:shd w:fill="auto" w:val="clear"/>
            <w:tcMar>
              <w:bottom w:w="28" w:type="dxa"/>
            </w:tcMar>
            <w:vAlign w:val="center"/>
          </w:tcPr>
          <w:p>
            <w:pPr>
              <w:pStyle w:val="Normal"/>
              <w:rPr/>
            </w:pPr>
            <w:r>
              <w:rPr/>
            </w:r>
          </w:p>
        </w:tc>
        <w:tc>
          <w:tcPr>
            <w:tcW w:w="1066" w:type="dxa"/>
            <w:vMerge w:val="continue"/>
            <w:tcBorders>
              <w:bottom w:val="single" w:sz="6" w:space="0" w:color="000000"/>
            </w:tcBorders>
            <w:shd w:fill="auto" w:val="clear"/>
            <w:tcMar>
              <w:bottom w:w="28" w:type="dxa"/>
            </w:tcMar>
            <w:vAlign w:val="center"/>
          </w:tcPr>
          <w:p>
            <w:pPr>
              <w:pStyle w:val="Normal"/>
              <w:rPr/>
            </w:pPr>
            <w:r>
              <w:rPr/>
            </w:r>
          </w:p>
        </w:tc>
        <w:tc>
          <w:tcPr>
            <w:tcW w:w="109" w:type="dxa"/>
            <w:vMerge w:val="continue"/>
            <w:tcBorders>
              <w:bottom w:val="single" w:sz="6" w:space="0" w:color="000000"/>
            </w:tcBorders>
            <w:shd w:fill="auto" w:val="clear"/>
            <w:tcMar>
              <w:bottom w:w="28" w:type="dxa"/>
            </w:tcMar>
            <w:vAlign w:val="center"/>
          </w:tcPr>
          <w:p>
            <w:pPr>
              <w:pStyle w:val="Normal"/>
              <w:rPr/>
            </w:pPr>
            <w:r>
              <w:rPr/>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661" w:type="dxa"/>
            <w:tcBorders/>
            <w:shd w:fill="auto" w:val="clear"/>
            <w:vAlign w:val="center"/>
          </w:tcPr>
          <w:p>
            <w:pPr>
              <w:pStyle w:val="TableContents"/>
              <w:spacing w:before="0" w:after="283"/>
              <w:jc w:val="right"/>
              <w:rPr/>
            </w:pPr>
            <w:r>
              <w:rPr/>
              <w:t>4/16/2021(3)</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796" w:type="dxa"/>
            <w:tcBorders/>
            <w:shd w:fill="auto" w:val="clear"/>
            <w:vAlign w:val="center"/>
          </w:tcPr>
          <w:p>
            <w:pPr>
              <w:pStyle w:val="TableContents"/>
              <w:spacing w:before="0" w:after="0"/>
              <w:jc w:val="center"/>
              <w:rPr>
                <w:spacing w:val="0"/>
              </w:rPr>
            </w:pPr>
            <w:r>
              <w:rPr>
                <w:spacing w:val="0"/>
              </w:rPr>
              <w:t xml:space="preserve">77,868 </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2180" w:type="dxa"/>
            <w:tcBorders/>
            <w:shd w:fill="auto" w:val="clear"/>
            <w:vAlign w:val="center"/>
          </w:tcPr>
          <w:p>
            <w:pPr>
              <w:pStyle w:val="TableContents"/>
              <w:spacing w:before="0" w:after="0"/>
              <w:jc w:val="center"/>
              <w:rPr>
                <w:spacing w:val="0"/>
              </w:rPr>
            </w:pPr>
            <w:r>
              <w:rPr>
                <w:spacing w:val="0"/>
              </w:rPr>
              <w:t xml:space="preserve">129,781 </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262" w:type="dxa"/>
            <w:tcBorders/>
            <w:shd w:fill="auto" w:val="clear"/>
            <w:vAlign w:val="center"/>
          </w:tcPr>
          <w:p>
            <w:pPr>
              <w:pStyle w:val="TableContents"/>
              <w:spacing w:before="0" w:after="0"/>
              <w:jc w:val="center"/>
              <w:rPr>
                <w:spacing w:val="0"/>
              </w:rPr>
            </w:pPr>
            <w:r>
              <w:rPr>
                <w:spacing w:val="0"/>
              </w:rPr>
              <w:t xml:space="preserve">$7.27 </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558" w:type="dxa"/>
            <w:tcBorders/>
            <w:shd w:fill="auto" w:val="clear"/>
            <w:vAlign w:val="center"/>
          </w:tcPr>
          <w:p>
            <w:pPr>
              <w:pStyle w:val="TableContents"/>
              <w:spacing w:before="0" w:after="0"/>
              <w:jc w:val="center"/>
              <w:rPr>
                <w:spacing w:val="0"/>
              </w:rPr>
            </w:pPr>
            <w:r>
              <w:rPr>
                <w:spacing w:val="0"/>
              </w:rPr>
              <w:t xml:space="preserve">4/15/2031 </w:t>
            </w:r>
          </w:p>
        </w:tc>
        <w:tc>
          <w:tcPr>
            <w:tcW w:w="109" w:type="dxa"/>
            <w:tcBorders/>
            <w:shd w:fill="auto" w:val="clear"/>
            <w:vAlign w:val="center"/>
          </w:tcPr>
          <w:p>
            <w:pPr>
              <w:pStyle w:val="TableContents"/>
              <w:spacing w:before="0" w:after="283"/>
              <w:rPr/>
            </w:pPr>
            <w:r>
              <w:rPr/>
              <w:t>​</w:t>
            </w:r>
          </w:p>
        </w:tc>
        <w:tc>
          <w:tcPr>
            <w:tcW w:w="154" w:type="dxa"/>
            <w:tcBorders/>
            <w:shd w:fill="auto" w:val="clear"/>
            <w:vAlign w:val="center"/>
          </w:tcPr>
          <w:p>
            <w:pPr>
              <w:pStyle w:val="TableContents"/>
              <w:spacing w:before="0" w:after="283"/>
              <w:rPr/>
            </w:pPr>
            <w:r>
              <w:rPr/>
              <w:t>​</w:t>
            </w:r>
          </w:p>
        </w:tc>
      </w:tr>
      <w:tr>
        <w:trPr/>
        <w:tc>
          <w:tcPr>
            <w:tcW w:w="124" w:type="dxa"/>
            <w:vMerge w:val="continue"/>
            <w:tcBorders/>
            <w:shd w:fill="auto" w:val="clear"/>
            <w:vAlign w:val="center"/>
          </w:tcPr>
          <w:p>
            <w:pPr>
              <w:pStyle w:val="Normal"/>
              <w:rPr/>
            </w:pPr>
            <w:r>
              <w:rPr/>
            </w:r>
          </w:p>
        </w:tc>
        <w:tc>
          <w:tcPr>
            <w:tcW w:w="109" w:type="dxa"/>
            <w:vMerge w:val="continue"/>
            <w:tcBorders>
              <w:bottom w:val="single" w:sz="6" w:space="0" w:color="000000"/>
            </w:tcBorders>
            <w:shd w:fill="auto" w:val="clear"/>
            <w:tcMar>
              <w:bottom w:w="28" w:type="dxa"/>
            </w:tcMar>
            <w:vAlign w:val="center"/>
          </w:tcPr>
          <w:p>
            <w:pPr>
              <w:pStyle w:val="Normal"/>
              <w:rPr/>
            </w:pPr>
            <w:r>
              <w:rPr/>
            </w:r>
          </w:p>
        </w:tc>
        <w:tc>
          <w:tcPr>
            <w:tcW w:w="1066" w:type="dxa"/>
            <w:vMerge w:val="continue"/>
            <w:tcBorders>
              <w:bottom w:val="single" w:sz="6" w:space="0" w:color="000000"/>
            </w:tcBorders>
            <w:shd w:fill="auto" w:val="clear"/>
            <w:tcMar>
              <w:bottom w:w="28" w:type="dxa"/>
            </w:tcMar>
            <w:vAlign w:val="center"/>
          </w:tcPr>
          <w:p>
            <w:pPr>
              <w:pStyle w:val="Normal"/>
              <w:rPr/>
            </w:pPr>
            <w:r>
              <w:rPr/>
            </w:r>
          </w:p>
        </w:tc>
        <w:tc>
          <w:tcPr>
            <w:tcW w:w="109" w:type="dxa"/>
            <w:vMerge w:val="continue"/>
            <w:tcBorders>
              <w:bottom w:val="single" w:sz="6" w:space="0" w:color="000000"/>
            </w:tcBorders>
            <w:shd w:fill="auto" w:val="clear"/>
            <w:tcMar>
              <w:bottom w:w="28" w:type="dxa"/>
            </w:tcMar>
            <w:vAlign w:val="center"/>
          </w:tcPr>
          <w:p>
            <w:pPr>
              <w:pStyle w:val="Normal"/>
              <w:rPr/>
            </w:pPr>
            <w:r>
              <w:rPr/>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661" w:type="dxa"/>
            <w:tcBorders/>
            <w:shd w:fill="auto" w:val="clear"/>
            <w:vAlign w:val="center"/>
          </w:tcPr>
          <w:p>
            <w:pPr>
              <w:pStyle w:val="TableContents"/>
              <w:spacing w:before="0" w:after="283"/>
              <w:jc w:val="right"/>
              <w:rPr/>
            </w:pPr>
            <w:r>
              <w:rPr/>
              <w:t>1/25/2022(4)</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796" w:type="dxa"/>
            <w:tcBorders/>
            <w:shd w:fill="auto" w:val="clear"/>
            <w:vAlign w:val="center"/>
          </w:tcPr>
          <w:p>
            <w:pPr>
              <w:pStyle w:val="TableContents"/>
              <w:spacing w:before="0" w:after="0"/>
              <w:jc w:val="center"/>
              <w:rPr/>
            </w:pPr>
            <w:r>
              <w:rPr>
                <w:spacing w:val="0"/>
              </w:rPr>
              <w:t>—</w:t>
            </w:r>
            <w:r>
              <w:rPr/>
              <w:t xml:space="preserve"> </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2180" w:type="dxa"/>
            <w:tcBorders/>
            <w:shd w:fill="auto" w:val="clear"/>
            <w:vAlign w:val="center"/>
          </w:tcPr>
          <w:p>
            <w:pPr>
              <w:pStyle w:val="TableContents"/>
              <w:spacing w:before="0" w:after="0"/>
              <w:jc w:val="center"/>
              <w:rPr>
                <w:spacing w:val="0"/>
              </w:rPr>
            </w:pPr>
            <w:r>
              <w:rPr>
                <w:spacing w:val="0"/>
              </w:rPr>
              <w:t xml:space="preserve">105,000 </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262" w:type="dxa"/>
            <w:tcBorders/>
            <w:shd w:fill="auto" w:val="clear"/>
            <w:vAlign w:val="center"/>
          </w:tcPr>
          <w:p>
            <w:pPr>
              <w:pStyle w:val="TableContents"/>
              <w:spacing w:before="0" w:after="0"/>
              <w:jc w:val="center"/>
              <w:rPr>
                <w:spacing w:val="0"/>
              </w:rPr>
            </w:pPr>
            <w:r>
              <w:rPr>
                <w:spacing w:val="0"/>
              </w:rPr>
              <w:t xml:space="preserve">$13.15 </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558" w:type="dxa"/>
            <w:tcBorders/>
            <w:shd w:fill="auto" w:val="clear"/>
            <w:vAlign w:val="center"/>
          </w:tcPr>
          <w:p>
            <w:pPr>
              <w:pStyle w:val="TableContents"/>
              <w:spacing w:before="0" w:after="0"/>
              <w:jc w:val="center"/>
              <w:rPr/>
            </w:pPr>
            <w:r>
              <w:rPr>
                <w:spacing w:val="0"/>
              </w:rPr>
              <w:t>1/25/2032</w:t>
            </w:r>
            <w:r>
              <w:rPr/>
              <w:t xml:space="preserve"> </w:t>
            </w:r>
          </w:p>
        </w:tc>
        <w:tc>
          <w:tcPr>
            <w:tcW w:w="109" w:type="dxa"/>
            <w:tcBorders/>
            <w:shd w:fill="auto" w:val="clear"/>
            <w:vAlign w:val="center"/>
          </w:tcPr>
          <w:p>
            <w:pPr>
              <w:pStyle w:val="TableContents"/>
              <w:spacing w:before="0" w:after="283"/>
              <w:rPr/>
            </w:pPr>
            <w:r>
              <w:rPr/>
              <w:t>​</w:t>
            </w:r>
          </w:p>
        </w:tc>
        <w:tc>
          <w:tcPr>
            <w:tcW w:w="154" w:type="dxa"/>
            <w:tcBorders/>
            <w:shd w:fill="auto" w:val="clear"/>
            <w:vAlign w:val="center"/>
          </w:tcPr>
          <w:p>
            <w:pPr>
              <w:pStyle w:val="TableContents"/>
              <w:spacing w:before="0" w:after="283"/>
              <w:rPr/>
            </w:pPr>
            <w:r>
              <w:rPr/>
              <w:t>​</w:t>
            </w:r>
          </w:p>
        </w:tc>
      </w:tr>
    </w:tbl>
    <w:p>
      <w:pPr>
        <w:pStyle w:val="TextBody"/>
        <w:spacing w:lineRule="atLeast" w:line="240" w:before="100" w:after="283"/>
        <w:ind w:left="960" w:right="0" w:hanging="0"/>
        <w:jc w:val="righ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1DA46F"/>
          <w:spacing w:val="0"/>
          <w:sz w:val="20"/>
        </w:rPr>
        <w:t>Notice of Annual Meeting of Stockholders</w:t>
      </w:r>
      <w:r>
        <w:rPr>
          <w:rFonts w:ascii="Arial;Helvetica;sans-serif" w:hAnsi="Arial;Helvetica;sans-serif"/>
          <w:b/>
          <w:i w:val="false"/>
          <w:caps w:val="false"/>
          <w:smallCaps w:val="false"/>
          <w:color w:val="000000"/>
          <w:spacing w:val="0"/>
          <w:sz w:val="20"/>
        </w:rPr>
        <w:t> and 2023 Proxy Statement | </w:t>
      </w:r>
      <w:r>
        <w:rPr>
          <w:rFonts w:ascii="Arial;Helvetica;sans-serif" w:hAnsi="Arial;Helvetica;sans-serif"/>
          <w:b w:val="false"/>
          <w:i w:val="false"/>
          <w:caps w:val="false"/>
          <w:smallCaps w:val="false"/>
          <w:color w:val="000000"/>
          <w:spacing w:val="-1"/>
          <w:sz w:val="20"/>
        </w:rPr>
        <w:t>25</w:t>
      </w:r>
      <w:r>
        <w:rPr>
          <w:rFonts w:ascii="Arial;Helvetica;sans-serif" w:hAnsi="Arial;Helvetica;sans-serif"/>
          <w:b/>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49" w:name="tEMAG"/>
      <w:bookmarkEnd w:id="49"/>
      <w:r>
        <w:rPr>
          <w:rFonts w:ascii="calibri;arial;sans-serif" w:hAnsi="calibri;arial;sans-serif"/>
          <w:b w:val="false"/>
          <w:i w:val="false"/>
          <w:caps w:val="false"/>
          <w:smallCaps w:val="false"/>
          <w:color w:val="000000"/>
          <w:sz w:val="16"/>
        </w:rPr>
        <w:t xml:space="preserve">​ </w:t>
      </w:r>
    </w:p>
    <w:tbl>
      <w:tblPr>
        <w:tblW w:w="3709" w:type="dxa"/>
        <w:jc w:val="left"/>
        <w:tblInd w:w="960" w:type="dxa"/>
        <w:tblCellMar>
          <w:top w:w="0" w:type="dxa"/>
          <w:left w:w="0" w:type="dxa"/>
          <w:bottom w:w="0" w:type="dxa"/>
          <w:right w:w="0" w:type="dxa"/>
        </w:tblCellMar>
      </w:tblPr>
      <w:tblGrid>
        <w:gridCol w:w="124"/>
        <w:gridCol w:w="3431"/>
        <w:gridCol w:w="154"/>
      </w:tblGrid>
      <w:tr>
        <w:trPr/>
        <w:tc>
          <w:tcPr>
            <w:tcW w:w="124" w:type="dxa"/>
            <w:tcBorders/>
            <w:shd w:fill="1DA46F" w:val="clear"/>
            <w:vAlign w:val="center"/>
          </w:tcPr>
          <w:p>
            <w:pPr>
              <w:pStyle w:val="TableContents"/>
              <w:spacing w:before="0" w:after="283"/>
              <w:rPr/>
            </w:pPr>
            <w:r>
              <w:rPr/>
              <w:t>​</w:t>
            </w:r>
          </w:p>
        </w:tc>
        <w:tc>
          <w:tcPr>
            <w:tcW w:w="3431" w:type="dxa"/>
            <w:tcBorders/>
            <w:shd w:fill="1DA46F" w:val="clear"/>
            <w:vAlign w:val="center"/>
          </w:tcPr>
          <w:p>
            <w:pPr>
              <w:pStyle w:val="TableContents"/>
              <w:spacing w:lineRule="atLeast" w:line="360" w:before="0" w:after="0"/>
              <w:rPr/>
            </w:pPr>
            <w:r>
              <w:rPr>
                <w:spacing w:val="-5"/>
              </w:rPr>
              <w:t>EXECUTIVE COMPENSATION</w:t>
            </w:r>
            <w:r>
              <w:rPr/>
              <w:t xml:space="preserve"> </w:t>
            </w:r>
          </w:p>
        </w:tc>
        <w:tc>
          <w:tcPr>
            <w:tcW w:w="154" w:type="dxa"/>
            <w:tcBorders/>
            <w:shd w:fill="1DA46F" w:val="clear"/>
            <w:vAlign w:val="center"/>
          </w:tcPr>
          <w:p>
            <w:pPr>
              <w:pStyle w:val="TableContents"/>
              <w:spacing w:before="0" w:after="283"/>
              <w:rPr/>
            </w:pPr>
            <w:r>
              <w:rPr/>
              <w:t>​</w:t>
            </w:r>
          </w:p>
        </w:tc>
      </w:tr>
    </w:tbl>
    <w:p>
      <w:pPr>
        <w:pStyle w:val="TextBody"/>
        <w:spacing w:lineRule="atLeast" w:line="200" w:before="360" w:after="283"/>
        <w:ind w:left="1360" w:right="0" w:hanging="0"/>
        <w:jc w:val="both"/>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0"/>
          <w:sz w:val="18"/>
        </w:rPr>
        <w:t>The market value is based on the closing stock price of $5.13 on December 30, 2022 (the last trading date in the 2022 fiscal year).</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0" distB="0" distL="0" distR="0" simplePos="0" locked="0" layoutInCell="1" allowOverlap="1" relativeHeight="98">
                <wp:simplePos x="0" y="0"/>
                <wp:positionH relativeFrom="column">
                  <wp:align>left</wp:align>
                </wp:positionH>
                <wp:positionV relativeFrom="line">
                  <wp:posOffset>635</wp:posOffset>
                </wp:positionV>
                <wp:extent cx="254000" cy="350520"/>
                <wp:effectExtent l="0" t="0" r="0" b="0"/>
                <wp:wrapSquare wrapText="largest"/>
                <wp:docPr id="108" name="Frame75"/>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00" w:before="0" w:after="283"/>
                              <w:jc w:val="both"/>
                              <w:rPr/>
                            </w:pPr>
                            <w:r>
                              <w:rPr>
                                <w:spacing w:val="0"/>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tLeast" w:line="200" w:before="0" w:after="283"/>
                        <w:jc w:val="both"/>
                        <w:rPr/>
                      </w:pPr>
                      <w:r>
                        <w:rPr>
                          <w:spacing w:val="0"/>
                        </w:rPr>
                        <w:t>(1)</w:t>
                      </w:r>
                      <w:r>
                        <w:rPr/>
                        <w:t xml:space="preserve"> </w:t>
                        <w:br/>
                      </w:r>
                    </w:p>
                  </w:txbxContent>
                </v:textbox>
                <w10:wrap type="square" side="right"/>
              </v:rect>
            </w:pict>
          </mc:Fallback>
        </mc:AlternateContent>
      </w:r>
    </w:p>
    <w:p>
      <w:pPr>
        <w:pStyle w:val="TextBody"/>
        <w:spacing w:before="0" w:after="0"/>
        <w:ind w:left="960" w:right="0" w:hanging="0"/>
        <w:rPr>
          <w:caps w:val="false"/>
          <w:smallCaps w:val="false"/>
          <w:color w:val="000000"/>
        </w:rPr>
      </w:pPr>
      <w:r>
        <w:rPr>
          <w:caps w:val="false"/>
          <w:smallCaps w:val="false"/>
          <w:color w:val="000000"/>
        </w:rPr>
        <w:t>​</w:t>
      </w:r>
    </w:p>
    <w:p>
      <w:pPr>
        <w:pStyle w:val="TextBody"/>
        <w:spacing w:lineRule="atLeast" w:line="200" w:before="78" w:after="0"/>
        <w:ind w:left="1360" w:right="0" w:hanging="0"/>
        <w:jc w:val="both"/>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0"/>
          <w:sz w:val="18"/>
        </w:rPr>
        <w:t>This option vests 25% on the first anniversary of the grant date and the remaining 75% in 36 equal monthly installments thereafter, subject generally to the NEO’s continued employment with us. This option vested in full upon completion of our initial public offering.</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49530" distB="0" distL="0" distR="0" simplePos="0" locked="0" layoutInCell="1" allowOverlap="1" relativeHeight="99">
                <wp:simplePos x="0" y="0"/>
                <wp:positionH relativeFrom="column">
                  <wp:align>left</wp:align>
                </wp:positionH>
                <wp:positionV relativeFrom="line">
                  <wp:align>top</wp:align>
                </wp:positionV>
                <wp:extent cx="254000" cy="350520"/>
                <wp:effectExtent l="0" t="0" r="0" b="0"/>
                <wp:wrapSquare wrapText="largest"/>
                <wp:docPr id="109" name="Frame76"/>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00" w:before="0" w:after="283"/>
                              <w:jc w:val="both"/>
                              <w:rPr/>
                            </w:pPr>
                            <w:r>
                              <w:rPr>
                                <w:spacing w:val="0"/>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9pt;mso-wrap-distance-bottom:0pt;margin-top:3.9pt;mso-position-vertical:top;mso-position-vertical-relative:text;margin-left:0pt;mso-position-horizontal:left;mso-position-horizontal-relative:text">
                <v:textbox>
                  <w:txbxContent>
                    <w:p>
                      <w:pPr>
                        <w:pStyle w:val="TextBody"/>
                        <w:spacing w:lineRule="atLeast" w:line="200" w:before="0" w:after="283"/>
                        <w:jc w:val="both"/>
                        <w:rPr/>
                      </w:pPr>
                      <w:r>
                        <w:rPr>
                          <w:spacing w:val="0"/>
                        </w:rPr>
                        <w:t>(2)</w:t>
                      </w:r>
                      <w:r>
                        <w:rPr/>
                        <w:t xml:space="preserve"> </w:t>
                        <w:br/>
                      </w:r>
                    </w:p>
                  </w:txbxContent>
                </v:textbox>
                <w10:wrap type="square" side="right"/>
              </v:rect>
            </w:pict>
          </mc:Fallback>
        </mc:AlternateContent>
      </w:r>
    </w:p>
    <w:p>
      <w:pPr>
        <w:pStyle w:val="TextBody"/>
        <w:spacing w:before="0" w:after="0"/>
        <w:ind w:left="960" w:right="0" w:hanging="0"/>
        <w:rPr>
          <w:caps w:val="false"/>
          <w:smallCaps w:val="false"/>
          <w:color w:val="000000"/>
        </w:rPr>
      </w:pPr>
      <w:r>
        <w:rPr>
          <w:caps w:val="false"/>
          <w:smallCaps w:val="false"/>
          <w:color w:val="000000"/>
        </w:rPr>
        <w:t>​</w:t>
      </w:r>
    </w:p>
    <w:p>
      <w:pPr>
        <w:pStyle w:val="TextBody"/>
        <w:spacing w:lineRule="atLeast" w:line="200" w:before="78" w:after="0"/>
        <w:ind w:left="1360" w:right="0" w:hanging="0"/>
        <w:jc w:val="both"/>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0"/>
          <w:sz w:val="18"/>
        </w:rPr>
        <w:t>This option vests 25% on June 22, 2022, with the remaining 75% vesting in 36 equal monthly installments, subject generally to the NEO’s continued employment with us.</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49530" distB="0" distL="0" distR="0" simplePos="0" locked="0" layoutInCell="1" allowOverlap="1" relativeHeight="100">
                <wp:simplePos x="0" y="0"/>
                <wp:positionH relativeFrom="column">
                  <wp:align>left</wp:align>
                </wp:positionH>
                <wp:positionV relativeFrom="line">
                  <wp:align>top</wp:align>
                </wp:positionV>
                <wp:extent cx="254000" cy="350520"/>
                <wp:effectExtent l="0" t="0" r="0" b="0"/>
                <wp:wrapSquare wrapText="largest"/>
                <wp:docPr id="110" name="Frame77"/>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00" w:before="0" w:after="283"/>
                              <w:jc w:val="both"/>
                              <w:rPr/>
                            </w:pPr>
                            <w:r>
                              <w:rPr>
                                <w:spacing w:val="0"/>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9pt;mso-wrap-distance-bottom:0pt;margin-top:3.9pt;mso-position-vertical:top;mso-position-vertical-relative:text;margin-left:0pt;mso-position-horizontal:left;mso-position-horizontal-relative:text">
                <v:textbox>
                  <w:txbxContent>
                    <w:p>
                      <w:pPr>
                        <w:pStyle w:val="TextBody"/>
                        <w:spacing w:lineRule="atLeast" w:line="200" w:before="0" w:after="283"/>
                        <w:jc w:val="both"/>
                        <w:rPr/>
                      </w:pPr>
                      <w:r>
                        <w:rPr>
                          <w:spacing w:val="0"/>
                        </w:rPr>
                        <w:t>(3)</w:t>
                      </w:r>
                      <w:r>
                        <w:rPr/>
                        <w:t xml:space="preserve"> </w:t>
                        <w:br/>
                      </w:r>
                    </w:p>
                  </w:txbxContent>
                </v:textbox>
                <w10:wrap type="square" side="right"/>
              </v:rect>
            </w:pict>
          </mc:Fallback>
        </mc:AlternateContent>
      </w:r>
    </w:p>
    <w:p>
      <w:pPr>
        <w:pStyle w:val="TextBody"/>
        <w:spacing w:before="0" w:after="0"/>
        <w:ind w:left="960" w:right="0" w:hanging="0"/>
        <w:rPr>
          <w:caps w:val="false"/>
          <w:smallCaps w:val="false"/>
          <w:color w:val="000000"/>
        </w:rPr>
      </w:pPr>
      <w:r>
        <w:rPr>
          <w:caps w:val="false"/>
          <w:smallCaps w:val="false"/>
          <w:color w:val="000000"/>
        </w:rPr>
        <w:t>​</w:t>
      </w:r>
    </w:p>
    <w:p>
      <w:pPr>
        <w:pStyle w:val="TextBody"/>
        <w:spacing w:lineRule="atLeast" w:line="200" w:before="78" w:after="0"/>
        <w:ind w:left="1360" w:right="0" w:hanging="0"/>
        <w:jc w:val="both"/>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0"/>
          <w:sz w:val="18"/>
        </w:rPr>
        <w:t>This option vests 25% on January 25, 2023, with the remaining 75% vesting in 36 equal monthly installments, subject generally to the NEO’s continued employment with us.</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49530" distB="0" distL="0" distR="0" simplePos="0" locked="0" layoutInCell="1" allowOverlap="1" relativeHeight="101">
                <wp:simplePos x="0" y="0"/>
                <wp:positionH relativeFrom="column">
                  <wp:align>left</wp:align>
                </wp:positionH>
                <wp:positionV relativeFrom="line">
                  <wp:align>top</wp:align>
                </wp:positionV>
                <wp:extent cx="254000" cy="350520"/>
                <wp:effectExtent l="0" t="0" r="0" b="0"/>
                <wp:wrapSquare wrapText="largest"/>
                <wp:docPr id="111" name="Frame78"/>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00" w:before="0" w:after="283"/>
                              <w:jc w:val="both"/>
                              <w:rPr/>
                            </w:pPr>
                            <w:r>
                              <w:rPr>
                                <w:spacing w:val="0"/>
                              </w:rPr>
                              <w:t>(4)</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9pt;mso-wrap-distance-bottom:0pt;margin-top:3.9pt;mso-position-vertical:top;mso-position-vertical-relative:text;margin-left:0pt;mso-position-horizontal:left;mso-position-horizontal-relative:text">
                <v:textbox>
                  <w:txbxContent>
                    <w:p>
                      <w:pPr>
                        <w:pStyle w:val="TextBody"/>
                        <w:spacing w:lineRule="atLeast" w:line="200" w:before="0" w:after="283"/>
                        <w:jc w:val="both"/>
                        <w:rPr/>
                      </w:pPr>
                      <w:r>
                        <w:rPr>
                          <w:spacing w:val="0"/>
                        </w:rPr>
                        <w:t>(4)</w:t>
                      </w:r>
                      <w:r>
                        <w:rPr/>
                        <w:t xml:space="preserve"> </w:t>
                        <w:br/>
                      </w:r>
                    </w:p>
                  </w:txbxContent>
                </v:textbox>
                <w10:wrap type="square" side="right"/>
              </v:rect>
            </w:pict>
          </mc:Fallback>
        </mc:AlternateContent>
      </w:r>
    </w:p>
    <w:p>
      <w:pPr>
        <w:pStyle w:val="TextBody"/>
        <w:spacing w:before="0" w:after="0"/>
        <w:ind w:left="960" w:right="0" w:hanging="0"/>
        <w:rPr>
          <w:caps w:val="false"/>
          <w:smallCaps w:val="false"/>
          <w:color w:val="000000"/>
        </w:rPr>
      </w:pPr>
      <w:r>
        <w:rPr>
          <w:caps w:val="false"/>
          <w:smallCaps w:val="false"/>
          <w:color w:val="000000"/>
        </w:rPr>
        <w:t>​</w:t>
      </w:r>
    </w:p>
    <w:p>
      <w:pPr>
        <w:pStyle w:val="TextBody"/>
        <w:spacing w:lineRule="atLeast" w:line="200" w:before="78" w:after="0"/>
        <w:ind w:left="1360" w:right="0" w:hanging="0"/>
        <w:jc w:val="both"/>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0"/>
          <w:sz w:val="18"/>
        </w:rPr>
        <w:t>This option vests 25% on September 16, 2021 and the remaining 75% in 36 equal monthly installments thereafter, subject generally to the NEO’s continued employment with us. On February 24, 2021, Dr. Diem utilized the early exercise feature of his stock option to purchase 79,488 restricted shares of common stock subject to the same vesting schedule as the original option, leaving 291,604 options outstanding under this option award.</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49530" distB="0" distL="0" distR="0" simplePos="0" locked="0" layoutInCell="1" allowOverlap="1" relativeHeight="102">
                <wp:simplePos x="0" y="0"/>
                <wp:positionH relativeFrom="column">
                  <wp:align>left</wp:align>
                </wp:positionH>
                <wp:positionV relativeFrom="line">
                  <wp:align>top</wp:align>
                </wp:positionV>
                <wp:extent cx="254000" cy="350520"/>
                <wp:effectExtent l="0" t="0" r="0" b="0"/>
                <wp:wrapSquare wrapText="largest"/>
                <wp:docPr id="112" name="Frame79"/>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00" w:before="0" w:after="283"/>
                              <w:jc w:val="both"/>
                              <w:rPr/>
                            </w:pPr>
                            <w:r>
                              <w:rPr>
                                <w:spacing w:val="0"/>
                              </w:rPr>
                              <w:t>(5)</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9pt;mso-wrap-distance-bottom:0pt;margin-top:3.9pt;mso-position-vertical:top;mso-position-vertical-relative:text;margin-left:0pt;mso-position-horizontal:left;mso-position-horizontal-relative:text">
                <v:textbox>
                  <w:txbxContent>
                    <w:p>
                      <w:pPr>
                        <w:pStyle w:val="TextBody"/>
                        <w:spacing w:lineRule="atLeast" w:line="200" w:before="0" w:after="283"/>
                        <w:jc w:val="both"/>
                        <w:rPr/>
                      </w:pPr>
                      <w:r>
                        <w:rPr>
                          <w:spacing w:val="0"/>
                        </w:rPr>
                        <w:t>(5)</w:t>
                      </w:r>
                      <w:r>
                        <w:rPr/>
                        <w:t xml:space="preserve"> </w:t>
                        <w:br/>
                      </w:r>
                    </w:p>
                  </w:txbxContent>
                </v:textbox>
                <w10:wrap type="square" side="right"/>
              </v:rect>
            </w:pict>
          </mc:Fallback>
        </mc:AlternateContent>
      </w:r>
    </w:p>
    <w:p>
      <w:pPr>
        <w:pStyle w:val="TextBody"/>
        <w:spacing w:before="0" w:after="0"/>
        <w:ind w:left="960" w:right="0" w:hanging="0"/>
        <w:rPr>
          <w:caps w:val="false"/>
          <w:smallCaps w:val="false"/>
          <w:color w:val="000000"/>
        </w:rPr>
      </w:pPr>
      <w:r>
        <w:rPr>
          <w:caps w:val="false"/>
          <w:smallCaps w:val="false"/>
          <w:color w:val="000000"/>
        </w:rPr>
        <w:t>​</w:t>
      </w:r>
    </w:p>
    <w:p>
      <w:pPr>
        <w:pStyle w:val="TextBody"/>
        <w:spacing w:lineRule="atLeast" w:line="200" w:before="78" w:after="0"/>
        <w:ind w:left="1360" w:right="0" w:hanging="0"/>
        <w:jc w:val="both"/>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0"/>
          <w:sz w:val="18"/>
        </w:rPr>
        <w:t>This option vests 25% on March 1, 2020, with the remaining 75% vesting in 36 equal monthly installments, subject generally to the NEO’s continued employment with us. The unexercisable options are subject to an “early exercise” feature that permits exercise prior to vesting. Upon such an early exercise, the NEO will acquire restricted shares subject to the same vesting schedule as the original option.</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49530" distB="0" distL="0" distR="0" simplePos="0" locked="0" layoutInCell="1" allowOverlap="1" relativeHeight="103">
                <wp:simplePos x="0" y="0"/>
                <wp:positionH relativeFrom="column">
                  <wp:align>left</wp:align>
                </wp:positionH>
                <wp:positionV relativeFrom="line">
                  <wp:align>top</wp:align>
                </wp:positionV>
                <wp:extent cx="254000" cy="350520"/>
                <wp:effectExtent l="0" t="0" r="0" b="0"/>
                <wp:wrapSquare wrapText="largest"/>
                <wp:docPr id="113" name="Frame80"/>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00" w:before="0" w:after="283"/>
                              <w:jc w:val="both"/>
                              <w:rPr/>
                            </w:pPr>
                            <w:r>
                              <w:rPr>
                                <w:spacing w:val="0"/>
                              </w:rPr>
                              <w:t>(6)</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9pt;mso-wrap-distance-bottom:0pt;margin-top:3.9pt;mso-position-vertical:top;mso-position-vertical-relative:text;margin-left:0pt;mso-position-horizontal:left;mso-position-horizontal-relative:text">
                <v:textbox>
                  <w:txbxContent>
                    <w:p>
                      <w:pPr>
                        <w:pStyle w:val="TextBody"/>
                        <w:spacing w:lineRule="atLeast" w:line="200" w:before="0" w:after="283"/>
                        <w:jc w:val="both"/>
                        <w:rPr/>
                      </w:pPr>
                      <w:r>
                        <w:rPr>
                          <w:spacing w:val="0"/>
                        </w:rPr>
                        <w:t>(6)</w:t>
                      </w:r>
                      <w:r>
                        <w:rPr/>
                        <w:t xml:space="preserve"> </w:t>
                        <w:br/>
                      </w:r>
                    </w:p>
                  </w:txbxContent>
                </v:textbox>
                <w10:wrap type="square" side="right"/>
              </v:rect>
            </w:pict>
          </mc:Fallback>
        </mc:AlternateContent>
      </w:r>
    </w:p>
    <w:p>
      <w:pPr>
        <w:pStyle w:val="TextBody"/>
        <w:spacing w:before="0" w:after="0"/>
        <w:ind w:left="960" w:right="0" w:hanging="0"/>
        <w:rPr>
          <w:caps w:val="false"/>
          <w:smallCaps w:val="false"/>
          <w:color w:val="000000"/>
        </w:rPr>
      </w:pPr>
      <w:r>
        <w:rPr>
          <w:caps w:val="false"/>
          <w:smallCaps w:val="false"/>
          <w:color w:val="000000"/>
        </w:rPr>
        <w:t>​</w:t>
      </w:r>
    </w:p>
    <w:p>
      <w:pPr>
        <w:pStyle w:val="TextBody"/>
        <w:spacing w:lineRule="atLeast" w:line="240" w:before="240" w:after="283"/>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3"/>
          <w:sz w:val="20"/>
        </w:rPr>
        <w:t>EMPLOYMENT AGREEMENTS</w:t>
      </w:r>
      <w:r>
        <w:rPr>
          <w:rFonts w:ascii="Arial;Helvetica;sans-serif" w:hAnsi="Arial;Helvetica;sans-serif"/>
          <w:b/>
          <w:i w:val="false"/>
          <w:caps w:val="false"/>
          <w:smallCaps w:val="false"/>
          <w:color w:val="000000"/>
          <w:spacing w:val="4"/>
          <w:sz w:val="20"/>
        </w:rPr>
        <w:t xml:space="preserve"> </w:t>
      </w:r>
    </w:p>
    <w:p>
      <w:pPr>
        <w:pStyle w:val="TextBody"/>
        <w:spacing w:lineRule="atLeast" w:line="23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We have entered into employment agreements with all of our executive officers. The material terms of the employment agreements between us and our 2022 NEOs are described in more detail below.</w:t>
      </w:r>
      <w:r>
        <w:rPr>
          <w:rFonts w:ascii="Arial;Helvetica;sans-serif" w:hAnsi="Arial;Helvetica;sans-serif"/>
          <w:b w:val="false"/>
          <w:i w:val="false"/>
          <w:caps w:val="false"/>
          <w:smallCaps w:val="false"/>
          <w:color w:val="000000"/>
          <w:spacing w:val="4"/>
          <w:sz w:val="20"/>
        </w:rPr>
        <w:t xml:space="preserve"> </w:t>
      </w:r>
    </w:p>
    <w:p>
      <w:pPr>
        <w:pStyle w:val="TextBody"/>
        <w:spacing w:lineRule="atLeast" w:line="240" w:before="240" w:after="283"/>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0"/>
          <w:sz w:val="20"/>
        </w:rPr>
        <w:t>Osvaldo Flores, Ph.D.</w:t>
      </w:r>
      <w:r>
        <w:rPr>
          <w:rFonts w:ascii="Arial;Helvetica;sans-serif" w:hAnsi="Arial;Helvetica;sans-serif"/>
          <w:b/>
          <w:i w:val="false"/>
          <w:caps w:val="false"/>
          <w:smallCaps w:val="false"/>
          <w:color w:val="000000"/>
          <w:spacing w:val="4"/>
          <w:sz w:val="20"/>
        </w:rPr>
        <w:t xml:space="preserve"> </w:t>
      </w:r>
    </w:p>
    <w:p>
      <w:pPr>
        <w:pStyle w:val="TextBody"/>
        <w:spacing w:lineRule="atLeast" w:line="23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In connection with our IPO, we entered into an employment agreement with Dr. Flores dated May 26, 2021, providing for an initial base salary of $557,000, an annual bonus opportunity equal to 50% of his base salary, and eligibility to participate generally in our employee benefit plans. On April 11, 2023, Dr. Flores stepped down from his roles as President and Chief Executive Officer. We intend to enter into a separation agreement with Dr. Flores as soon as practicable.</w:t>
      </w:r>
      <w:r>
        <w:rPr>
          <w:rFonts w:ascii="Arial;Helvetica;sans-serif" w:hAnsi="Arial;Helvetica;sans-serif"/>
          <w:b w:val="false"/>
          <w:i w:val="false"/>
          <w:caps w:val="false"/>
          <w:smallCaps w:val="false"/>
          <w:color w:val="000000"/>
          <w:spacing w:val="4"/>
          <w:sz w:val="20"/>
        </w:rPr>
        <w:t xml:space="preserve"> </w:t>
      </w:r>
    </w:p>
    <w:p>
      <w:pPr>
        <w:pStyle w:val="TextBody"/>
        <w:spacing w:lineRule="atLeast" w:line="240" w:before="240" w:after="283"/>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0"/>
          <w:sz w:val="20"/>
        </w:rPr>
        <w:t>Michael Diem, M.D.</w:t>
      </w:r>
      <w:r>
        <w:rPr>
          <w:rFonts w:ascii="Arial;Helvetica;sans-serif" w:hAnsi="Arial;Helvetica;sans-serif"/>
          <w:b/>
          <w:i w:val="false"/>
          <w:caps w:val="false"/>
          <w:smallCaps w:val="false"/>
          <w:color w:val="000000"/>
          <w:spacing w:val="4"/>
          <w:sz w:val="20"/>
        </w:rPr>
        <w:t xml:space="preserve"> </w:t>
      </w:r>
    </w:p>
    <w:p>
      <w:pPr>
        <w:pStyle w:val="TextBody"/>
        <w:spacing w:lineRule="atLeast" w:line="23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In connection with our IPO, we entered into an employment agreement with Dr. Diem dated May 26, 2021. Dr. Diem’s employment agreement provides for an initial base salary of $437,800, an annual bonus opportunity equal to 40% of his base salary, and eligibility to participate generally in our employee benefit plans.</w:t>
      </w:r>
      <w:r>
        <w:rPr>
          <w:rFonts w:ascii="Arial;Helvetica;sans-serif" w:hAnsi="Arial;Helvetica;sans-serif"/>
          <w:b w:val="false"/>
          <w:i w:val="false"/>
          <w:caps w:val="false"/>
          <w:smallCaps w:val="false"/>
          <w:color w:val="000000"/>
          <w:spacing w:val="4"/>
          <w:sz w:val="20"/>
        </w:rPr>
        <w:t xml:space="preserve"> </w:t>
      </w:r>
    </w:p>
    <w:p>
      <w:pPr>
        <w:pStyle w:val="TextBody"/>
        <w:spacing w:lineRule="atLeast" w:line="240" w:before="240" w:after="283"/>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0"/>
          <w:sz w:val="20"/>
        </w:rPr>
        <w:t>Adrienne Farid, Ph.D.</w:t>
      </w:r>
      <w:r>
        <w:rPr>
          <w:rFonts w:ascii="Arial;Helvetica;sans-serif" w:hAnsi="Arial;Helvetica;sans-serif"/>
          <w:b/>
          <w:i w:val="false"/>
          <w:caps w:val="false"/>
          <w:smallCaps w:val="false"/>
          <w:color w:val="000000"/>
          <w:spacing w:val="4"/>
          <w:sz w:val="20"/>
        </w:rPr>
        <w:t xml:space="preserve"> </w:t>
      </w:r>
    </w:p>
    <w:p>
      <w:pPr>
        <w:pStyle w:val="TextBody"/>
        <w:spacing w:lineRule="atLeast" w:line="23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In connection with our IPO, we entered into an employment agreement with Dr. Farid dated May 26, 2021. Dr. Farid’s employment agreement provides for an initial base salary of $437,800, an annual bonus opportunity equal to 40% of her base salary, and eligibility to participate generally in our employee benefit plans.</w:t>
      </w:r>
      <w:r>
        <w:rPr>
          <w:rFonts w:ascii="Arial;Helvetica;sans-serif" w:hAnsi="Arial;Helvetica;sans-serif"/>
          <w:b w:val="false"/>
          <w:i w:val="false"/>
          <w:caps w:val="false"/>
          <w:smallCaps w:val="false"/>
          <w:color w:val="000000"/>
          <w:spacing w:val="4"/>
          <w:sz w:val="20"/>
        </w:rPr>
        <w:t xml:space="preserve"> </w:t>
      </w:r>
    </w:p>
    <w:p>
      <w:pPr>
        <w:pStyle w:val="TextBody"/>
        <w:spacing w:lineRule="atLeast" w:line="240" w:before="240" w:after="283"/>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0"/>
          <w:sz w:val="20"/>
        </w:rPr>
        <w:t>Severance Benefits Under the Employment Agreements</w:t>
      </w:r>
      <w:r>
        <w:rPr>
          <w:rFonts w:ascii="Arial;Helvetica;sans-serif" w:hAnsi="Arial;Helvetica;sans-serif"/>
          <w:b/>
          <w:i w:val="false"/>
          <w:caps w:val="false"/>
          <w:smallCaps w:val="false"/>
          <w:color w:val="000000"/>
          <w:spacing w:val="4"/>
          <w:sz w:val="20"/>
        </w:rPr>
        <w:t xml:space="preserve"> </w:t>
      </w:r>
    </w:p>
    <w:p>
      <w:pPr>
        <w:pStyle w:val="TextBody"/>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Each of the employment agreements between us and our NEOs provides for severance benefits upon a termination of the NEO’s employment by us without cause, or resignation by the NEO for good reason, subject to each NEO’s execution of a general release of claims. The severance benefits are:</w:t>
      </w:r>
      <w:r>
        <w:rPr>
          <w:rFonts w:ascii="Arial;Helvetica;sans-serif" w:hAnsi="Arial;Helvetica;sans-serif"/>
          <w:b w:val="false"/>
          <w:i w:val="false"/>
          <w:caps w:val="false"/>
          <w:smallCaps w:val="false"/>
          <w:color w:val="000000"/>
          <w:spacing w:val="4"/>
          <w:sz w:val="20"/>
        </w:rPr>
        <w:t xml:space="preserve"> </w:t>
      </w:r>
    </w:p>
    <w:p>
      <w:pPr>
        <w:pStyle w:val="TextBody"/>
        <w:spacing w:lineRule="atLeast" w:line="240" w:before="120" w:after="0"/>
        <w:ind w:left="1560"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payment of any otherwise earned but unpaid annual bonus for the prior year, and</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104">
                <wp:simplePos x="0" y="0"/>
                <wp:positionH relativeFrom="column">
                  <wp:align>left</wp:align>
                </wp:positionH>
                <wp:positionV relativeFrom="line">
                  <wp:align>top</wp:align>
                </wp:positionV>
                <wp:extent cx="127000" cy="350520"/>
                <wp:effectExtent l="0" t="0" r="0" b="0"/>
                <wp:wrapSquare wrapText="largest"/>
                <wp:docPr id="114" name="Frame81"/>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1"/>
                              </w:rPr>
                              <w:t>•</w:t>
                            </w:r>
                            <w:r>
                              <w:rPr/>
                              <w:t xml:space="preserve"> </w:t>
                            </w:r>
                            <w:r>
                              <w:rPr>
                                <w:sz w:val="20"/>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spacing w:lineRule="atLeast" w:line="240" w:before="0" w:after="283"/>
                        <w:jc w:val="left"/>
                        <w:rPr/>
                      </w:pPr>
                      <w:r>
                        <w:rPr>
                          <w:spacing w:val="-1"/>
                        </w:rPr>
                        <w:t>•</w:t>
                      </w:r>
                      <w:r>
                        <w:rPr/>
                        <w:t xml:space="preserve"> </w:t>
                      </w:r>
                      <w:r>
                        <w:rPr>
                          <w:sz w:val="20"/>
                        </w:rPr>
                        <w:br/>
                      </w:r>
                    </w:p>
                  </w:txbxContent>
                </v:textbox>
                <w10:wrap type="square" side="right"/>
              </v:rect>
            </w:pict>
          </mc:Fallback>
        </mc:AlternateContent>
      </w:r>
    </w:p>
    <w:p>
      <w:pPr>
        <w:pStyle w:val="TextBody"/>
        <w:spacing w:before="0" w:after="0"/>
        <w:ind w:left="960" w:right="0" w:hanging="0"/>
        <w:rPr>
          <w:caps w:val="false"/>
          <w:smallCaps w:val="false"/>
          <w:color w:val="000000"/>
        </w:rPr>
      </w:pPr>
      <w:r>
        <w:rPr>
          <w:caps w:val="false"/>
          <w:smallCaps w:val="false"/>
          <w:color w:val="000000"/>
        </w:rPr>
        <w:t>​</w:t>
      </w:r>
    </w:p>
    <w:p>
      <w:pPr>
        <w:pStyle w:val="TextBody"/>
        <w:spacing w:lineRule="atLeast" w:line="240" w:before="120" w:after="0"/>
        <w:ind w:left="156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continuation of such NEO’s base salary and payment of such NEO’s COBRA premiums by us for a period of nine months for each of Dr. Diem and Dr. Farid and a period of twelve months for Dr. Flores.</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105">
                <wp:simplePos x="0" y="0"/>
                <wp:positionH relativeFrom="column">
                  <wp:align>left</wp:align>
                </wp:positionH>
                <wp:positionV relativeFrom="line">
                  <wp:align>top</wp:align>
                </wp:positionV>
                <wp:extent cx="127000" cy="350520"/>
                <wp:effectExtent l="0" t="0" r="0" b="0"/>
                <wp:wrapSquare wrapText="largest"/>
                <wp:docPr id="115" name="Frame82"/>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both"/>
                              <w:rPr/>
                            </w:pPr>
                            <w:r>
                              <w:rPr>
                                <w:spacing w:val="-1"/>
                              </w:rPr>
                              <w:t>•</w:t>
                            </w:r>
                            <w:r>
                              <w:rPr/>
                              <w:t xml:space="preserve"> </w:t>
                            </w:r>
                            <w:r>
                              <w:rPr>
                                <w:sz w:val="20"/>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spacing w:lineRule="atLeast" w:line="240" w:before="0" w:after="283"/>
                        <w:jc w:val="both"/>
                        <w:rPr/>
                      </w:pPr>
                      <w:r>
                        <w:rPr>
                          <w:spacing w:val="-1"/>
                        </w:rPr>
                        <w:t>•</w:t>
                      </w:r>
                      <w:r>
                        <w:rPr/>
                        <w:t xml:space="preserve"> </w:t>
                      </w:r>
                      <w:r>
                        <w:rPr>
                          <w:sz w:val="20"/>
                        </w:rPr>
                        <w:br/>
                      </w:r>
                    </w:p>
                  </w:txbxContent>
                </v:textbox>
                <w10:wrap type="square" side="right"/>
              </v:rect>
            </w:pict>
          </mc:Fallback>
        </mc:AlternateContent>
      </w:r>
    </w:p>
    <w:p>
      <w:pPr>
        <w:pStyle w:val="TextBody"/>
        <w:spacing w:before="0" w:after="0"/>
        <w:ind w:left="960" w:right="0" w:hanging="0"/>
        <w:rPr>
          <w:caps w:val="false"/>
          <w:smallCaps w:val="false"/>
          <w:color w:val="000000"/>
        </w:rPr>
      </w:pPr>
      <w:r>
        <w:rPr>
          <w:caps w:val="false"/>
          <w:smallCaps w:val="false"/>
          <w:color w:val="000000"/>
        </w:rPr>
        <w:t>​</w:t>
      </w:r>
    </w:p>
    <w:p>
      <w:pPr>
        <w:pStyle w:val="TextBody"/>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In addition, if such termination without cause or resignation for good reason occurs within three months prior to or twelve months immediately following a change in control:</w:t>
      </w:r>
      <w:r>
        <w:rPr>
          <w:rFonts w:ascii="Arial;Helvetica;sans-serif" w:hAnsi="Arial;Helvetica;sans-serif"/>
          <w:b w:val="false"/>
          <w:i w:val="false"/>
          <w:caps w:val="false"/>
          <w:smallCaps w:val="false"/>
          <w:color w:val="000000"/>
          <w:spacing w:val="4"/>
          <w:sz w:val="20"/>
        </w:rPr>
        <w:t xml:space="preserve"> </w:t>
      </w:r>
    </w:p>
    <w:p>
      <w:pPr>
        <w:pStyle w:val="TextBody"/>
        <w:spacing w:lineRule="atLeast" w:line="240" w:before="120" w:after="0"/>
        <w:ind w:left="156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the period of the NEO’s salary continuation and COBRA premium subsidy will be extended from nine months to 12 months for Dr. Diem and Dr. Farid and from 12 months to 18 months for Dr. Flores,</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106">
                <wp:simplePos x="0" y="0"/>
                <wp:positionH relativeFrom="column">
                  <wp:align>left</wp:align>
                </wp:positionH>
                <wp:positionV relativeFrom="line">
                  <wp:align>top</wp:align>
                </wp:positionV>
                <wp:extent cx="127000" cy="350520"/>
                <wp:effectExtent l="0" t="0" r="0" b="0"/>
                <wp:wrapSquare wrapText="largest"/>
                <wp:docPr id="116" name="Frame83"/>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both"/>
                              <w:rPr/>
                            </w:pPr>
                            <w:r>
                              <w:rPr>
                                <w:spacing w:val="-1"/>
                              </w:rPr>
                              <w:t>•</w:t>
                            </w:r>
                            <w:r>
                              <w:rPr/>
                              <w:t xml:space="preserve"> </w:t>
                            </w:r>
                            <w:r>
                              <w:rPr>
                                <w:sz w:val="20"/>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spacing w:lineRule="atLeast" w:line="240" w:before="0" w:after="283"/>
                        <w:jc w:val="both"/>
                        <w:rPr/>
                      </w:pPr>
                      <w:r>
                        <w:rPr>
                          <w:spacing w:val="-1"/>
                        </w:rPr>
                        <w:t>•</w:t>
                      </w:r>
                      <w:r>
                        <w:rPr/>
                        <w:t xml:space="preserve"> </w:t>
                      </w:r>
                      <w:r>
                        <w:rPr>
                          <w:sz w:val="20"/>
                        </w:rPr>
                        <w:br/>
                      </w:r>
                    </w:p>
                  </w:txbxContent>
                </v:textbox>
                <w10:wrap type="square" side="right"/>
              </v:rect>
            </w:pict>
          </mc:Fallback>
        </mc:AlternateContent>
      </w:r>
    </w:p>
    <w:p>
      <w:pPr>
        <w:pStyle w:val="TextBody"/>
        <w:spacing w:before="0" w:after="0"/>
        <w:ind w:left="960" w:right="0" w:hanging="0"/>
        <w:rPr>
          <w:caps w:val="false"/>
          <w:smallCaps w:val="false"/>
          <w:color w:val="000000"/>
        </w:rPr>
      </w:pPr>
      <w:r>
        <w:rPr>
          <w:caps w:val="false"/>
          <w:smallCaps w:val="false"/>
          <w:color w:val="000000"/>
        </w:rPr>
        <w:t>​</w:t>
      </w:r>
    </w:p>
    <w:p>
      <w:pPr>
        <w:pStyle w:val="TextBody"/>
        <w:spacing w:lineRule="atLeast" w:line="240" w:before="100" w:after="283"/>
        <w:ind w:left="960" w:right="0" w:hanging="0"/>
        <w:jc w:val="righ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1DA46F"/>
          <w:spacing w:val="0"/>
          <w:sz w:val="20"/>
        </w:rPr>
        <w:t>Notice of Annual Meeting of Stockholders</w:t>
      </w:r>
      <w:r>
        <w:rPr>
          <w:rFonts w:ascii="Arial;Helvetica;sans-serif" w:hAnsi="Arial;Helvetica;sans-serif"/>
          <w:b/>
          <w:i w:val="false"/>
          <w:caps w:val="false"/>
          <w:smallCaps w:val="false"/>
          <w:color w:val="000000"/>
          <w:spacing w:val="0"/>
          <w:sz w:val="20"/>
        </w:rPr>
        <w:t> and 2023 Proxy Statement | </w:t>
      </w:r>
      <w:r>
        <w:rPr>
          <w:rFonts w:ascii="Arial;Helvetica;sans-serif" w:hAnsi="Arial;Helvetica;sans-serif"/>
          <w:b w:val="false"/>
          <w:i w:val="false"/>
          <w:caps w:val="false"/>
          <w:smallCaps w:val="false"/>
          <w:color w:val="000000"/>
          <w:spacing w:val="-1"/>
          <w:sz w:val="20"/>
        </w:rPr>
        <w:t>26</w:t>
      </w:r>
      <w:r>
        <w:rPr>
          <w:rFonts w:ascii="Arial;Helvetica;sans-serif" w:hAnsi="Arial;Helvetica;sans-serif"/>
          <w:b/>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tbl>
      <w:tblPr>
        <w:tblW w:w="3709" w:type="dxa"/>
        <w:jc w:val="left"/>
        <w:tblInd w:w="960" w:type="dxa"/>
        <w:tblCellMar>
          <w:top w:w="0" w:type="dxa"/>
          <w:left w:w="0" w:type="dxa"/>
          <w:bottom w:w="0" w:type="dxa"/>
          <w:right w:w="0" w:type="dxa"/>
        </w:tblCellMar>
      </w:tblPr>
      <w:tblGrid>
        <w:gridCol w:w="124"/>
        <w:gridCol w:w="3431"/>
        <w:gridCol w:w="154"/>
      </w:tblGrid>
      <w:tr>
        <w:trPr/>
        <w:tc>
          <w:tcPr>
            <w:tcW w:w="124" w:type="dxa"/>
            <w:tcBorders/>
            <w:shd w:fill="1DA46F" w:val="clear"/>
            <w:vAlign w:val="center"/>
          </w:tcPr>
          <w:p>
            <w:pPr>
              <w:pStyle w:val="TableContents"/>
              <w:spacing w:before="0" w:after="283"/>
              <w:rPr/>
            </w:pPr>
            <w:r>
              <w:rPr/>
              <w:t>​</w:t>
            </w:r>
          </w:p>
        </w:tc>
        <w:tc>
          <w:tcPr>
            <w:tcW w:w="3431" w:type="dxa"/>
            <w:tcBorders/>
            <w:shd w:fill="1DA46F" w:val="clear"/>
            <w:vAlign w:val="center"/>
          </w:tcPr>
          <w:p>
            <w:pPr>
              <w:pStyle w:val="TableContents"/>
              <w:spacing w:lineRule="atLeast" w:line="360" w:before="0" w:after="0"/>
              <w:rPr/>
            </w:pPr>
            <w:r>
              <w:rPr>
                <w:spacing w:val="-5"/>
              </w:rPr>
              <w:t>EXECUTIVE COMPENSATION</w:t>
            </w:r>
            <w:r>
              <w:rPr/>
              <w:t xml:space="preserve"> </w:t>
            </w:r>
          </w:p>
        </w:tc>
        <w:tc>
          <w:tcPr>
            <w:tcW w:w="154" w:type="dxa"/>
            <w:tcBorders/>
            <w:shd w:fill="1DA46F" w:val="clear"/>
            <w:vAlign w:val="center"/>
          </w:tcPr>
          <w:p>
            <w:pPr>
              <w:pStyle w:val="TableContents"/>
              <w:spacing w:before="0" w:after="283"/>
              <w:rPr/>
            </w:pPr>
            <w:r>
              <w:rPr/>
              <w:t>​</w:t>
            </w:r>
          </w:p>
        </w:tc>
      </w:tr>
    </w:tbl>
    <w:p>
      <w:pPr>
        <w:pStyle w:val="TextBody"/>
        <w:spacing w:lineRule="atLeast" w:line="240" w:before="360" w:after="283"/>
        <w:ind w:left="1560"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the NEO will receive a lump sum payment in an amount equal to such NEO’s target annual bonus, and</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0" distB="0" distL="254000" distR="0" simplePos="0" locked="0" layoutInCell="1" allowOverlap="1" relativeHeight="107">
                <wp:simplePos x="0" y="0"/>
                <wp:positionH relativeFrom="column">
                  <wp:align>left</wp:align>
                </wp:positionH>
                <wp:positionV relativeFrom="line">
                  <wp:posOffset>635</wp:posOffset>
                </wp:positionV>
                <wp:extent cx="127000" cy="350520"/>
                <wp:effectExtent l="0" t="0" r="0" b="0"/>
                <wp:wrapSquare wrapText="largest"/>
                <wp:docPr id="117" name="Frame84"/>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spacing w:lineRule="atLeast" w:line="240" w:before="0" w:after="283"/>
                        <w:jc w:val="left"/>
                        <w:rPr/>
                      </w:pPr>
                      <w:r>
                        <w:rPr>
                          <w:spacing w:val="-1"/>
                        </w:rPr>
                        <w:t>•</w:t>
                      </w:r>
                      <w:r>
                        <w:rPr/>
                        <w:t xml:space="preserve"> </w:t>
                      </w:r>
                      <w:r>
                        <w:rPr/>
                        <w:br/>
                      </w:r>
                    </w:p>
                  </w:txbxContent>
                </v:textbox>
                <w10:wrap type="square" side="right"/>
              </v:rect>
            </w:pict>
          </mc:Fallback>
        </mc:AlternateContent>
      </w:r>
    </w:p>
    <w:p>
      <w:pPr>
        <w:pStyle w:val="TextBody"/>
        <w:spacing w:before="0" w:after="0"/>
        <w:ind w:left="960" w:right="0" w:hanging="0"/>
        <w:rPr>
          <w:caps w:val="false"/>
          <w:smallCaps w:val="false"/>
          <w:color w:val="000000"/>
        </w:rPr>
      </w:pPr>
      <w:r>
        <w:rPr>
          <w:caps w:val="false"/>
          <w:smallCaps w:val="false"/>
          <w:color w:val="000000"/>
        </w:rPr>
        <w:t>​</w:t>
      </w:r>
    </w:p>
    <w:p>
      <w:pPr>
        <w:pStyle w:val="TextBody"/>
        <w:spacing w:lineRule="atLeast" w:line="240" w:before="120" w:after="0"/>
        <w:ind w:left="156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all of such NEO’s outstanding equity awards that are subject to vesting solely based on the passage of time will vest in full on the later of the NEO’s termination date and the change in control.</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108">
                <wp:simplePos x="0" y="0"/>
                <wp:positionH relativeFrom="column">
                  <wp:align>left</wp:align>
                </wp:positionH>
                <wp:positionV relativeFrom="line">
                  <wp:align>top</wp:align>
                </wp:positionV>
                <wp:extent cx="127000" cy="350520"/>
                <wp:effectExtent l="0" t="0" r="0" b="0"/>
                <wp:wrapSquare wrapText="largest"/>
                <wp:docPr id="118" name="Frame85"/>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both"/>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spacing w:lineRule="atLeast" w:line="240" w:before="0" w:after="283"/>
                        <w:jc w:val="both"/>
                        <w:rPr/>
                      </w:pPr>
                      <w:r>
                        <w:rPr>
                          <w:spacing w:val="-1"/>
                        </w:rPr>
                        <w:t>•</w:t>
                      </w:r>
                      <w:r>
                        <w:rPr/>
                        <w:t xml:space="preserve"> </w:t>
                      </w:r>
                      <w:r>
                        <w:rPr/>
                        <w:br/>
                      </w:r>
                    </w:p>
                  </w:txbxContent>
                </v:textbox>
                <w10:wrap type="square" side="right"/>
              </v:rect>
            </w:pict>
          </mc:Fallback>
        </mc:AlternateContent>
      </w:r>
    </w:p>
    <w:p>
      <w:pPr>
        <w:pStyle w:val="TextBody"/>
        <w:spacing w:before="0" w:after="0"/>
        <w:ind w:left="960" w:right="0" w:hanging="0"/>
        <w:rPr>
          <w:caps w:val="false"/>
          <w:smallCaps w:val="false"/>
          <w:color w:val="000000"/>
        </w:rPr>
      </w:pPr>
      <w:r>
        <w:rPr>
          <w:caps w:val="false"/>
          <w:smallCaps w:val="false"/>
          <w:color w:val="000000"/>
        </w:rPr>
        <w:t>​</w:t>
      </w:r>
    </w:p>
    <w:p>
      <w:pPr>
        <w:pStyle w:val="TextBody"/>
        <w:spacing w:lineRule="atLeast" w:line="240" w:before="160" w:after="283"/>
        <w:jc w:val="both"/>
        <w:rPr>
          <w:rFonts w:ascii="Arial;Helvetica;sans-serif" w:hAnsi="Arial;Helvetica;sans-serif"/>
          <w:b w:val="false"/>
          <w:i w:val="false"/>
          <w:caps w:val="false"/>
          <w:smallCaps w:val="false"/>
          <w:color w:val="000000"/>
          <w:spacing w:val="-1"/>
          <w:sz w:val="20"/>
        </w:rPr>
      </w:pPr>
      <w:r>
        <w:rPr>
          <w:rFonts w:ascii="Arial;Helvetica;sans-serif" w:hAnsi="Arial;Helvetica;sans-serif"/>
          <w:b w:val="false"/>
          <w:i w:val="false"/>
          <w:caps w:val="false"/>
          <w:smallCaps w:val="false"/>
          <w:color w:val="000000"/>
          <w:spacing w:val="-1"/>
          <w:sz w:val="20"/>
        </w:rPr>
        <w:t xml:space="preserve">In each case, the payment of severance benefits will be conditioned on the NEO’s execution of a release of claims. </w:t>
      </w:r>
    </w:p>
    <w:p>
      <w:pPr>
        <w:pStyle w:val="TextBody"/>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For purposes of each of the employment agreements described above:</w:t>
      </w:r>
      <w:r>
        <w:rPr>
          <w:rFonts w:ascii="Arial;Helvetica;sans-serif" w:hAnsi="Arial;Helvetica;sans-serif"/>
          <w:b w:val="false"/>
          <w:i w:val="false"/>
          <w:caps w:val="false"/>
          <w:smallCaps w:val="false"/>
          <w:color w:val="000000"/>
          <w:spacing w:val="4"/>
          <w:sz w:val="20"/>
        </w:rPr>
        <w:t xml:space="preserve"> </w:t>
      </w:r>
    </w:p>
    <w:p>
      <w:pPr>
        <w:pStyle w:val="TextBody"/>
        <w:spacing w:lineRule="atLeast" w:line="240" w:before="120" w:after="0"/>
        <w:ind w:left="1560" w:right="0" w:hanging="0"/>
        <w:jc w:val="both"/>
        <w:rPr>
          <w:caps w:val="false"/>
          <w:smallCaps w:val="false"/>
          <w:color w:val="000000"/>
        </w:rPr>
      </w:pPr>
      <w:r>
        <w:rPr>
          <w:caps w:val="false"/>
          <w:smallCaps w:val="false"/>
          <w:color w:val="000000"/>
          <w:spacing w:val="-1"/>
        </w:rPr>
        <w:t>“</w:t>
      </w:r>
      <w:r>
        <w:rPr>
          <w:rFonts w:ascii="Arial;Helvetica;sans-serif" w:hAnsi="Arial;Helvetica;sans-serif"/>
          <w:b w:val="false"/>
          <w:i/>
          <w:caps w:val="false"/>
          <w:smallCaps w:val="false"/>
          <w:color w:val="000000"/>
          <w:sz w:val="20"/>
        </w:rPr>
        <w:t>cause</w:t>
      </w:r>
      <w:r>
        <w:rPr>
          <w:rFonts w:ascii="Arial;Helvetica;sans-serif" w:hAnsi="Arial;Helvetica;sans-serif"/>
          <w:b w:val="false"/>
          <w:i w:val="false"/>
          <w:caps w:val="false"/>
          <w:smallCaps w:val="false"/>
          <w:color w:val="000000"/>
          <w:spacing w:val="-1"/>
          <w:sz w:val="20"/>
        </w:rPr>
        <w:t>” means (i) conduct constituting a material act of misconduct in connection with the performance of the executive’s duties, including, without limitation, a material misappropriation of our or any of our subsidiaries or affiliates’ funds or property; (ii) the commission of any felony or a misdemeanor involving moral turpitude, deceit, dishonesty or fraud, or any conduct that would reasonably be expected to result in material injury or reputational harm to us or any of our subsidiaries and affiliates; (iii) continued material non-performance duties (other than by reason of physical or mental illness, incapacity or disability) which has continued for more than 10 days following written notice of such non-performance from the Board; (iv) a material breach of the Information Agreement (as defined below), any other agreement with the us or our affiliates, or of any duty owed to the us or our affiliates, which breach is not cured within 10 days after the delivery of written notice thereof; (v) a material violation of our written employment policies, including policies prohibiting sexual harassment, which violation is not cured within 10 days after the delivery of written notice thereof; (vi) alcohol abuse or use of controlled substances (other than prescription drugs taken in accordance with a physician’s prescription); or (vii) failure to cooperate with a bona fide internal investigation or an investigation by regulatory or law enforcement authorities, after being instructed by us to cooperate, or the willful destruction or failure to preserve documents or other materials known to be relevant to such investigation or the inducement of others to fail to cooperate or to produce documents or other materials in connection with such investigation.</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109">
                <wp:simplePos x="0" y="0"/>
                <wp:positionH relativeFrom="column">
                  <wp:align>left</wp:align>
                </wp:positionH>
                <wp:positionV relativeFrom="line">
                  <wp:align>top</wp:align>
                </wp:positionV>
                <wp:extent cx="127000" cy="350520"/>
                <wp:effectExtent l="0" t="0" r="0" b="0"/>
                <wp:wrapSquare wrapText="largest"/>
                <wp:docPr id="119" name="Frame86"/>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both"/>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spacing w:lineRule="atLeast" w:line="240" w:before="0" w:after="283"/>
                        <w:jc w:val="both"/>
                        <w:rPr/>
                      </w:pPr>
                      <w:r>
                        <w:rPr>
                          <w:spacing w:val="-1"/>
                        </w:rPr>
                        <w:t>•</w:t>
                      </w:r>
                      <w:r>
                        <w:rPr/>
                        <w:t xml:space="preserve"> </w:t>
                      </w:r>
                      <w:r>
                        <w:rPr/>
                        <w:br/>
                      </w:r>
                    </w:p>
                  </w:txbxContent>
                </v:textbox>
                <w10:wrap type="square" side="right"/>
              </v:rect>
            </w:pict>
          </mc:Fallback>
        </mc:AlternateContent>
      </w:r>
    </w:p>
    <w:p>
      <w:pPr>
        <w:pStyle w:val="TextBody"/>
        <w:spacing w:before="0" w:after="0"/>
        <w:ind w:left="960" w:right="0" w:hanging="0"/>
        <w:rPr>
          <w:caps w:val="false"/>
          <w:smallCaps w:val="false"/>
          <w:color w:val="000000"/>
        </w:rPr>
      </w:pPr>
      <w:r>
        <w:rPr>
          <w:caps w:val="false"/>
          <w:smallCaps w:val="false"/>
          <w:color w:val="000000"/>
        </w:rPr>
        <w:t>​</w:t>
      </w:r>
    </w:p>
    <w:p>
      <w:pPr>
        <w:pStyle w:val="TextBody"/>
        <w:spacing w:lineRule="atLeast" w:line="240" w:before="120" w:after="0"/>
        <w:ind w:left="1560" w:right="0" w:hanging="0"/>
        <w:jc w:val="both"/>
        <w:rPr>
          <w:caps w:val="false"/>
          <w:smallCaps w:val="false"/>
          <w:color w:val="000000"/>
        </w:rPr>
      </w:pPr>
      <w:r>
        <w:rPr>
          <w:caps w:val="false"/>
          <w:smallCaps w:val="false"/>
          <w:color w:val="000000"/>
          <w:spacing w:val="-1"/>
        </w:rPr>
        <w:t>“</w:t>
      </w:r>
      <w:r>
        <w:rPr>
          <w:rFonts w:ascii="Arial;Helvetica;sans-serif" w:hAnsi="Arial;Helvetica;sans-serif"/>
          <w:b w:val="false"/>
          <w:i/>
          <w:caps w:val="false"/>
          <w:smallCaps w:val="false"/>
          <w:color w:val="000000"/>
          <w:sz w:val="20"/>
        </w:rPr>
        <w:t>good reason</w:t>
      </w:r>
      <w:r>
        <w:rPr>
          <w:rFonts w:ascii="Arial;Helvetica;sans-serif" w:hAnsi="Arial;Helvetica;sans-serif"/>
          <w:b w:val="false"/>
          <w:i w:val="false"/>
          <w:caps w:val="false"/>
          <w:smallCaps w:val="false"/>
          <w:color w:val="000000"/>
          <w:spacing w:val="-1"/>
          <w:sz w:val="20"/>
        </w:rPr>
        <w:t>” means (i) a material diminution in title, responsibilities, authority or duties (provided that, in the case of Dr. Flores, the failure of our stockholders to re-elect him to the Board will not be construed as a material diminution in his title, responsibilities, authority or duties); (ii) a material diminution in base salary, except for across-the-board salary reductions similarly affecting all or substantially all executives of the Company; (iii) a change of more than 50 miles in the geographic location at which the executive provides services to the Company; or (iv) the material breach of the employment agreement by us; provided, however, that (a) the executive provides the Company with written objection to such event within 60 days after the initial occurrence thereof, (b) such event is not reversed or corrected by the Company within 30 days of its receipt of such written objection, and (c) the executive separates from service within 60 days following the expiration of that cure period.</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110">
                <wp:simplePos x="0" y="0"/>
                <wp:positionH relativeFrom="column">
                  <wp:align>left</wp:align>
                </wp:positionH>
                <wp:positionV relativeFrom="line">
                  <wp:align>top</wp:align>
                </wp:positionV>
                <wp:extent cx="127000" cy="350520"/>
                <wp:effectExtent l="0" t="0" r="0" b="0"/>
                <wp:wrapSquare wrapText="largest"/>
                <wp:docPr id="120" name="Frame87"/>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both"/>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spacing w:lineRule="atLeast" w:line="240" w:before="0" w:after="283"/>
                        <w:jc w:val="both"/>
                        <w:rPr/>
                      </w:pPr>
                      <w:r>
                        <w:rPr>
                          <w:spacing w:val="-1"/>
                        </w:rPr>
                        <w:t>•</w:t>
                      </w:r>
                      <w:r>
                        <w:rPr/>
                        <w:t xml:space="preserve"> </w:t>
                      </w:r>
                      <w:r>
                        <w:rPr/>
                        <w:br/>
                      </w:r>
                    </w:p>
                  </w:txbxContent>
                </v:textbox>
                <w10:wrap type="square" side="right"/>
              </v:rect>
            </w:pict>
          </mc:Fallback>
        </mc:AlternateContent>
      </w:r>
    </w:p>
    <w:p>
      <w:pPr>
        <w:pStyle w:val="TextBody"/>
        <w:spacing w:before="0" w:after="0"/>
        <w:ind w:left="960" w:right="0" w:hanging="0"/>
        <w:rPr>
          <w:caps w:val="false"/>
          <w:smallCaps w:val="false"/>
          <w:color w:val="000000"/>
        </w:rPr>
      </w:pPr>
      <w:r>
        <w:rPr>
          <w:caps w:val="false"/>
          <w:smallCaps w:val="false"/>
          <w:color w:val="000000"/>
        </w:rPr>
        <w:t>​</w:t>
      </w:r>
    </w:p>
    <w:p>
      <w:pPr>
        <w:pStyle w:val="TextBody"/>
        <w:spacing w:lineRule="atLeast" w:line="240" w:before="120" w:after="0"/>
        <w:ind w:left="1560" w:right="0" w:hanging="0"/>
        <w:jc w:val="both"/>
        <w:rPr>
          <w:caps w:val="false"/>
          <w:smallCaps w:val="false"/>
          <w:color w:val="000000"/>
        </w:rPr>
      </w:pPr>
      <w:r>
        <w:rPr>
          <w:caps w:val="false"/>
          <w:smallCaps w:val="false"/>
          <w:color w:val="000000"/>
          <w:spacing w:val="-1"/>
        </w:rPr>
        <w:t>“</w:t>
      </w:r>
      <w:r>
        <w:rPr>
          <w:rFonts w:ascii="Arial;Helvetica;sans-serif" w:hAnsi="Arial;Helvetica;sans-serif"/>
          <w:b w:val="false"/>
          <w:i w:val="false"/>
          <w:caps w:val="false"/>
          <w:smallCaps w:val="false"/>
          <w:color w:val="000000"/>
          <w:spacing w:val="-1"/>
          <w:sz w:val="20"/>
        </w:rPr>
        <w:t>c</w:t>
      </w:r>
      <w:r>
        <w:rPr>
          <w:rFonts w:ascii="Arial;Helvetica;sans-serif" w:hAnsi="Arial;Helvetica;sans-serif"/>
          <w:b w:val="false"/>
          <w:i/>
          <w:caps w:val="false"/>
          <w:smallCaps w:val="false"/>
          <w:color w:val="000000"/>
          <w:sz w:val="20"/>
        </w:rPr>
        <w:t>hange of control</w:t>
      </w:r>
      <w:r>
        <w:rPr>
          <w:rFonts w:ascii="Arial;Helvetica;sans-serif" w:hAnsi="Arial;Helvetica;sans-serif"/>
          <w:b w:val="false"/>
          <w:i w:val="false"/>
          <w:caps w:val="false"/>
          <w:smallCaps w:val="false"/>
          <w:color w:val="000000"/>
          <w:spacing w:val="-1"/>
          <w:sz w:val="20"/>
        </w:rPr>
        <w:t>” means: (i) any sale, of all or substantially all of our assets or (ii) our acquisition by another entity by means of any transaction (including a series of related transactions, but excluding our sale of securities for the purpose of raising additional capital) whereby our stockholders of record immediately prior to such transaction hold, immediately after such transactions, 50% or less of the voting power of the surviving or acquiring entity.</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111">
                <wp:simplePos x="0" y="0"/>
                <wp:positionH relativeFrom="column">
                  <wp:align>left</wp:align>
                </wp:positionH>
                <wp:positionV relativeFrom="line">
                  <wp:align>top</wp:align>
                </wp:positionV>
                <wp:extent cx="127000" cy="350520"/>
                <wp:effectExtent l="0" t="0" r="0" b="0"/>
                <wp:wrapSquare wrapText="largest"/>
                <wp:docPr id="121" name="Frame88"/>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both"/>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spacing w:lineRule="atLeast" w:line="240" w:before="0" w:after="283"/>
                        <w:jc w:val="both"/>
                        <w:rPr/>
                      </w:pPr>
                      <w:r>
                        <w:rPr>
                          <w:spacing w:val="-1"/>
                        </w:rPr>
                        <w:t>•</w:t>
                      </w:r>
                      <w:r>
                        <w:rPr/>
                        <w:t xml:space="preserve"> </w:t>
                      </w:r>
                      <w:r>
                        <w:rPr/>
                        <w:br/>
                      </w:r>
                    </w:p>
                  </w:txbxContent>
                </v:textbox>
                <w10:wrap type="square" side="right"/>
              </v:rect>
            </w:pict>
          </mc:Fallback>
        </mc:AlternateContent>
      </w:r>
    </w:p>
    <w:p>
      <w:pPr>
        <w:pStyle w:val="TextBody"/>
        <w:spacing w:before="0" w:after="0"/>
        <w:ind w:left="960" w:right="0" w:hanging="0"/>
        <w:rPr>
          <w:caps w:val="false"/>
          <w:smallCaps w:val="false"/>
          <w:color w:val="000000"/>
        </w:rPr>
      </w:pPr>
      <w:r>
        <w:rPr>
          <w:caps w:val="false"/>
          <w:smallCaps w:val="false"/>
          <w:color w:val="000000"/>
        </w:rPr>
        <w:t>​</w:t>
      </w:r>
    </w:p>
    <w:p>
      <w:pPr>
        <w:pStyle w:val="TextBody"/>
        <w:spacing w:lineRule="atLeast" w:line="240" w:before="240" w:after="283"/>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0"/>
          <w:sz w:val="20"/>
        </w:rPr>
        <w:t>Proprietary Information and Assignment Agreements</w:t>
      </w:r>
      <w:r>
        <w:rPr>
          <w:rFonts w:ascii="Arial;Helvetica;sans-serif" w:hAnsi="Arial;Helvetica;sans-serif"/>
          <w:b/>
          <w:i w:val="false"/>
          <w:caps w:val="false"/>
          <w:smallCaps w:val="false"/>
          <w:color w:val="000000"/>
          <w:spacing w:val="4"/>
          <w:sz w:val="20"/>
        </w:rPr>
        <w:t xml:space="preserve"> </w:t>
      </w:r>
    </w:p>
    <w:p>
      <w:pPr>
        <w:pStyle w:val="TextBody"/>
        <w:spacing w:lineRule="atLeast" w:line="240" w:before="160" w:after="283"/>
        <w:jc w:val="both"/>
        <w:rPr>
          <w:rFonts w:ascii="Arial;Helvetica;sans-serif" w:hAnsi="Arial;Helvetica;sans-serif"/>
          <w:b w:val="false"/>
          <w:i w:val="false"/>
          <w:caps w:val="false"/>
          <w:smallCaps w:val="false"/>
          <w:color w:val="000000"/>
          <w:spacing w:val="-1"/>
          <w:sz w:val="20"/>
        </w:rPr>
      </w:pPr>
      <w:r>
        <w:rPr>
          <w:rFonts w:ascii="Arial;Helvetica;sans-serif" w:hAnsi="Arial;Helvetica;sans-serif"/>
          <w:b w:val="false"/>
          <w:i w:val="false"/>
          <w:caps w:val="false"/>
          <w:smallCaps w:val="false"/>
          <w:color w:val="000000"/>
          <w:spacing w:val="-1"/>
          <w:sz w:val="20"/>
        </w:rPr>
        <w:t xml:space="preserve">We have entered into proprietary information and assignment agreements, or the Information Agreements, with all of our NEOs, that include customary prohibitions against competition with us and solicitation of our customers and employees, both during employment and for one year following any cessation of employment (for Dr. Flores) or for nine months following cessation of employment (for each of Dr. Diem and Dr. Farid). The Information Agreements are incorporated by reference into the employment agreements and payment of any severance benefits under each executive’s employment agreement is conditioned on continued compliance with his or her Information Agreement. </w:t>
      </w:r>
    </w:p>
    <w:p>
      <w:pPr>
        <w:pStyle w:val="TextBody"/>
        <w:spacing w:lineRule="atLeast" w:line="240" w:before="100" w:after="283"/>
        <w:ind w:left="960" w:right="0" w:hanging="0"/>
        <w:jc w:val="righ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1DA46F"/>
          <w:spacing w:val="0"/>
          <w:sz w:val="20"/>
        </w:rPr>
        <w:t>Notice of Annual Meeting of Stockholders</w:t>
      </w:r>
      <w:r>
        <w:rPr>
          <w:rFonts w:ascii="Arial;Helvetica;sans-serif" w:hAnsi="Arial;Helvetica;sans-serif"/>
          <w:b/>
          <w:i w:val="false"/>
          <w:caps w:val="false"/>
          <w:smallCaps w:val="false"/>
          <w:color w:val="000000"/>
          <w:spacing w:val="0"/>
          <w:sz w:val="20"/>
        </w:rPr>
        <w:t> and 2023 Proxy Statement | </w:t>
      </w:r>
      <w:r>
        <w:rPr>
          <w:rFonts w:ascii="Arial;Helvetica;sans-serif" w:hAnsi="Arial;Helvetica;sans-serif"/>
          <w:b w:val="false"/>
          <w:i w:val="false"/>
          <w:caps w:val="false"/>
          <w:smallCaps w:val="false"/>
          <w:color w:val="000000"/>
          <w:spacing w:val="-1"/>
          <w:sz w:val="20"/>
        </w:rPr>
        <w:t>27</w:t>
      </w:r>
      <w:r>
        <w:rPr>
          <w:rFonts w:ascii="Arial;Helvetica;sans-serif" w:hAnsi="Arial;Helvetica;sans-serif"/>
          <w:b/>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50" w:name="tCRAR"/>
      <w:bookmarkEnd w:id="50"/>
      <w:r>
        <w:rPr>
          <w:rFonts w:ascii="calibri;arial;sans-serif" w:hAnsi="calibri;arial;sans-serif"/>
          <w:b w:val="false"/>
          <w:i w:val="false"/>
          <w:caps w:val="false"/>
          <w:smallCaps w:val="false"/>
          <w:color w:val="000000"/>
          <w:sz w:val="16"/>
        </w:rPr>
        <w:t xml:space="preserve">​ </w:t>
      </w:r>
    </w:p>
    <w:tbl>
      <w:tblPr>
        <w:tblW w:w="5964" w:type="dxa"/>
        <w:jc w:val="left"/>
        <w:tblInd w:w="960" w:type="dxa"/>
        <w:tblCellMar>
          <w:top w:w="0" w:type="dxa"/>
          <w:left w:w="0" w:type="dxa"/>
          <w:bottom w:w="0" w:type="dxa"/>
          <w:right w:w="0" w:type="dxa"/>
        </w:tblCellMar>
      </w:tblPr>
      <w:tblGrid>
        <w:gridCol w:w="124"/>
        <w:gridCol w:w="5686"/>
        <w:gridCol w:w="154"/>
      </w:tblGrid>
      <w:tr>
        <w:trPr/>
        <w:tc>
          <w:tcPr>
            <w:tcW w:w="124" w:type="dxa"/>
            <w:tcBorders/>
            <w:shd w:fill="1DA46F" w:val="clear"/>
            <w:vAlign w:val="center"/>
          </w:tcPr>
          <w:p>
            <w:pPr>
              <w:pStyle w:val="TableContents"/>
              <w:spacing w:before="0" w:after="283"/>
              <w:rPr/>
            </w:pPr>
            <w:r>
              <w:rPr/>
              <w:t>​</w:t>
            </w:r>
          </w:p>
        </w:tc>
        <w:tc>
          <w:tcPr>
            <w:tcW w:w="5686" w:type="dxa"/>
            <w:tcBorders/>
            <w:shd w:fill="1DA46F" w:val="clear"/>
            <w:vAlign w:val="center"/>
          </w:tcPr>
          <w:p>
            <w:pPr>
              <w:pStyle w:val="TableContents"/>
              <w:spacing w:lineRule="atLeast" w:line="432" w:before="0" w:after="0"/>
              <w:rPr/>
            </w:pPr>
            <w:r>
              <w:rPr>
                <w:spacing w:val="-5"/>
              </w:rPr>
              <w:t xml:space="preserve">CERTAIN RELATIONSHIPS AND RELATED PARTY </w:t>
            </w:r>
            <w:r>
              <w:rPr/>
              <w:br/>
            </w:r>
            <w:r>
              <w:rPr>
                <w:spacing w:val="-5"/>
              </w:rPr>
              <w:t>TRANSACTIONS</w:t>
            </w:r>
            <w:r>
              <w:rPr/>
              <w:t xml:space="preserve"> </w:t>
            </w:r>
          </w:p>
        </w:tc>
        <w:tc>
          <w:tcPr>
            <w:tcW w:w="154" w:type="dxa"/>
            <w:tcBorders/>
            <w:shd w:fill="1DA46F" w:val="clear"/>
            <w:vAlign w:val="center"/>
          </w:tcPr>
          <w:p>
            <w:pPr>
              <w:pStyle w:val="TableContents"/>
              <w:spacing w:before="0" w:after="283"/>
              <w:rPr/>
            </w:pPr>
            <w:r>
              <w:rPr/>
              <w:t>​</w:t>
            </w:r>
          </w:p>
        </w:tc>
      </w:tr>
    </w:tbl>
    <w:p>
      <w:pPr>
        <w:pStyle w:val="TextBody"/>
        <w:spacing w:lineRule="atLeast" w:line="240" w:before="360" w:after="283"/>
        <w:ind w:left="96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Since January 1, 2021, we have engaged in the following transactions with our directors, executive officers, holders of more than 5% of our voting securities, and affiliates or immediate family members of our directors, executive officers, and holders of more than 5% of our voting securities. We believe that all of these transactions were on terms as favorable as could have been obtained from unrelated third parties.</w:t>
      </w:r>
      <w:r>
        <w:rPr>
          <w:rFonts w:ascii="Arial;Helvetica;sans-serif" w:hAnsi="Arial;Helvetica;sans-serif"/>
          <w:b w:val="false"/>
          <w:i w:val="false"/>
          <w:caps w:val="false"/>
          <w:smallCaps w:val="false"/>
          <w:color w:val="000000"/>
          <w:spacing w:val="4"/>
          <w:sz w:val="20"/>
        </w:rPr>
        <w:t xml:space="preserve"> </w:t>
      </w:r>
    </w:p>
    <w:p>
      <w:pPr>
        <w:pStyle w:val="TextBody"/>
        <w:spacing w:lineRule="atLeast" w:line="240" w:before="240" w:after="283"/>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0"/>
          <w:sz w:val="20"/>
        </w:rPr>
        <w:t>Series C Financing</w:t>
      </w:r>
      <w:r>
        <w:rPr>
          <w:rFonts w:ascii="Arial;Helvetica;sans-serif" w:hAnsi="Arial;Helvetica;sans-serif"/>
          <w:b/>
          <w:i w:val="false"/>
          <w:caps w:val="false"/>
          <w:smallCaps w:val="false"/>
          <w:color w:val="000000"/>
          <w:spacing w:val="4"/>
          <w:sz w:val="20"/>
        </w:rPr>
        <w:t xml:space="preserve"> </w:t>
      </w:r>
    </w:p>
    <w:p>
      <w:pPr>
        <w:pStyle w:val="TextBody"/>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On February 25, 2021, we sold 24,721,999 shares of our Series C preferred stock, par value $0.0001 per share, or the Series C Preferred Stock for gross proceeds of approximately $160 million, or the Series C Financing. The table below sets forth the number of shares of Series C Preferred Stock purchased by holders of more than 5% of our capital stock and their affiliated entities or immediate family members.</w:t>
      </w:r>
      <w:r>
        <w:rPr>
          <w:rFonts w:ascii="Arial;Helvetica;sans-serif" w:hAnsi="Arial;Helvetica;sans-serif"/>
          <w:b w:val="false"/>
          <w:i w:val="false"/>
          <w:caps w:val="false"/>
          <w:smallCaps w:val="false"/>
          <w:color w:val="000000"/>
          <w:spacing w:val="4"/>
          <w:sz w:val="20"/>
        </w:rPr>
        <w:t xml:space="preserve"> </w:t>
      </w:r>
    </w:p>
    <w:tbl>
      <w:tblPr>
        <w:tblW w:w="9245" w:type="dxa"/>
        <w:jc w:val="left"/>
        <w:tblInd w:w="960" w:type="dxa"/>
        <w:tblCellMar>
          <w:top w:w="0" w:type="dxa"/>
          <w:left w:w="0" w:type="dxa"/>
          <w:bottom w:w="0" w:type="dxa"/>
          <w:right w:w="0" w:type="dxa"/>
        </w:tblCellMar>
      </w:tblPr>
      <w:tblGrid>
        <w:gridCol w:w="124"/>
        <w:gridCol w:w="109"/>
        <w:gridCol w:w="3100"/>
        <w:gridCol w:w="109"/>
        <w:gridCol w:w="109"/>
        <w:gridCol w:w="201"/>
        <w:gridCol w:w="201"/>
        <w:gridCol w:w="1973"/>
        <w:gridCol w:w="203"/>
        <w:gridCol w:w="109"/>
        <w:gridCol w:w="109"/>
        <w:gridCol w:w="148"/>
        <w:gridCol w:w="307"/>
        <w:gridCol w:w="2027"/>
        <w:gridCol w:w="148"/>
        <w:gridCol w:w="109"/>
        <w:gridCol w:w="159"/>
      </w:tblGrid>
      <w:tr>
        <w:trPr/>
        <w:tc>
          <w:tcPr>
            <w:tcW w:w="124" w:type="dxa"/>
            <w:tcBorders/>
            <w:shd w:fill="auto" w:val="clear"/>
            <w:vAlign w:val="center"/>
          </w:tcPr>
          <w:p>
            <w:pPr>
              <w:pStyle w:val="TableContents"/>
              <w:spacing w:before="0" w:after="283"/>
              <w:rPr/>
            </w:pPr>
            <w:r>
              <w:rPr/>
              <w:t>​</w:t>
            </w:r>
          </w:p>
        </w:tc>
        <w:tc>
          <w:tcPr>
            <w:tcW w:w="109" w:type="dxa"/>
            <w:tcBorders>
              <w:bottom w:val="single" w:sz="2" w:space="0" w:color="000000"/>
            </w:tcBorders>
            <w:shd w:fill="148CD9" w:val="clear"/>
            <w:tcMar>
              <w:bottom w:w="28" w:type="dxa"/>
            </w:tcMar>
            <w:vAlign w:val="center"/>
          </w:tcPr>
          <w:p>
            <w:pPr>
              <w:pStyle w:val="TableContents"/>
              <w:spacing w:before="0" w:after="283"/>
              <w:rPr/>
            </w:pPr>
            <w:r>
              <w:rPr/>
              <w:t>​</w:t>
            </w:r>
          </w:p>
        </w:tc>
        <w:tc>
          <w:tcPr>
            <w:tcW w:w="3100" w:type="dxa"/>
            <w:tcBorders>
              <w:bottom w:val="single" w:sz="2" w:space="0" w:color="000000"/>
            </w:tcBorders>
            <w:shd w:fill="148CD9" w:val="clear"/>
            <w:tcMar>
              <w:bottom w:w="28" w:type="dxa"/>
            </w:tcMar>
            <w:vAlign w:val="center"/>
          </w:tcPr>
          <w:p>
            <w:pPr>
              <w:pStyle w:val="TableContents"/>
              <w:spacing w:before="0" w:after="0"/>
              <w:jc w:val="center"/>
              <w:rPr>
                <w:spacing w:val="-2"/>
              </w:rPr>
            </w:pPr>
            <w:r>
              <w:rPr>
                <w:spacing w:val="-2"/>
              </w:rPr>
              <w:t xml:space="preserve">NAME </w:t>
            </w:r>
          </w:p>
        </w:tc>
        <w:tc>
          <w:tcPr>
            <w:tcW w:w="109" w:type="dxa"/>
            <w:tcBorders>
              <w:bottom w:val="single" w:sz="2" w:space="0" w:color="000000"/>
            </w:tcBorders>
            <w:shd w:fill="148CD9" w:val="clear"/>
            <w:tcMar>
              <w:bottom w:w="28" w:type="dxa"/>
            </w:tcMar>
            <w:vAlign w:val="center"/>
          </w:tcPr>
          <w:p>
            <w:pPr>
              <w:pStyle w:val="TableContents"/>
              <w:spacing w:before="0" w:after="283"/>
              <w:rPr/>
            </w:pPr>
            <w:r>
              <w:rPr/>
              <w:t>​</w:t>
            </w:r>
          </w:p>
        </w:tc>
        <w:tc>
          <w:tcPr>
            <w:tcW w:w="109" w:type="dxa"/>
            <w:tcBorders>
              <w:bottom w:val="single" w:sz="2" w:space="0" w:color="000000"/>
            </w:tcBorders>
            <w:shd w:fill="148CD9" w:val="clear"/>
            <w:tcMar>
              <w:bottom w:w="28" w:type="dxa"/>
            </w:tcMar>
            <w:vAlign w:val="center"/>
          </w:tcPr>
          <w:p>
            <w:pPr>
              <w:pStyle w:val="TableContents"/>
              <w:spacing w:before="0" w:after="283"/>
              <w:rPr/>
            </w:pPr>
            <w:r>
              <w:rPr/>
              <w:t>​</w:t>
            </w:r>
          </w:p>
        </w:tc>
        <w:tc>
          <w:tcPr>
            <w:tcW w:w="2578" w:type="dxa"/>
            <w:gridSpan w:val="4"/>
            <w:tcBorders>
              <w:bottom w:val="single" w:sz="2" w:space="0" w:color="000000"/>
            </w:tcBorders>
            <w:shd w:fill="148CD9" w:val="clear"/>
            <w:tcMar>
              <w:bottom w:w="28" w:type="dxa"/>
            </w:tcMar>
            <w:vAlign w:val="center"/>
          </w:tcPr>
          <w:p>
            <w:pPr>
              <w:pStyle w:val="TableContents"/>
              <w:spacing w:before="0" w:after="0"/>
              <w:jc w:val="center"/>
              <w:rPr/>
            </w:pPr>
            <w:r>
              <w:rPr>
                <w:spacing w:val="-2"/>
              </w:rPr>
              <w:t xml:space="preserve">SHARES OF SERIES C </w:t>
            </w:r>
            <w:r>
              <w:rPr/>
              <w:br/>
            </w:r>
            <w:r>
              <w:rPr>
                <w:spacing w:val="-2"/>
              </w:rPr>
              <w:t xml:space="preserve">PREFERRED STOCK (#) </w:t>
            </w:r>
          </w:p>
        </w:tc>
        <w:tc>
          <w:tcPr>
            <w:tcW w:w="109" w:type="dxa"/>
            <w:tcBorders>
              <w:bottom w:val="single" w:sz="2" w:space="0" w:color="000000"/>
            </w:tcBorders>
            <w:shd w:fill="148CD9" w:val="clear"/>
            <w:tcMar>
              <w:bottom w:w="28" w:type="dxa"/>
            </w:tcMar>
            <w:vAlign w:val="center"/>
          </w:tcPr>
          <w:p>
            <w:pPr>
              <w:pStyle w:val="TableContents"/>
              <w:spacing w:before="0" w:after="283"/>
              <w:rPr/>
            </w:pPr>
            <w:r>
              <w:rPr/>
              <w:t>​</w:t>
            </w:r>
          </w:p>
        </w:tc>
        <w:tc>
          <w:tcPr>
            <w:tcW w:w="109" w:type="dxa"/>
            <w:tcBorders>
              <w:bottom w:val="single" w:sz="2" w:space="0" w:color="000000"/>
            </w:tcBorders>
            <w:shd w:fill="148CD9" w:val="clear"/>
            <w:tcMar>
              <w:bottom w:w="28" w:type="dxa"/>
            </w:tcMar>
            <w:vAlign w:val="center"/>
          </w:tcPr>
          <w:p>
            <w:pPr>
              <w:pStyle w:val="TableContents"/>
              <w:spacing w:before="0" w:after="283"/>
              <w:rPr/>
            </w:pPr>
            <w:r>
              <w:rPr/>
              <w:t>​</w:t>
            </w:r>
          </w:p>
        </w:tc>
        <w:tc>
          <w:tcPr>
            <w:tcW w:w="2630" w:type="dxa"/>
            <w:gridSpan w:val="4"/>
            <w:tcBorders>
              <w:bottom w:val="single" w:sz="2" w:space="0" w:color="000000"/>
            </w:tcBorders>
            <w:shd w:fill="148CD9" w:val="clear"/>
            <w:tcMar>
              <w:bottom w:w="46" w:type="dxa"/>
            </w:tcMar>
            <w:vAlign w:val="center"/>
          </w:tcPr>
          <w:p>
            <w:pPr>
              <w:pStyle w:val="TableContents"/>
              <w:spacing w:before="0" w:after="0"/>
              <w:jc w:val="center"/>
              <w:rPr/>
            </w:pPr>
            <w:r>
              <w:rPr>
                <w:spacing w:val="-2"/>
              </w:rPr>
              <w:t>AGGREGATE CASH</w:t>
            </w:r>
            <w:r>
              <w:rPr/>
              <w:t xml:space="preserve"> </w:t>
              <w:br/>
            </w:r>
            <w:r>
              <w:rPr>
                <w:spacing w:val="-2"/>
              </w:rPr>
              <w:t>PURCHASE PRICE FOR</w:t>
            </w:r>
            <w:r>
              <w:rPr/>
              <w:t xml:space="preserve"> </w:t>
              <w:br/>
            </w:r>
            <w:r>
              <w:rPr>
                <w:spacing w:val="-2"/>
              </w:rPr>
              <w:t>SERIES B</w:t>
            </w:r>
            <w:r>
              <w:rPr/>
              <w:t xml:space="preserve"> </w:t>
              <w:br/>
            </w:r>
            <w:r>
              <w:rPr>
                <w:spacing w:val="-2"/>
              </w:rPr>
              <w:t xml:space="preserve">PREFERRED STOCK ($) </w:t>
            </w:r>
          </w:p>
        </w:tc>
        <w:tc>
          <w:tcPr>
            <w:tcW w:w="109" w:type="dxa"/>
            <w:tcBorders>
              <w:bottom w:val="single" w:sz="2" w:space="0" w:color="000000"/>
            </w:tcBorders>
            <w:shd w:fill="148CD9" w:val="clear"/>
            <w:tcMar>
              <w:bottom w:w="28" w:type="dxa"/>
            </w:tcMar>
            <w:vAlign w:val="center"/>
          </w:tcPr>
          <w:p>
            <w:pPr>
              <w:pStyle w:val="TableContents"/>
              <w:spacing w:before="0" w:after="283"/>
              <w:rPr/>
            </w:pPr>
            <w:r>
              <w:rPr/>
              <w:t>​</w:t>
            </w:r>
          </w:p>
        </w:tc>
        <w:tc>
          <w:tcPr>
            <w:tcW w:w="159" w:type="dxa"/>
            <w:tcBorders/>
            <w:shd w:fill="auto"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3100" w:type="dxa"/>
            <w:tcBorders>
              <w:bottom w:val="single" w:sz="2" w:space="0" w:color="000000"/>
            </w:tcBorders>
            <w:shd w:fill="auto" w:val="clear"/>
            <w:tcMar>
              <w:bottom w:w="50" w:type="dxa"/>
            </w:tcMar>
            <w:vAlign w:val="center"/>
          </w:tcPr>
          <w:p>
            <w:pPr>
              <w:pStyle w:val="TableContents"/>
              <w:spacing w:before="0" w:after="283"/>
              <w:jc w:val="left"/>
              <w:rPr>
                <w:spacing w:val="-1"/>
              </w:rPr>
            </w:pPr>
            <w:r>
              <w:rPr>
                <w:spacing w:val="-1"/>
              </w:rPr>
              <w:t xml:space="preserve">Versant Entities(1) </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201" w:type="dxa"/>
            <w:tcBorders>
              <w:bottom w:val="single" w:sz="2" w:space="0" w:color="000000"/>
            </w:tcBorders>
            <w:shd w:fill="auto" w:val="clear"/>
            <w:tcMar>
              <w:bottom w:w="28" w:type="dxa"/>
            </w:tcMar>
            <w:vAlign w:val="center"/>
          </w:tcPr>
          <w:p>
            <w:pPr>
              <w:pStyle w:val="TableContents"/>
              <w:spacing w:before="0" w:after="283"/>
              <w:rPr/>
            </w:pPr>
            <w:r>
              <w:rPr/>
              <w:t>​</w:t>
            </w:r>
          </w:p>
        </w:tc>
        <w:tc>
          <w:tcPr>
            <w:tcW w:w="201" w:type="dxa"/>
            <w:tcBorders>
              <w:bottom w:val="single" w:sz="2" w:space="0" w:color="000000"/>
            </w:tcBorders>
            <w:shd w:fill="auto" w:val="clear"/>
            <w:tcMar>
              <w:bottom w:w="50" w:type="dxa"/>
            </w:tcMar>
            <w:vAlign w:val="center"/>
          </w:tcPr>
          <w:p>
            <w:pPr>
              <w:pStyle w:val="TableContents"/>
              <w:spacing w:before="0" w:after="283"/>
              <w:jc w:val="right"/>
              <w:rPr/>
            </w:pPr>
            <w:r>
              <w:rPr/>
              <w:t>​</w:t>
            </w:r>
          </w:p>
        </w:tc>
        <w:tc>
          <w:tcPr>
            <w:tcW w:w="1973" w:type="dxa"/>
            <w:tcBorders>
              <w:bottom w:val="single" w:sz="2" w:space="0" w:color="000000"/>
            </w:tcBorders>
            <w:shd w:fill="auto" w:val="clear"/>
            <w:tcMar>
              <w:bottom w:w="50" w:type="dxa"/>
            </w:tcMar>
            <w:vAlign w:val="center"/>
          </w:tcPr>
          <w:p>
            <w:pPr>
              <w:pStyle w:val="TableContents"/>
              <w:spacing w:before="0" w:after="283"/>
              <w:jc w:val="right"/>
              <w:rPr/>
            </w:pPr>
            <w:r>
              <w:rPr/>
              <w:t>1,545,125</w:t>
            </w:r>
          </w:p>
        </w:tc>
        <w:tc>
          <w:tcPr>
            <w:tcW w:w="203" w:type="dxa"/>
            <w:tcBorders>
              <w:bottom w:val="single" w:sz="2" w:space="0" w:color="000000"/>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48" w:type="dxa"/>
            <w:tcBorders>
              <w:bottom w:val="single" w:sz="2" w:space="0" w:color="000000"/>
            </w:tcBorders>
            <w:shd w:fill="auto" w:val="clear"/>
            <w:tcMar>
              <w:bottom w:w="28" w:type="dxa"/>
            </w:tcMar>
            <w:vAlign w:val="center"/>
          </w:tcPr>
          <w:p>
            <w:pPr>
              <w:pStyle w:val="TableContents"/>
              <w:spacing w:before="0" w:after="283"/>
              <w:rPr/>
            </w:pPr>
            <w:r>
              <w:rPr/>
              <w:t>​</w:t>
            </w:r>
          </w:p>
        </w:tc>
        <w:tc>
          <w:tcPr>
            <w:tcW w:w="307" w:type="dxa"/>
            <w:tcBorders>
              <w:bottom w:val="single" w:sz="2" w:space="0" w:color="000000"/>
            </w:tcBorders>
            <w:shd w:fill="auto" w:val="clear"/>
            <w:tcMar>
              <w:bottom w:w="50" w:type="dxa"/>
            </w:tcMar>
            <w:vAlign w:val="center"/>
          </w:tcPr>
          <w:p>
            <w:pPr>
              <w:pStyle w:val="TableContents"/>
              <w:spacing w:before="0" w:after="283"/>
              <w:jc w:val="right"/>
              <w:rPr/>
            </w:pPr>
            <w:r>
              <w:rPr/>
              <w:t>$</w:t>
            </w:r>
          </w:p>
        </w:tc>
        <w:tc>
          <w:tcPr>
            <w:tcW w:w="2027" w:type="dxa"/>
            <w:tcBorders>
              <w:bottom w:val="single" w:sz="2" w:space="0" w:color="000000"/>
            </w:tcBorders>
            <w:shd w:fill="auto" w:val="clear"/>
            <w:tcMar>
              <w:bottom w:w="50" w:type="dxa"/>
            </w:tcMar>
            <w:vAlign w:val="center"/>
          </w:tcPr>
          <w:p>
            <w:pPr>
              <w:pStyle w:val="TableContents"/>
              <w:spacing w:before="0" w:after="283"/>
              <w:jc w:val="right"/>
              <w:rPr/>
            </w:pPr>
            <w:r>
              <w:rPr/>
              <w:t>10,000,049.00</w:t>
            </w:r>
          </w:p>
        </w:tc>
        <w:tc>
          <w:tcPr>
            <w:tcW w:w="148" w:type="dxa"/>
            <w:tcBorders>
              <w:bottom w:val="single" w:sz="2" w:space="0" w:color="000000"/>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59" w:type="dxa"/>
            <w:tcBorders/>
            <w:shd w:fill="auto"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3100" w:type="dxa"/>
            <w:tcBorders>
              <w:bottom w:val="single" w:sz="2" w:space="0" w:color="000000"/>
            </w:tcBorders>
            <w:shd w:fill="auto" w:val="clear"/>
            <w:tcMar>
              <w:bottom w:w="50" w:type="dxa"/>
            </w:tcMar>
            <w:vAlign w:val="center"/>
          </w:tcPr>
          <w:p>
            <w:pPr>
              <w:pStyle w:val="TableContents"/>
              <w:spacing w:before="0" w:after="283"/>
              <w:jc w:val="left"/>
              <w:rPr>
                <w:spacing w:val="-1"/>
              </w:rPr>
            </w:pPr>
            <w:r>
              <w:rPr>
                <w:spacing w:val="-1"/>
              </w:rPr>
              <w:t xml:space="preserve">Bayer World Investments B.V.(2) </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201" w:type="dxa"/>
            <w:tcBorders>
              <w:bottom w:val="single" w:sz="2" w:space="0" w:color="000000"/>
            </w:tcBorders>
            <w:shd w:fill="auto" w:val="clear"/>
            <w:tcMar>
              <w:bottom w:w="28" w:type="dxa"/>
            </w:tcMar>
            <w:vAlign w:val="center"/>
          </w:tcPr>
          <w:p>
            <w:pPr>
              <w:pStyle w:val="TableContents"/>
              <w:spacing w:before="0" w:after="283"/>
              <w:rPr/>
            </w:pPr>
            <w:r>
              <w:rPr/>
              <w:t>​</w:t>
            </w:r>
          </w:p>
        </w:tc>
        <w:tc>
          <w:tcPr>
            <w:tcW w:w="201" w:type="dxa"/>
            <w:tcBorders>
              <w:bottom w:val="single" w:sz="2" w:space="0" w:color="000000"/>
            </w:tcBorders>
            <w:shd w:fill="auto" w:val="clear"/>
            <w:tcMar>
              <w:bottom w:w="50" w:type="dxa"/>
            </w:tcMar>
            <w:vAlign w:val="center"/>
          </w:tcPr>
          <w:p>
            <w:pPr>
              <w:pStyle w:val="TableContents"/>
              <w:spacing w:before="0" w:after="283"/>
              <w:jc w:val="right"/>
              <w:rPr/>
            </w:pPr>
            <w:r>
              <w:rPr/>
              <w:t>​</w:t>
            </w:r>
          </w:p>
        </w:tc>
        <w:tc>
          <w:tcPr>
            <w:tcW w:w="1973" w:type="dxa"/>
            <w:tcBorders>
              <w:bottom w:val="single" w:sz="2" w:space="0" w:color="000000"/>
            </w:tcBorders>
            <w:shd w:fill="auto" w:val="clear"/>
            <w:tcMar>
              <w:bottom w:w="50" w:type="dxa"/>
            </w:tcMar>
            <w:vAlign w:val="center"/>
          </w:tcPr>
          <w:p>
            <w:pPr>
              <w:pStyle w:val="TableContents"/>
              <w:spacing w:before="0" w:after="283"/>
              <w:jc w:val="right"/>
              <w:rPr/>
            </w:pPr>
            <w:r>
              <w:rPr/>
              <w:t>3,862,813</w:t>
            </w:r>
          </w:p>
        </w:tc>
        <w:tc>
          <w:tcPr>
            <w:tcW w:w="203" w:type="dxa"/>
            <w:tcBorders>
              <w:bottom w:val="single" w:sz="2" w:space="0" w:color="000000"/>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48" w:type="dxa"/>
            <w:tcBorders>
              <w:bottom w:val="single" w:sz="2" w:space="0" w:color="000000"/>
            </w:tcBorders>
            <w:shd w:fill="auto" w:val="clear"/>
            <w:tcMar>
              <w:bottom w:w="28" w:type="dxa"/>
            </w:tcMar>
            <w:vAlign w:val="center"/>
          </w:tcPr>
          <w:p>
            <w:pPr>
              <w:pStyle w:val="TableContents"/>
              <w:spacing w:before="0" w:after="283"/>
              <w:rPr/>
            </w:pPr>
            <w:r>
              <w:rPr/>
              <w:t>​</w:t>
            </w:r>
          </w:p>
        </w:tc>
        <w:tc>
          <w:tcPr>
            <w:tcW w:w="307" w:type="dxa"/>
            <w:tcBorders>
              <w:bottom w:val="single" w:sz="2" w:space="0" w:color="000000"/>
            </w:tcBorders>
            <w:shd w:fill="auto" w:val="clear"/>
            <w:tcMar>
              <w:bottom w:w="50" w:type="dxa"/>
            </w:tcMar>
            <w:vAlign w:val="center"/>
          </w:tcPr>
          <w:p>
            <w:pPr>
              <w:pStyle w:val="TableContents"/>
              <w:spacing w:before="0" w:after="283"/>
              <w:jc w:val="right"/>
              <w:rPr/>
            </w:pPr>
            <w:r>
              <w:rPr/>
              <w:t>$</w:t>
            </w:r>
          </w:p>
        </w:tc>
        <w:tc>
          <w:tcPr>
            <w:tcW w:w="2027" w:type="dxa"/>
            <w:tcBorders>
              <w:bottom w:val="single" w:sz="2" w:space="0" w:color="000000"/>
            </w:tcBorders>
            <w:shd w:fill="auto" w:val="clear"/>
            <w:tcMar>
              <w:bottom w:w="50" w:type="dxa"/>
            </w:tcMar>
            <w:vAlign w:val="center"/>
          </w:tcPr>
          <w:p>
            <w:pPr>
              <w:pStyle w:val="TableContents"/>
              <w:spacing w:before="0" w:after="283"/>
              <w:jc w:val="right"/>
              <w:rPr/>
            </w:pPr>
            <w:r>
              <w:rPr/>
              <w:t>25,000,125.77</w:t>
            </w:r>
          </w:p>
        </w:tc>
        <w:tc>
          <w:tcPr>
            <w:tcW w:w="148" w:type="dxa"/>
            <w:tcBorders>
              <w:bottom w:val="single" w:sz="2" w:space="0" w:color="000000"/>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59" w:type="dxa"/>
            <w:tcBorders/>
            <w:shd w:fill="auto"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3100" w:type="dxa"/>
            <w:tcBorders>
              <w:bottom w:val="single" w:sz="2" w:space="0" w:color="000000"/>
            </w:tcBorders>
            <w:shd w:fill="auto" w:val="clear"/>
            <w:tcMar>
              <w:bottom w:w="50" w:type="dxa"/>
            </w:tcMar>
            <w:vAlign w:val="center"/>
          </w:tcPr>
          <w:p>
            <w:pPr>
              <w:pStyle w:val="TableContents"/>
              <w:spacing w:before="0" w:after="283"/>
              <w:jc w:val="left"/>
              <w:rPr>
                <w:spacing w:val="-1"/>
              </w:rPr>
            </w:pPr>
            <w:r>
              <w:rPr>
                <w:spacing w:val="-1"/>
              </w:rPr>
              <w:t xml:space="preserve">Casdin Entities (3) </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201" w:type="dxa"/>
            <w:tcBorders>
              <w:bottom w:val="single" w:sz="2" w:space="0" w:color="000000"/>
            </w:tcBorders>
            <w:shd w:fill="auto" w:val="clear"/>
            <w:tcMar>
              <w:bottom w:w="28" w:type="dxa"/>
            </w:tcMar>
            <w:vAlign w:val="center"/>
          </w:tcPr>
          <w:p>
            <w:pPr>
              <w:pStyle w:val="TableContents"/>
              <w:spacing w:before="0" w:after="283"/>
              <w:rPr/>
            </w:pPr>
            <w:r>
              <w:rPr/>
              <w:t>​</w:t>
            </w:r>
          </w:p>
        </w:tc>
        <w:tc>
          <w:tcPr>
            <w:tcW w:w="201" w:type="dxa"/>
            <w:tcBorders>
              <w:bottom w:val="single" w:sz="2" w:space="0" w:color="000000"/>
            </w:tcBorders>
            <w:shd w:fill="auto" w:val="clear"/>
            <w:tcMar>
              <w:bottom w:w="50" w:type="dxa"/>
            </w:tcMar>
            <w:vAlign w:val="center"/>
          </w:tcPr>
          <w:p>
            <w:pPr>
              <w:pStyle w:val="TableContents"/>
              <w:spacing w:before="0" w:after="283"/>
              <w:jc w:val="right"/>
              <w:rPr/>
            </w:pPr>
            <w:r>
              <w:rPr/>
              <w:t>​</w:t>
            </w:r>
          </w:p>
        </w:tc>
        <w:tc>
          <w:tcPr>
            <w:tcW w:w="1973" w:type="dxa"/>
            <w:tcBorders>
              <w:bottom w:val="single" w:sz="2" w:space="0" w:color="000000"/>
            </w:tcBorders>
            <w:shd w:fill="auto" w:val="clear"/>
            <w:tcMar>
              <w:bottom w:w="50" w:type="dxa"/>
            </w:tcMar>
            <w:vAlign w:val="center"/>
          </w:tcPr>
          <w:p>
            <w:pPr>
              <w:pStyle w:val="TableContents"/>
              <w:spacing w:before="0" w:after="283"/>
              <w:jc w:val="right"/>
              <w:rPr/>
            </w:pPr>
            <w:r>
              <w:rPr/>
              <w:t>6,180,500</w:t>
            </w:r>
          </w:p>
        </w:tc>
        <w:tc>
          <w:tcPr>
            <w:tcW w:w="203" w:type="dxa"/>
            <w:tcBorders>
              <w:bottom w:val="single" w:sz="2" w:space="0" w:color="000000"/>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48" w:type="dxa"/>
            <w:tcBorders>
              <w:bottom w:val="single" w:sz="2" w:space="0" w:color="000000"/>
            </w:tcBorders>
            <w:shd w:fill="auto" w:val="clear"/>
            <w:tcMar>
              <w:bottom w:w="28" w:type="dxa"/>
            </w:tcMar>
            <w:vAlign w:val="center"/>
          </w:tcPr>
          <w:p>
            <w:pPr>
              <w:pStyle w:val="TableContents"/>
              <w:spacing w:before="0" w:after="283"/>
              <w:rPr/>
            </w:pPr>
            <w:r>
              <w:rPr/>
              <w:t>​</w:t>
            </w:r>
          </w:p>
        </w:tc>
        <w:tc>
          <w:tcPr>
            <w:tcW w:w="307" w:type="dxa"/>
            <w:tcBorders>
              <w:bottom w:val="single" w:sz="2" w:space="0" w:color="000000"/>
            </w:tcBorders>
            <w:shd w:fill="auto" w:val="clear"/>
            <w:tcMar>
              <w:bottom w:w="50" w:type="dxa"/>
            </w:tcMar>
            <w:vAlign w:val="center"/>
          </w:tcPr>
          <w:p>
            <w:pPr>
              <w:pStyle w:val="TableContents"/>
              <w:spacing w:before="0" w:after="283"/>
              <w:jc w:val="right"/>
              <w:rPr/>
            </w:pPr>
            <w:r>
              <w:rPr/>
              <w:t>$</w:t>
            </w:r>
          </w:p>
        </w:tc>
        <w:tc>
          <w:tcPr>
            <w:tcW w:w="2027" w:type="dxa"/>
            <w:tcBorders>
              <w:bottom w:val="single" w:sz="2" w:space="0" w:color="000000"/>
            </w:tcBorders>
            <w:shd w:fill="auto" w:val="clear"/>
            <w:tcMar>
              <w:bottom w:w="50" w:type="dxa"/>
            </w:tcMar>
            <w:vAlign w:val="center"/>
          </w:tcPr>
          <w:p>
            <w:pPr>
              <w:pStyle w:val="TableContents"/>
              <w:spacing w:before="0" w:after="283"/>
              <w:jc w:val="right"/>
              <w:rPr/>
            </w:pPr>
            <w:r>
              <w:rPr/>
              <w:t>40,000,196.00</w:t>
            </w:r>
          </w:p>
        </w:tc>
        <w:tc>
          <w:tcPr>
            <w:tcW w:w="148" w:type="dxa"/>
            <w:tcBorders>
              <w:bottom w:val="single" w:sz="2" w:space="0" w:color="000000"/>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59" w:type="dxa"/>
            <w:tcBorders/>
            <w:shd w:fill="auto" w:val="clear"/>
            <w:vAlign w:val="center"/>
          </w:tcPr>
          <w:p>
            <w:pPr>
              <w:pStyle w:val="TableContents"/>
              <w:spacing w:before="0" w:after="283"/>
              <w:rPr/>
            </w:pPr>
            <w:r>
              <w:rPr/>
              <w:t>​</w:t>
            </w:r>
          </w:p>
        </w:tc>
      </w:tr>
    </w:tbl>
    <w:p>
      <w:pPr>
        <w:pStyle w:val="TextBody"/>
        <w:spacing w:before="0" w:after="0"/>
        <w:ind w:left="960" w:right="0" w:hanging="0"/>
        <w:rPr>
          <w:caps w:val="false"/>
          <w:smallCaps w:val="false"/>
          <w:color w:val="000000"/>
        </w:rPr>
      </w:pPr>
      <w:r>
        <w:rPr>
          <w:caps w:val="false"/>
          <w:smallCaps w:val="false"/>
          <w:color w:val="000000"/>
        </w:rPr>
        <w:t>​</w:t>
      </w:r>
    </w:p>
    <w:p>
      <w:pPr>
        <w:pStyle w:val="TextBody"/>
        <w:spacing w:lineRule="atLeast" w:line="200" w:before="50" w:after="0"/>
        <w:ind w:left="1360" w:right="0" w:hanging="0"/>
        <w:jc w:val="both"/>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0"/>
          <w:sz w:val="18"/>
        </w:rPr>
        <w:t>Versant Venture Capital VI, L.P. and Versant Vantage II GP-GP, LLC, or the Versant Entities, hold more than 5% of our outstanding capital stock.</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31750" distB="0" distL="0" distR="0" simplePos="0" locked="0" layoutInCell="1" allowOverlap="1" relativeHeight="112">
                <wp:simplePos x="0" y="0"/>
                <wp:positionH relativeFrom="column">
                  <wp:align>left</wp:align>
                </wp:positionH>
                <wp:positionV relativeFrom="line">
                  <wp:align>top</wp:align>
                </wp:positionV>
                <wp:extent cx="254000" cy="262890"/>
                <wp:effectExtent l="0" t="0" r="0" b="0"/>
                <wp:wrapSquare wrapText="largest"/>
                <wp:docPr id="122" name="Frame89"/>
                <a:graphic xmlns:a="http://schemas.openxmlformats.org/drawingml/2006/main">
                  <a:graphicData uri="http://schemas.microsoft.com/office/word/2010/wordprocessingShape">
                    <wps:wsp>
                      <wps:cNvSpPr txBox="1"/>
                      <wps:spPr>
                        <a:xfrm>
                          <a:off x="0" y="0"/>
                          <a:ext cx="254000" cy="262890"/>
                        </a:xfrm>
                        <a:prstGeom prst="rect"/>
                      </wps:spPr>
                      <wps:txbx>
                        <w:txbxContent>
                          <w:p>
                            <w:pPr>
                              <w:pStyle w:val="TextBody"/>
                              <w:spacing w:lineRule="atLeast" w:line="200" w:before="0" w:after="283"/>
                              <w:jc w:val="both"/>
                              <w:rPr>
                                <w:sz w:val="18"/>
                              </w:rPr>
                            </w:pPr>
                            <w:r>
                              <w:rPr>
                                <w:spacing w:val="0"/>
                                <w:sz w:val="18"/>
                              </w:rPr>
                              <w:t>(1)</w:t>
                            </w:r>
                            <w:r>
                              <w:rPr>
                                <w:sz w:val="18"/>
                              </w:rPr>
                              <w:t xml:space="preserve"> </w:t>
                              <w:br/>
                            </w:r>
                          </w:p>
                        </w:txbxContent>
                      </wps:txbx>
                      <wps:bodyPr anchor="t" lIns="0" tIns="0" rIns="0" bIns="0">
                        <a:noAutofit/>
                      </wps:bodyPr>
                    </wps:wsp>
                  </a:graphicData>
                </a:graphic>
              </wp:anchor>
            </w:drawing>
          </mc:Choice>
          <mc:Fallback>
            <w:pict>
              <v:rect style="position:absolute;rotation:0;width:20pt;height:20.7pt;mso-wrap-distance-left:0pt;mso-wrap-distance-right:0pt;mso-wrap-distance-top:2.5pt;mso-wrap-distance-bottom:0pt;margin-top:2.5pt;mso-position-vertical:top;mso-position-vertical-relative:text;margin-left:0pt;mso-position-horizontal:left;mso-position-horizontal-relative:text">
                <v:textbox>
                  <w:txbxContent>
                    <w:p>
                      <w:pPr>
                        <w:pStyle w:val="TextBody"/>
                        <w:spacing w:lineRule="atLeast" w:line="200" w:before="0" w:after="283"/>
                        <w:jc w:val="both"/>
                        <w:rPr>
                          <w:sz w:val="18"/>
                        </w:rPr>
                      </w:pPr>
                      <w:r>
                        <w:rPr>
                          <w:spacing w:val="0"/>
                          <w:sz w:val="18"/>
                        </w:rPr>
                        <w:t>(1)</w:t>
                      </w:r>
                      <w:r>
                        <w:rPr>
                          <w:sz w:val="18"/>
                        </w:rPr>
                        <w:t xml:space="preserve"> </w:t>
                        <w:br/>
                      </w:r>
                    </w:p>
                  </w:txbxContent>
                </v:textbox>
                <w10:wrap type="square" side="right"/>
              </v:rect>
            </w:pict>
          </mc:Fallback>
        </mc:AlternateContent>
      </w:r>
    </w:p>
    <w:p>
      <w:pPr>
        <w:pStyle w:val="TextBody"/>
        <w:spacing w:before="0" w:after="0"/>
        <w:ind w:left="960" w:right="0" w:hanging="0"/>
        <w:rPr>
          <w:caps w:val="false"/>
          <w:smallCaps w:val="false"/>
          <w:color w:val="000000"/>
        </w:rPr>
      </w:pPr>
      <w:r>
        <w:rPr>
          <w:caps w:val="false"/>
          <w:smallCaps w:val="false"/>
          <w:color w:val="000000"/>
        </w:rPr>
        <w:t>​</w:t>
      </w:r>
    </w:p>
    <w:p>
      <w:pPr>
        <w:pStyle w:val="TextBody"/>
        <w:spacing w:lineRule="atLeast" w:line="200" w:before="84" w:after="0"/>
        <w:ind w:left="136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0"/>
          <w:sz w:val="18"/>
        </w:rPr>
        <w:t>Bayer World Investments B.V. holds more than 5% of our outstanding capital stock.</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53340" distB="0" distL="0" distR="0" simplePos="0" locked="0" layoutInCell="1" allowOverlap="1" relativeHeight="113">
                <wp:simplePos x="0" y="0"/>
                <wp:positionH relativeFrom="column">
                  <wp:align>left</wp:align>
                </wp:positionH>
                <wp:positionV relativeFrom="line">
                  <wp:align>top</wp:align>
                </wp:positionV>
                <wp:extent cx="254000" cy="262890"/>
                <wp:effectExtent l="0" t="0" r="0" b="0"/>
                <wp:wrapSquare wrapText="largest"/>
                <wp:docPr id="123" name="Frame90"/>
                <a:graphic xmlns:a="http://schemas.openxmlformats.org/drawingml/2006/main">
                  <a:graphicData uri="http://schemas.microsoft.com/office/word/2010/wordprocessingShape">
                    <wps:wsp>
                      <wps:cNvSpPr txBox="1"/>
                      <wps:spPr>
                        <a:xfrm>
                          <a:off x="0" y="0"/>
                          <a:ext cx="254000" cy="262890"/>
                        </a:xfrm>
                        <a:prstGeom prst="rect"/>
                      </wps:spPr>
                      <wps:txbx>
                        <w:txbxContent>
                          <w:p>
                            <w:pPr>
                              <w:pStyle w:val="TextBody"/>
                              <w:spacing w:lineRule="atLeast" w:line="200" w:before="0" w:after="283"/>
                              <w:jc w:val="left"/>
                              <w:rPr>
                                <w:sz w:val="18"/>
                              </w:rPr>
                            </w:pPr>
                            <w:r>
                              <w:rPr>
                                <w:spacing w:val="0"/>
                                <w:sz w:val="18"/>
                              </w:rPr>
                              <w:t>(2)</w:t>
                            </w:r>
                            <w:r>
                              <w:rPr>
                                <w:sz w:val="18"/>
                              </w:rPr>
                              <w:t xml:space="preserve"> </w:t>
                              <w:br/>
                            </w:r>
                          </w:p>
                        </w:txbxContent>
                      </wps:txbx>
                      <wps:bodyPr anchor="t" lIns="0" tIns="0" rIns="0" bIns="0">
                        <a:noAutofit/>
                      </wps:bodyPr>
                    </wps:wsp>
                  </a:graphicData>
                </a:graphic>
              </wp:anchor>
            </w:drawing>
          </mc:Choice>
          <mc:Fallback>
            <w:pict>
              <v:rect style="position:absolute;rotation:0;width:20pt;height:20.7pt;mso-wrap-distance-left:0pt;mso-wrap-distance-right:0pt;mso-wrap-distance-top:4.2pt;mso-wrap-distance-bottom:0pt;margin-top:4.2pt;mso-position-vertical:top;mso-position-vertical-relative:text;margin-left:0pt;mso-position-horizontal:left;mso-position-horizontal-relative:text">
                <v:textbox>
                  <w:txbxContent>
                    <w:p>
                      <w:pPr>
                        <w:pStyle w:val="TextBody"/>
                        <w:spacing w:lineRule="atLeast" w:line="200" w:before="0" w:after="283"/>
                        <w:jc w:val="left"/>
                        <w:rPr>
                          <w:sz w:val="18"/>
                        </w:rPr>
                      </w:pPr>
                      <w:r>
                        <w:rPr>
                          <w:spacing w:val="0"/>
                          <w:sz w:val="18"/>
                        </w:rPr>
                        <w:t>(2)</w:t>
                      </w:r>
                      <w:r>
                        <w:rPr>
                          <w:sz w:val="18"/>
                        </w:rPr>
                        <w:t xml:space="preserve"> </w:t>
                        <w:br/>
                      </w:r>
                    </w:p>
                  </w:txbxContent>
                </v:textbox>
                <w10:wrap type="square" side="right"/>
              </v:rect>
            </w:pict>
          </mc:Fallback>
        </mc:AlternateContent>
      </w:r>
    </w:p>
    <w:p>
      <w:pPr>
        <w:pStyle w:val="TextBody"/>
        <w:spacing w:before="0" w:after="0"/>
        <w:ind w:left="960" w:right="0" w:hanging="0"/>
        <w:rPr>
          <w:caps w:val="false"/>
          <w:smallCaps w:val="false"/>
          <w:color w:val="000000"/>
        </w:rPr>
      </w:pPr>
      <w:r>
        <w:rPr>
          <w:caps w:val="false"/>
          <w:smallCaps w:val="false"/>
          <w:color w:val="000000"/>
        </w:rPr>
        <w:t>​</w:t>
      </w:r>
    </w:p>
    <w:p>
      <w:pPr>
        <w:pStyle w:val="TextBody"/>
        <w:spacing w:lineRule="atLeast" w:line="200" w:before="84" w:after="0"/>
        <w:ind w:left="1360" w:right="0" w:hanging="0"/>
        <w:jc w:val="both"/>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0"/>
          <w:sz w:val="18"/>
        </w:rPr>
        <w:t>Casdin Partners Master Fund, L.P. and Casdin Private Growth Equity Fund, L.P., or the Casdin Entities, currently hold 5% of our outstanding capital stock.</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53340" distB="0" distL="0" distR="0" simplePos="0" locked="0" layoutInCell="1" allowOverlap="1" relativeHeight="114">
                <wp:simplePos x="0" y="0"/>
                <wp:positionH relativeFrom="column">
                  <wp:align>left</wp:align>
                </wp:positionH>
                <wp:positionV relativeFrom="line">
                  <wp:align>top</wp:align>
                </wp:positionV>
                <wp:extent cx="254000" cy="262890"/>
                <wp:effectExtent l="0" t="0" r="0" b="0"/>
                <wp:wrapSquare wrapText="largest"/>
                <wp:docPr id="124" name="Frame91"/>
                <a:graphic xmlns:a="http://schemas.openxmlformats.org/drawingml/2006/main">
                  <a:graphicData uri="http://schemas.microsoft.com/office/word/2010/wordprocessingShape">
                    <wps:wsp>
                      <wps:cNvSpPr txBox="1"/>
                      <wps:spPr>
                        <a:xfrm>
                          <a:off x="0" y="0"/>
                          <a:ext cx="254000" cy="262890"/>
                        </a:xfrm>
                        <a:prstGeom prst="rect"/>
                      </wps:spPr>
                      <wps:txbx>
                        <w:txbxContent>
                          <w:p>
                            <w:pPr>
                              <w:pStyle w:val="TextBody"/>
                              <w:spacing w:lineRule="atLeast" w:line="200" w:before="0" w:after="283"/>
                              <w:jc w:val="both"/>
                              <w:rPr>
                                <w:sz w:val="18"/>
                              </w:rPr>
                            </w:pPr>
                            <w:r>
                              <w:rPr>
                                <w:spacing w:val="0"/>
                                <w:sz w:val="18"/>
                              </w:rPr>
                              <w:t>(3)</w:t>
                            </w:r>
                            <w:r>
                              <w:rPr>
                                <w:sz w:val="18"/>
                              </w:rPr>
                              <w:t xml:space="preserve"> </w:t>
                              <w:br/>
                            </w:r>
                          </w:p>
                        </w:txbxContent>
                      </wps:txbx>
                      <wps:bodyPr anchor="t" lIns="0" tIns="0" rIns="0" bIns="0">
                        <a:noAutofit/>
                      </wps:bodyPr>
                    </wps:wsp>
                  </a:graphicData>
                </a:graphic>
              </wp:anchor>
            </w:drawing>
          </mc:Choice>
          <mc:Fallback>
            <w:pict>
              <v:rect style="position:absolute;rotation:0;width:20pt;height:20.7pt;mso-wrap-distance-left:0pt;mso-wrap-distance-right:0pt;mso-wrap-distance-top:4.2pt;mso-wrap-distance-bottom:0pt;margin-top:4.2pt;mso-position-vertical:top;mso-position-vertical-relative:text;margin-left:0pt;mso-position-horizontal:left;mso-position-horizontal-relative:text">
                <v:textbox>
                  <w:txbxContent>
                    <w:p>
                      <w:pPr>
                        <w:pStyle w:val="TextBody"/>
                        <w:spacing w:lineRule="atLeast" w:line="200" w:before="0" w:after="283"/>
                        <w:jc w:val="both"/>
                        <w:rPr>
                          <w:sz w:val="18"/>
                        </w:rPr>
                      </w:pPr>
                      <w:r>
                        <w:rPr>
                          <w:spacing w:val="0"/>
                          <w:sz w:val="18"/>
                        </w:rPr>
                        <w:t>(3)</w:t>
                      </w:r>
                      <w:r>
                        <w:rPr>
                          <w:sz w:val="18"/>
                        </w:rPr>
                        <w:t xml:space="preserve"> </w:t>
                        <w:br/>
                      </w:r>
                    </w:p>
                  </w:txbxContent>
                </v:textbox>
                <w10:wrap type="square" side="right"/>
              </v:rect>
            </w:pict>
          </mc:Fallback>
        </mc:AlternateContent>
      </w:r>
    </w:p>
    <w:p>
      <w:pPr>
        <w:pStyle w:val="TextBody"/>
        <w:spacing w:before="0" w:after="0"/>
        <w:ind w:left="960" w:right="0" w:hanging="0"/>
        <w:rPr>
          <w:caps w:val="false"/>
          <w:smallCaps w:val="false"/>
          <w:color w:val="000000"/>
        </w:rPr>
      </w:pPr>
      <w:r>
        <w:rPr>
          <w:caps w:val="false"/>
          <w:smallCaps w:val="false"/>
          <w:color w:val="000000"/>
        </w:rPr>
        <w:t>​</w:t>
      </w:r>
    </w:p>
    <w:p>
      <w:pPr>
        <w:pStyle w:val="TextBody"/>
        <w:spacing w:lineRule="atLeast" w:line="240" w:before="240" w:after="283"/>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0"/>
          <w:sz w:val="20"/>
        </w:rPr>
        <w:t>Investors’ Rights Agreement</w:t>
      </w:r>
      <w:r>
        <w:rPr>
          <w:rFonts w:ascii="Arial;Helvetica;sans-serif" w:hAnsi="Arial;Helvetica;sans-serif"/>
          <w:b/>
          <w:i w:val="false"/>
          <w:caps w:val="false"/>
          <w:smallCaps w:val="false"/>
          <w:color w:val="000000"/>
          <w:spacing w:val="4"/>
          <w:sz w:val="20"/>
        </w:rPr>
        <w:t xml:space="preserve"> </w:t>
      </w:r>
    </w:p>
    <w:p>
      <w:pPr>
        <w:pStyle w:val="TextBody"/>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In connection with the Series C financing, we entered into an investors’ rights agreement, or the investors’ rights agreement, with certain holders of our common stock and each holder of our preferred stock, which included each holder of more than 5% of our capital stock. The investors’ rights agreement imposes certain affirmative obligations on us, including with respect to financial reporting obligations and investor inspections, and also grants certain rights to certain of the holders of our capital stock party thereto, including rights of first offer, demand, and piggyback registration rights and, if we are eligible, Form S-3 registration rights, with respect to the registrable securities held by them. These registration rights terminate in June 2024.</w:t>
      </w:r>
      <w:r>
        <w:rPr>
          <w:rFonts w:ascii="Arial;Helvetica;sans-serif" w:hAnsi="Arial;Helvetica;sans-serif"/>
          <w:b w:val="false"/>
          <w:i w:val="false"/>
          <w:caps w:val="false"/>
          <w:smallCaps w:val="false"/>
          <w:color w:val="000000"/>
          <w:spacing w:val="4"/>
          <w:sz w:val="20"/>
        </w:rPr>
        <w:t xml:space="preserve"> </w:t>
      </w:r>
    </w:p>
    <w:p>
      <w:pPr>
        <w:pStyle w:val="TextBody"/>
        <w:spacing w:lineRule="atLeast" w:line="240" w:before="240" w:after="283"/>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0"/>
          <w:sz w:val="20"/>
        </w:rPr>
        <w:t>Initial Public Offering</w:t>
      </w:r>
      <w:r>
        <w:rPr>
          <w:rFonts w:ascii="Arial;Helvetica;sans-serif" w:hAnsi="Arial;Helvetica;sans-serif"/>
          <w:b/>
          <w:i w:val="false"/>
          <w:caps w:val="false"/>
          <w:smallCaps w:val="false"/>
          <w:color w:val="000000"/>
          <w:spacing w:val="4"/>
          <w:sz w:val="20"/>
        </w:rPr>
        <w:t xml:space="preserve"> </w:t>
      </w:r>
    </w:p>
    <w:p>
      <w:pPr>
        <w:pStyle w:val="TextBody"/>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On June 22, 2021, we completed our IPO. We issued an aggregate of 12,132,500 shares of our common stock at a price of $20.00 per share for aggregate net cash proceeds of $221.24 million, after deducting underwriting discounts and commissions and other offering costs. The table below sets forth the number of shares of Series C Preferred Stock purchased by holders of more than 5% of our capital stock and their affiliated entities or immediate family members.</w:t>
      </w:r>
      <w:r>
        <w:rPr>
          <w:rFonts w:ascii="Arial;Helvetica;sans-serif" w:hAnsi="Arial;Helvetica;sans-serif"/>
          <w:b w:val="false"/>
          <w:i w:val="false"/>
          <w:caps w:val="false"/>
          <w:smallCaps w:val="false"/>
          <w:color w:val="000000"/>
          <w:spacing w:val="4"/>
          <w:sz w:val="20"/>
        </w:rPr>
        <w:t xml:space="preserve"> </w:t>
      </w:r>
    </w:p>
    <w:tbl>
      <w:tblPr>
        <w:tblW w:w="9245" w:type="dxa"/>
        <w:jc w:val="left"/>
        <w:tblInd w:w="960" w:type="dxa"/>
        <w:tblCellMar>
          <w:top w:w="0" w:type="dxa"/>
          <w:left w:w="0" w:type="dxa"/>
          <w:bottom w:w="0" w:type="dxa"/>
          <w:right w:w="0" w:type="dxa"/>
        </w:tblCellMar>
      </w:tblPr>
      <w:tblGrid>
        <w:gridCol w:w="124"/>
        <w:gridCol w:w="109"/>
        <w:gridCol w:w="2773"/>
        <w:gridCol w:w="109"/>
        <w:gridCol w:w="109"/>
        <w:gridCol w:w="231"/>
        <w:gridCol w:w="231"/>
        <w:gridCol w:w="1889"/>
        <w:gridCol w:w="233"/>
        <w:gridCol w:w="109"/>
        <w:gridCol w:w="109"/>
        <w:gridCol w:w="2953"/>
        <w:gridCol w:w="109"/>
        <w:gridCol w:w="157"/>
      </w:tblGrid>
      <w:tr>
        <w:trPr/>
        <w:tc>
          <w:tcPr>
            <w:tcW w:w="124" w:type="dxa"/>
            <w:tcBorders/>
            <w:shd w:fill="auto" w:val="clear"/>
            <w:vAlign w:val="center"/>
          </w:tcPr>
          <w:p>
            <w:pPr>
              <w:pStyle w:val="TableContents"/>
              <w:spacing w:before="0" w:after="283"/>
              <w:rPr/>
            </w:pPr>
            <w:r>
              <w:rPr/>
              <w:t>​</w:t>
            </w:r>
          </w:p>
        </w:tc>
        <w:tc>
          <w:tcPr>
            <w:tcW w:w="109" w:type="dxa"/>
            <w:tcBorders>
              <w:bottom w:val="single" w:sz="2" w:space="0" w:color="000000"/>
            </w:tcBorders>
            <w:shd w:fill="148CD9" w:val="clear"/>
            <w:tcMar>
              <w:bottom w:w="28" w:type="dxa"/>
            </w:tcMar>
            <w:vAlign w:val="center"/>
          </w:tcPr>
          <w:p>
            <w:pPr>
              <w:pStyle w:val="TableContents"/>
              <w:spacing w:before="0" w:after="283"/>
              <w:rPr/>
            </w:pPr>
            <w:r>
              <w:rPr/>
              <w:t>​</w:t>
            </w:r>
          </w:p>
        </w:tc>
        <w:tc>
          <w:tcPr>
            <w:tcW w:w="2773" w:type="dxa"/>
            <w:tcBorders>
              <w:bottom w:val="single" w:sz="2" w:space="0" w:color="000000"/>
            </w:tcBorders>
            <w:shd w:fill="148CD9" w:val="clear"/>
            <w:tcMar>
              <w:bottom w:w="28" w:type="dxa"/>
            </w:tcMar>
            <w:vAlign w:val="center"/>
          </w:tcPr>
          <w:p>
            <w:pPr>
              <w:pStyle w:val="TableContents"/>
              <w:spacing w:before="0" w:after="0"/>
              <w:jc w:val="center"/>
              <w:rPr>
                <w:spacing w:val="-2"/>
              </w:rPr>
            </w:pPr>
            <w:r>
              <w:rPr>
                <w:spacing w:val="-2"/>
              </w:rPr>
              <w:t xml:space="preserve">NAME </w:t>
            </w:r>
          </w:p>
        </w:tc>
        <w:tc>
          <w:tcPr>
            <w:tcW w:w="109" w:type="dxa"/>
            <w:tcBorders>
              <w:bottom w:val="single" w:sz="2" w:space="0" w:color="000000"/>
            </w:tcBorders>
            <w:shd w:fill="148CD9" w:val="clear"/>
            <w:tcMar>
              <w:bottom w:w="28" w:type="dxa"/>
            </w:tcMar>
            <w:vAlign w:val="center"/>
          </w:tcPr>
          <w:p>
            <w:pPr>
              <w:pStyle w:val="TableContents"/>
              <w:spacing w:before="0" w:after="283"/>
              <w:rPr/>
            </w:pPr>
            <w:r>
              <w:rPr/>
              <w:t>​</w:t>
            </w:r>
          </w:p>
        </w:tc>
        <w:tc>
          <w:tcPr>
            <w:tcW w:w="109" w:type="dxa"/>
            <w:tcBorders>
              <w:bottom w:val="single" w:sz="2" w:space="0" w:color="000000"/>
            </w:tcBorders>
            <w:shd w:fill="148CD9" w:val="clear"/>
            <w:tcMar>
              <w:bottom w:w="28" w:type="dxa"/>
            </w:tcMar>
            <w:vAlign w:val="center"/>
          </w:tcPr>
          <w:p>
            <w:pPr>
              <w:pStyle w:val="TableContents"/>
              <w:spacing w:before="0" w:after="283"/>
              <w:rPr/>
            </w:pPr>
            <w:r>
              <w:rPr/>
              <w:t>​</w:t>
            </w:r>
          </w:p>
        </w:tc>
        <w:tc>
          <w:tcPr>
            <w:tcW w:w="2584" w:type="dxa"/>
            <w:gridSpan w:val="4"/>
            <w:tcBorders>
              <w:bottom w:val="single" w:sz="2" w:space="0" w:color="000000"/>
            </w:tcBorders>
            <w:shd w:fill="148CD9" w:val="clear"/>
            <w:tcMar>
              <w:bottom w:w="28" w:type="dxa"/>
            </w:tcMar>
            <w:vAlign w:val="center"/>
          </w:tcPr>
          <w:p>
            <w:pPr>
              <w:pStyle w:val="TableContents"/>
              <w:spacing w:lineRule="atLeast" w:line="202" w:before="0" w:after="0"/>
              <w:jc w:val="center"/>
              <w:rPr/>
            </w:pPr>
            <w:r>
              <w:rPr>
                <w:spacing w:val="-2"/>
              </w:rPr>
              <w:t xml:space="preserve">SHARES OF COMMON </w:t>
            </w:r>
            <w:r>
              <w:rPr/>
              <w:br/>
            </w:r>
            <w:r>
              <w:rPr>
                <w:spacing w:val="-2"/>
              </w:rPr>
              <w:t xml:space="preserve">STOCK PURCHASED IN </w:t>
            </w:r>
            <w:r>
              <w:rPr/>
              <w:br/>
            </w:r>
            <w:r>
              <w:rPr>
                <w:spacing w:val="-2"/>
              </w:rPr>
              <w:t xml:space="preserve">IPO (#) </w:t>
            </w:r>
          </w:p>
        </w:tc>
        <w:tc>
          <w:tcPr>
            <w:tcW w:w="109" w:type="dxa"/>
            <w:tcBorders>
              <w:bottom w:val="single" w:sz="2" w:space="0" w:color="000000"/>
            </w:tcBorders>
            <w:shd w:fill="148CD9" w:val="clear"/>
            <w:tcMar>
              <w:bottom w:w="28" w:type="dxa"/>
            </w:tcMar>
            <w:vAlign w:val="center"/>
          </w:tcPr>
          <w:p>
            <w:pPr>
              <w:pStyle w:val="TableContents"/>
              <w:spacing w:before="0" w:after="283"/>
              <w:rPr/>
            </w:pPr>
            <w:r>
              <w:rPr/>
              <w:t>​</w:t>
            </w:r>
          </w:p>
        </w:tc>
        <w:tc>
          <w:tcPr>
            <w:tcW w:w="109" w:type="dxa"/>
            <w:tcBorders>
              <w:bottom w:val="single" w:sz="2" w:space="0" w:color="000000"/>
            </w:tcBorders>
            <w:shd w:fill="148CD9" w:val="clear"/>
            <w:tcMar>
              <w:bottom w:w="28" w:type="dxa"/>
            </w:tcMar>
            <w:vAlign w:val="center"/>
          </w:tcPr>
          <w:p>
            <w:pPr>
              <w:pStyle w:val="TableContents"/>
              <w:spacing w:before="0" w:after="283"/>
              <w:rPr/>
            </w:pPr>
            <w:r>
              <w:rPr/>
              <w:t>​</w:t>
            </w:r>
          </w:p>
        </w:tc>
        <w:tc>
          <w:tcPr>
            <w:tcW w:w="2953" w:type="dxa"/>
            <w:tcBorders>
              <w:bottom w:val="single" w:sz="2" w:space="0" w:color="000000"/>
            </w:tcBorders>
            <w:shd w:fill="148CD9" w:val="clear"/>
            <w:tcMar>
              <w:bottom w:w="46" w:type="dxa"/>
            </w:tcMar>
            <w:vAlign w:val="center"/>
          </w:tcPr>
          <w:p>
            <w:pPr>
              <w:pStyle w:val="TableContents"/>
              <w:spacing w:lineRule="atLeast" w:line="202" w:before="0" w:after="0"/>
              <w:jc w:val="center"/>
              <w:rPr/>
            </w:pPr>
            <w:r>
              <w:rPr>
                <w:spacing w:val="-2"/>
              </w:rPr>
              <w:t>AGGREGATE CASH</w:t>
            </w:r>
            <w:r>
              <w:rPr/>
              <w:t xml:space="preserve"> </w:t>
              <w:br/>
            </w:r>
            <w:r>
              <w:rPr>
                <w:spacing w:val="-2"/>
              </w:rPr>
              <w:t>PURCHASE PRICE FOR</w:t>
            </w:r>
            <w:r>
              <w:rPr/>
              <w:t xml:space="preserve"> </w:t>
              <w:br/>
            </w:r>
            <w:r>
              <w:rPr>
                <w:spacing w:val="-2"/>
              </w:rPr>
              <w:t xml:space="preserve">COMMON STOCK IN IPO ($) </w:t>
            </w:r>
          </w:p>
        </w:tc>
        <w:tc>
          <w:tcPr>
            <w:tcW w:w="109" w:type="dxa"/>
            <w:tcBorders>
              <w:bottom w:val="single" w:sz="2" w:space="0" w:color="000000"/>
            </w:tcBorders>
            <w:shd w:fill="148CD9" w:val="clear"/>
            <w:tcMar>
              <w:bottom w:w="28" w:type="dxa"/>
            </w:tcMar>
            <w:vAlign w:val="center"/>
          </w:tcPr>
          <w:p>
            <w:pPr>
              <w:pStyle w:val="TableContents"/>
              <w:spacing w:before="0" w:after="283"/>
              <w:rPr/>
            </w:pPr>
            <w:r>
              <w:rPr/>
              <w:t>​</w:t>
            </w:r>
          </w:p>
        </w:tc>
        <w:tc>
          <w:tcPr>
            <w:tcW w:w="157" w:type="dxa"/>
            <w:tcBorders/>
            <w:shd w:fill="auto"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2773" w:type="dxa"/>
            <w:tcBorders>
              <w:bottom w:val="single" w:sz="2" w:space="0" w:color="000000"/>
            </w:tcBorders>
            <w:shd w:fill="auto" w:val="clear"/>
            <w:tcMar>
              <w:bottom w:w="50" w:type="dxa"/>
            </w:tcMar>
            <w:vAlign w:val="center"/>
          </w:tcPr>
          <w:p>
            <w:pPr>
              <w:pStyle w:val="TableContents"/>
              <w:spacing w:before="0" w:after="283"/>
              <w:jc w:val="left"/>
              <w:rPr>
                <w:spacing w:val="-1"/>
              </w:rPr>
            </w:pPr>
            <w:r>
              <w:rPr>
                <w:spacing w:val="-1"/>
              </w:rPr>
              <w:t xml:space="preserve">Versant Entities </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231" w:type="dxa"/>
            <w:tcBorders>
              <w:bottom w:val="single" w:sz="2" w:space="0" w:color="000000"/>
            </w:tcBorders>
            <w:shd w:fill="auto" w:val="clear"/>
            <w:tcMar>
              <w:bottom w:w="28" w:type="dxa"/>
            </w:tcMar>
            <w:vAlign w:val="center"/>
          </w:tcPr>
          <w:p>
            <w:pPr>
              <w:pStyle w:val="TableContents"/>
              <w:spacing w:before="0" w:after="283"/>
              <w:rPr/>
            </w:pPr>
            <w:r>
              <w:rPr/>
              <w:t>​</w:t>
            </w:r>
          </w:p>
        </w:tc>
        <w:tc>
          <w:tcPr>
            <w:tcW w:w="231" w:type="dxa"/>
            <w:tcBorders>
              <w:bottom w:val="single" w:sz="2" w:space="0" w:color="000000"/>
            </w:tcBorders>
            <w:shd w:fill="auto" w:val="clear"/>
            <w:tcMar>
              <w:bottom w:w="50" w:type="dxa"/>
            </w:tcMar>
            <w:vAlign w:val="center"/>
          </w:tcPr>
          <w:p>
            <w:pPr>
              <w:pStyle w:val="TableContents"/>
              <w:spacing w:before="0" w:after="283"/>
              <w:jc w:val="right"/>
              <w:rPr/>
            </w:pPr>
            <w:r>
              <w:rPr/>
              <w:t>​</w:t>
            </w:r>
          </w:p>
        </w:tc>
        <w:tc>
          <w:tcPr>
            <w:tcW w:w="1889" w:type="dxa"/>
            <w:tcBorders>
              <w:bottom w:val="single" w:sz="2" w:space="0" w:color="000000"/>
            </w:tcBorders>
            <w:shd w:fill="auto" w:val="clear"/>
            <w:tcMar>
              <w:bottom w:w="50" w:type="dxa"/>
            </w:tcMar>
            <w:vAlign w:val="center"/>
          </w:tcPr>
          <w:p>
            <w:pPr>
              <w:pStyle w:val="TableContents"/>
              <w:spacing w:before="0" w:after="283"/>
              <w:jc w:val="right"/>
              <w:rPr/>
            </w:pPr>
            <w:r>
              <w:rPr/>
              <w:t>100,000</w:t>
            </w:r>
          </w:p>
        </w:tc>
        <w:tc>
          <w:tcPr>
            <w:tcW w:w="233" w:type="dxa"/>
            <w:tcBorders>
              <w:bottom w:val="single" w:sz="2" w:space="0" w:color="000000"/>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2953" w:type="dxa"/>
            <w:tcBorders>
              <w:bottom w:val="single" w:sz="2" w:space="0" w:color="000000"/>
            </w:tcBorders>
            <w:shd w:fill="auto" w:val="clear"/>
            <w:tcMar>
              <w:bottom w:w="50" w:type="dxa"/>
            </w:tcMar>
            <w:vAlign w:val="center"/>
          </w:tcPr>
          <w:p>
            <w:pPr>
              <w:pStyle w:val="TableContents"/>
              <w:spacing w:before="0" w:after="0"/>
              <w:jc w:val="center"/>
              <w:rPr>
                <w:spacing w:val="-1"/>
              </w:rPr>
            </w:pPr>
            <w:r>
              <w:rPr>
                <w:spacing w:val="-1"/>
              </w:rPr>
              <w:t xml:space="preserve">$2,000,000.00 </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57" w:type="dxa"/>
            <w:tcBorders/>
            <w:shd w:fill="auto"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2773" w:type="dxa"/>
            <w:tcBorders>
              <w:bottom w:val="single" w:sz="2" w:space="0" w:color="000000"/>
            </w:tcBorders>
            <w:shd w:fill="auto" w:val="clear"/>
            <w:tcMar>
              <w:bottom w:w="50" w:type="dxa"/>
            </w:tcMar>
            <w:vAlign w:val="center"/>
          </w:tcPr>
          <w:p>
            <w:pPr>
              <w:pStyle w:val="TableContents"/>
              <w:spacing w:before="0" w:after="283"/>
              <w:jc w:val="left"/>
              <w:rPr>
                <w:spacing w:val="-1"/>
              </w:rPr>
            </w:pPr>
            <w:r>
              <w:rPr>
                <w:spacing w:val="-1"/>
              </w:rPr>
              <w:t xml:space="preserve">Bayer World Investments B.V. </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231" w:type="dxa"/>
            <w:tcBorders>
              <w:bottom w:val="single" w:sz="2" w:space="0" w:color="000000"/>
            </w:tcBorders>
            <w:shd w:fill="auto" w:val="clear"/>
            <w:tcMar>
              <w:bottom w:w="28" w:type="dxa"/>
            </w:tcMar>
            <w:vAlign w:val="center"/>
          </w:tcPr>
          <w:p>
            <w:pPr>
              <w:pStyle w:val="TableContents"/>
              <w:spacing w:before="0" w:after="283"/>
              <w:rPr/>
            </w:pPr>
            <w:r>
              <w:rPr/>
              <w:t>​</w:t>
            </w:r>
          </w:p>
        </w:tc>
        <w:tc>
          <w:tcPr>
            <w:tcW w:w="231" w:type="dxa"/>
            <w:tcBorders>
              <w:bottom w:val="single" w:sz="2" w:space="0" w:color="000000"/>
            </w:tcBorders>
            <w:shd w:fill="auto" w:val="clear"/>
            <w:tcMar>
              <w:bottom w:w="50" w:type="dxa"/>
            </w:tcMar>
            <w:vAlign w:val="center"/>
          </w:tcPr>
          <w:p>
            <w:pPr>
              <w:pStyle w:val="TableContents"/>
              <w:spacing w:before="0" w:after="283"/>
              <w:jc w:val="right"/>
              <w:rPr/>
            </w:pPr>
            <w:r>
              <w:rPr/>
              <w:t>​</w:t>
            </w:r>
          </w:p>
        </w:tc>
        <w:tc>
          <w:tcPr>
            <w:tcW w:w="1889" w:type="dxa"/>
            <w:tcBorders>
              <w:bottom w:val="single" w:sz="2" w:space="0" w:color="000000"/>
            </w:tcBorders>
            <w:shd w:fill="auto" w:val="clear"/>
            <w:tcMar>
              <w:bottom w:w="50" w:type="dxa"/>
            </w:tcMar>
            <w:vAlign w:val="center"/>
          </w:tcPr>
          <w:p>
            <w:pPr>
              <w:pStyle w:val="TableContents"/>
              <w:spacing w:before="0" w:after="283"/>
              <w:jc w:val="right"/>
              <w:rPr/>
            </w:pPr>
            <w:r>
              <w:rPr/>
              <w:t>750,000</w:t>
            </w:r>
          </w:p>
        </w:tc>
        <w:tc>
          <w:tcPr>
            <w:tcW w:w="233" w:type="dxa"/>
            <w:tcBorders>
              <w:bottom w:val="single" w:sz="2" w:space="0" w:color="000000"/>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2953" w:type="dxa"/>
            <w:tcBorders>
              <w:bottom w:val="single" w:sz="2" w:space="0" w:color="000000"/>
            </w:tcBorders>
            <w:shd w:fill="auto" w:val="clear"/>
            <w:tcMar>
              <w:bottom w:w="50" w:type="dxa"/>
            </w:tcMar>
            <w:vAlign w:val="center"/>
          </w:tcPr>
          <w:p>
            <w:pPr>
              <w:pStyle w:val="TableContents"/>
              <w:spacing w:before="0" w:after="0"/>
              <w:jc w:val="center"/>
              <w:rPr>
                <w:spacing w:val="-1"/>
              </w:rPr>
            </w:pPr>
            <w:r>
              <w:rPr>
                <w:spacing w:val="-1"/>
              </w:rPr>
              <w:t xml:space="preserve">$15,000,000.00 </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57" w:type="dxa"/>
            <w:tcBorders/>
            <w:shd w:fill="auto"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2773" w:type="dxa"/>
            <w:tcBorders>
              <w:bottom w:val="single" w:sz="2" w:space="0" w:color="000000"/>
            </w:tcBorders>
            <w:shd w:fill="auto" w:val="clear"/>
            <w:tcMar>
              <w:bottom w:w="50" w:type="dxa"/>
            </w:tcMar>
            <w:vAlign w:val="center"/>
          </w:tcPr>
          <w:p>
            <w:pPr>
              <w:pStyle w:val="TableContents"/>
              <w:spacing w:before="0" w:after="283"/>
              <w:jc w:val="left"/>
              <w:rPr>
                <w:spacing w:val="-1"/>
              </w:rPr>
            </w:pPr>
            <w:r>
              <w:rPr>
                <w:spacing w:val="-1"/>
              </w:rPr>
              <w:t xml:space="preserve">Casdin Entities </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231" w:type="dxa"/>
            <w:tcBorders>
              <w:bottom w:val="single" w:sz="2" w:space="0" w:color="000000"/>
            </w:tcBorders>
            <w:shd w:fill="auto" w:val="clear"/>
            <w:tcMar>
              <w:bottom w:w="28" w:type="dxa"/>
            </w:tcMar>
            <w:vAlign w:val="center"/>
          </w:tcPr>
          <w:p>
            <w:pPr>
              <w:pStyle w:val="TableContents"/>
              <w:spacing w:before="0" w:after="283"/>
              <w:rPr/>
            </w:pPr>
            <w:r>
              <w:rPr/>
              <w:t>​</w:t>
            </w:r>
          </w:p>
        </w:tc>
        <w:tc>
          <w:tcPr>
            <w:tcW w:w="231" w:type="dxa"/>
            <w:tcBorders>
              <w:bottom w:val="single" w:sz="2" w:space="0" w:color="000000"/>
            </w:tcBorders>
            <w:shd w:fill="auto" w:val="clear"/>
            <w:tcMar>
              <w:bottom w:w="50" w:type="dxa"/>
            </w:tcMar>
            <w:vAlign w:val="center"/>
          </w:tcPr>
          <w:p>
            <w:pPr>
              <w:pStyle w:val="TableContents"/>
              <w:spacing w:before="0" w:after="283"/>
              <w:jc w:val="right"/>
              <w:rPr/>
            </w:pPr>
            <w:r>
              <w:rPr/>
              <w:t>​</w:t>
            </w:r>
          </w:p>
        </w:tc>
        <w:tc>
          <w:tcPr>
            <w:tcW w:w="1889" w:type="dxa"/>
            <w:tcBorders>
              <w:bottom w:val="single" w:sz="2" w:space="0" w:color="000000"/>
            </w:tcBorders>
            <w:shd w:fill="auto" w:val="clear"/>
            <w:tcMar>
              <w:bottom w:w="50" w:type="dxa"/>
            </w:tcMar>
            <w:vAlign w:val="center"/>
          </w:tcPr>
          <w:p>
            <w:pPr>
              <w:pStyle w:val="TableContents"/>
              <w:spacing w:before="0" w:after="283"/>
              <w:jc w:val="right"/>
              <w:rPr/>
            </w:pPr>
            <w:r>
              <w:rPr/>
              <w:t>750,000</w:t>
            </w:r>
          </w:p>
        </w:tc>
        <w:tc>
          <w:tcPr>
            <w:tcW w:w="233" w:type="dxa"/>
            <w:tcBorders>
              <w:bottom w:val="single" w:sz="2" w:space="0" w:color="000000"/>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2953" w:type="dxa"/>
            <w:tcBorders>
              <w:bottom w:val="single" w:sz="2" w:space="0" w:color="000000"/>
            </w:tcBorders>
            <w:shd w:fill="auto" w:val="clear"/>
            <w:tcMar>
              <w:bottom w:w="50" w:type="dxa"/>
            </w:tcMar>
            <w:vAlign w:val="center"/>
          </w:tcPr>
          <w:p>
            <w:pPr>
              <w:pStyle w:val="TableContents"/>
              <w:spacing w:before="0" w:after="0"/>
              <w:jc w:val="center"/>
              <w:rPr/>
            </w:pPr>
            <w:r>
              <w:rPr>
                <w:spacing w:val="-1"/>
              </w:rPr>
              <w:t>$15,000,000.00</w:t>
            </w:r>
            <w:r>
              <w:rPr/>
              <w:t xml:space="preserve"> </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57" w:type="dxa"/>
            <w:tcBorders/>
            <w:shd w:fill="auto" w:val="clear"/>
            <w:vAlign w:val="center"/>
          </w:tcPr>
          <w:p>
            <w:pPr>
              <w:pStyle w:val="TableContents"/>
              <w:spacing w:before="0" w:after="283"/>
              <w:rPr/>
            </w:pPr>
            <w:r>
              <w:rPr/>
              <w:t>​</w:t>
            </w:r>
          </w:p>
        </w:tc>
      </w:tr>
    </w:tbl>
    <w:p>
      <w:pPr>
        <w:pStyle w:val="TextBody"/>
        <w:spacing w:lineRule="atLeast" w:line="240" w:before="232" w:after="283"/>
        <w:ind w:left="960" w:right="0" w:hanging="0"/>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0"/>
          <w:sz w:val="20"/>
        </w:rPr>
        <w:t>Bayer HealthCare LLC</w:t>
      </w:r>
      <w:r>
        <w:rPr>
          <w:rFonts w:ascii="Arial;Helvetica;sans-serif" w:hAnsi="Arial;Helvetica;sans-serif"/>
          <w:b/>
          <w:i w:val="false"/>
          <w:caps w:val="false"/>
          <w:smallCaps w:val="false"/>
          <w:color w:val="000000"/>
          <w:spacing w:val="4"/>
          <w:sz w:val="20"/>
        </w:rPr>
        <w:t xml:space="preserve"> </w:t>
      </w:r>
    </w:p>
    <w:p>
      <w:pPr>
        <w:pStyle w:val="TextBody"/>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Bayer World Investments B.V. is holder of greater than 5% of our securities. Below is a summary of the transactions entered into between Bayer, an affiliate of Bayer World Investments B.V., and us since January 1, 2021.</w:t>
      </w:r>
      <w:r>
        <w:rPr>
          <w:rFonts w:ascii="Arial;Helvetica;sans-serif" w:hAnsi="Arial;Helvetica;sans-serif"/>
          <w:b w:val="false"/>
          <w:i w:val="false"/>
          <w:caps w:val="false"/>
          <w:smallCaps w:val="false"/>
          <w:color w:val="000000"/>
          <w:spacing w:val="4"/>
          <w:sz w:val="20"/>
        </w:rPr>
        <w:t xml:space="preserve"> </w:t>
      </w:r>
    </w:p>
    <w:p>
      <w:pPr>
        <w:pStyle w:val="TextBody"/>
        <w:spacing w:lineRule="atLeast" w:line="240" w:before="100" w:after="283"/>
        <w:ind w:left="960" w:right="0" w:hanging="0"/>
        <w:jc w:val="righ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1DA46F"/>
          <w:spacing w:val="0"/>
          <w:sz w:val="20"/>
        </w:rPr>
        <w:t>Notice of Annual Meeting of Stockholders</w:t>
      </w:r>
      <w:r>
        <w:rPr>
          <w:rFonts w:ascii="Arial;Helvetica;sans-serif" w:hAnsi="Arial;Helvetica;sans-serif"/>
          <w:b/>
          <w:i w:val="false"/>
          <w:caps w:val="false"/>
          <w:smallCaps w:val="false"/>
          <w:color w:val="000000"/>
          <w:spacing w:val="0"/>
          <w:sz w:val="20"/>
        </w:rPr>
        <w:t> and 2023 Proxy Statement | </w:t>
      </w:r>
      <w:r>
        <w:rPr>
          <w:rFonts w:ascii="Arial;Helvetica;sans-serif" w:hAnsi="Arial;Helvetica;sans-serif"/>
          <w:b w:val="false"/>
          <w:i w:val="false"/>
          <w:caps w:val="false"/>
          <w:smallCaps w:val="false"/>
          <w:color w:val="000000"/>
          <w:spacing w:val="-1"/>
          <w:sz w:val="20"/>
        </w:rPr>
        <w:t>28</w:t>
      </w:r>
      <w:r>
        <w:rPr>
          <w:rFonts w:ascii="Arial;Helvetica;sans-serif" w:hAnsi="Arial;Helvetica;sans-serif"/>
          <w:b/>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tbl>
      <w:tblPr>
        <w:tblW w:w="5964" w:type="dxa"/>
        <w:jc w:val="left"/>
        <w:tblInd w:w="960" w:type="dxa"/>
        <w:tblCellMar>
          <w:top w:w="0" w:type="dxa"/>
          <w:left w:w="0" w:type="dxa"/>
          <w:bottom w:w="0" w:type="dxa"/>
          <w:right w:w="0" w:type="dxa"/>
        </w:tblCellMar>
      </w:tblPr>
      <w:tblGrid>
        <w:gridCol w:w="124"/>
        <w:gridCol w:w="5686"/>
        <w:gridCol w:w="154"/>
      </w:tblGrid>
      <w:tr>
        <w:trPr/>
        <w:tc>
          <w:tcPr>
            <w:tcW w:w="124" w:type="dxa"/>
            <w:tcBorders/>
            <w:shd w:fill="1DA46F" w:val="clear"/>
            <w:vAlign w:val="center"/>
          </w:tcPr>
          <w:p>
            <w:pPr>
              <w:pStyle w:val="TableContents"/>
              <w:spacing w:before="0" w:after="283"/>
              <w:rPr/>
            </w:pPr>
            <w:r>
              <w:rPr/>
              <w:t>​</w:t>
            </w:r>
          </w:p>
        </w:tc>
        <w:tc>
          <w:tcPr>
            <w:tcW w:w="5686" w:type="dxa"/>
            <w:tcBorders/>
            <w:shd w:fill="1DA46F" w:val="clear"/>
            <w:vAlign w:val="center"/>
          </w:tcPr>
          <w:p>
            <w:pPr>
              <w:pStyle w:val="TableContents"/>
              <w:spacing w:lineRule="atLeast" w:line="432" w:before="0" w:after="0"/>
              <w:rPr/>
            </w:pPr>
            <w:r>
              <w:rPr>
                <w:spacing w:val="-5"/>
              </w:rPr>
              <w:t xml:space="preserve">CERTAIN RELATIONSHIPS AND RELATED PARTY </w:t>
            </w:r>
            <w:r>
              <w:rPr/>
              <w:br/>
            </w:r>
            <w:r>
              <w:rPr>
                <w:spacing w:val="-5"/>
              </w:rPr>
              <w:t>TRANSACTIONS</w:t>
            </w:r>
            <w:r>
              <w:rPr/>
              <w:t xml:space="preserve"> </w:t>
            </w:r>
          </w:p>
        </w:tc>
        <w:tc>
          <w:tcPr>
            <w:tcW w:w="154" w:type="dxa"/>
            <w:tcBorders/>
            <w:shd w:fill="1DA46F" w:val="clear"/>
            <w:vAlign w:val="center"/>
          </w:tcPr>
          <w:p>
            <w:pPr>
              <w:pStyle w:val="TableContents"/>
              <w:spacing w:before="0" w:after="283"/>
              <w:rPr/>
            </w:pPr>
            <w:r>
              <w:rPr/>
              <w:t>​</w:t>
            </w:r>
          </w:p>
        </w:tc>
      </w:tr>
    </w:tbl>
    <w:p>
      <w:pPr>
        <w:pStyle w:val="TextBody"/>
        <w:spacing w:lineRule="atLeast" w:line="240" w:before="360" w:after="283"/>
        <w:ind w:left="960" w:right="0" w:hanging="0"/>
        <w:rPr>
          <w:rFonts w:ascii="Arial;Helvetica;sans-serif" w:hAnsi="Arial;Helvetica;sans-serif"/>
          <w:b/>
          <w:i/>
          <w:caps w:val="false"/>
          <w:smallCaps w:val="false"/>
          <w:color w:val="000000"/>
          <w:sz w:val="20"/>
        </w:rPr>
      </w:pPr>
      <w:r>
        <w:rPr>
          <w:rFonts w:ascii="Arial;Helvetica;sans-serif" w:hAnsi="Arial;Helvetica;sans-serif"/>
          <w:b/>
          <w:i/>
          <w:caps w:val="false"/>
          <w:smallCaps w:val="false"/>
          <w:color w:val="000000"/>
          <w:sz w:val="20"/>
        </w:rPr>
        <w:t>Option Agreement</w:t>
      </w:r>
      <w:r>
        <w:rPr>
          <w:rFonts w:ascii="Arial;Helvetica;sans-serif" w:hAnsi="Arial;Helvetica;sans-serif"/>
          <w:b/>
          <w:i/>
          <w:caps w:val="false"/>
          <w:smallCaps w:val="false"/>
          <w:color w:val="000000"/>
          <w:spacing w:val="4"/>
          <w:sz w:val="20"/>
        </w:rPr>
        <w:t xml:space="preserve"> </w:t>
      </w:r>
    </w:p>
    <w:p>
      <w:pPr>
        <w:pStyle w:val="TextBody"/>
        <w:spacing w:lineRule="atLeast" w:line="23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In June 2019, we entered into an Option Agreement by and among Prior Century, Bayer and us, which, was amended and restated in February 2021, or the Option Agreement, pursuant to which Bayer was granted certain bidding rights relating to the potential transfer of rights with respect to certain product candidates being researched and developed by us which are comprised of allogeneic iPSC-derived natural killer cells, macrophages or dendritic cells, which we refer to as the Research Products. Under the Option Agreement, Bayer was granted a right of first refusal, or ROFR, to submit bids for the transfer or license of rights to research, develop and/or commercialize certain Research Products, which we refer to as the Research Product Rights. The Research Products include CNTY-101, CNTY-103 and any other product candidate comprised of iNK cells that we develop in the future. Bayer’s ROFR is only exercisable with respect to up to four Research Products and the right terminates upon our tenth IND submission. Subject to certain exceptions, Bayer may only exercise these option rights in a non-sequential and alternating manner, and such rights are subject to additional limitations. Bayer has not exercised any of its rights under the Option Agreement.</w:t>
      </w:r>
      <w:r>
        <w:rPr>
          <w:rFonts w:ascii="Arial;Helvetica;sans-serif" w:hAnsi="Arial;Helvetica;sans-serif"/>
          <w:b w:val="false"/>
          <w:i w:val="false"/>
          <w:caps w:val="false"/>
          <w:smallCaps w:val="false"/>
          <w:color w:val="000000"/>
          <w:spacing w:val="4"/>
          <w:sz w:val="20"/>
        </w:rPr>
        <w:t xml:space="preserve"> </w:t>
      </w:r>
    </w:p>
    <w:p>
      <w:pPr>
        <w:pStyle w:val="TextBody"/>
        <w:spacing w:lineRule="atLeast" w:line="240" w:before="240" w:after="283"/>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0"/>
          <w:sz w:val="20"/>
        </w:rPr>
        <w:t>FUJIFILM Cellular Dynamics, Inc.</w:t>
      </w:r>
      <w:r>
        <w:rPr>
          <w:rFonts w:ascii="Arial;Helvetica;sans-serif" w:hAnsi="Arial;Helvetica;sans-serif"/>
          <w:b/>
          <w:i w:val="false"/>
          <w:caps w:val="false"/>
          <w:smallCaps w:val="false"/>
          <w:color w:val="000000"/>
          <w:spacing w:val="4"/>
          <w:sz w:val="20"/>
        </w:rPr>
        <w:t xml:space="preserve"> </w:t>
      </w:r>
    </w:p>
    <w:p>
      <w:pPr>
        <w:pStyle w:val="TextBody"/>
        <w:spacing w:lineRule="atLeast" w:line="23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FUJIFILM Cellular Dynamics, Inc., or FCDI, is a holder of greater than 5% of our securities. Below are the transactions entered into between FCDI and us since January 1, 2021.</w:t>
      </w:r>
      <w:r>
        <w:rPr>
          <w:rFonts w:ascii="Arial;Helvetica;sans-serif" w:hAnsi="Arial;Helvetica;sans-serif"/>
          <w:b w:val="false"/>
          <w:i w:val="false"/>
          <w:caps w:val="false"/>
          <w:smallCaps w:val="false"/>
          <w:color w:val="000000"/>
          <w:spacing w:val="4"/>
          <w:sz w:val="20"/>
        </w:rPr>
        <w:t xml:space="preserve"> </w:t>
      </w:r>
    </w:p>
    <w:p>
      <w:pPr>
        <w:pStyle w:val="TextBody"/>
        <w:spacing w:lineRule="atLeast" w:line="240" w:before="240" w:after="283"/>
        <w:rPr>
          <w:rFonts w:ascii="Arial;Helvetica;sans-serif" w:hAnsi="Arial;Helvetica;sans-serif"/>
          <w:b/>
          <w:i/>
          <w:caps w:val="false"/>
          <w:smallCaps w:val="false"/>
          <w:color w:val="000000"/>
          <w:sz w:val="20"/>
        </w:rPr>
      </w:pPr>
      <w:r>
        <w:rPr>
          <w:rFonts w:ascii="Arial;Helvetica;sans-serif" w:hAnsi="Arial;Helvetica;sans-serif"/>
          <w:b/>
          <w:i/>
          <w:caps w:val="false"/>
          <w:smallCaps w:val="false"/>
          <w:color w:val="000000"/>
          <w:sz w:val="20"/>
        </w:rPr>
        <w:t>Manufacturing Agreement</w:t>
      </w:r>
      <w:r>
        <w:rPr>
          <w:rFonts w:ascii="Arial;Helvetica;sans-serif" w:hAnsi="Arial;Helvetica;sans-serif"/>
          <w:b/>
          <w:i/>
          <w:caps w:val="false"/>
          <w:smallCaps w:val="false"/>
          <w:color w:val="000000"/>
          <w:spacing w:val="4"/>
          <w:sz w:val="20"/>
        </w:rPr>
        <w:t xml:space="preserve"> </w:t>
      </w:r>
    </w:p>
    <w:p>
      <w:pPr>
        <w:pStyle w:val="TextBody"/>
        <w:spacing w:lineRule="atLeast" w:line="23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On March 23, 2021, we entered into a Manufacturing and Supply Agreement with FCDI, or the Manufacturing Agreement, pursuant to which FCDI will provide certain analytical testing, process and analytical development and manufacturing services to us with respect to clinical supply of our product candidates. No payments were made under the Manufacturing Agreement in 2021 or 2022.</w:t>
      </w:r>
      <w:r>
        <w:rPr>
          <w:rFonts w:ascii="Arial;Helvetica;sans-serif" w:hAnsi="Arial;Helvetica;sans-serif"/>
          <w:b w:val="false"/>
          <w:i w:val="false"/>
          <w:caps w:val="false"/>
          <w:smallCaps w:val="false"/>
          <w:color w:val="000000"/>
          <w:spacing w:val="4"/>
          <w:sz w:val="20"/>
        </w:rPr>
        <w:t xml:space="preserve"> </w:t>
      </w:r>
    </w:p>
    <w:p>
      <w:pPr>
        <w:pStyle w:val="TextBody"/>
        <w:spacing w:lineRule="atLeast" w:line="240" w:before="240" w:after="283"/>
        <w:rPr>
          <w:rFonts w:ascii="Arial;Helvetica;sans-serif" w:hAnsi="Arial;Helvetica;sans-serif"/>
          <w:b/>
          <w:i/>
          <w:caps w:val="false"/>
          <w:smallCaps w:val="false"/>
          <w:color w:val="000000"/>
          <w:sz w:val="20"/>
        </w:rPr>
      </w:pPr>
      <w:r>
        <w:rPr>
          <w:rFonts w:ascii="Arial;Helvetica;sans-serif" w:hAnsi="Arial;Helvetica;sans-serif"/>
          <w:b/>
          <w:i/>
          <w:caps w:val="false"/>
          <w:smallCaps w:val="false"/>
          <w:color w:val="000000"/>
          <w:sz w:val="20"/>
        </w:rPr>
        <w:t>Master Collaboration Agreement</w:t>
      </w:r>
      <w:r>
        <w:rPr>
          <w:rFonts w:ascii="Arial;Helvetica;sans-serif" w:hAnsi="Arial;Helvetica;sans-serif"/>
          <w:b/>
          <w:i/>
          <w:caps w:val="false"/>
          <w:smallCaps w:val="false"/>
          <w:color w:val="000000"/>
          <w:spacing w:val="4"/>
          <w:sz w:val="20"/>
        </w:rPr>
        <w:t xml:space="preserve"> </w:t>
      </w:r>
    </w:p>
    <w:p>
      <w:pPr>
        <w:pStyle w:val="TextBody"/>
        <w:spacing w:lineRule="atLeast" w:line="23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On October 21, 2019, we entered into a Master Collaboration Agreement with FCDI, or the MCA, whereby FCDI agreed to provide certain services for us to develop and manufacture iPSCs and immune cells derived therefrom and in consideration, we agreed to make payments of at least $2.5 million per year to FCDI. The initial research plan covered the period from October 2019 through March 31, 2022 and on July 29, 2022 we amended the MCA to extend the term through September 30, 2025. In 2021 and 2022, the Company made payments of $16,200,000 and $5,100,000, respectively, to FCDI under the MCA.</w:t>
      </w:r>
      <w:r>
        <w:rPr>
          <w:rFonts w:ascii="Arial;Helvetica;sans-serif" w:hAnsi="Arial;Helvetica;sans-serif"/>
          <w:b w:val="false"/>
          <w:i w:val="false"/>
          <w:caps w:val="false"/>
          <w:smallCaps w:val="false"/>
          <w:color w:val="000000"/>
          <w:spacing w:val="4"/>
          <w:sz w:val="20"/>
        </w:rPr>
        <w:t xml:space="preserve"> </w:t>
      </w:r>
    </w:p>
    <w:p>
      <w:pPr>
        <w:pStyle w:val="TextBody"/>
        <w:spacing w:lineRule="atLeast" w:line="240" w:before="240" w:after="283"/>
        <w:rPr>
          <w:rFonts w:ascii="Arial;Helvetica;sans-serif" w:hAnsi="Arial;Helvetica;sans-serif"/>
          <w:b/>
          <w:i/>
          <w:caps w:val="false"/>
          <w:smallCaps w:val="false"/>
          <w:color w:val="000000"/>
          <w:sz w:val="20"/>
        </w:rPr>
      </w:pPr>
      <w:r>
        <w:rPr>
          <w:rFonts w:ascii="Arial;Helvetica;sans-serif" w:hAnsi="Arial;Helvetica;sans-serif"/>
          <w:b/>
          <w:i/>
          <w:caps w:val="false"/>
          <w:smallCaps w:val="false"/>
          <w:color w:val="000000"/>
          <w:sz w:val="20"/>
        </w:rPr>
        <w:t>License Agreements</w:t>
      </w:r>
      <w:r>
        <w:rPr>
          <w:rFonts w:ascii="Arial;Helvetica;sans-serif" w:hAnsi="Arial;Helvetica;sans-serif"/>
          <w:b/>
          <w:i/>
          <w:caps w:val="false"/>
          <w:smallCaps w:val="false"/>
          <w:color w:val="000000"/>
          <w:spacing w:val="4"/>
          <w:sz w:val="20"/>
        </w:rPr>
        <w:t xml:space="preserve"> </w:t>
      </w:r>
    </w:p>
    <w:p>
      <w:pPr>
        <w:pStyle w:val="TextBody"/>
        <w:spacing w:lineRule="atLeast" w:line="23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We are party to an exclusive license with FCDI, dated September 18, 2018, as amended, with respect to certain patents and know-how related to the differentiation of induced pluripotent stem cells, or IPSCs, into immune-effector cells in the field of cancer immunotherapeutics, or the Differentiation License, and a non-exclusive license with FCDI, also dated September 18, 2018, as amended, with respect to certain patents and know-how related to the reprogramming of human somatic cells to iPSCs in the field of cancer immunotherapeutics or the Reprogramming License, and together with the Differentiation License, the FCDI Agreements. On March 23, 2021, in connection with our entry into the Manufacturing Agreement, we amended each of the FCDI Agreements, which are described in greater detail below.</w:t>
      </w:r>
      <w:r>
        <w:rPr>
          <w:rFonts w:ascii="Arial;Helvetica;sans-serif" w:hAnsi="Arial;Helvetica;sans-serif"/>
          <w:b w:val="false"/>
          <w:i w:val="false"/>
          <w:caps w:val="false"/>
          <w:smallCaps w:val="false"/>
          <w:color w:val="000000"/>
          <w:spacing w:val="4"/>
          <w:sz w:val="20"/>
        </w:rPr>
        <w:t xml:space="preserve"> </w:t>
      </w:r>
    </w:p>
    <w:p>
      <w:pPr>
        <w:pStyle w:val="TextBody"/>
        <w:spacing w:lineRule="atLeast" w:line="240" w:before="240" w:after="283"/>
        <w:ind w:left="1360" w:right="0" w:hanging="0"/>
        <w:rPr>
          <w:rFonts w:ascii="Arial;Helvetica;sans-serif" w:hAnsi="Arial;Helvetica;sans-serif"/>
          <w:b w:val="false"/>
          <w:i/>
          <w:caps w:val="false"/>
          <w:smallCaps w:val="false"/>
          <w:color w:val="000000"/>
          <w:sz w:val="20"/>
        </w:rPr>
      </w:pPr>
      <w:r>
        <w:rPr>
          <w:rFonts w:ascii="Arial;Helvetica;sans-serif" w:hAnsi="Arial;Helvetica;sans-serif"/>
          <w:b w:val="false"/>
          <w:i/>
          <w:caps w:val="false"/>
          <w:smallCaps w:val="false"/>
          <w:color w:val="000000"/>
          <w:sz w:val="20"/>
        </w:rPr>
        <w:t>Differentiation License</w:t>
      </w:r>
      <w:r>
        <w:rPr>
          <w:rFonts w:ascii="Arial;Helvetica;sans-serif" w:hAnsi="Arial;Helvetica;sans-serif"/>
          <w:b w:val="false"/>
          <w:i/>
          <w:caps w:val="false"/>
          <w:smallCaps w:val="false"/>
          <w:color w:val="000000"/>
          <w:spacing w:val="4"/>
          <w:sz w:val="20"/>
        </w:rPr>
        <w:t xml:space="preserve"> </w:t>
      </w:r>
    </w:p>
    <w:p>
      <w:pPr>
        <w:pStyle w:val="TextBody"/>
        <w:spacing w:lineRule="atLeast" w:line="230" w:before="160" w:after="283"/>
        <w:jc w:val="both"/>
        <w:rPr>
          <w:rFonts w:ascii="Arial;Helvetica;sans-serif" w:hAnsi="Arial;Helvetica;sans-serif"/>
          <w:b w:val="false"/>
          <w:i w:val="false"/>
          <w:caps w:val="false"/>
          <w:smallCaps w:val="false"/>
          <w:color w:val="000000"/>
          <w:spacing w:val="-1"/>
          <w:sz w:val="20"/>
        </w:rPr>
      </w:pPr>
      <w:r>
        <w:rPr>
          <w:rFonts w:ascii="Arial;Helvetica;sans-serif" w:hAnsi="Arial;Helvetica;sans-serif"/>
          <w:b w:val="false"/>
          <w:i w:val="false"/>
          <w:caps w:val="false"/>
          <w:smallCaps w:val="false"/>
          <w:color w:val="000000"/>
          <w:spacing w:val="-1"/>
          <w:sz w:val="20"/>
        </w:rPr>
        <w:t xml:space="preserve">Under the Differentiation License, FCDI granted us an exclusive, fully paid-up, sublicensable, worldwide, excluding Japan, license under certain patent rights and know-how related to human iPSC to exploit cancer immunotherapy products consisting of cells that are or are modifications of NK cells, T cells, dendritic cells and macrophages derived from human iPSC, or FCDI Licensed Products. In return, we granted FCDI an exclusive, fully paid-up, sublicensable license under certain patents and know-how controlled by us to exploit FCDI Licensed Products for any cancer immunotherapy use in Japan or, with respect to any abandoned indication, worldwide, and a non-exclusive license to manufacture the FCDI Licensed Products for any cancer immunotherapy use worldwide until the termination of the Differentiation License. We also granted to FCDI a non-exclusive, sublicensable, </w:t>
      </w:r>
    </w:p>
    <w:p>
      <w:pPr>
        <w:pStyle w:val="TextBody"/>
        <w:spacing w:lineRule="atLeast" w:line="240" w:before="100" w:after="283"/>
        <w:ind w:left="960" w:right="0" w:hanging="0"/>
        <w:jc w:val="righ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1DA46F"/>
          <w:spacing w:val="0"/>
          <w:sz w:val="20"/>
        </w:rPr>
        <w:t>Notice of Annual Meeting of Stockholders</w:t>
      </w:r>
      <w:r>
        <w:rPr>
          <w:rFonts w:ascii="Arial;Helvetica;sans-serif" w:hAnsi="Arial;Helvetica;sans-serif"/>
          <w:b/>
          <w:i w:val="false"/>
          <w:caps w:val="false"/>
          <w:smallCaps w:val="false"/>
          <w:color w:val="000000"/>
          <w:spacing w:val="0"/>
          <w:sz w:val="20"/>
        </w:rPr>
        <w:t> and 2023 Proxy Statement | </w:t>
      </w:r>
      <w:r>
        <w:rPr>
          <w:rFonts w:ascii="Arial;Helvetica;sans-serif" w:hAnsi="Arial;Helvetica;sans-serif"/>
          <w:b w:val="false"/>
          <w:i w:val="false"/>
          <w:caps w:val="false"/>
          <w:smallCaps w:val="false"/>
          <w:color w:val="000000"/>
          <w:spacing w:val="-1"/>
          <w:sz w:val="20"/>
        </w:rPr>
        <w:t>29</w:t>
      </w:r>
      <w:r>
        <w:rPr>
          <w:rFonts w:ascii="Arial;Helvetica;sans-serif" w:hAnsi="Arial;Helvetica;sans-serif"/>
          <w:b/>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tbl>
      <w:tblPr>
        <w:tblW w:w="5964" w:type="dxa"/>
        <w:jc w:val="left"/>
        <w:tblInd w:w="960" w:type="dxa"/>
        <w:tblCellMar>
          <w:top w:w="0" w:type="dxa"/>
          <w:left w:w="0" w:type="dxa"/>
          <w:bottom w:w="0" w:type="dxa"/>
          <w:right w:w="0" w:type="dxa"/>
        </w:tblCellMar>
      </w:tblPr>
      <w:tblGrid>
        <w:gridCol w:w="124"/>
        <w:gridCol w:w="5686"/>
        <w:gridCol w:w="154"/>
      </w:tblGrid>
      <w:tr>
        <w:trPr/>
        <w:tc>
          <w:tcPr>
            <w:tcW w:w="124" w:type="dxa"/>
            <w:tcBorders/>
            <w:shd w:fill="1DA46F" w:val="clear"/>
            <w:vAlign w:val="center"/>
          </w:tcPr>
          <w:p>
            <w:pPr>
              <w:pStyle w:val="TableContents"/>
              <w:spacing w:before="0" w:after="283"/>
              <w:rPr/>
            </w:pPr>
            <w:r>
              <w:rPr/>
              <w:t>​</w:t>
            </w:r>
          </w:p>
        </w:tc>
        <w:tc>
          <w:tcPr>
            <w:tcW w:w="5686" w:type="dxa"/>
            <w:tcBorders/>
            <w:shd w:fill="1DA46F" w:val="clear"/>
            <w:vAlign w:val="center"/>
          </w:tcPr>
          <w:p>
            <w:pPr>
              <w:pStyle w:val="TableContents"/>
              <w:spacing w:lineRule="atLeast" w:line="432" w:before="0" w:after="0"/>
              <w:rPr/>
            </w:pPr>
            <w:r>
              <w:rPr>
                <w:spacing w:val="-5"/>
              </w:rPr>
              <w:t xml:space="preserve">CERTAIN RELATIONSHIPS AND RELATED PARTY </w:t>
            </w:r>
            <w:r>
              <w:rPr/>
              <w:br/>
            </w:r>
            <w:r>
              <w:rPr>
                <w:spacing w:val="-5"/>
              </w:rPr>
              <w:t>TRANSACTIONS</w:t>
            </w:r>
            <w:r>
              <w:rPr/>
              <w:t xml:space="preserve"> </w:t>
            </w:r>
          </w:p>
        </w:tc>
        <w:tc>
          <w:tcPr>
            <w:tcW w:w="154" w:type="dxa"/>
            <w:tcBorders/>
            <w:shd w:fill="1DA46F" w:val="clear"/>
            <w:vAlign w:val="center"/>
          </w:tcPr>
          <w:p>
            <w:pPr>
              <w:pStyle w:val="TableContents"/>
              <w:spacing w:before="0" w:after="283"/>
              <w:rPr/>
            </w:pPr>
            <w:r>
              <w:rPr/>
              <w:t>​</w:t>
            </w:r>
          </w:p>
        </w:tc>
      </w:tr>
    </w:tbl>
    <w:p>
      <w:pPr>
        <w:pStyle w:val="TextBody"/>
        <w:spacing w:lineRule="atLeast" w:line="240" w:before="360" w:after="283"/>
        <w:ind w:left="96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worldwide license under certain manufacturing know-how developed by us under the Differentiation License or MCA for manufacturing and process development activities outside of the field of cancer immunotherapy for cells other than NK cells, T cells, dendritic cells and macrophages derived from human iPSC until the termination of the Differentiation License.</w:t>
      </w:r>
      <w:r>
        <w:rPr>
          <w:rFonts w:ascii="Arial;Helvetica;sans-serif" w:hAnsi="Arial;Helvetica;sans-serif"/>
          <w:b w:val="false"/>
          <w:i w:val="false"/>
          <w:caps w:val="false"/>
          <w:smallCaps w:val="false"/>
          <w:color w:val="000000"/>
          <w:spacing w:val="4"/>
          <w:sz w:val="20"/>
        </w:rPr>
        <w:t xml:space="preserve"> </w:t>
      </w:r>
    </w:p>
    <w:p>
      <w:pPr>
        <w:pStyle w:val="TextBody"/>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Under the Differentiation License, FCDI has an option, executable once a product candidate meets its primary endpoint(s) in a Phase 2 clinical trial, to exploit FCDI Licensed Products in Japan or, with respect to any abandoned indication, worldwide. If FCDI does not exercise its option, we will have the right to exploit FCDI Licensed Products in Japan, and we and FCDI will amend the Differentiation License as necessary to permit such exploitation. In consideration for the Differentiation License, Prior Century issued 2,980,803 shares of common stock to FCDI, which were exchanged for 2,980,803 shares of common stock in connection with the 2021 Reorganization. No payments were made under the Reprogramming License in 2021 or 2022.</w:t>
      </w:r>
      <w:r>
        <w:rPr>
          <w:rFonts w:ascii="Arial;Helvetica;sans-serif" w:hAnsi="Arial;Helvetica;sans-serif"/>
          <w:b w:val="false"/>
          <w:i w:val="false"/>
          <w:caps w:val="false"/>
          <w:smallCaps w:val="false"/>
          <w:color w:val="000000"/>
          <w:spacing w:val="4"/>
          <w:sz w:val="20"/>
        </w:rPr>
        <w:t xml:space="preserve"> </w:t>
      </w:r>
    </w:p>
    <w:p>
      <w:pPr>
        <w:pStyle w:val="TextBody"/>
        <w:spacing w:lineRule="atLeast" w:line="240" w:before="240" w:after="283"/>
        <w:ind w:left="1360" w:right="0" w:hanging="0"/>
        <w:rPr>
          <w:rFonts w:ascii="Arial;Helvetica;sans-serif" w:hAnsi="Arial;Helvetica;sans-serif"/>
          <w:b w:val="false"/>
          <w:i/>
          <w:caps w:val="false"/>
          <w:smallCaps w:val="false"/>
          <w:color w:val="000000"/>
          <w:sz w:val="20"/>
        </w:rPr>
      </w:pPr>
      <w:r>
        <w:rPr>
          <w:rFonts w:ascii="Arial;Helvetica;sans-serif" w:hAnsi="Arial;Helvetica;sans-serif"/>
          <w:b w:val="false"/>
          <w:i/>
          <w:caps w:val="false"/>
          <w:smallCaps w:val="false"/>
          <w:color w:val="000000"/>
          <w:sz w:val="20"/>
        </w:rPr>
        <w:t>Reprogramming License</w:t>
      </w:r>
      <w:r>
        <w:rPr>
          <w:rFonts w:ascii="Arial;Helvetica;sans-serif" w:hAnsi="Arial;Helvetica;sans-serif"/>
          <w:b w:val="false"/>
          <w:i/>
          <w:caps w:val="false"/>
          <w:smallCaps w:val="false"/>
          <w:color w:val="000000"/>
          <w:spacing w:val="4"/>
          <w:sz w:val="20"/>
        </w:rPr>
        <w:t xml:space="preserve"> </w:t>
      </w:r>
    </w:p>
    <w:p>
      <w:pPr>
        <w:pStyle w:val="TextBody"/>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Under the Reprogramming License, FCDI granted us a non-exclusive, worldwide, excluding Japan, license under certain patent rights and know-how related to cell reprogramming of human cells to iPSCs to exploit FCDI Licensed Products within the field of cancer immunotherapeutics. Included within the rights granted to us under such license are rights sublicensed to us under certain patents owned by the Wisconsin Alumni Research Foundation, or WARF, relating to the “Thompson Factors” for reprogramming human cells to iPSCs, pursuant to a license agreement between FCDI and WARF, or the WARF License. In return, we granted FCDI a non-exclusive, fully paid up, sublicensable license to manufacture or practice developments made by us in Japan and to practice developments made by us to manufacture FCDI Licensed Products worldwide until the termination of the Reprogramming License. We also granted to FCDI a non-exclusive, sublicensable, worldwide license under certain developments made by us under the Reprogramming License to make, have made, use, have used, research and develop iPSCs for activities outside of the field of cancer immunotherapy, so long as such rights are not used in conjunction with any other technology to differentiate iPSCs into NK cells, T cells, macrophages, or dendritic cells.</w:t>
      </w:r>
      <w:r>
        <w:rPr>
          <w:rFonts w:ascii="Arial;Helvetica;sans-serif" w:hAnsi="Arial;Helvetica;sans-serif"/>
          <w:b w:val="false"/>
          <w:i w:val="false"/>
          <w:caps w:val="false"/>
          <w:smallCaps w:val="false"/>
          <w:color w:val="000000"/>
          <w:spacing w:val="4"/>
          <w:sz w:val="20"/>
        </w:rPr>
        <w:t xml:space="preserve"> </w:t>
      </w:r>
    </w:p>
    <w:p>
      <w:pPr>
        <w:pStyle w:val="TextBody"/>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Under the Reprogramming License, we agreed to pay FCDI low single-digit percentage royalty payments on net sales of FCDI Licensed Products, as required by the WARF License, until the expiration of the last-to-expire patent licensed thereunder, which is currently March 28, 2028. We also agreed to pay certain milestone payments to FCDI as required by the WARF License upon the achievement of certain development and commercial milestones up to an aggregate of $6 million per FCDI Licensed Product. No payments were made under the Reprogramming License in 2021 or 2022.</w:t>
      </w:r>
      <w:r>
        <w:rPr>
          <w:rFonts w:ascii="Arial;Helvetica;sans-serif" w:hAnsi="Arial;Helvetica;sans-serif"/>
          <w:b w:val="false"/>
          <w:i w:val="false"/>
          <w:caps w:val="false"/>
          <w:smallCaps w:val="false"/>
          <w:color w:val="000000"/>
          <w:spacing w:val="4"/>
          <w:sz w:val="20"/>
        </w:rPr>
        <w:t xml:space="preserve"> </w:t>
      </w:r>
    </w:p>
    <w:p>
      <w:pPr>
        <w:pStyle w:val="TextBody"/>
        <w:spacing w:lineRule="atLeast" w:line="240" w:before="240" w:after="283"/>
        <w:rPr>
          <w:rFonts w:ascii="Arial;Helvetica;sans-serif" w:hAnsi="Arial;Helvetica;sans-serif"/>
          <w:b/>
          <w:i/>
          <w:caps w:val="false"/>
          <w:smallCaps w:val="false"/>
          <w:color w:val="000000"/>
          <w:sz w:val="20"/>
        </w:rPr>
      </w:pPr>
      <w:r>
        <w:rPr>
          <w:rFonts w:ascii="Arial;Helvetica;sans-serif" w:hAnsi="Arial;Helvetica;sans-serif"/>
          <w:b/>
          <w:i/>
          <w:caps w:val="false"/>
          <w:smallCaps w:val="false"/>
          <w:color w:val="000000"/>
          <w:sz w:val="20"/>
        </w:rPr>
        <w:t>Letter Agreement</w:t>
      </w:r>
      <w:r>
        <w:rPr>
          <w:rFonts w:ascii="Arial;Helvetica;sans-serif" w:hAnsi="Arial;Helvetica;sans-serif"/>
          <w:b/>
          <w:i/>
          <w:caps w:val="false"/>
          <w:smallCaps w:val="false"/>
          <w:color w:val="000000"/>
          <w:spacing w:val="4"/>
          <w:sz w:val="20"/>
        </w:rPr>
        <w:t xml:space="preserve"> </w:t>
      </w:r>
    </w:p>
    <w:p>
      <w:pPr>
        <w:pStyle w:val="TextBody"/>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On January 7, 2022, we and FCDI entered into a letter agreement, or the Letter Agreement, which amends each of the FCDI Agreements such that (i) the definition of Territory under each of the FCDI Agreements, for purposes of the sublicenses under the FCDI Agreements pursuant to the Company’s Research Collaboration and License Agreement with Bristol-Myers Squibb Company, or BMS, dated January 7, 2022, or the Collaboration Agreement, includes Japan, (ii) the licenses granted to us and our affiliates under the FCDI Agreements are sublicensable to BMS, including with respect to Japan and (iii) BMS is not subject to grant-back and option provisions under the Reprogramming License.</w:t>
      </w:r>
      <w:r>
        <w:rPr>
          <w:rFonts w:ascii="Arial;Helvetica;sans-serif" w:hAnsi="Arial;Helvetica;sans-serif"/>
          <w:b w:val="false"/>
          <w:i w:val="false"/>
          <w:caps w:val="false"/>
          <w:smallCaps w:val="false"/>
          <w:color w:val="000000"/>
          <w:spacing w:val="4"/>
          <w:sz w:val="20"/>
        </w:rPr>
        <w:t xml:space="preserve"> </w:t>
      </w:r>
    </w:p>
    <w:p>
      <w:pPr>
        <w:pStyle w:val="TextBody"/>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Pursuant to the Letter Agreement, and in consideration for amending the FCDI Agreements, we (i) paid to FCDI an upfront payment of $10 million, (ii) will pay to FCDI a percentage of any milestone payments received by us under the Collaboration Agreement in respect of achievement of development or regulatory milestones specific to Japan, and (iii) will pay to FCDI a percentage of all royalties received by the Company under the Collaboration Agreement in respect of sales of products in Japan.</w:t>
      </w:r>
      <w:r>
        <w:rPr>
          <w:rFonts w:ascii="Arial;Helvetica;sans-serif" w:hAnsi="Arial;Helvetica;sans-serif"/>
          <w:b w:val="false"/>
          <w:i w:val="false"/>
          <w:caps w:val="false"/>
          <w:smallCaps w:val="false"/>
          <w:color w:val="000000"/>
          <w:spacing w:val="4"/>
          <w:sz w:val="20"/>
        </w:rPr>
        <w:t xml:space="preserve"> </w:t>
      </w:r>
    </w:p>
    <w:p>
      <w:pPr>
        <w:pStyle w:val="TextBody"/>
        <w:spacing w:lineRule="atLeast" w:line="240" w:before="240" w:after="283"/>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0"/>
          <w:sz w:val="20"/>
        </w:rPr>
        <w:t>Executive Officer and Director Compensation</w:t>
      </w:r>
      <w:r>
        <w:rPr>
          <w:rFonts w:ascii="Arial;Helvetica;sans-serif" w:hAnsi="Arial;Helvetica;sans-serif"/>
          <w:b/>
          <w:i w:val="false"/>
          <w:caps w:val="false"/>
          <w:smallCaps w:val="false"/>
          <w:color w:val="000000"/>
          <w:spacing w:val="4"/>
          <w:sz w:val="20"/>
        </w:rPr>
        <w:t xml:space="preserve"> </w:t>
      </w:r>
    </w:p>
    <w:p>
      <w:pPr>
        <w:pStyle w:val="TextBody"/>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Please see “Executive Compensation” and “Director Compensation” for information regarding the compensation of our directors and executive officers.</w:t>
      </w:r>
      <w:r>
        <w:rPr>
          <w:rFonts w:ascii="Arial;Helvetica;sans-serif" w:hAnsi="Arial;Helvetica;sans-serif"/>
          <w:b w:val="false"/>
          <w:i w:val="false"/>
          <w:caps w:val="false"/>
          <w:smallCaps w:val="false"/>
          <w:color w:val="000000"/>
          <w:spacing w:val="4"/>
          <w:sz w:val="20"/>
        </w:rPr>
        <w:t xml:space="preserve"> </w:t>
      </w:r>
    </w:p>
    <w:p>
      <w:pPr>
        <w:pStyle w:val="TextBody"/>
        <w:spacing w:lineRule="atLeast" w:line="240" w:before="100" w:after="283"/>
        <w:ind w:left="960" w:right="0" w:hanging="0"/>
        <w:jc w:val="righ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1DA46F"/>
          <w:spacing w:val="0"/>
          <w:sz w:val="20"/>
        </w:rPr>
        <w:t>Notice of Annual Meeting of Stockholders</w:t>
      </w:r>
      <w:r>
        <w:rPr>
          <w:rFonts w:ascii="Arial;Helvetica;sans-serif" w:hAnsi="Arial;Helvetica;sans-serif"/>
          <w:b/>
          <w:i w:val="false"/>
          <w:caps w:val="false"/>
          <w:smallCaps w:val="false"/>
          <w:color w:val="000000"/>
          <w:spacing w:val="0"/>
          <w:sz w:val="20"/>
        </w:rPr>
        <w:t> and 2023 Proxy Statement | </w:t>
      </w:r>
      <w:r>
        <w:rPr>
          <w:rFonts w:ascii="Arial;Helvetica;sans-serif" w:hAnsi="Arial;Helvetica;sans-serif"/>
          <w:b w:val="false"/>
          <w:i w:val="false"/>
          <w:caps w:val="false"/>
          <w:smallCaps w:val="false"/>
          <w:color w:val="000000"/>
          <w:spacing w:val="-1"/>
          <w:sz w:val="20"/>
        </w:rPr>
        <w:t>30</w:t>
      </w:r>
      <w:r>
        <w:rPr>
          <w:rFonts w:ascii="Arial;Helvetica;sans-serif" w:hAnsi="Arial;Helvetica;sans-serif"/>
          <w:b/>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tbl>
      <w:tblPr>
        <w:tblW w:w="5964" w:type="dxa"/>
        <w:jc w:val="left"/>
        <w:tblInd w:w="960" w:type="dxa"/>
        <w:tblCellMar>
          <w:top w:w="0" w:type="dxa"/>
          <w:left w:w="0" w:type="dxa"/>
          <w:bottom w:w="0" w:type="dxa"/>
          <w:right w:w="0" w:type="dxa"/>
        </w:tblCellMar>
      </w:tblPr>
      <w:tblGrid>
        <w:gridCol w:w="124"/>
        <w:gridCol w:w="5686"/>
        <w:gridCol w:w="154"/>
      </w:tblGrid>
      <w:tr>
        <w:trPr/>
        <w:tc>
          <w:tcPr>
            <w:tcW w:w="124" w:type="dxa"/>
            <w:tcBorders/>
            <w:shd w:fill="1DA46F" w:val="clear"/>
            <w:vAlign w:val="center"/>
          </w:tcPr>
          <w:p>
            <w:pPr>
              <w:pStyle w:val="TableContents"/>
              <w:spacing w:before="0" w:after="283"/>
              <w:rPr/>
            </w:pPr>
            <w:r>
              <w:rPr/>
              <w:t>​</w:t>
            </w:r>
          </w:p>
        </w:tc>
        <w:tc>
          <w:tcPr>
            <w:tcW w:w="5686" w:type="dxa"/>
            <w:tcBorders/>
            <w:shd w:fill="1DA46F" w:val="clear"/>
            <w:vAlign w:val="center"/>
          </w:tcPr>
          <w:p>
            <w:pPr>
              <w:pStyle w:val="TableContents"/>
              <w:spacing w:lineRule="atLeast" w:line="432" w:before="0" w:after="0"/>
              <w:rPr/>
            </w:pPr>
            <w:r>
              <w:rPr>
                <w:spacing w:val="-5"/>
              </w:rPr>
              <w:t xml:space="preserve">CERTAIN RELATIONSHIPS AND RELATED PARTY </w:t>
            </w:r>
            <w:r>
              <w:rPr/>
              <w:br/>
            </w:r>
            <w:r>
              <w:rPr>
                <w:spacing w:val="-5"/>
              </w:rPr>
              <w:t>TRANSACTIONS</w:t>
            </w:r>
            <w:r>
              <w:rPr/>
              <w:t xml:space="preserve"> </w:t>
            </w:r>
          </w:p>
        </w:tc>
        <w:tc>
          <w:tcPr>
            <w:tcW w:w="154" w:type="dxa"/>
            <w:tcBorders/>
            <w:shd w:fill="1DA46F" w:val="clear"/>
            <w:vAlign w:val="center"/>
          </w:tcPr>
          <w:p>
            <w:pPr>
              <w:pStyle w:val="TableContents"/>
              <w:spacing w:before="0" w:after="283"/>
              <w:rPr/>
            </w:pPr>
            <w:r>
              <w:rPr/>
              <w:t>​</w:t>
            </w:r>
          </w:p>
        </w:tc>
      </w:tr>
    </w:tbl>
    <w:p>
      <w:pPr>
        <w:pStyle w:val="TextBody"/>
        <w:spacing w:lineRule="atLeast" w:line="240" w:before="360" w:after="283"/>
        <w:ind w:left="960" w:right="0" w:hanging="0"/>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0"/>
          <w:sz w:val="20"/>
        </w:rPr>
        <w:t>Employment Agreements</w:t>
      </w:r>
      <w:r>
        <w:rPr>
          <w:rFonts w:ascii="Arial;Helvetica;sans-serif" w:hAnsi="Arial;Helvetica;sans-serif"/>
          <w:b/>
          <w:i w:val="false"/>
          <w:caps w:val="false"/>
          <w:smallCaps w:val="false"/>
          <w:color w:val="000000"/>
          <w:spacing w:val="4"/>
          <w:sz w:val="20"/>
        </w:rPr>
        <w:t xml:space="preserve"> </w:t>
      </w:r>
    </w:p>
    <w:p>
      <w:pPr>
        <w:pStyle w:val="TextBody"/>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We have entered into employment agreements or offer letter agreements with certain of our executive officers that, among other things, provide for certain compensatory and change in control benefits, as well as severance benefits. For a description of these agreements with our NEOs, see the Section titled “Executive Compensation”-”Employment Agreements.”</w:t>
      </w:r>
      <w:r>
        <w:rPr>
          <w:rFonts w:ascii="Arial;Helvetica;sans-serif" w:hAnsi="Arial;Helvetica;sans-serif"/>
          <w:b w:val="false"/>
          <w:i w:val="false"/>
          <w:caps w:val="false"/>
          <w:smallCaps w:val="false"/>
          <w:color w:val="000000"/>
          <w:spacing w:val="4"/>
          <w:sz w:val="20"/>
        </w:rPr>
        <w:t xml:space="preserve"> </w:t>
      </w:r>
    </w:p>
    <w:p>
      <w:pPr>
        <w:pStyle w:val="TextBody"/>
        <w:spacing w:lineRule="atLeast" w:line="240" w:before="240" w:after="283"/>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0"/>
          <w:sz w:val="20"/>
        </w:rPr>
        <w:t>Proprietary Information and Assignment Agreements</w:t>
      </w:r>
      <w:r>
        <w:rPr>
          <w:rFonts w:ascii="Arial;Helvetica;sans-serif" w:hAnsi="Arial;Helvetica;sans-serif"/>
          <w:b/>
          <w:i w:val="false"/>
          <w:caps w:val="false"/>
          <w:smallCaps w:val="false"/>
          <w:color w:val="000000"/>
          <w:spacing w:val="4"/>
          <w:sz w:val="20"/>
        </w:rPr>
        <w:t xml:space="preserve"> </w:t>
      </w:r>
    </w:p>
    <w:p>
      <w:pPr>
        <w:pStyle w:val="TextBody"/>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We have entered into the Information Agreements with all of our executive officers. For a description of these agreements with our NEOs, see the Section titled “Executive Compensation”-”Employment Agreements.”</w:t>
      </w:r>
      <w:r>
        <w:rPr>
          <w:rFonts w:ascii="Arial;Helvetica;sans-serif" w:hAnsi="Arial;Helvetica;sans-serif"/>
          <w:b w:val="false"/>
          <w:i w:val="false"/>
          <w:caps w:val="false"/>
          <w:smallCaps w:val="false"/>
          <w:color w:val="000000"/>
          <w:spacing w:val="4"/>
          <w:sz w:val="20"/>
        </w:rPr>
        <w:t xml:space="preserve"> </w:t>
      </w:r>
    </w:p>
    <w:p>
      <w:pPr>
        <w:pStyle w:val="TextBody"/>
        <w:spacing w:lineRule="atLeast" w:line="240" w:before="240" w:after="283"/>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0"/>
          <w:sz w:val="20"/>
        </w:rPr>
        <w:t>Indemnification Agreements</w:t>
      </w:r>
      <w:r>
        <w:rPr>
          <w:rFonts w:ascii="Arial;Helvetica;sans-serif" w:hAnsi="Arial;Helvetica;sans-serif"/>
          <w:b/>
          <w:i w:val="false"/>
          <w:caps w:val="false"/>
          <w:smallCaps w:val="false"/>
          <w:color w:val="000000"/>
          <w:spacing w:val="4"/>
          <w:sz w:val="20"/>
        </w:rPr>
        <w:t xml:space="preserve"> </w:t>
      </w:r>
    </w:p>
    <w:p>
      <w:pPr>
        <w:pStyle w:val="TextBody"/>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We have entered into indemnification agreements with each of our directors and officers. These indemnification agreements may require us, among other things, to indemnify our directors and officers for some expenses, including attorneys’ fees, judgments, fines, and settlement amounts incurred by a director or officer in any action or proceeding arising out of his or her service as one of our directors or officers, or any of our subsidiaries or any other company or enterprise to which the person provides services at our request.</w:t>
      </w:r>
      <w:r>
        <w:rPr>
          <w:rFonts w:ascii="Arial;Helvetica;sans-serif" w:hAnsi="Arial;Helvetica;sans-serif"/>
          <w:b w:val="false"/>
          <w:i w:val="false"/>
          <w:caps w:val="false"/>
          <w:smallCaps w:val="false"/>
          <w:color w:val="000000"/>
          <w:spacing w:val="4"/>
          <w:sz w:val="20"/>
        </w:rPr>
        <w:t xml:space="preserve"> </w:t>
      </w:r>
    </w:p>
    <w:p>
      <w:pPr>
        <w:pStyle w:val="TextBody"/>
        <w:spacing w:lineRule="atLeast" w:line="240" w:before="240" w:after="283"/>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0"/>
          <w:sz w:val="20"/>
        </w:rPr>
        <w:t>Policies and Procedures for Related Party Transactions</w:t>
      </w:r>
      <w:r>
        <w:rPr>
          <w:rFonts w:ascii="Arial;Helvetica;sans-serif" w:hAnsi="Arial;Helvetica;sans-serif"/>
          <w:b/>
          <w:i w:val="false"/>
          <w:caps w:val="false"/>
          <w:smallCaps w:val="false"/>
          <w:color w:val="000000"/>
          <w:spacing w:val="4"/>
          <w:sz w:val="20"/>
        </w:rPr>
        <w:t xml:space="preserve"> </w:t>
      </w:r>
    </w:p>
    <w:p>
      <w:pPr>
        <w:pStyle w:val="TextBody"/>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Our Board has adopted a written Related Party Transaction Policy that governs the review and approval of related party transactions. This Related Party Transaction Policy covers any transaction, arrangement or relationship, or any series of similar transactions, arrangements or relationships, in which we were or are to be a participant, where the amount involved exceeds $120,000 and a related person had or will have a direct or indirect material interest. Pursuant to the Related Party Transaction Policy, if we want to enter into a transaction with a related party or an affiliate of a related party, the Audit Committee will review the proposed transaction to determine, based on applicable rules of Nasdaq and the SEC, whether such transaction requires approval by the Audit Committee. If approval is required, the proposed transaction will be reviewed at the next regular meeting of the Audit Committee, and we may not enter into a related party transaction unless the Audit Committee has specifically confirmed in writing that either no further reviews are necessary or that all requisite corporate reviews have been obtained. In reviewing and approving any such transactions, our Audit Committee is tasked to consider all relevant facts and circumstances with respect to the transaction and shall evaluate all available options, including ratification, revision or termination of the transaction. The Audit Committee will not approve or ratify a transaction with a related party unless it has determined, upon consideration of all relevant information, that the transaction is in, or not inconsistent with, the best interests of the Company or its stockholders.</w:t>
      </w:r>
      <w:r>
        <w:rPr>
          <w:rFonts w:ascii="Arial;Helvetica;sans-serif" w:hAnsi="Arial;Helvetica;sans-serif"/>
          <w:b w:val="false"/>
          <w:i w:val="false"/>
          <w:caps w:val="false"/>
          <w:smallCaps w:val="false"/>
          <w:color w:val="000000"/>
          <w:spacing w:val="4"/>
          <w:sz w:val="20"/>
        </w:rPr>
        <w:t xml:space="preserve"> </w:t>
      </w:r>
    </w:p>
    <w:p>
      <w:pPr>
        <w:pStyle w:val="TextBody"/>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Other than entry into the Letter Agreement, all of the transactions described under “Certain Relationships and Related Party Transactions” in this Proxy Statement occurred prior to or concurrently with the adoption of the Related Party Transaction Policy and as such, these transactions were not subject to the approval and review procedures set forth in the policy. However, these transactions were reviewed and approved by our Board, and the Letter Agreement was reviewed and approved in accordance with our Related Party Transaction Policy.</w:t>
      </w:r>
      <w:r>
        <w:rPr>
          <w:rFonts w:ascii="Arial;Helvetica;sans-serif" w:hAnsi="Arial;Helvetica;sans-serif"/>
          <w:b w:val="false"/>
          <w:i w:val="false"/>
          <w:caps w:val="false"/>
          <w:smallCaps w:val="false"/>
          <w:color w:val="000000"/>
          <w:sz w:val="20"/>
        </w:rPr>
        <w:t xml:space="preserve"> </w:t>
      </w:r>
    </w:p>
    <w:p>
      <w:pPr>
        <w:pStyle w:val="TextBody"/>
        <w:spacing w:lineRule="atLeast" w:line="240" w:before="100" w:after="283"/>
        <w:ind w:left="960" w:right="0" w:hanging="0"/>
        <w:jc w:val="righ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1DA46F"/>
          <w:spacing w:val="0"/>
          <w:sz w:val="20"/>
        </w:rPr>
        <w:t>Notice of Annual Meeting of Stockholders</w:t>
      </w:r>
      <w:r>
        <w:rPr>
          <w:rFonts w:ascii="Arial;Helvetica;sans-serif" w:hAnsi="Arial;Helvetica;sans-serif"/>
          <w:b/>
          <w:i w:val="false"/>
          <w:caps w:val="false"/>
          <w:smallCaps w:val="false"/>
          <w:color w:val="000000"/>
          <w:spacing w:val="0"/>
          <w:sz w:val="20"/>
        </w:rPr>
        <w:t> and 2023 Proxy Statement | </w:t>
      </w:r>
      <w:r>
        <w:rPr>
          <w:rFonts w:ascii="Arial;Helvetica;sans-serif" w:hAnsi="Arial;Helvetica;sans-serif"/>
          <w:b w:val="false"/>
          <w:i w:val="false"/>
          <w:caps w:val="false"/>
          <w:smallCaps w:val="false"/>
          <w:color w:val="000000"/>
          <w:spacing w:val="-1"/>
          <w:sz w:val="20"/>
        </w:rPr>
        <w:t>31</w:t>
      </w:r>
      <w:r>
        <w:rPr>
          <w:rFonts w:ascii="Arial;Helvetica;sans-serif" w:hAnsi="Arial;Helvetica;sans-serif"/>
          <w:b/>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51" w:name="tECPI"/>
      <w:bookmarkEnd w:id="51"/>
      <w:r>
        <w:rPr>
          <w:rFonts w:ascii="calibri;arial;sans-serif" w:hAnsi="calibri;arial;sans-serif"/>
          <w:b w:val="false"/>
          <w:i w:val="false"/>
          <w:caps w:val="false"/>
          <w:smallCaps w:val="false"/>
          <w:color w:val="FFFFFF"/>
          <w:sz w:val="16"/>
        </w:rPr>
        <w:t xml:space="preserve">​ </w:t>
      </w:r>
    </w:p>
    <w:tbl>
      <w:tblPr>
        <w:tblW w:w="5669" w:type="dxa"/>
        <w:jc w:val="left"/>
        <w:tblInd w:w="960" w:type="dxa"/>
        <w:tblCellMar>
          <w:top w:w="0" w:type="dxa"/>
          <w:left w:w="0" w:type="dxa"/>
          <w:bottom w:w="0" w:type="dxa"/>
          <w:right w:w="0" w:type="dxa"/>
        </w:tblCellMar>
      </w:tblPr>
      <w:tblGrid>
        <w:gridCol w:w="124"/>
        <w:gridCol w:w="5391"/>
        <w:gridCol w:w="154"/>
      </w:tblGrid>
      <w:tr>
        <w:trPr/>
        <w:tc>
          <w:tcPr>
            <w:tcW w:w="124" w:type="dxa"/>
            <w:tcBorders/>
            <w:shd w:fill="1DA46F" w:val="clear"/>
            <w:vAlign w:val="center"/>
          </w:tcPr>
          <w:p>
            <w:pPr>
              <w:pStyle w:val="TableContents"/>
              <w:spacing w:before="0" w:after="283"/>
              <w:rPr/>
            </w:pPr>
            <w:r>
              <w:rPr/>
              <w:t>​</w:t>
            </w:r>
          </w:p>
        </w:tc>
        <w:tc>
          <w:tcPr>
            <w:tcW w:w="5391" w:type="dxa"/>
            <w:tcBorders/>
            <w:shd w:fill="1DA46F" w:val="clear"/>
            <w:vAlign w:val="center"/>
          </w:tcPr>
          <w:p>
            <w:pPr>
              <w:pStyle w:val="TableContents"/>
              <w:spacing w:lineRule="atLeast" w:line="360" w:before="0" w:after="0"/>
              <w:rPr/>
            </w:pPr>
            <w:r>
              <w:rPr>
                <w:spacing w:val="-5"/>
              </w:rPr>
              <w:t>EQUITY COMPENSATION PLAN INFORMATION</w:t>
            </w:r>
            <w:r>
              <w:rPr/>
              <w:t xml:space="preserve"> </w:t>
            </w:r>
          </w:p>
        </w:tc>
        <w:tc>
          <w:tcPr>
            <w:tcW w:w="154" w:type="dxa"/>
            <w:tcBorders/>
            <w:shd w:fill="1DA46F" w:val="clear"/>
            <w:vAlign w:val="center"/>
          </w:tcPr>
          <w:p>
            <w:pPr>
              <w:pStyle w:val="TableContents"/>
              <w:spacing w:before="0" w:after="283"/>
              <w:rPr/>
            </w:pPr>
            <w:r>
              <w:rPr/>
              <w:t>​</w:t>
            </w:r>
          </w:p>
        </w:tc>
      </w:tr>
    </w:tbl>
    <w:p>
      <w:pPr>
        <w:pStyle w:val="TextBody"/>
        <w:spacing w:lineRule="atLeast" w:line="240" w:before="360" w:after="283"/>
        <w:ind w:left="96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The following table sets forth certain information regarding our equity compensation plans as of December 31, 2022:</w:t>
      </w:r>
      <w:r>
        <w:rPr>
          <w:rFonts w:ascii="Arial;Helvetica;sans-serif" w:hAnsi="Arial;Helvetica;sans-serif"/>
          <w:b w:val="false"/>
          <w:i w:val="false"/>
          <w:caps w:val="false"/>
          <w:smallCaps w:val="false"/>
          <w:color w:val="000000"/>
          <w:spacing w:val="4"/>
          <w:sz w:val="20"/>
        </w:rPr>
        <w:t xml:space="preserve"> </w:t>
      </w:r>
    </w:p>
    <w:tbl>
      <w:tblPr>
        <w:tblW w:w="9245" w:type="dxa"/>
        <w:jc w:val="left"/>
        <w:tblInd w:w="960" w:type="dxa"/>
        <w:tblCellMar>
          <w:top w:w="0" w:type="dxa"/>
          <w:left w:w="0" w:type="dxa"/>
          <w:bottom w:w="0" w:type="dxa"/>
          <w:right w:w="0" w:type="dxa"/>
        </w:tblCellMar>
      </w:tblPr>
      <w:tblGrid>
        <w:gridCol w:w="124"/>
        <w:gridCol w:w="109"/>
        <w:gridCol w:w="3369"/>
        <w:gridCol w:w="109"/>
        <w:gridCol w:w="109"/>
        <w:gridCol w:w="109"/>
        <w:gridCol w:w="1339"/>
        <w:gridCol w:w="109"/>
        <w:gridCol w:w="109"/>
        <w:gridCol w:w="109"/>
        <w:gridCol w:w="1332"/>
        <w:gridCol w:w="109"/>
        <w:gridCol w:w="109"/>
        <w:gridCol w:w="109"/>
        <w:gridCol w:w="1726"/>
        <w:gridCol w:w="109"/>
        <w:gridCol w:w="156"/>
      </w:tblGrid>
      <w:tr>
        <w:trPr/>
        <w:tc>
          <w:tcPr>
            <w:tcW w:w="124" w:type="dxa"/>
            <w:tcBorders/>
            <w:shd w:fill="148CD9" w:val="clear"/>
            <w:vAlign w:val="center"/>
          </w:tcPr>
          <w:p>
            <w:pPr>
              <w:pStyle w:val="TableContents"/>
              <w:spacing w:before="0" w:after="283"/>
              <w:rPr/>
            </w:pPr>
            <w:r>
              <w:rPr/>
              <w:t>​</w:t>
            </w:r>
          </w:p>
        </w:tc>
        <w:tc>
          <w:tcPr>
            <w:tcW w:w="109" w:type="dxa"/>
            <w:tcBorders/>
            <w:shd w:fill="148CD9" w:val="clear"/>
            <w:vAlign w:val="center"/>
          </w:tcPr>
          <w:p>
            <w:pPr>
              <w:pStyle w:val="TableContents"/>
              <w:spacing w:before="0" w:after="283"/>
              <w:rPr/>
            </w:pPr>
            <w:r>
              <w:rPr/>
              <w:t>​</w:t>
            </w:r>
          </w:p>
        </w:tc>
        <w:tc>
          <w:tcPr>
            <w:tcW w:w="3369" w:type="dxa"/>
            <w:tcBorders/>
            <w:shd w:fill="148CD9" w:val="clear"/>
            <w:vAlign w:val="center"/>
          </w:tcPr>
          <w:p>
            <w:pPr>
              <w:pStyle w:val="TableContents"/>
              <w:spacing w:before="0" w:after="0"/>
              <w:jc w:val="center"/>
              <w:rPr>
                <w:spacing w:val="0"/>
              </w:rPr>
            </w:pPr>
            <w:r>
              <w:rPr>
                <w:spacing w:val="0"/>
              </w:rPr>
              <w:t xml:space="preserve">Plan Category </w:t>
            </w:r>
          </w:p>
        </w:tc>
        <w:tc>
          <w:tcPr>
            <w:tcW w:w="109" w:type="dxa"/>
            <w:tcBorders/>
            <w:shd w:fill="148CD9" w:val="clear"/>
            <w:vAlign w:val="center"/>
          </w:tcPr>
          <w:p>
            <w:pPr>
              <w:pStyle w:val="TableContents"/>
              <w:spacing w:before="0" w:after="283"/>
              <w:rPr/>
            </w:pPr>
            <w:r>
              <w:rPr/>
              <w:t>​</w:t>
            </w:r>
          </w:p>
        </w:tc>
        <w:tc>
          <w:tcPr>
            <w:tcW w:w="109" w:type="dxa"/>
            <w:tcBorders/>
            <w:shd w:fill="148CD9" w:val="clear"/>
            <w:vAlign w:val="center"/>
          </w:tcPr>
          <w:p>
            <w:pPr>
              <w:pStyle w:val="TableContents"/>
              <w:spacing w:before="0" w:after="283"/>
              <w:rPr/>
            </w:pPr>
            <w:r>
              <w:rPr/>
              <w:t>​</w:t>
            </w:r>
          </w:p>
        </w:tc>
        <w:tc>
          <w:tcPr>
            <w:tcW w:w="109" w:type="dxa"/>
            <w:tcBorders/>
            <w:shd w:fill="148CD9" w:val="clear"/>
            <w:vAlign w:val="center"/>
          </w:tcPr>
          <w:p>
            <w:pPr>
              <w:pStyle w:val="TableContents"/>
              <w:spacing w:before="0" w:after="283"/>
              <w:rPr/>
            </w:pPr>
            <w:r>
              <w:rPr/>
              <w:t>​</w:t>
            </w:r>
          </w:p>
        </w:tc>
        <w:tc>
          <w:tcPr>
            <w:tcW w:w="1339" w:type="dxa"/>
            <w:tcBorders/>
            <w:shd w:fill="148CD9" w:val="clear"/>
            <w:vAlign w:val="center"/>
          </w:tcPr>
          <w:p>
            <w:pPr>
              <w:pStyle w:val="TableContents"/>
              <w:spacing w:lineRule="atLeast" w:line="202" w:before="0" w:after="0"/>
              <w:jc w:val="center"/>
              <w:rPr/>
            </w:pPr>
            <w:r>
              <w:rPr>
                <w:spacing w:val="0"/>
              </w:rPr>
              <w:t>Number of</w:t>
            </w:r>
            <w:r>
              <w:rPr/>
              <w:t xml:space="preserve"> </w:t>
              <w:br/>
            </w:r>
            <w:r>
              <w:rPr>
                <w:spacing w:val="0"/>
              </w:rPr>
              <w:t>securities to</w:t>
            </w:r>
            <w:r>
              <w:rPr/>
              <w:t xml:space="preserve"> </w:t>
              <w:br/>
            </w:r>
            <w:r>
              <w:rPr>
                <w:spacing w:val="0"/>
              </w:rPr>
              <w:t>be issued</w:t>
            </w:r>
            <w:r>
              <w:rPr/>
              <w:t xml:space="preserve"> </w:t>
              <w:br/>
            </w:r>
            <w:r>
              <w:rPr>
                <w:spacing w:val="0"/>
              </w:rPr>
              <w:t>upon exercise</w:t>
            </w:r>
            <w:r>
              <w:rPr/>
              <w:t xml:space="preserve"> </w:t>
              <w:br/>
            </w:r>
            <w:r>
              <w:rPr>
                <w:spacing w:val="0"/>
              </w:rPr>
              <w:t>of outstanding</w:t>
            </w:r>
            <w:r>
              <w:rPr/>
              <w:t xml:space="preserve"> </w:t>
              <w:br/>
            </w:r>
            <w:r>
              <w:rPr>
                <w:spacing w:val="0"/>
              </w:rPr>
              <w:t>options and</w:t>
            </w:r>
            <w:r>
              <w:rPr/>
              <w:t xml:space="preserve"> </w:t>
              <w:br/>
            </w:r>
            <w:r>
              <w:rPr>
                <w:spacing w:val="0"/>
              </w:rPr>
              <w:t xml:space="preserve">other rights </w:t>
            </w:r>
          </w:p>
        </w:tc>
        <w:tc>
          <w:tcPr>
            <w:tcW w:w="109" w:type="dxa"/>
            <w:tcBorders/>
            <w:shd w:fill="148CD9" w:val="clear"/>
            <w:vAlign w:val="center"/>
          </w:tcPr>
          <w:p>
            <w:pPr>
              <w:pStyle w:val="TableContents"/>
              <w:spacing w:before="0" w:after="283"/>
              <w:rPr/>
            </w:pPr>
            <w:r>
              <w:rPr/>
              <w:t>​</w:t>
            </w:r>
          </w:p>
        </w:tc>
        <w:tc>
          <w:tcPr>
            <w:tcW w:w="109" w:type="dxa"/>
            <w:tcBorders/>
            <w:shd w:fill="148CD9" w:val="clear"/>
            <w:vAlign w:val="center"/>
          </w:tcPr>
          <w:p>
            <w:pPr>
              <w:pStyle w:val="TableContents"/>
              <w:spacing w:before="0" w:after="283"/>
              <w:rPr/>
            </w:pPr>
            <w:r>
              <w:rPr/>
              <w:t>​</w:t>
            </w:r>
          </w:p>
        </w:tc>
        <w:tc>
          <w:tcPr>
            <w:tcW w:w="109" w:type="dxa"/>
            <w:tcBorders/>
            <w:shd w:fill="148CD9" w:val="clear"/>
            <w:vAlign w:val="center"/>
          </w:tcPr>
          <w:p>
            <w:pPr>
              <w:pStyle w:val="TableContents"/>
              <w:spacing w:before="0" w:after="283"/>
              <w:rPr/>
            </w:pPr>
            <w:r>
              <w:rPr/>
              <w:t>​</w:t>
            </w:r>
          </w:p>
        </w:tc>
        <w:tc>
          <w:tcPr>
            <w:tcW w:w="1332" w:type="dxa"/>
            <w:tcBorders/>
            <w:shd w:fill="148CD9" w:val="clear"/>
            <w:vAlign w:val="center"/>
          </w:tcPr>
          <w:p>
            <w:pPr>
              <w:pStyle w:val="TableContents"/>
              <w:spacing w:lineRule="atLeast" w:line="202" w:before="0" w:after="0"/>
              <w:jc w:val="center"/>
              <w:rPr/>
            </w:pPr>
            <w:r>
              <w:rPr>
                <w:spacing w:val="0"/>
              </w:rPr>
              <w:t>Weighted-</w:t>
            </w:r>
            <w:r>
              <w:rPr/>
              <w:t xml:space="preserve"> </w:t>
              <w:br/>
            </w:r>
            <w:r>
              <w:rPr>
                <w:spacing w:val="0"/>
              </w:rPr>
              <w:t>average</w:t>
            </w:r>
            <w:r>
              <w:rPr/>
              <w:t xml:space="preserve"> </w:t>
              <w:br/>
            </w:r>
            <w:r>
              <w:rPr>
                <w:spacing w:val="0"/>
              </w:rPr>
              <w:t>exercise</w:t>
            </w:r>
            <w:r>
              <w:rPr/>
              <w:t xml:space="preserve"> </w:t>
              <w:br/>
            </w:r>
            <w:r>
              <w:rPr>
                <w:spacing w:val="0"/>
              </w:rPr>
              <w:t>price of</w:t>
            </w:r>
            <w:r>
              <w:rPr/>
              <w:t xml:space="preserve"> </w:t>
              <w:br/>
            </w:r>
            <w:r>
              <w:rPr>
                <w:spacing w:val="0"/>
              </w:rPr>
              <w:t>outstanding</w:t>
            </w:r>
            <w:r>
              <w:rPr/>
              <w:t xml:space="preserve"> </w:t>
              <w:br/>
            </w:r>
            <w:r>
              <w:rPr>
                <w:spacing w:val="0"/>
              </w:rPr>
              <w:t>options and</w:t>
            </w:r>
            <w:r>
              <w:rPr/>
              <w:t xml:space="preserve"> </w:t>
              <w:br/>
            </w:r>
            <w:r>
              <w:rPr>
                <w:spacing w:val="0"/>
              </w:rPr>
              <w:t xml:space="preserve">other rights(1) </w:t>
            </w:r>
          </w:p>
        </w:tc>
        <w:tc>
          <w:tcPr>
            <w:tcW w:w="109" w:type="dxa"/>
            <w:tcBorders/>
            <w:shd w:fill="148CD9" w:val="clear"/>
            <w:vAlign w:val="center"/>
          </w:tcPr>
          <w:p>
            <w:pPr>
              <w:pStyle w:val="TableContents"/>
              <w:spacing w:before="0" w:after="283"/>
              <w:rPr/>
            </w:pPr>
            <w:r>
              <w:rPr/>
              <w:t>​</w:t>
            </w:r>
          </w:p>
        </w:tc>
        <w:tc>
          <w:tcPr>
            <w:tcW w:w="109" w:type="dxa"/>
            <w:tcBorders/>
            <w:shd w:fill="148CD9" w:val="clear"/>
            <w:vAlign w:val="center"/>
          </w:tcPr>
          <w:p>
            <w:pPr>
              <w:pStyle w:val="TableContents"/>
              <w:spacing w:before="0" w:after="283"/>
              <w:rPr/>
            </w:pPr>
            <w:r>
              <w:rPr/>
              <w:t>​</w:t>
            </w:r>
          </w:p>
        </w:tc>
        <w:tc>
          <w:tcPr>
            <w:tcW w:w="109" w:type="dxa"/>
            <w:tcBorders/>
            <w:shd w:fill="148CD9" w:val="clear"/>
            <w:vAlign w:val="center"/>
          </w:tcPr>
          <w:p>
            <w:pPr>
              <w:pStyle w:val="TableContents"/>
              <w:spacing w:before="0" w:after="283"/>
              <w:rPr/>
            </w:pPr>
            <w:r>
              <w:rPr/>
              <w:t>​</w:t>
            </w:r>
          </w:p>
        </w:tc>
        <w:tc>
          <w:tcPr>
            <w:tcW w:w="1726" w:type="dxa"/>
            <w:tcBorders/>
            <w:shd w:fill="148CD9" w:val="clear"/>
            <w:vAlign w:val="center"/>
          </w:tcPr>
          <w:p>
            <w:pPr>
              <w:pStyle w:val="TableContents"/>
              <w:spacing w:lineRule="atLeast" w:line="202" w:before="0" w:after="0"/>
              <w:jc w:val="center"/>
              <w:rPr/>
            </w:pPr>
            <w:r>
              <w:rPr>
                <w:spacing w:val="0"/>
              </w:rPr>
              <w:t>Number of securities</w:t>
            </w:r>
            <w:r>
              <w:rPr/>
              <w:t xml:space="preserve"> </w:t>
              <w:br/>
            </w:r>
            <w:r>
              <w:rPr>
                <w:spacing w:val="0"/>
              </w:rPr>
              <w:t>remaining available</w:t>
            </w:r>
            <w:r>
              <w:rPr/>
              <w:t xml:space="preserve"> </w:t>
              <w:br/>
            </w:r>
            <w:r>
              <w:rPr>
                <w:spacing w:val="0"/>
              </w:rPr>
              <w:t>for future issuance</w:t>
            </w:r>
            <w:r>
              <w:rPr/>
              <w:t xml:space="preserve"> </w:t>
              <w:br/>
            </w:r>
            <w:r>
              <w:rPr>
                <w:spacing w:val="0"/>
              </w:rPr>
              <w:t>under equity</w:t>
            </w:r>
            <w:r>
              <w:rPr/>
              <w:t xml:space="preserve"> </w:t>
              <w:br/>
            </w:r>
            <w:r>
              <w:rPr>
                <w:spacing w:val="0"/>
              </w:rPr>
              <w:t>compensation plans</w:t>
            </w:r>
            <w:r>
              <w:rPr/>
              <w:t xml:space="preserve"> </w:t>
              <w:br/>
            </w:r>
            <w:r>
              <w:rPr>
                <w:spacing w:val="0"/>
              </w:rPr>
              <w:t>(excluding securities</w:t>
            </w:r>
            <w:r>
              <w:rPr/>
              <w:t xml:space="preserve"> </w:t>
              <w:br/>
            </w:r>
            <w:r>
              <w:rPr>
                <w:spacing w:val="0"/>
              </w:rPr>
              <w:t>reflected in column</w:t>
            </w:r>
            <w:r>
              <w:rPr/>
              <w:t xml:space="preserve"> </w:t>
              <w:br/>
            </w:r>
            <w:r>
              <w:rPr>
                <w:spacing w:val="0"/>
              </w:rPr>
              <w:t xml:space="preserve">(a)) </w:t>
            </w:r>
          </w:p>
        </w:tc>
        <w:tc>
          <w:tcPr>
            <w:tcW w:w="109" w:type="dxa"/>
            <w:tcBorders/>
            <w:shd w:fill="148CD9" w:val="clear"/>
            <w:vAlign w:val="center"/>
          </w:tcPr>
          <w:p>
            <w:pPr>
              <w:pStyle w:val="TableContents"/>
              <w:spacing w:before="0" w:after="283"/>
              <w:rPr/>
            </w:pPr>
            <w:r>
              <w:rPr/>
              <w:t>​</w:t>
            </w:r>
          </w:p>
        </w:tc>
        <w:tc>
          <w:tcPr>
            <w:tcW w:w="156" w:type="dxa"/>
            <w:tcBorders/>
            <w:shd w:fill="148CD9" w:val="clear"/>
            <w:vAlign w:val="center"/>
          </w:tcPr>
          <w:p>
            <w:pPr>
              <w:pStyle w:val="TableContents"/>
              <w:spacing w:before="0" w:after="283"/>
              <w:rPr/>
            </w:pPr>
            <w:r>
              <w:rPr/>
              <w:t>​</w:t>
            </w:r>
          </w:p>
        </w:tc>
      </w:tr>
      <w:tr>
        <w:trPr/>
        <w:tc>
          <w:tcPr>
            <w:tcW w:w="124" w:type="dxa"/>
            <w:tcBorders/>
            <w:shd w:fill="148CD9" w:val="clear"/>
            <w:vAlign w:val="center"/>
          </w:tcPr>
          <w:p>
            <w:pPr>
              <w:pStyle w:val="TableContents"/>
              <w:spacing w:before="0" w:after="283"/>
              <w:rPr/>
            </w:pPr>
            <w:r>
              <w:rPr/>
              <w:t>​</w:t>
            </w:r>
          </w:p>
        </w:tc>
        <w:tc>
          <w:tcPr>
            <w:tcW w:w="109" w:type="dxa"/>
            <w:tcBorders/>
            <w:shd w:fill="148CD9" w:val="clear"/>
            <w:vAlign w:val="center"/>
          </w:tcPr>
          <w:p>
            <w:pPr>
              <w:pStyle w:val="TableContents"/>
              <w:spacing w:before="0" w:after="283"/>
              <w:rPr/>
            </w:pPr>
            <w:r>
              <w:rPr/>
              <w:t>​</w:t>
            </w:r>
          </w:p>
        </w:tc>
        <w:tc>
          <w:tcPr>
            <w:tcW w:w="3369" w:type="dxa"/>
            <w:tcBorders/>
            <w:shd w:fill="148CD9" w:val="clear"/>
            <w:vAlign w:val="center"/>
          </w:tcPr>
          <w:p>
            <w:pPr>
              <w:pStyle w:val="TableContents"/>
              <w:spacing w:before="0" w:after="283"/>
              <w:jc w:val="left"/>
              <w:rPr/>
            </w:pPr>
            <w:r>
              <w:rPr/>
              <w:t>​</w:t>
            </w:r>
          </w:p>
        </w:tc>
        <w:tc>
          <w:tcPr>
            <w:tcW w:w="109" w:type="dxa"/>
            <w:tcBorders/>
            <w:shd w:fill="148CD9" w:val="clear"/>
            <w:vAlign w:val="center"/>
          </w:tcPr>
          <w:p>
            <w:pPr>
              <w:pStyle w:val="TableContents"/>
              <w:spacing w:before="0" w:after="283"/>
              <w:rPr/>
            </w:pPr>
            <w:r>
              <w:rPr/>
              <w:t>​</w:t>
            </w:r>
          </w:p>
        </w:tc>
        <w:tc>
          <w:tcPr>
            <w:tcW w:w="109" w:type="dxa"/>
            <w:tcBorders/>
            <w:shd w:fill="148CD9" w:val="clear"/>
            <w:vAlign w:val="center"/>
          </w:tcPr>
          <w:p>
            <w:pPr>
              <w:pStyle w:val="TableContents"/>
              <w:spacing w:before="0" w:after="283"/>
              <w:rPr/>
            </w:pPr>
            <w:r>
              <w:rPr/>
              <w:t>​</w:t>
            </w:r>
          </w:p>
        </w:tc>
        <w:tc>
          <w:tcPr>
            <w:tcW w:w="109" w:type="dxa"/>
            <w:tcBorders/>
            <w:shd w:fill="148CD9" w:val="clear"/>
            <w:vAlign w:val="center"/>
          </w:tcPr>
          <w:p>
            <w:pPr>
              <w:pStyle w:val="TableContents"/>
              <w:spacing w:before="0" w:after="283"/>
              <w:rPr/>
            </w:pPr>
            <w:r>
              <w:rPr/>
              <w:t>​</w:t>
            </w:r>
          </w:p>
        </w:tc>
        <w:tc>
          <w:tcPr>
            <w:tcW w:w="1339" w:type="dxa"/>
            <w:tcBorders/>
            <w:shd w:fill="148CD9" w:val="clear"/>
            <w:vAlign w:val="center"/>
          </w:tcPr>
          <w:p>
            <w:pPr>
              <w:pStyle w:val="TableContents"/>
              <w:spacing w:before="0" w:after="0"/>
              <w:jc w:val="center"/>
              <w:rPr>
                <w:spacing w:val="0"/>
              </w:rPr>
            </w:pPr>
            <w:r>
              <w:rPr>
                <w:spacing w:val="0"/>
              </w:rPr>
              <w:t xml:space="preserve">(a) </w:t>
            </w:r>
          </w:p>
        </w:tc>
        <w:tc>
          <w:tcPr>
            <w:tcW w:w="109" w:type="dxa"/>
            <w:tcBorders/>
            <w:shd w:fill="148CD9" w:val="clear"/>
            <w:vAlign w:val="center"/>
          </w:tcPr>
          <w:p>
            <w:pPr>
              <w:pStyle w:val="TableContents"/>
              <w:spacing w:before="0" w:after="283"/>
              <w:rPr/>
            </w:pPr>
            <w:r>
              <w:rPr/>
              <w:t>​</w:t>
            </w:r>
          </w:p>
        </w:tc>
        <w:tc>
          <w:tcPr>
            <w:tcW w:w="109" w:type="dxa"/>
            <w:tcBorders/>
            <w:shd w:fill="148CD9" w:val="clear"/>
            <w:vAlign w:val="center"/>
          </w:tcPr>
          <w:p>
            <w:pPr>
              <w:pStyle w:val="TableContents"/>
              <w:spacing w:before="0" w:after="283"/>
              <w:rPr/>
            </w:pPr>
            <w:r>
              <w:rPr/>
              <w:t>​</w:t>
            </w:r>
          </w:p>
        </w:tc>
        <w:tc>
          <w:tcPr>
            <w:tcW w:w="109" w:type="dxa"/>
            <w:tcBorders/>
            <w:shd w:fill="148CD9" w:val="clear"/>
            <w:vAlign w:val="center"/>
          </w:tcPr>
          <w:p>
            <w:pPr>
              <w:pStyle w:val="TableContents"/>
              <w:spacing w:before="0" w:after="283"/>
              <w:rPr/>
            </w:pPr>
            <w:r>
              <w:rPr/>
              <w:t>​</w:t>
            </w:r>
          </w:p>
        </w:tc>
        <w:tc>
          <w:tcPr>
            <w:tcW w:w="1332" w:type="dxa"/>
            <w:tcBorders/>
            <w:shd w:fill="148CD9" w:val="clear"/>
            <w:vAlign w:val="center"/>
          </w:tcPr>
          <w:p>
            <w:pPr>
              <w:pStyle w:val="TableContents"/>
              <w:spacing w:before="0" w:after="0"/>
              <w:jc w:val="center"/>
              <w:rPr>
                <w:spacing w:val="0"/>
              </w:rPr>
            </w:pPr>
            <w:r>
              <w:rPr>
                <w:spacing w:val="0"/>
              </w:rPr>
              <w:t xml:space="preserve">(b) </w:t>
            </w:r>
          </w:p>
        </w:tc>
        <w:tc>
          <w:tcPr>
            <w:tcW w:w="109" w:type="dxa"/>
            <w:tcBorders/>
            <w:shd w:fill="148CD9" w:val="clear"/>
            <w:vAlign w:val="center"/>
          </w:tcPr>
          <w:p>
            <w:pPr>
              <w:pStyle w:val="TableContents"/>
              <w:spacing w:before="0" w:after="283"/>
              <w:rPr/>
            </w:pPr>
            <w:r>
              <w:rPr/>
              <w:t>​</w:t>
            </w:r>
          </w:p>
        </w:tc>
        <w:tc>
          <w:tcPr>
            <w:tcW w:w="109" w:type="dxa"/>
            <w:tcBorders/>
            <w:shd w:fill="148CD9" w:val="clear"/>
            <w:vAlign w:val="center"/>
          </w:tcPr>
          <w:p>
            <w:pPr>
              <w:pStyle w:val="TableContents"/>
              <w:spacing w:before="0" w:after="283"/>
              <w:rPr/>
            </w:pPr>
            <w:r>
              <w:rPr/>
              <w:t>​</w:t>
            </w:r>
          </w:p>
        </w:tc>
        <w:tc>
          <w:tcPr>
            <w:tcW w:w="109" w:type="dxa"/>
            <w:tcBorders/>
            <w:shd w:fill="148CD9" w:val="clear"/>
            <w:vAlign w:val="center"/>
          </w:tcPr>
          <w:p>
            <w:pPr>
              <w:pStyle w:val="TableContents"/>
              <w:spacing w:before="0" w:after="283"/>
              <w:rPr/>
            </w:pPr>
            <w:r>
              <w:rPr/>
              <w:t>​</w:t>
            </w:r>
          </w:p>
        </w:tc>
        <w:tc>
          <w:tcPr>
            <w:tcW w:w="1726" w:type="dxa"/>
            <w:tcBorders/>
            <w:shd w:fill="148CD9" w:val="clear"/>
            <w:vAlign w:val="center"/>
          </w:tcPr>
          <w:p>
            <w:pPr>
              <w:pStyle w:val="TableContents"/>
              <w:spacing w:before="0" w:after="0"/>
              <w:jc w:val="center"/>
              <w:rPr>
                <w:spacing w:val="0"/>
              </w:rPr>
            </w:pPr>
            <w:r>
              <w:rPr>
                <w:spacing w:val="0"/>
              </w:rPr>
              <w:t xml:space="preserve">(c) </w:t>
            </w:r>
          </w:p>
        </w:tc>
        <w:tc>
          <w:tcPr>
            <w:tcW w:w="109" w:type="dxa"/>
            <w:tcBorders/>
            <w:shd w:fill="148CD9" w:val="clear"/>
            <w:vAlign w:val="center"/>
          </w:tcPr>
          <w:p>
            <w:pPr>
              <w:pStyle w:val="TableContents"/>
              <w:spacing w:before="0" w:after="283"/>
              <w:rPr/>
            </w:pPr>
            <w:r>
              <w:rPr/>
              <w:t>​</w:t>
            </w:r>
          </w:p>
        </w:tc>
        <w:tc>
          <w:tcPr>
            <w:tcW w:w="156" w:type="dxa"/>
            <w:tcBorders/>
            <w:shd w:fill="148CD9"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3369" w:type="dxa"/>
            <w:tcBorders>
              <w:bottom w:val="single" w:sz="2" w:space="0" w:color="000000"/>
            </w:tcBorders>
            <w:shd w:fill="auto" w:val="clear"/>
            <w:tcMar>
              <w:bottom w:w="37" w:type="dxa"/>
            </w:tcMar>
            <w:vAlign w:val="center"/>
          </w:tcPr>
          <w:p>
            <w:pPr>
              <w:pStyle w:val="TableContents"/>
              <w:spacing w:before="0" w:after="283"/>
              <w:jc w:val="left"/>
              <w:rPr>
                <w:spacing w:val="-1"/>
              </w:rPr>
            </w:pPr>
            <w:r>
              <w:rPr>
                <w:spacing w:val="-1"/>
              </w:rPr>
              <w:t xml:space="preserve">Equity compensation plans approved by security holders (2) </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000000" w:val="clear"/>
            <w:tcMar>
              <w:bottom w:w="28" w:type="dxa"/>
            </w:tcM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339" w:type="dxa"/>
            <w:tcBorders>
              <w:bottom w:val="single" w:sz="2" w:space="0" w:color="000000"/>
            </w:tcBorders>
            <w:shd w:fill="auto" w:val="clear"/>
            <w:tcMar>
              <w:bottom w:w="28" w:type="dxa"/>
            </w:tcMar>
            <w:vAlign w:val="center"/>
          </w:tcPr>
          <w:p>
            <w:pPr>
              <w:pStyle w:val="TableContents"/>
              <w:spacing w:before="0" w:after="0"/>
              <w:jc w:val="center"/>
              <w:rPr>
                <w:spacing w:val="-1"/>
              </w:rPr>
            </w:pPr>
            <w:r>
              <w:rPr>
                <w:spacing w:val="-1"/>
              </w:rPr>
              <w:t xml:space="preserve">7,489,678 </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000000" w:val="clear"/>
            <w:tcMar>
              <w:bottom w:w="28" w:type="dxa"/>
            </w:tcM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332" w:type="dxa"/>
            <w:tcBorders>
              <w:bottom w:val="single" w:sz="2" w:space="0" w:color="000000"/>
            </w:tcBorders>
            <w:shd w:fill="auto" w:val="clear"/>
            <w:tcMar>
              <w:bottom w:w="28" w:type="dxa"/>
            </w:tcMar>
            <w:vAlign w:val="center"/>
          </w:tcPr>
          <w:p>
            <w:pPr>
              <w:pStyle w:val="TableContents"/>
              <w:spacing w:before="0" w:after="0"/>
              <w:jc w:val="center"/>
              <w:rPr>
                <w:spacing w:val="-1"/>
              </w:rPr>
            </w:pPr>
            <w:r>
              <w:rPr>
                <w:spacing w:val="-1"/>
              </w:rPr>
              <w:t xml:space="preserve">$7.77 </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000000" w:val="clear"/>
            <w:tcMar>
              <w:bottom w:w="28" w:type="dxa"/>
            </w:tcM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726" w:type="dxa"/>
            <w:tcBorders>
              <w:bottom w:val="single" w:sz="2" w:space="0" w:color="000000"/>
            </w:tcBorders>
            <w:shd w:fill="auto" w:val="clear"/>
            <w:tcMar>
              <w:bottom w:w="28" w:type="dxa"/>
            </w:tcMar>
            <w:vAlign w:val="center"/>
          </w:tcPr>
          <w:p>
            <w:pPr>
              <w:pStyle w:val="TableContents"/>
              <w:spacing w:before="0" w:after="0"/>
              <w:jc w:val="center"/>
              <w:rPr>
                <w:spacing w:val="-1"/>
              </w:rPr>
            </w:pPr>
            <w:r>
              <w:rPr>
                <w:spacing w:val="-1"/>
              </w:rPr>
              <w:t xml:space="preserve">5,916,640 </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56" w:type="dxa"/>
            <w:tcBorders>
              <w:bottom w:val="single" w:sz="2" w:space="0" w:color="000000"/>
            </w:tcBorders>
            <w:shd w:fill="000000" w:val="clear"/>
            <w:tcMar>
              <w:bottom w:w="28" w:type="dxa"/>
            </w:tcM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3369" w:type="dxa"/>
            <w:tcBorders>
              <w:bottom w:val="single" w:sz="2" w:space="0" w:color="000000"/>
            </w:tcBorders>
            <w:shd w:fill="auto" w:val="clear"/>
            <w:tcMar>
              <w:bottom w:w="37" w:type="dxa"/>
            </w:tcMar>
            <w:vAlign w:val="center"/>
          </w:tcPr>
          <w:p>
            <w:pPr>
              <w:pStyle w:val="TableContents"/>
              <w:spacing w:before="0" w:after="283"/>
              <w:jc w:val="left"/>
              <w:rPr>
                <w:spacing w:val="-1"/>
              </w:rPr>
            </w:pPr>
            <w:r>
              <w:rPr>
                <w:spacing w:val="-1"/>
              </w:rPr>
              <w:t xml:space="preserve">Equity compensation plans not approved by security holders </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000000" w:val="clear"/>
            <w:tcMar>
              <w:bottom w:w="28" w:type="dxa"/>
            </w:tcM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339" w:type="dxa"/>
            <w:tcBorders>
              <w:bottom w:val="single" w:sz="2" w:space="0" w:color="000000"/>
            </w:tcBorders>
            <w:shd w:fill="auto" w:val="clear"/>
            <w:tcMar>
              <w:bottom w:w="28" w:type="dxa"/>
            </w:tcMar>
            <w:vAlign w:val="center"/>
          </w:tcPr>
          <w:p>
            <w:pPr>
              <w:pStyle w:val="TableContents"/>
              <w:spacing w:before="0" w:after="0"/>
              <w:jc w:val="center"/>
              <w:rPr/>
            </w:pPr>
            <w:r>
              <w:rPr>
                <w:spacing w:val="-1"/>
              </w:rPr>
              <w:t>—</w:t>
            </w:r>
            <w:r>
              <w:rPr/>
              <w:t xml:space="preserve"> </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000000" w:val="clear"/>
            <w:tcMar>
              <w:bottom w:w="28" w:type="dxa"/>
            </w:tcM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332" w:type="dxa"/>
            <w:tcBorders>
              <w:bottom w:val="single" w:sz="2" w:space="0" w:color="000000"/>
            </w:tcBorders>
            <w:shd w:fill="auto" w:val="clear"/>
            <w:tcMar>
              <w:bottom w:w="28" w:type="dxa"/>
            </w:tcMar>
            <w:vAlign w:val="center"/>
          </w:tcPr>
          <w:p>
            <w:pPr>
              <w:pStyle w:val="TableContents"/>
              <w:spacing w:before="0" w:after="0"/>
              <w:jc w:val="center"/>
              <w:rPr/>
            </w:pPr>
            <w:r>
              <w:rPr>
                <w:spacing w:val="-1"/>
              </w:rPr>
              <w:t>—</w:t>
            </w:r>
            <w:r>
              <w:rPr/>
              <w:t xml:space="preserve"> </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000000" w:val="clear"/>
            <w:tcMar>
              <w:bottom w:w="28" w:type="dxa"/>
            </w:tcM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726" w:type="dxa"/>
            <w:tcBorders>
              <w:bottom w:val="single" w:sz="2" w:space="0" w:color="000000"/>
            </w:tcBorders>
            <w:shd w:fill="auto" w:val="clear"/>
            <w:tcMar>
              <w:bottom w:w="28" w:type="dxa"/>
            </w:tcMar>
            <w:vAlign w:val="center"/>
          </w:tcPr>
          <w:p>
            <w:pPr>
              <w:pStyle w:val="TableContents"/>
              <w:spacing w:before="0" w:after="0"/>
              <w:jc w:val="center"/>
              <w:rPr/>
            </w:pPr>
            <w:r>
              <w:rPr>
                <w:spacing w:val="-1"/>
              </w:rPr>
              <w:t>—</w:t>
            </w:r>
            <w:r>
              <w:rPr/>
              <w:t xml:space="preserve"> </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56" w:type="dxa"/>
            <w:tcBorders>
              <w:bottom w:val="single" w:sz="2" w:space="0" w:color="000000"/>
            </w:tcBorders>
            <w:shd w:fill="000000" w:val="clear"/>
            <w:tcMar>
              <w:bottom w:w="28" w:type="dxa"/>
            </w:tcM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3369" w:type="dxa"/>
            <w:tcBorders>
              <w:bottom w:val="single" w:sz="2" w:space="0" w:color="000000"/>
            </w:tcBorders>
            <w:shd w:fill="auto" w:val="clear"/>
            <w:tcMar>
              <w:bottom w:w="37" w:type="dxa"/>
            </w:tcMar>
            <w:vAlign w:val="center"/>
          </w:tcPr>
          <w:p>
            <w:pPr>
              <w:pStyle w:val="TableContents"/>
              <w:spacing w:before="0" w:after="283"/>
              <w:jc w:val="left"/>
              <w:rPr>
                <w:spacing w:val="-1"/>
              </w:rPr>
            </w:pPr>
            <w:r>
              <w:rPr>
                <w:spacing w:val="-1"/>
              </w:rPr>
              <w:t xml:space="preserve">Total </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000000" w:val="clear"/>
            <w:tcMar>
              <w:bottom w:w="28" w:type="dxa"/>
            </w:tcM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339" w:type="dxa"/>
            <w:tcBorders>
              <w:bottom w:val="single" w:sz="2" w:space="0" w:color="000000"/>
            </w:tcBorders>
            <w:shd w:fill="auto" w:val="clear"/>
            <w:tcMar>
              <w:bottom w:w="28" w:type="dxa"/>
            </w:tcMar>
            <w:vAlign w:val="center"/>
          </w:tcPr>
          <w:p>
            <w:pPr>
              <w:pStyle w:val="TableContents"/>
              <w:spacing w:before="0" w:after="0"/>
              <w:jc w:val="center"/>
              <w:rPr>
                <w:spacing w:val="-1"/>
              </w:rPr>
            </w:pPr>
            <w:r>
              <w:rPr>
                <w:spacing w:val="-1"/>
              </w:rPr>
              <w:t xml:space="preserve">7,489,678 </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000000" w:val="clear"/>
            <w:tcMar>
              <w:bottom w:w="28" w:type="dxa"/>
            </w:tcM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332" w:type="dxa"/>
            <w:tcBorders>
              <w:bottom w:val="single" w:sz="2" w:space="0" w:color="000000"/>
            </w:tcBorders>
            <w:shd w:fill="auto" w:val="clear"/>
            <w:tcMar>
              <w:bottom w:w="28" w:type="dxa"/>
            </w:tcMar>
            <w:vAlign w:val="center"/>
          </w:tcPr>
          <w:p>
            <w:pPr>
              <w:pStyle w:val="TableContents"/>
              <w:spacing w:before="0" w:after="0"/>
              <w:jc w:val="center"/>
              <w:rPr>
                <w:spacing w:val="-1"/>
              </w:rPr>
            </w:pPr>
            <w:r>
              <w:rPr>
                <w:spacing w:val="-1"/>
              </w:rPr>
              <w:t xml:space="preserve">$7.77 </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000000" w:val="clear"/>
            <w:tcMar>
              <w:bottom w:w="28" w:type="dxa"/>
            </w:tcM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726" w:type="dxa"/>
            <w:tcBorders>
              <w:bottom w:val="single" w:sz="2" w:space="0" w:color="000000"/>
            </w:tcBorders>
            <w:shd w:fill="auto" w:val="clear"/>
            <w:tcMar>
              <w:bottom w:w="28" w:type="dxa"/>
            </w:tcMar>
            <w:vAlign w:val="center"/>
          </w:tcPr>
          <w:p>
            <w:pPr>
              <w:pStyle w:val="TableContents"/>
              <w:spacing w:before="0" w:after="0"/>
              <w:jc w:val="center"/>
              <w:rPr/>
            </w:pPr>
            <w:r>
              <w:rPr>
                <w:spacing w:val="-1"/>
              </w:rPr>
              <w:t>5,916,640</w:t>
            </w:r>
            <w:r>
              <w:rPr/>
              <w:t xml:space="preserve"> </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56" w:type="dxa"/>
            <w:tcBorders>
              <w:bottom w:val="single" w:sz="2" w:space="0" w:color="000000"/>
            </w:tcBorders>
            <w:shd w:fill="000000" w:val="clear"/>
            <w:tcMar>
              <w:bottom w:w="28" w:type="dxa"/>
            </w:tcMar>
            <w:vAlign w:val="center"/>
          </w:tcPr>
          <w:p>
            <w:pPr>
              <w:pStyle w:val="TableContents"/>
              <w:spacing w:before="0" w:after="283"/>
              <w:rPr/>
            </w:pPr>
            <w:r>
              <w:rPr/>
              <w:t>​</w:t>
            </w:r>
          </w:p>
        </w:tc>
      </w:tr>
    </w:tbl>
    <w:p>
      <w:pPr>
        <w:pStyle w:val="TextBody"/>
        <w:spacing w:before="0" w:after="0"/>
        <w:ind w:left="960" w:right="0" w:hanging="0"/>
        <w:rPr>
          <w:caps w:val="false"/>
          <w:smallCaps w:val="false"/>
          <w:color w:val="FFFFFF"/>
        </w:rPr>
      </w:pPr>
      <w:r>
        <w:rPr>
          <w:caps w:val="false"/>
          <w:smallCaps w:val="false"/>
          <w:color w:val="FFFFFF"/>
        </w:rPr>
        <w:t>​</w:t>
      </w:r>
    </w:p>
    <w:p>
      <w:pPr>
        <w:pStyle w:val="TextBody"/>
        <w:spacing w:lineRule="atLeast" w:line="200" w:before="70" w:after="0"/>
        <w:ind w:left="136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0"/>
          <w:sz w:val="18"/>
        </w:rPr>
        <w:t>Represents the weighted-average exercise price of outstanding stock options.</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44450" distB="0" distL="0" distR="0" simplePos="0" locked="0" layoutInCell="1" allowOverlap="1" relativeHeight="115">
                <wp:simplePos x="0" y="0"/>
                <wp:positionH relativeFrom="column">
                  <wp:align>left</wp:align>
                </wp:positionH>
                <wp:positionV relativeFrom="line">
                  <wp:align>top</wp:align>
                </wp:positionV>
                <wp:extent cx="254000" cy="350520"/>
                <wp:effectExtent l="0" t="0" r="0" b="0"/>
                <wp:wrapSquare wrapText="largest"/>
                <wp:docPr id="125" name="Frame92"/>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00" w:before="0" w:after="283"/>
                              <w:jc w:val="left"/>
                              <w:rPr>
                                <w:b w:val="false"/>
                                <w:color w:val="000000"/>
                              </w:rPr>
                            </w:pPr>
                            <w:r>
                              <w:rPr>
                                <w:b w:val="false"/>
                                <w:color w:val="000000"/>
                                <w:spacing w:val="0"/>
                              </w:rPr>
                              <w:t>(1)</w:t>
                            </w:r>
                            <w:r>
                              <w:rPr>
                                <w:b w:val="false"/>
                                <w:color w:val="000000"/>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5pt;mso-wrap-distance-bottom:0pt;margin-top:3.5pt;mso-position-vertical:top;mso-position-vertical-relative:text;margin-left:0pt;mso-position-horizontal:left;mso-position-horizontal-relative:text">
                <v:textbox>
                  <w:txbxContent>
                    <w:p>
                      <w:pPr>
                        <w:pStyle w:val="TextBody"/>
                        <w:spacing w:lineRule="atLeast" w:line="200" w:before="0" w:after="283"/>
                        <w:jc w:val="left"/>
                        <w:rPr>
                          <w:b w:val="false"/>
                          <w:color w:val="000000"/>
                        </w:rPr>
                      </w:pPr>
                      <w:r>
                        <w:rPr>
                          <w:b w:val="false"/>
                          <w:color w:val="000000"/>
                          <w:spacing w:val="0"/>
                        </w:rPr>
                        <w:t>(1)</w:t>
                      </w:r>
                      <w:r>
                        <w:rPr>
                          <w:b w:val="false"/>
                          <w:color w:val="000000"/>
                        </w:rPr>
                        <w:t xml:space="preserve"> </w:t>
                        <w:br/>
                      </w:r>
                    </w:p>
                  </w:txbxContent>
                </v:textbox>
                <w10:wrap type="square" side="right"/>
              </v:rect>
            </w:pict>
          </mc:Fallback>
        </mc:AlternateContent>
      </w:r>
    </w:p>
    <w:p>
      <w:pPr>
        <w:pStyle w:val="TextBody"/>
        <w:spacing w:before="0" w:after="0"/>
        <w:ind w:left="960" w:right="0" w:hanging="0"/>
        <w:rPr>
          <w:caps w:val="false"/>
          <w:smallCaps w:val="false"/>
          <w:color w:val="FFFFFF"/>
        </w:rPr>
      </w:pPr>
      <w:r>
        <w:rPr>
          <w:caps w:val="false"/>
          <w:smallCaps w:val="false"/>
          <w:color w:val="FFFFFF"/>
        </w:rPr>
        <w:t>​</w:t>
      </w:r>
    </w:p>
    <w:p>
      <w:pPr>
        <w:pStyle w:val="TextBody"/>
        <w:spacing w:lineRule="atLeast" w:line="200" w:before="80" w:after="0"/>
        <w:ind w:left="1360" w:right="0" w:hanging="0"/>
        <w:jc w:val="both"/>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0"/>
          <w:sz w:val="18"/>
        </w:rPr>
        <w:t>Represents shares available for future issues under the 2021 Plan. No new grants will be made under our 2018 Equity Incentive Plan. The 2021 Plan contains an “evergreen” provision, pursuant to which, on or about January 1 each year, the maximum number of shares reserved for issuance under the 2021 Plan is increased by a number equal to the lesser of (i) 5% of the shares of common stock issued and outstanding on the last day of the immediately preceding fiscal year and (ii) such smaller number of shares of common stock as determined by the Board.</w:t>
      </w:r>
      <w:r>
        <w:rPr>
          <w:rFonts w:ascii="Arial;Helvetica;sans-serif" w:hAnsi="Arial;Helvetica;sans-serif"/>
          <w:b w:val="false"/>
          <w:i w:val="false"/>
          <w:caps w:val="false"/>
          <w:smallCaps w:val="false"/>
          <w:color w:val="000000"/>
          <w:sz w:val="18"/>
        </w:rPr>
        <w:t xml:space="preserve"> </w:t>
      </w:r>
      <w:r>
        <mc:AlternateContent>
          <mc:Choice Requires="wps">
            <w:drawing>
              <wp:anchor behindDoc="0" distT="50800" distB="0" distL="0" distR="0" simplePos="0" locked="0" layoutInCell="1" allowOverlap="1" relativeHeight="116">
                <wp:simplePos x="0" y="0"/>
                <wp:positionH relativeFrom="column">
                  <wp:align>left</wp:align>
                </wp:positionH>
                <wp:positionV relativeFrom="line">
                  <wp:align>top</wp:align>
                </wp:positionV>
                <wp:extent cx="254000" cy="350520"/>
                <wp:effectExtent l="0" t="0" r="0" b="0"/>
                <wp:wrapSquare wrapText="largest"/>
                <wp:docPr id="126" name="Frame93"/>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00" w:before="0" w:after="283"/>
                              <w:jc w:val="both"/>
                              <w:rPr>
                                <w:b w:val="false"/>
                                <w:color w:val="000000"/>
                              </w:rPr>
                            </w:pPr>
                            <w:r>
                              <w:rPr>
                                <w:b w:val="false"/>
                                <w:color w:val="000000"/>
                                <w:spacing w:val="0"/>
                              </w:rPr>
                              <w:t>(2)</w:t>
                            </w:r>
                            <w:r>
                              <w:rPr>
                                <w:b w:val="false"/>
                                <w:color w:val="000000"/>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spacing w:lineRule="atLeast" w:line="200" w:before="0" w:after="283"/>
                        <w:jc w:val="both"/>
                        <w:rPr>
                          <w:b w:val="false"/>
                          <w:color w:val="000000"/>
                        </w:rPr>
                      </w:pPr>
                      <w:r>
                        <w:rPr>
                          <w:b w:val="false"/>
                          <w:color w:val="000000"/>
                          <w:spacing w:val="0"/>
                        </w:rPr>
                        <w:t>(2)</w:t>
                      </w:r>
                      <w:r>
                        <w:rPr>
                          <w:b w:val="false"/>
                          <w:color w:val="000000"/>
                        </w:rPr>
                        <w:t xml:space="preserve"> </w:t>
                        <w:br/>
                      </w:r>
                    </w:p>
                  </w:txbxContent>
                </v:textbox>
                <w10:wrap type="square" side="right"/>
              </v:rect>
            </w:pict>
          </mc:Fallback>
        </mc:AlternateContent>
      </w:r>
    </w:p>
    <w:p>
      <w:pPr>
        <w:pStyle w:val="TextBody"/>
        <w:spacing w:before="0" w:after="0"/>
        <w:ind w:left="960" w:right="0" w:hanging="0"/>
        <w:rPr>
          <w:caps w:val="false"/>
          <w:smallCaps w:val="false"/>
          <w:color w:val="FFFFFF"/>
        </w:rPr>
      </w:pPr>
      <w:r>
        <w:rPr>
          <w:caps w:val="false"/>
          <w:smallCaps w:val="false"/>
          <w:color w:val="FFFFFF"/>
        </w:rPr>
        <w:t>​</w:t>
      </w:r>
    </w:p>
    <w:p>
      <w:pPr>
        <w:pStyle w:val="TextBody"/>
        <w:spacing w:lineRule="atLeast" w:line="240" w:before="100" w:after="283"/>
        <w:ind w:left="960" w:right="0" w:hanging="0"/>
        <w:jc w:val="righ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1DA46F"/>
          <w:spacing w:val="0"/>
          <w:sz w:val="20"/>
        </w:rPr>
        <w:t>Notice of Annual Meeting of Stockholders</w:t>
      </w:r>
      <w:r>
        <w:rPr>
          <w:rFonts w:ascii="Arial;Helvetica;sans-serif" w:hAnsi="Arial;Helvetica;sans-serif"/>
          <w:b/>
          <w:i w:val="false"/>
          <w:caps w:val="false"/>
          <w:smallCaps w:val="false"/>
          <w:color w:val="000000"/>
          <w:spacing w:val="0"/>
          <w:sz w:val="20"/>
        </w:rPr>
        <w:t> and 2023 Proxy Statement | </w:t>
      </w:r>
      <w:r>
        <w:rPr>
          <w:rFonts w:ascii="Arial;Helvetica;sans-serif" w:hAnsi="Arial;Helvetica;sans-serif"/>
          <w:b w:val="false"/>
          <w:i w:val="false"/>
          <w:caps w:val="false"/>
          <w:smallCaps w:val="false"/>
          <w:color w:val="000000"/>
          <w:spacing w:val="-1"/>
          <w:sz w:val="20"/>
        </w:rPr>
        <w:t>32</w:t>
      </w:r>
      <w:r>
        <w:rPr>
          <w:rFonts w:ascii="Arial;Helvetica;sans-serif" w:hAnsi="Arial;Helvetica;sans-serif"/>
          <w:b/>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52" w:name="tSOOC"/>
      <w:bookmarkEnd w:id="52"/>
      <w:r>
        <w:rPr>
          <w:rFonts w:ascii="calibri;arial;sans-serif" w:hAnsi="calibri;arial;sans-serif"/>
          <w:b w:val="false"/>
          <w:i w:val="false"/>
          <w:caps w:val="false"/>
          <w:smallCaps w:val="false"/>
          <w:color w:val="000000"/>
          <w:sz w:val="16"/>
        </w:rPr>
        <w:t xml:space="preserve">​ </w:t>
      </w:r>
    </w:p>
    <w:tbl>
      <w:tblPr>
        <w:tblW w:w="5959" w:type="dxa"/>
        <w:jc w:val="left"/>
        <w:tblInd w:w="960" w:type="dxa"/>
        <w:tblCellMar>
          <w:top w:w="0" w:type="dxa"/>
          <w:left w:w="0" w:type="dxa"/>
          <w:bottom w:w="0" w:type="dxa"/>
          <w:right w:w="0" w:type="dxa"/>
        </w:tblCellMar>
      </w:tblPr>
      <w:tblGrid>
        <w:gridCol w:w="124"/>
        <w:gridCol w:w="5681"/>
        <w:gridCol w:w="154"/>
      </w:tblGrid>
      <w:tr>
        <w:trPr/>
        <w:tc>
          <w:tcPr>
            <w:tcW w:w="124" w:type="dxa"/>
            <w:tcBorders/>
            <w:shd w:fill="1DA46F" w:val="clear"/>
            <w:vAlign w:val="center"/>
          </w:tcPr>
          <w:p>
            <w:pPr>
              <w:pStyle w:val="TableContents"/>
              <w:spacing w:before="0" w:after="283"/>
              <w:rPr/>
            </w:pPr>
            <w:r>
              <w:rPr/>
              <w:t>​</w:t>
            </w:r>
          </w:p>
        </w:tc>
        <w:tc>
          <w:tcPr>
            <w:tcW w:w="5681" w:type="dxa"/>
            <w:tcBorders/>
            <w:shd w:fill="1DA46F" w:val="clear"/>
            <w:vAlign w:val="center"/>
          </w:tcPr>
          <w:p>
            <w:pPr>
              <w:pStyle w:val="TableContents"/>
              <w:spacing w:lineRule="atLeast" w:line="432" w:before="0" w:after="0"/>
              <w:rPr/>
            </w:pPr>
            <w:r>
              <w:rPr>
                <w:spacing w:val="-5"/>
              </w:rPr>
              <w:t xml:space="preserve">SECURITY OWNERSHIP OF CERTAIN BENEFICIAL </w:t>
            </w:r>
            <w:r>
              <w:rPr/>
              <w:br/>
            </w:r>
            <w:r>
              <w:rPr>
                <w:spacing w:val="-5"/>
              </w:rPr>
              <w:t>OWNERS AND MANAGEMENT</w:t>
            </w:r>
            <w:r>
              <w:rPr/>
              <w:t xml:space="preserve"> </w:t>
            </w:r>
          </w:p>
        </w:tc>
        <w:tc>
          <w:tcPr>
            <w:tcW w:w="154" w:type="dxa"/>
            <w:tcBorders/>
            <w:shd w:fill="1DA46F" w:val="clear"/>
            <w:vAlign w:val="center"/>
          </w:tcPr>
          <w:p>
            <w:pPr>
              <w:pStyle w:val="TableContents"/>
              <w:spacing w:before="0" w:after="283"/>
              <w:rPr/>
            </w:pPr>
            <w:r>
              <w:rPr/>
              <w:t>​</w:t>
            </w:r>
          </w:p>
        </w:tc>
      </w:tr>
    </w:tbl>
    <w:p>
      <w:pPr>
        <w:pStyle w:val="TextBody"/>
        <w:spacing w:lineRule="atLeast" w:line="230" w:before="360" w:after="283"/>
        <w:ind w:left="96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The following table sets forth certain information regarding the beneficial ownership of common stock as of April 15, 2023 by (a) each person known by us to be the beneficial owner of more than 5% of the outstanding shares of common stock, (b) each NEO identified in the “Summary Compensation Table” above, (c) each director and nominee for director, and (d) all executive officers and directors as a group.</w:t>
      </w:r>
      <w:r>
        <w:rPr>
          <w:rFonts w:ascii="Arial;Helvetica;sans-serif" w:hAnsi="Arial;Helvetica;sans-serif"/>
          <w:b w:val="false"/>
          <w:i w:val="false"/>
          <w:caps w:val="false"/>
          <w:smallCaps w:val="false"/>
          <w:color w:val="000000"/>
          <w:spacing w:val="4"/>
          <w:sz w:val="20"/>
        </w:rPr>
        <w:t xml:space="preserve"> </w:t>
      </w:r>
    </w:p>
    <w:p>
      <w:pPr>
        <w:pStyle w:val="TextBody"/>
        <w:spacing w:lineRule="atLeast" w:line="23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The percentage of common stock outstanding is based on 59,570,053 shares of our common stock outstanding as of April 15, 2023. For purposes of the table below, and in accordance with the rules of the SEC, we deem shares of common stock subject to options that are currently exercisable or exercisable within sixty days of April 15, 2023 to be outstanding and to be beneficially owned by the person holding the options or warrants for the purpose of computing the percentage ownership of that person, but we do not treat them as outstanding for the purpose of computing the percentage ownership of any other person. Except as otherwise noted, each of the persons or entities in this table has sole voting and investing power with respect to all of the shares of common stock beneficially owned by them, subject to community property laws, where applicable. Except as otherwise noted below, the street address of each beneficial owner is c/o Century Therapeutics, Inc., 3675 Market Street, Philadelphia, PA 19104.</w:t>
      </w:r>
      <w:r>
        <w:rPr>
          <w:rFonts w:ascii="Arial;Helvetica;sans-serif" w:hAnsi="Arial;Helvetica;sans-serif"/>
          <w:b w:val="false"/>
          <w:i w:val="false"/>
          <w:caps w:val="false"/>
          <w:smallCaps w:val="false"/>
          <w:color w:val="000000"/>
          <w:spacing w:val="4"/>
          <w:sz w:val="20"/>
        </w:rPr>
        <w:t xml:space="preserve"> </w:t>
      </w:r>
    </w:p>
    <w:tbl>
      <w:tblPr>
        <w:tblW w:w="9245" w:type="dxa"/>
        <w:jc w:val="left"/>
        <w:tblInd w:w="960" w:type="dxa"/>
        <w:tblCellMar>
          <w:top w:w="0" w:type="dxa"/>
          <w:left w:w="0" w:type="dxa"/>
          <w:bottom w:w="0" w:type="dxa"/>
          <w:right w:w="0" w:type="dxa"/>
        </w:tblCellMar>
      </w:tblPr>
      <w:tblGrid>
        <w:gridCol w:w="124"/>
        <w:gridCol w:w="109"/>
        <w:gridCol w:w="4426"/>
        <w:gridCol w:w="109"/>
        <w:gridCol w:w="109"/>
        <w:gridCol w:w="2151"/>
        <w:gridCol w:w="109"/>
        <w:gridCol w:w="109"/>
        <w:gridCol w:w="1734"/>
        <w:gridCol w:w="109"/>
        <w:gridCol w:w="156"/>
      </w:tblGrid>
      <w:tr>
        <w:trPr/>
        <w:tc>
          <w:tcPr>
            <w:tcW w:w="124" w:type="dxa"/>
            <w:vMerge w:val="restart"/>
            <w:tcBorders/>
            <w:shd w:fill="auto" w:val="clear"/>
            <w:vAlign w:val="center"/>
          </w:tcPr>
          <w:p>
            <w:pPr>
              <w:pStyle w:val="TableContents"/>
              <w:spacing w:before="0" w:after="283"/>
              <w:rPr/>
            </w:pPr>
            <w:r>
              <w:rPr/>
              <w:t>​</w:t>
            </w:r>
          </w:p>
        </w:tc>
        <w:tc>
          <w:tcPr>
            <w:tcW w:w="109" w:type="dxa"/>
            <w:vMerge w:val="restart"/>
            <w:tcBorders/>
            <w:shd w:fill="148CD9" w:val="clear"/>
            <w:vAlign w:val="center"/>
          </w:tcPr>
          <w:p>
            <w:pPr>
              <w:pStyle w:val="TableContents"/>
              <w:spacing w:before="0" w:after="283"/>
              <w:rPr/>
            </w:pPr>
            <w:r>
              <w:rPr/>
              <w:t>​</w:t>
            </w:r>
          </w:p>
        </w:tc>
        <w:tc>
          <w:tcPr>
            <w:tcW w:w="4426" w:type="dxa"/>
            <w:vMerge w:val="restart"/>
            <w:tcBorders/>
            <w:shd w:fill="148CD9" w:val="clear"/>
            <w:tcMar>
              <w:top w:w="28" w:type="dxa"/>
              <w:left w:w="28" w:type="dxa"/>
              <w:bottom w:w="28" w:type="dxa"/>
              <w:right w:w="28" w:type="dxa"/>
            </w:tcMar>
            <w:vAlign w:val="center"/>
          </w:tcPr>
          <w:p>
            <w:pPr>
              <w:pStyle w:val="TableContents"/>
              <w:spacing w:lineRule="atLeast" w:line="203" w:before="0" w:after="0"/>
              <w:jc w:val="center"/>
              <w:rPr>
                <w:spacing w:val="-2"/>
              </w:rPr>
            </w:pPr>
            <w:r>
              <w:rPr>
                <w:spacing w:val="-2"/>
              </w:rPr>
              <w:t xml:space="preserve">NAME OF BENEFICIAL OWNER </w:t>
            </w:r>
          </w:p>
        </w:tc>
        <w:tc>
          <w:tcPr>
            <w:tcW w:w="109" w:type="dxa"/>
            <w:vMerge w:val="restart"/>
            <w:tcBorders/>
            <w:shd w:fill="148CD9" w:val="clear"/>
            <w:vAlign w:val="center"/>
          </w:tcPr>
          <w:p>
            <w:pPr>
              <w:pStyle w:val="TableContents"/>
              <w:spacing w:before="0" w:after="283"/>
              <w:rPr/>
            </w:pPr>
            <w:r>
              <w:rPr/>
              <w:t>​</w:t>
            </w:r>
          </w:p>
        </w:tc>
        <w:tc>
          <w:tcPr>
            <w:tcW w:w="109" w:type="dxa"/>
            <w:tcBorders/>
            <w:shd w:fill="148CD9" w:val="clear"/>
            <w:vAlign w:val="center"/>
          </w:tcPr>
          <w:p>
            <w:pPr>
              <w:pStyle w:val="TableContents"/>
              <w:spacing w:before="0" w:after="283"/>
              <w:rPr/>
            </w:pPr>
            <w:r>
              <w:rPr/>
              <w:t>​</w:t>
            </w:r>
          </w:p>
        </w:tc>
        <w:tc>
          <w:tcPr>
            <w:tcW w:w="4103" w:type="dxa"/>
            <w:gridSpan w:val="4"/>
            <w:tcBorders/>
            <w:shd w:fill="148CD9" w:val="clear"/>
            <w:vAlign w:val="center"/>
          </w:tcPr>
          <w:p>
            <w:pPr>
              <w:pStyle w:val="TableContents"/>
              <w:spacing w:before="0" w:after="0"/>
              <w:jc w:val="center"/>
              <w:rPr>
                <w:spacing w:val="-2"/>
              </w:rPr>
            </w:pPr>
            <w:r>
              <w:rPr>
                <w:spacing w:val="-2"/>
              </w:rPr>
              <w:t xml:space="preserve">SHARES BENEFICIALLY OWNED </w:t>
            </w:r>
          </w:p>
        </w:tc>
        <w:tc>
          <w:tcPr>
            <w:tcW w:w="109" w:type="dxa"/>
            <w:tcBorders/>
            <w:shd w:fill="148CD9" w:val="clear"/>
            <w:vAlign w:val="center"/>
          </w:tcPr>
          <w:p>
            <w:pPr>
              <w:pStyle w:val="TableContents"/>
              <w:spacing w:before="0" w:after="283"/>
              <w:rPr/>
            </w:pPr>
            <w:r>
              <w:rPr/>
              <w:t>​</w:t>
            </w:r>
          </w:p>
        </w:tc>
        <w:tc>
          <w:tcPr>
            <w:tcW w:w="156" w:type="dxa"/>
            <w:tcBorders/>
            <w:shd w:fill="auto" w:val="clear"/>
            <w:vAlign w:val="center"/>
          </w:tcPr>
          <w:p>
            <w:pPr>
              <w:pStyle w:val="TableContents"/>
              <w:spacing w:before="0" w:after="283"/>
              <w:rPr/>
            </w:pPr>
            <w:r>
              <w:rPr/>
              <w:t>​</w:t>
            </w:r>
          </w:p>
        </w:tc>
      </w:tr>
      <w:tr>
        <w:trPr/>
        <w:tc>
          <w:tcPr>
            <w:tcW w:w="124" w:type="dxa"/>
            <w:vMerge w:val="continue"/>
            <w:tcBorders/>
            <w:shd w:fill="auto" w:val="clear"/>
            <w:vAlign w:val="center"/>
          </w:tcPr>
          <w:p>
            <w:pPr>
              <w:pStyle w:val="Normal"/>
              <w:rPr/>
            </w:pPr>
            <w:r>
              <w:rPr/>
            </w:r>
          </w:p>
        </w:tc>
        <w:tc>
          <w:tcPr>
            <w:tcW w:w="109" w:type="dxa"/>
            <w:vMerge w:val="continue"/>
            <w:tcBorders/>
            <w:shd w:fill="148CD9" w:val="clear"/>
            <w:vAlign w:val="center"/>
          </w:tcPr>
          <w:p>
            <w:pPr>
              <w:pStyle w:val="Normal"/>
              <w:rPr/>
            </w:pPr>
            <w:r>
              <w:rPr/>
            </w:r>
          </w:p>
        </w:tc>
        <w:tc>
          <w:tcPr>
            <w:tcW w:w="4426" w:type="dxa"/>
            <w:vMerge w:val="continue"/>
            <w:tcBorders/>
            <w:shd w:fill="148CD9" w:val="clear"/>
            <w:tcMar>
              <w:top w:w="28" w:type="dxa"/>
              <w:left w:w="28" w:type="dxa"/>
              <w:bottom w:w="28" w:type="dxa"/>
              <w:right w:w="28" w:type="dxa"/>
            </w:tcMar>
            <w:vAlign w:val="center"/>
          </w:tcPr>
          <w:p>
            <w:pPr>
              <w:pStyle w:val="Normal"/>
              <w:rPr/>
            </w:pPr>
            <w:r>
              <w:rPr/>
            </w:r>
          </w:p>
        </w:tc>
        <w:tc>
          <w:tcPr>
            <w:tcW w:w="109" w:type="dxa"/>
            <w:vMerge w:val="continue"/>
            <w:tcBorders/>
            <w:shd w:fill="148CD9" w:val="clear"/>
            <w:vAlign w:val="center"/>
          </w:tcPr>
          <w:p>
            <w:pPr>
              <w:pStyle w:val="Normal"/>
              <w:rPr/>
            </w:pPr>
            <w:r>
              <w:rPr/>
            </w:r>
          </w:p>
        </w:tc>
        <w:tc>
          <w:tcPr>
            <w:tcW w:w="109" w:type="dxa"/>
            <w:tcBorders/>
            <w:shd w:fill="148CD9" w:val="clear"/>
            <w:vAlign w:val="center"/>
          </w:tcPr>
          <w:p>
            <w:pPr>
              <w:pStyle w:val="TableContents"/>
              <w:spacing w:before="0" w:after="283"/>
              <w:rPr/>
            </w:pPr>
            <w:r>
              <w:rPr/>
              <w:t>​</w:t>
            </w:r>
          </w:p>
        </w:tc>
        <w:tc>
          <w:tcPr>
            <w:tcW w:w="2151" w:type="dxa"/>
            <w:tcBorders/>
            <w:shd w:fill="148CD9" w:val="clear"/>
            <w:vAlign w:val="center"/>
          </w:tcPr>
          <w:p>
            <w:pPr>
              <w:pStyle w:val="TableContents"/>
              <w:spacing w:before="0" w:after="0"/>
              <w:jc w:val="center"/>
              <w:rPr>
                <w:spacing w:val="-2"/>
              </w:rPr>
            </w:pPr>
            <w:r>
              <w:rPr>
                <w:spacing w:val="-2"/>
              </w:rPr>
              <w:t xml:space="preserve">NUMBER OF SHARES </w:t>
            </w:r>
          </w:p>
        </w:tc>
        <w:tc>
          <w:tcPr>
            <w:tcW w:w="109" w:type="dxa"/>
            <w:tcBorders/>
            <w:shd w:fill="148CD9" w:val="clear"/>
            <w:vAlign w:val="center"/>
          </w:tcPr>
          <w:p>
            <w:pPr>
              <w:pStyle w:val="TableContents"/>
              <w:spacing w:before="0" w:after="283"/>
              <w:rPr/>
            </w:pPr>
            <w:r>
              <w:rPr/>
              <w:t>​</w:t>
            </w:r>
          </w:p>
        </w:tc>
        <w:tc>
          <w:tcPr>
            <w:tcW w:w="109" w:type="dxa"/>
            <w:tcBorders/>
            <w:shd w:fill="148CD9" w:val="clear"/>
            <w:vAlign w:val="center"/>
          </w:tcPr>
          <w:p>
            <w:pPr>
              <w:pStyle w:val="TableContents"/>
              <w:spacing w:before="0" w:after="283"/>
              <w:rPr/>
            </w:pPr>
            <w:r>
              <w:rPr/>
              <w:t>​</w:t>
            </w:r>
          </w:p>
        </w:tc>
        <w:tc>
          <w:tcPr>
            <w:tcW w:w="1734" w:type="dxa"/>
            <w:tcBorders/>
            <w:shd w:fill="148CD9" w:val="clear"/>
            <w:vAlign w:val="center"/>
          </w:tcPr>
          <w:p>
            <w:pPr>
              <w:pStyle w:val="TableContents"/>
              <w:spacing w:before="0" w:after="0"/>
              <w:jc w:val="center"/>
              <w:rPr>
                <w:spacing w:val="-2"/>
              </w:rPr>
            </w:pPr>
            <w:r>
              <w:rPr>
                <w:spacing w:val="-2"/>
              </w:rPr>
              <w:t xml:space="preserve">PERCENTAGE </w:t>
            </w:r>
          </w:p>
        </w:tc>
        <w:tc>
          <w:tcPr>
            <w:tcW w:w="109" w:type="dxa"/>
            <w:tcBorders/>
            <w:shd w:fill="148CD9" w:val="clear"/>
            <w:vAlign w:val="center"/>
          </w:tcPr>
          <w:p>
            <w:pPr>
              <w:pStyle w:val="TableContents"/>
              <w:spacing w:before="0" w:after="283"/>
              <w:rPr/>
            </w:pPr>
            <w:r>
              <w:rPr/>
              <w:t>​</w:t>
            </w:r>
          </w:p>
        </w:tc>
        <w:tc>
          <w:tcPr>
            <w:tcW w:w="156" w:type="dxa"/>
            <w:tcBorders/>
            <w:shd w:fill="auto"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4426" w:type="dxa"/>
            <w:tcBorders>
              <w:bottom w:val="single" w:sz="2" w:space="0" w:color="000000"/>
            </w:tcBorders>
            <w:shd w:fill="auto" w:val="clear"/>
            <w:tcMar>
              <w:bottom w:w="50" w:type="dxa"/>
            </w:tcMar>
            <w:vAlign w:val="center"/>
          </w:tcPr>
          <w:p>
            <w:pPr>
              <w:pStyle w:val="TableContents"/>
              <w:spacing w:before="0" w:after="283"/>
              <w:jc w:val="left"/>
              <w:rPr/>
            </w:pPr>
            <w:r>
              <w:rPr>
                <w:spacing w:val="0"/>
              </w:rPr>
              <w:t>Greater than 5% Stockholders</w:t>
            </w:r>
            <w:r>
              <w:rPr/>
              <w:t xml:space="preserve"> </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2151" w:type="dxa"/>
            <w:tcBorders>
              <w:bottom w:val="single" w:sz="2" w:space="0" w:color="000000"/>
            </w:tcBorders>
            <w:shd w:fill="auto" w:val="clear"/>
            <w:tcMar>
              <w:bottom w:w="50" w:type="dxa"/>
            </w:tcM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734" w:type="dxa"/>
            <w:tcBorders>
              <w:bottom w:val="single" w:sz="2" w:space="0" w:color="000000"/>
            </w:tcBorders>
            <w:shd w:fill="auto" w:val="clear"/>
            <w:tcMar>
              <w:bottom w:w="50" w:type="dxa"/>
            </w:tcM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56" w:type="dxa"/>
            <w:tcBorders/>
            <w:shd w:fill="auto"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4426" w:type="dxa"/>
            <w:tcBorders>
              <w:bottom w:val="single" w:sz="2" w:space="0" w:color="000000"/>
            </w:tcBorders>
            <w:shd w:fill="auto" w:val="clear"/>
            <w:tcMar>
              <w:bottom w:w="50" w:type="dxa"/>
            </w:tcMar>
            <w:vAlign w:val="center"/>
          </w:tcPr>
          <w:p>
            <w:pPr>
              <w:pStyle w:val="TableContents"/>
              <w:spacing w:before="0" w:after="283"/>
              <w:jc w:val="left"/>
              <w:rPr>
                <w:spacing w:val="-1"/>
              </w:rPr>
            </w:pPr>
            <w:r>
              <w:rPr>
                <w:spacing w:val="-1"/>
              </w:rPr>
              <w:t xml:space="preserve">Versant Entities (1) </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2151" w:type="dxa"/>
            <w:tcBorders>
              <w:bottom w:val="single" w:sz="2" w:space="0" w:color="000000"/>
            </w:tcBorders>
            <w:shd w:fill="auto" w:val="clear"/>
            <w:tcMar>
              <w:bottom w:w="50" w:type="dxa"/>
            </w:tcMar>
            <w:vAlign w:val="center"/>
          </w:tcPr>
          <w:p>
            <w:pPr>
              <w:pStyle w:val="TableContents"/>
              <w:spacing w:before="0" w:after="0"/>
              <w:jc w:val="center"/>
              <w:rPr>
                <w:spacing w:val="-1"/>
              </w:rPr>
            </w:pPr>
            <w:r>
              <w:rPr>
                <w:spacing w:val="-1"/>
              </w:rPr>
              <w:t xml:space="preserve">12,166,109 </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734" w:type="dxa"/>
            <w:tcBorders>
              <w:bottom w:val="single" w:sz="2" w:space="0" w:color="000000"/>
            </w:tcBorders>
            <w:shd w:fill="auto" w:val="clear"/>
            <w:tcMar>
              <w:bottom w:w="50" w:type="dxa"/>
            </w:tcMar>
            <w:vAlign w:val="center"/>
          </w:tcPr>
          <w:p>
            <w:pPr>
              <w:pStyle w:val="TableContents"/>
              <w:spacing w:before="0" w:after="0"/>
              <w:jc w:val="center"/>
              <w:rPr>
                <w:spacing w:val="-1"/>
              </w:rPr>
            </w:pPr>
            <w:r>
              <w:rPr>
                <w:spacing w:val="-1"/>
              </w:rPr>
              <w:t xml:space="preserve">20.4% </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56" w:type="dxa"/>
            <w:tcBorders/>
            <w:shd w:fill="auto"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4426" w:type="dxa"/>
            <w:tcBorders>
              <w:bottom w:val="single" w:sz="2" w:space="0" w:color="000000"/>
            </w:tcBorders>
            <w:shd w:fill="auto" w:val="clear"/>
            <w:tcMar>
              <w:bottom w:w="50" w:type="dxa"/>
            </w:tcMar>
            <w:vAlign w:val="center"/>
          </w:tcPr>
          <w:p>
            <w:pPr>
              <w:pStyle w:val="TableContents"/>
              <w:spacing w:before="0" w:after="283"/>
              <w:jc w:val="left"/>
              <w:rPr>
                <w:spacing w:val="-1"/>
              </w:rPr>
            </w:pPr>
            <w:r>
              <w:rPr>
                <w:spacing w:val="-1"/>
              </w:rPr>
              <w:t xml:space="preserve">FUJIFILM Cellular Dynamics, Inc. (2) </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2151" w:type="dxa"/>
            <w:tcBorders>
              <w:bottom w:val="single" w:sz="2" w:space="0" w:color="000000"/>
            </w:tcBorders>
            <w:shd w:fill="auto" w:val="clear"/>
            <w:tcMar>
              <w:bottom w:w="50" w:type="dxa"/>
            </w:tcMar>
            <w:vAlign w:val="center"/>
          </w:tcPr>
          <w:p>
            <w:pPr>
              <w:pStyle w:val="TableContents"/>
              <w:spacing w:before="0" w:after="0"/>
              <w:jc w:val="center"/>
              <w:rPr>
                <w:spacing w:val="-1"/>
              </w:rPr>
            </w:pPr>
            <w:r>
              <w:rPr>
                <w:spacing w:val="-1"/>
              </w:rPr>
              <w:t xml:space="preserve">6,955,207 </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734" w:type="dxa"/>
            <w:tcBorders>
              <w:bottom w:val="single" w:sz="2" w:space="0" w:color="000000"/>
            </w:tcBorders>
            <w:shd w:fill="auto" w:val="clear"/>
            <w:tcMar>
              <w:bottom w:w="50" w:type="dxa"/>
            </w:tcMar>
            <w:vAlign w:val="center"/>
          </w:tcPr>
          <w:p>
            <w:pPr>
              <w:pStyle w:val="TableContents"/>
              <w:spacing w:before="0" w:after="0"/>
              <w:jc w:val="center"/>
              <w:rPr>
                <w:spacing w:val="-1"/>
              </w:rPr>
            </w:pPr>
            <w:r>
              <w:rPr>
                <w:spacing w:val="-1"/>
              </w:rPr>
              <w:t xml:space="preserve">11.7% </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56" w:type="dxa"/>
            <w:tcBorders/>
            <w:shd w:fill="auto"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4426" w:type="dxa"/>
            <w:tcBorders>
              <w:bottom w:val="single" w:sz="2" w:space="0" w:color="000000"/>
            </w:tcBorders>
            <w:shd w:fill="auto" w:val="clear"/>
            <w:tcMar>
              <w:bottom w:w="50" w:type="dxa"/>
            </w:tcMar>
            <w:vAlign w:val="center"/>
          </w:tcPr>
          <w:p>
            <w:pPr>
              <w:pStyle w:val="TableContents"/>
              <w:spacing w:before="0" w:after="283"/>
              <w:jc w:val="left"/>
              <w:rPr>
                <w:spacing w:val="-1"/>
              </w:rPr>
            </w:pPr>
            <w:r>
              <w:rPr>
                <w:spacing w:val="-1"/>
              </w:rPr>
              <w:t xml:space="preserve">Bayer World Investments B.V. (3) </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2151" w:type="dxa"/>
            <w:tcBorders>
              <w:bottom w:val="single" w:sz="2" w:space="0" w:color="000000"/>
            </w:tcBorders>
            <w:shd w:fill="auto" w:val="clear"/>
            <w:tcMar>
              <w:bottom w:w="50" w:type="dxa"/>
            </w:tcMar>
            <w:vAlign w:val="center"/>
          </w:tcPr>
          <w:p>
            <w:pPr>
              <w:pStyle w:val="TableContents"/>
              <w:spacing w:before="0" w:after="0"/>
              <w:jc w:val="center"/>
              <w:rPr>
                <w:spacing w:val="-1"/>
              </w:rPr>
            </w:pPr>
            <w:r>
              <w:rPr>
                <w:spacing w:val="-1"/>
              </w:rPr>
              <w:t xml:space="preserve">12,675,838 </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734" w:type="dxa"/>
            <w:tcBorders>
              <w:bottom w:val="single" w:sz="2" w:space="0" w:color="000000"/>
            </w:tcBorders>
            <w:shd w:fill="auto" w:val="clear"/>
            <w:tcMar>
              <w:bottom w:w="50" w:type="dxa"/>
            </w:tcMar>
            <w:vAlign w:val="center"/>
          </w:tcPr>
          <w:p>
            <w:pPr>
              <w:pStyle w:val="TableContents"/>
              <w:spacing w:before="0" w:after="0"/>
              <w:jc w:val="center"/>
              <w:rPr>
                <w:spacing w:val="-1"/>
              </w:rPr>
            </w:pPr>
            <w:r>
              <w:rPr>
                <w:spacing w:val="-1"/>
              </w:rPr>
              <w:t xml:space="preserve">21.3% </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56" w:type="dxa"/>
            <w:tcBorders/>
            <w:shd w:fill="auto"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4426" w:type="dxa"/>
            <w:tcBorders>
              <w:bottom w:val="single" w:sz="2" w:space="0" w:color="000000"/>
            </w:tcBorders>
            <w:shd w:fill="auto" w:val="clear"/>
            <w:tcMar>
              <w:bottom w:w="50" w:type="dxa"/>
            </w:tcMar>
            <w:vAlign w:val="center"/>
          </w:tcPr>
          <w:p>
            <w:pPr>
              <w:pStyle w:val="TableContents"/>
              <w:spacing w:before="0" w:after="283"/>
              <w:jc w:val="left"/>
              <w:rPr>
                <w:spacing w:val="-1"/>
              </w:rPr>
            </w:pPr>
            <w:r>
              <w:rPr>
                <w:spacing w:val="-1"/>
              </w:rPr>
              <w:t xml:space="preserve">Casdin Entities (4) </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2151" w:type="dxa"/>
            <w:tcBorders>
              <w:bottom w:val="single" w:sz="2" w:space="0" w:color="000000"/>
            </w:tcBorders>
            <w:shd w:fill="auto" w:val="clear"/>
            <w:tcMar>
              <w:bottom w:w="50" w:type="dxa"/>
            </w:tcMar>
            <w:vAlign w:val="center"/>
          </w:tcPr>
          <w:p>
            <w:pPr>
              <w:pStyle w:val="TableContents"/>
              <w:spacing w:before="0" w:after="0"/>
              <w:jc w:val="center"/>
              <w:rPr>
                <w:spacing w:val="-1"/>
              </w:rPr>
            </w:pPr>
            <w:r>
              <w:rPr>
                <w:spacing w:val="-1"/>
              </w:rPr>
              <w:t xml:space="preserve">3,222,940 </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734" w:type="dxa"/>
            <w:tcBorders>
              <w:bottom w:val="single" w:sz="2" w:space="0" w:color="000000"/>
            </w:tcBorders>
            <w:shd w:fill="auto" w:val="clear"/>
            <w:tcMar>
              <w:bottom w:w="50" w:type="dxa"/>
            </w:tcMar>
            <w:vAlign w:val="center"/>
          </w:tcPr>
          <w:p>
            <w:pPr>
              <w:pStyle w:val="TableContents"/>
              <w:spacing w:before="0" w:after="0"/>
              <w:jc w:val="center"/>
              <w:rPr>
                <w:spacing w:val="-1"/>
              </w:rPr>
            </w:pPr>
            <w:r>
              <w:rPr>
                <w:spacing w:val="-1"/>
              </w:rPr>
              <w:t xml:space="preserve">5.4% </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56" w:type="dxa"/>
            <w:tcBorders/>
            <w:shd w:fill="auto"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4426" w:type="dxa"/>
            <w:tcBorders>
              <w:bottom w:val="single" w:sz="2" w:space="0" w:color="000000"/>
            </w:tcBorders>
            <w:shd w:fill="auto" w:val="clear"/>
            <w:tcMar>
              <w:bottom w:w="50" w:type="dxa"/>
            </w:tcMar>
            <w:vAlign w:val="center"/>
          </w:tcPr>
          <w:p>
            <w:pPr>
              <w:pStyle w:val="TableContents"/>
              <w:spacing w:before="0" w:after="283"/>
              <w:jc w:val="left"/>
              <w:rPr>
                <w:spacing w:val="-1"/>
              </w:rPr>
            </w:pPr>
            <w:r>
              <w:rPr>
                <w:spacing w:val="-1"/>
              </w:rPr>
              <w:t xml:space="preserve">FMR LLC (5) </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2151" w:type="dxa"/>
            <w:tcBorders>
              <w:bottom w:val="single" w:sz="2" w:space="0" w:color="000000"/>
            </w:tcBorders>
            <w:shd w:fill="auto" w:val="clear"/>
            <w:tcMar>
              <w:bottom w:w="50" w:type="dxa"/>
            </w:tcMar>
            <w:vAlign w:val="center"/>
          </w:tcPr>
          <w:p>
            <w:pPr>
              <w:pStyle w:val="TableContents"/>
              <w:spacing w:before="0" w:after="0"/>
              <w:jc w:val="center"/>
              <w:rPr>
                <w:spacing w:val="-1"/>
              </w:rPr>
            </w:pPr>
            <w:r>
              <w:rPr>
                <w:spacing w:val="-1"/>
              </w:rPr>
              <w:t xml:space="preserve">7,096,411 </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734" w:type="dxa"/>
            <w:tcBorders>
              <w:bottom w:val="single" w:sz="2" w:space="0" w:color="000000"/>
            </w:tcBorders>
            <w:shd w:fill="auto" w:val="clear"/>
            <w:tcMar>
              <w:bottom w:w="50" w:type="dxa"/>
            </w:tcMar>
            <w:vAlign w:val="center"/>
          </w:tcPr>
          <w:p>
            <w:pPr>
              <w:pStyle w:val="TableContents"/>
              <w:spacing w:before="0" w:after="0"/>
              <w:jc w:val="center"/>
              <w:rPr>
                <w:spacing w:val="-1"/>
              </w:rPr>
            </w:pPr>
            <w:r>
              <w:rPr>
                <w:spacing w:val="-1"/>
              </w:rPr>
              <w:t xml:space="preserve">11.9% </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56" w:type="dxa"/>
            <w:tcBorders/>
            <w:shd w:fill="auto"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4426" w:type="dxa"/>
            <w:tcBorders>
              <w:bottom w:val="single" w:sz="2" w:space="0" w:color="000000"/>
            </w:tcBorders>
            <w:shd w:fill="auto" w:val="clear"/>
            <w:tcMar>
              <w:bottom w:w="50" w:type="dxa"/>
            </w:tcMar>
            <w:vAlign w:val="center"/>
          </w:tcPr>
          <w:p>
            <w:pPr>
              <w:pStyle w:val="TableContents"/>
              <w:spacing w:before="0" w:after="283"/>
              <w:jc w:val="left"/>
              <w:rPr/>
            </w:pPr>
            <w:r>
              <w:rPr>
                <w:spacing w:val="0"/>
              </w:rPr>
              <w:t>Named Executive Officers and Directors</w:t>
            </w:r>
            <w:r>
              <w:rPr/>
              <w:t xml:space="preserve"> </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2151" w:type="dxa"/>
            <w:tcBorders>
              <w:bottom w:val="single" w:sz="2" w:space="0" w:color="000000"/>
            </w:tcBorders>
            <w:shd w:fill="auto" w:val="clear"/>
            <w:tcMar>
              <w:bottom w:w="50" w:type="dxa"/>
            </w:tcM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734" w:type="dxa"/>
            <w:tcBorders>
              <w:bottom w:val="single" w:sz="2" w:space="0" w:color="000000"/>
            </w:tcBorders>
            <w:shd w:fill="auto" w:val="clear"/>
            <w:tcMar>
              <w:bottom w:w="50" w:type="dxa"/>
            </w:tcM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56" w:type="dxa"/>
            <w:tcBorders/>
            <w:shd w:fill="auto"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4426" w:type="dxa"/>
            <w:tcBorders>
              <w:bottom w:val="single" w:sz="2" w:space="0" w:color="000000"/>
            </w:tcBorders>
            <w:shd w:fill="auto" w:val="clear"/>
            <w:tcMar>
              <w:bottom w:w="50" w:type="dxa"/>
            </w:tcMar>
            <w:vAlign w:val="center"/>
          </w:tcPr>
          <w:p>
            <w:pPr>
              <w:pStyle w:val="TableContents"/>
              <w:spacing w:before="0" w:after="283"/>
              <w:jc w:val="left"/>
              <w:rPr>
                <w:spacing w:val="-1"/>
              </w:rPr>
            </w:pPr>
            <w:r>
              <w:rPr>
                <w:spacing w:val="-1"/>
              </w:rPr>
              <w:t xml:space="preserve">Osvaldo Flores, Ph.D. (6) </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2151" w:type="dxa"/>
            <w:tcBorders>
              <w:bottom w:val="single" w:sz="2" w:space="0" w:color="000000"/>
            </w:tcBorders>
            <w:shd w:fill="auto" w:val="clear"/>
            <w:tcMar>
              <w:bottom w:w="50" w:type="dxa"/>
            </w:tcMar>
            <w:vAlign w:val="center"/>
          </w:tcPr>
          <w:p>
            <w:pPr>
              <w:pStyle w:val="TableContents"/>
              <w:spacing w:before="0" w:after="0"/>
              <w:jc w:val="center"/>
              <w:rPr>
                <w:spacing w:val="-1"/>
              </w:rPr>
            </w:pPr>
            <w:r>
              <w:rPr>
                <w:spacing w:val="-1"/>
              </w:rPr>
              <w:t xml:space="preserve">1,967,338 </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734" w:type="dxa"/>
            <w:tcBorders>
              <w:bottom w:val="single" w:sz="2" w:space="0" w:color="000000"/>
            </w:tcBorders>
            <w:shd w:fill="auto" w:val="clear"/>
            <w:tcMar>
              <w:bottom w:w="50" w:type="dxa"/>
            </w:tcMar>
            <w:vAlign w:val="center"/>
          </w:tcPr>
          <w:p>
            <w:pPr>
              <w:pStyle w:val="TableContents"/>
              <w:spacing w:before="0" w:after="0"/>
              <w:jc w:val="center"/>
              <w:rPr>
                <w:spacing w:val="-1"/>
              </w:rPr>
            </w:pPr>
            <w:r>
              <w:rPr>
                <w:spacing w:val="-1"/>
              </w:rPr>
              <w:t xml:space="preserve">3.3% </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56" w:type="dxa"/>
            <w:tcBorders/>
            <w:shd w:fill="auto"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4426" w:type="dxa"/>
            <w:tcBorders>
              <w:bottom w:val="single" w:sz="2" w:space="0" w:color="000000"/>
            </w:tcBorders>
            <w:shd w:fill="auto" w:val="clear"/>
            <w:tcMar>
              <w:bottom w:w="50" w:type="dxa"/>
            </w:tcMar>
            <w:vAlign w:val="center"/>
          </w:tcPr>
          <w:p>
            <w:pPr>
              <w:pStyle w:val="TableContents"/>
              <w:spacing w:before="0" w:after="283"/>
              <w:jc w:val="left"/>
              <w:rPr>
                <w:spacing w:val="-1"/>
              </w:rPr>
            </w:pPr>
            <w:r>
              <w:rPr>
                <w:spacing w:val="-1"/>
              </w:rPr>
              <w:t xml:space="preserve">Michael Diem (7) </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2151" w:type="dxa"/>
            <w:tcBorders>
              <w:bottom w:val="single" w:sz="2" w:space="0" w:color="000000"/>
            </w:tcBorders>
            <w:shd w:fill="auto" w:val="clear"/>
            <w:tcMar>
              <w:bottom w:w="50" w:type="dxa"/>
            </w:tcMar>
            <w:vAlign w:val="center"/>
          </w:tcPr>
          <w:p>
            <w:pPr>
              <w:pStyle w:val="TableContents"/>
              <w:spacing w:before="0" w:after="0"/>
              <w:jc w:val="center"/>
              <w:rPr>
                <w:spacing w:val="-1"/>
              </w:rPr>
            </w:pPr>
            <w:r>
              <w:rPr>
                <w:spacing w:val="-1"/>
              </w:rPr>
              <w:t xml:space="preserve">353,253 </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734" w:type="dxa"/>
            <w:tcBorders>
              <w:bottom w:val="single" w:sz="2" w:space="0" w:color="000000"/>
            </w:tcBorders>
            <w:shd w:fill="auto" w:val="clear"/>
            <w:tcMar>
              <w:bottom w:w="50" w:type="dxa"/>
            </w:tcMar>
            <w:vAlign w:val="center"/>
          </w:tcPr>
          <w:p>
            <w:pPr>
              <w:pStyle w:val="TableContents"/>
              <w:spacing w:before="0" w:after="0"/>
              <w:jc w:val="center"/>
              <w:rPr>
                <w:spacing w:val="-1"/>
              </w:rPr>
            </w:pPr>
            <w:r>
              <w:rPr>
                <w:spacing w:val="-1"/>
              </w:rPr>
              <w:t xml:space="preserve">* </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56" w:type="dxa"/>
            <w:tcBorders/>
            <w:shd w:fill="auto"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4426" w:type="dxa"/>
            <w:tcBorders>
              <w:bottom w:val="single" w:sz="2" w:space="0" w:color="000000"/>
            </w:tcBorders>
            <w:shd w:fill="auto" w:val="clear"/>
            <w:tcMar>
              <w:bottom w:w="50" w:type="dxa"/>
            </w:tcMar>
            <w:vAlign w:val="center"/>
          </w:tcPr>
          <w:p>
            <w:pPr>
              <w:pStyle w:val="TableContents"/>
              <w:spacing w:before="0" w:after="283"/>
              <w:jc w:val="left"/>
              <w:rPr>
                <w:spacing w:val="-1"/>
              </w:rPr>
            </w:pPr>
            <w:r>
              <w:rPr>
                <w:spacing w:val="-1"/>
              </w:rPr>
              <w:t xml:space="preserve">Adrienne Farid, Ph.D. (8) </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2151" w:type="dxa"/>
            <w:tcBorders>
              <w:bottom w:val="single" w:sz="2" w:space="0" w:color="000000"/>
            </w:tcBorders>
            <w:shd w:fill="auto" w:val="clear"/>
            <w:tcMar>
              <w:bottom w:w="50" w:type="dxa"/>
            </w:tcMar>
            <w:vAlign w:val="center"/>
          </w:tcPr>
          <w:p>
            <w:pPr>
              <w:pStyle w:val="TableContents"/>
              <w:spacing w:before="0" w:after="0"/>
              <w:jc w:val="center"/>
              <w:rPr>
                <w:spacing w:val="-1"/>
              </w:rPr>
            </w:pPr>
            <w:r>
              <w:rPr>
                <w:spacing w:val="-1"/>
              </w:rPr>
              <w:t xml:space="preserve">433,559 </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734" w:type="dxa"/>
            <w:tcBorders>
              <w:bottom w:val="single" w:sz="2" w:space="0" w:color="000000"/>
            </w:tcBorders>
            <w:shd w:fill="auto" w:val="clear"/>
            <w:tcMar>
              <w:bottom w:w="50" w:type="dxa"/>
            </w:tcMar>
            <w:vAlign w:val="center"/>
          </w:tcPr>
          <w:p>
            <w:pPr>
              <w:pStyle w:val="TableContents"/>
              <w:spacing w:before="0" w:after="0"/>
              <w:jc w:val="center"/>
              <w:rPr>
                <w:spacing w:val="-1"/>
              </w:rPr>
            </w:pPr>
            <w:r>
              <w:rPr>
                <w:spacing w:val="-1"/>
              </w:rPr>
              <w:t xml:space="preserve">* </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56" w:type="dxa"/>
            <w:tcBorders/>
            <w:shd w:fill="auto"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4426" w:type="dxa"/>
            <w:tcBorders>
              <w:bottom w:val="single" w:sz="2" w:space="0" w:color="000000"/>
            </w:tcBorders>
            <w:shd w:fill="auto" w:val="clear"/>
            <w:tcMar>
              <w:bottom w:w="50" w:type="dxa"/>
            </w:tcMar>
            <w:vAlign w:val="center"/>
          </w:tcPr>
          <w:p>
            <w:pPr>
              <w:pStyle w:val="TableContents"/>
              <w:spacing w:before="0" w:after="283"/>
              <w:jc w:val="left"/>
              <w:rPr>
                <w:spacing w:val="-1"/>
              </w:rPr>
            </w:pPr>
            <w:r>
              <w:rPr>
                <w:spacing w:val="-1"/>
              </w:rPr>
              <w:t xml:space="preserve">Kimberly Blackwell, M.D. (9) </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2151" w:type="dxa"/>
            <w:tcBorders>
              <w:bottom w:val="single" w:sz="2" w:space="0" w:color="000000"/>
            </w:tcBorders>
            <w:shd w:fill="auto" w:val="clear"/>
            <w:tcMar>
              <w:bottom w:w="50" w:type="dxa"/>
            </w:tcMar>
            <w:vAlign w:val="center"/>
          </w:tcPr>
          <w:p>
            <w:pPr>
              <w:pStyle w:val="TableContents"/>
              <w:spacing w:before="0" w:after="0"/>
              <w:jc w:val="center"/>
              <w:rPr>
                <w:spacing w:val="-1"/>
              </w:rPr>
            </w:pPr>
            <w:r>
              <w:rPr>
                <w:spacing w:val="-1"/>
              </w:rPr>
              <w:t xml:space="preserve">74,581 </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734" w:type="dxa"/>
            <w:tcBorders>
              <w:bottom w:val="single" w:sz="2" w:space="0" w:color="000000"/>
            </w:tcBorders>
            <w:shd w:fill="auto" w:val="clear"/>
            <w:tcMar>
              <w:bottom w:w="50" w:type="dxa"/>
            </w:tcMar>
            <w:vAlign w:val="center"/>
          </w:tcPr>
          <w:p>
            <w:pPr>
              <w:pStyle w:val="TableContents"/>
              <w:spacing w:before="0" w:after="0"/>
              <w:jc w:val="center"/>
              <w:rPr>
                <w:spacing w:val="-1"/>
              </w:rPr>
            </w:pPr>
            <w:r>
              <w:rPr>
                <w:spacing w:val="-1"/>
              </w:rPr>
              <w:t xml:space="preserve">* </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56" w:type="dxa"/>
            <w:tcBorders/>
            <w:shd w:fill="auto"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4426" w:type="dxa"/>
            <w:tcBorders>
              <w:bottom w:val="single" w:sz="2" w:space="0" w:color="000000"/>
            </w:tcBorders>
            <w:shd w:fill="auto" w:val="clear"/>
            <w:tcMar>
              <w:bottom w:w="50" w:type="dxa"/>
            </w:tcMar>
            <w:vAlign w:val="center"/>
          </w:tcPr>
          <w:p>
            <w:pPr>
              <w:pStyle w:val="TableContents"/>
              <w:spacing w:before="0" w:after="283"/>
              <w:jc w:val="left"/>
              <w:rPr>
                <w:spacing w:val="-1"/>
              </w:rPr>
            </w:pPr>
            <w:r>
              <w:rPr>
                <w:spacing w:val="-1"/>
              </w:rPr>
              <w:t xml:space="preserve">Cynthia Butitta (10) </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2151" w:type="dxa"/>
            <w:tcBorders>
              <w:bottom w:val="single" w:sz="2" w:space="0" w:color="000000"/>
            </w:tcBorders>
            <w:shd w:fill="auto" w:val="clear"/>
            <w:tcMar>
              <w:bottom w:w="50" w:type="dxa"/>
            </w:tcMar>
            <w:vAlign w:val="center"/>
          </w:tcPr>
          <w:p>
            <w:pPr>
              <w:pStyle w:val="TableContents"/>
              <w:spacing w:before="0" w:after="0"/>
              <w:jc w:val="center"/>
              <w:rPr>
                <w:spacing w:val="-1"/>
              </w:rPr>
            </w:pPr>
            <w:r>
              <w:rPr>
                <w:spacing w:val="-1"/>
              </w:rPr>
              <w:t xml:space="preserve">124,604 </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734" w:type="dxa"/>
            <w:tcBorders>
              <w:bottom w:val="single" w:sz="2" w:space="0" w:color="000000"/>
            </w:tcBorders>
            <w:shd w:fill="auto" w:val="clear"/>
            <w:tcMar>
              <w:bottom w:w="50" w:type="dxa"/>
            </w:tcMar>
            <w:vAlign w:val="center"/>
          </w:tcPr>
          <w:p>
            <w:pPr>
              <w:pStyle w:val="TableContents"/>
              <w:spacing w:before="0" w:after="0"/>
              <w:jc w:val="center"/>
              <w:rPr>
                <w:spacing w:val="-1"/>
              </w:rPr>
            </w:pPr>
            <w:r>
              <w:rPr>
                <w:spacing w:val="-1"/>
              </w:rPr>
              <w:t xml:space="preserve">* </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56" w:type="dxa"/>
            <w:tcBorders/>
            <w:shd w:fill="auto"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4426" w:type="dxa"/>
            <w:tcBorders>
              <w:bottom w:val="single" w:sz="2" w:space="0" w:color="000000"/>
            </w:tcBorders>
            <w:shd w:fill="auto" w:val="clear"/>
            <w:tcMar>
              <w:bottom w:w="50" w:type="dxa"/>
            </w:tcMar>
            <w:vAlign w:val="center"/>
          </w:tcPr>
          <w:p>
            <w:pPr>
              <w:pStyle w:val="TableContents"/>
              <w:spacing w:before="0" w:after="283"/>
              <w:jc w:val="left"/>
              <w:rPr>
                <w:spacing w:val="-1"/>
              </w:rPr>
            </w:pPr>
            <w:r>
              <w:rPr>
                <w:spacing w:val="-1"/>
              </w:rPr>
              <w:t xml:space="preserve">Daphne Quimi (11) </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2151" w:type="dxa"/>
            <w:tcBorders>
              <w:bottom w:val="single" w:sz="2" w:space="0" w:color="000000"/>
            </w:tcBorders>
            <w:shd w:fill="auto" w:val="clear"/>
            <w:tcMar>
              <w:bottom w:w="50" w:type="dxa"/>
            </w:tcMar>
            <w:vAlign w:val="center"/>
          </w:tcPr>
          <w:p>
            <w:pPr>
              <w:pStyle w:val="TableContents"/>
              <w:spacing w:before="0" w:after="0"/>
              <w:jc w:val="center"/>
              <w:rPr>
                <w:spacing w:val="-1"/>
              </w:rPr>
            </w:pPr>
            <w:r>
              <w:rPr>
                <w:spacing w:val="-1"/>
              </w:rPr>
              <w:t xml:space="preserve">7,728 </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734" w:type="dxa"/>
            <w:tcBorders>
              <w:bottom w:val="single" w:sz="2" w:space="0" w:color="000000"/>
            </w:tcBorders>
            <w:shd w:fill="auto" w:val="clear"/>
            <w:tcMar>
              <w:bottom w:w="50" w:type="dxa"/>
            </w:tcMar>
            <w:vAlign w:val="center"/>
          </w:tcPr>
          <w:p>
            <w:pPr>
              <w:pStyle w:val="TableContents"/>
              <w:spacing w:before="0" w:after="0"/>
              <w:jc w:val="center"/>
              <w:rPr>
                <w:spacing w:val="-1"/>
              </w:rPr>
            </w:pPr>
            <w:r>
              <w:rPr>
                <w:spacing w:val="-1"/>
              </w:rPr>
              <w:t xml:space="preserve">* </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56" w:type="dxa"/>
            <w:tcBorders/>
            <w:shd w:fill="auto"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4426" w:type="dxa"/>
            <w:tcBorders>
              <w:bottom w:val="single" w:sz="2" w:space="0" w:color="000000"/>
            </w:tcBorders>
            <w:shd w:fill="auto" w:val="clear"/>
            <w:tcMar>
              <w:bottom w:w="50" w:type="dxa"/>
            </w:tcMar>
            <w:vAlign w:val="center"/>
          </w:tcPr>
          <w:p>
            <w:pPr>
              <w:pStyle w:val="TableContents"/>
              <w:spacing w:before="0" w:after="283"/>
              <w:jc w:val="left"/>
              <w:rPr>
                <w:spacing w:val="-1"/>
              </w:rPr>
            </w:pPr>
            <w:r>
              <w:rPr>
                <w:spacing w:val="-1"/>
              </w:rPr>
              <w:t xml:space="preserve">Joseph Jimenez (12) </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2151" w:type="dxa"/>
            <w:tcBorders>
              <w:bottom w:val="single" w:sz="2" w:space="0" w:color="000000"/>
            </w:tcBorders>
            <w:shd w:fill="auto" w:val="clear"/>
            <w:tcMar>
              <w:bottom w:w="50" w:type="dxa"/>
            </w:tcMar>
            <w:vAlign w:val="center"/>
          </w:tcPr>
          <w:p>
            <w:pPr>
              <w:pStyle w:val="TableContents"/>
              <w:spacing w:before="0" w:after="0"/>
              <w:jc w:val="center"/>
              <w:rPr>
                <w:spacing w:val="-1"/>
              </w:rPr>
            </w:pPr>
            <w:r>
              <w:rPr>
                <w:spacing w:val="-1"/>
              </w:rPr>
              <w:t xml:space="preserve">519,185 </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734" w:type="dxa"/>
            <w:tcBorders>
              <w:bottom w:val="single" w:sz="2" w:space="0" w:color="000000"/>
            </w:tcBorders>
            <w:shd w:fill="auto" w:val="clear"/>
            <w:tcMar>
              <w:bottom w:w="50" w:type="dxa"/>
            </w:tcMar>
            <w:vAlign w:val="center"/>
          </w:tcPr>
          <w:p>
            <w:pPr>
              <w:pStyle w:val="TableContents"/>
              <w:spacing w:before="0" w:after="0"/>
              <w:jc w:val="center"/>
              <w:rPr>
                <w:spacing w:val="-1"/>
              </w:rPr>
            </w:pPr>
            <w:r>
              <w:rPr>
                <w:spacing w:val="-1"/>
              </w:rPr>
              <w:t xml:space="preserve">* </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56" w:type="dxa"/>
            <w:tcBorders/>
            <w:shd w:fill="auto"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4426" w:type="dxa"/>
            <w:tcBorders>
              <w:bottom w:val="single" w:sz="2" w:space="0" w:color="000000"/>
            </w:tcBorders>
            <w:shd w:fill="auto" w:val="clear"/>
            <w:tcMar>
              <w:bottom w:w="50" w:type="dxa"/>
            </w:tcMar>
            <w:vAlign w:val="center"/>
          </w:tcPr>
          <w:p>
            <w:pPr>
              <w:pStyle w:val="TableContents"/>
              <w:spacing w:before="0" w:after="283"/>
              <w:jc w:val="left"/>
              <w:rPr>
                <w:spacing w:val="-1"/>
              </w:rPr>
            </w:pPr>
            <w:r>
              <w:rPr>
                <w:spacing w:val="-1"/>
              </w:rPr>
              <w:t xml:space="preserve">Timothy Walbert (13) </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2151" w:type="dxa"/>
            <w:tcBorders>
              <w:bottom w:val="single" w:sz="2" w:space="0" w:color="000000"/>
            </w:tcBorders>
            <w:shd w:fill="auto" w:val="clear"/>
            <w:tcMar>
              <w:bottom w:w="50" w:type="dxa"/>
            </w:tcMar>
            <w:vAlign w:val="center"/>
          </w:tcPr>
          <w:p>
            <w:pPr>
              <w:pStyle w:val="TableContents"/>
              <w:spacing w:before="0" w:after="0"/>
              <w:jc w:val="center"/>
              <w:rPr>
                <w:spacing w:val="-1"/>
              </w:rPr>
            </w:pPr>
            <w:r>
              <w:rPr>
                <w:spacing w:val="-1"/>
              </w:rPr>
              <w:t xml:space="preserve">7,728 </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734" w:type="dxa"/>
            <w:tcBorders>
              <w:bottom w:val="single" w:sz="2" w:space="0" w:color="000000"/>
            </w:tcBorders>
            <w:shd w:fill="auto" w:val="clear"/>
            <w:tcMar>
              <w:bottom w:w="50" w:type="dxa"/>
            </w:tcMar>
            <w:vAlign w:val="center"/>
          </w:tcPr>
          <w:p>
            <w:pPr>
              <w:pStyle w:val="TableContents"/>
              <w:spacing w:before="0" w:after="0"/>
              <w:jc w:val="center"/>
              <w:rPr>
                <w:spacing w:val="-1"/>
              </w:rPr>
            </w:pPr>
            <w:r>
              <w:rPr>
                <w:spacing w:val="-1"/>
              </w:rPr>
              <w:t xml:space="preserve">* </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56" w:type="dxa"/>
            <w:tcBorders/>
            <w:shd w:fill="auto"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4426" w:type="dxa"/>
            <w:tcBorders>
              <w:bottom w:val="single" w:sz="2" w:space="0" w:color="000000"/>
            </w:tcBorders>
            <w:shd w:fill="auto" w:val="clear"/>
            <w:tcMar>
              <w:bottom w:w="50" w:type="dxa"/>
            </w:tcMar>
            <w:vAlign w:val="center"/>
          </w:tcPr>
          <w:p>
            <w:pPr>
              <w:pStyle w:val="TableContents"/>
              <w:spacing w:before="0" w:after="283"/>
              <w:jc w:val="left"/>
              <w:rPr>
                <w:spacing w:val="-1"/>
              </w:rPr>
            </w:pPr>
            <w:r>
              <w:rPr>
                <w:spacing w:val="-1"/>
              </w:rPr>
              <w:t xml:space="preserve">Alessandro Riva, M.D. (14) </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2151" w:type="dxa"/>
            <w:tcBorders>
              <w:bottom w:val="single" w:sz="2" w:space="0" w:color="000000"/>
            </w:tcBorders>
            <w:shd w:fill="auto" w:val="clear"/>
            <w:tcMar>
              <w:bottom w:w="50" w:type="dxa"/>
            </w:tcMar>
            <w:vAlign w:val="center"/>
          </w:tcPr>
          <w:p>
            <w:pPr>
              <w:pStyle w:val="TableContents"/>
              <w:spacing w:before="0" w:after="0"/>
              <w:jc w:val="center"/>
              <w:rPr>
                <w:spacing w:val="-1"/>
              </w:rPr>
            </w:pPr>
            <w:r>
              <w:rPr>
                <w:spacing w:val="-1"/>
              </w:rPr>
              <w:t xml:space="preserve">75,409 </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734" w:type="dxa"/>
            <w:tcBorders>
              <w:bottom w:val="single" w:sz="2" w:space="0" w:color="000000"/>
            </w:tcBorders>
            <w:shd w:fill="auto" w:val="clear"/>
            <w:tcMar>
              <w:bottom w:w="50" w:type="dxa"/>
            </w:tcMar>
            <w:vAlign w:val="center"/>
          </w:tcPr>
          <w:p>
            <w:pPr>
              <w:pStyle w:val="TableContents"/>
              <w:spacing w:before="0" w:after="0"/>
              <w:jc w:val="center"/>
              <w:rPr>
                <w:spacing w:val="-1"/>
              </w:rPr>
            </w:pPr>
            <w:r>
              <w:rPr>
                <w:spacing w:val="-1"/>
              </w:rPr>
              <w:t xml:space="preserve">* </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56" w:type="dxa"/>
            <w:tcBorders/>
            <w:shd w:fill="auto"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4426" w:type="dxa"/>
            <w:tcBorders>
              <w:bottom w:val="single" w:sz="2" w:space="0" w:color="000000"/>
            </w:tcBorders>
            <w:shd w:fill="auto" w:val="clear"/>
            <w:tcMar>
              <w:bottom w:w="50" w:type="dxa"/>
            </w:tcMar>
            <w:vAlign w:val="center"/>
          </w:tcPr>
          <w:p>
            <w:pPr>
              <w:pStyle w:val="TableContents"/>
              <w:spacing w:before="0" w:after="283"/>
              <w:jc w:val="left"/>
              <w:rPr>
                <w:spacing w:val="-1"/>
              </w:rPr>
            </w:pPr>
            <w:r>
              <w:rPr>
                <w:spacing w:val="-1"/>
              </w:rPr>
              <w:t xml:space="preserve">Carlo Rizzuto, Ph.D. (15) </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2151" w:type="dxa"/>
            <w:tcBorders>
              <w:bottom w:val="single" w:sz="2" w:space="0" w:color="000000"/>
            </w:tcBorders>
            <w:shd w:fill="auto" w:val="clear"/>
            <w:tcMar>
              <w:bottom w:w="50" w:type="dxa"/>
            </w:tcMar>
            <w:vAlign w:val="center"/>
          </w:tcPr>
          <w:p>
            <w:pPr>
              <w:pStyle w:val="TableContents"/>
              <w:spacing w:before="0" w:after="0"/>
              <w:jc w:val="center"/>
              <w:rPr>
                <w:spacing w:val="-1"/>
              </w:rPr>
            </w:pPr>
            <w:r>
              <w:rPr>
                <w:spacing w:val="-1"/>
              </w:rPr>
              <w:t xml:space="preserve">28,980 </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734" w:type="dxa"/>
            <w:tcBorders>
              <w:bottom w:val="single" w:sz="2" w:space="0" w:color="000000"/>
            </w:tcBorders>
            <w:shd w:fill="auto" w:val="clear"/>
            <w:tcMar>
              <w:bottom w:w="50" w:type="dxa"/>
            </w:tcMar>
            <w:vAlign w:val="center"/>
          </w:tcPr>
          <w:p>
            <w:pPr>
              <w:pStyle w:val="TableContents"/>
              <w:spacing w:before="0" w:after="0"/>
              <w:jc w:val="center"/>
              <w:rPr>
                <w:spacing w:val="-1"/>
              </w:rPr>
            </w:pPr>
            <w:r>
              <w:rPr>
                <w:spacing w:val="-1"/>
              </w:rPr>
              <w:t xml:space="preserve">* </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56" w:type="dxa"/>
            <w:tcBorders/>
            <w:shd w:fill="auto"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4426" w:type="dxa"/>
            <w:tcBorders>
              <w:bottom w:val="single" w:sz="2" w:space="0" w:color="000000"/>
            </w:tcBorders>
            <w:shd w:fill="auto" w:val="clear"/>
            <w:tcMar>
              <w:bottom w:w="50" w:type="dxa"/>
            </w:tcMar>
            <w:vAlign w:val="center"/>
          </w:tcPr>
          <w:p>
            <w:pPr>
              <w:pStyle w:val="TableContents"/>
              <w:spacing w:before="0" w:after="283"/>
              <w:jc w:val="left"/>
              <w:rPr>
                <w:spacing w:val="-1"/>
              </w:rPr>
            </w:pPr>
            <w:r>
              <w:rPr>
                <w:spacing w:val="-1"/>
              </w:rPr>
              <w:t xml:space="preserve">All executive officers and directors as a group (12 persons) </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2151" w:type="dxa"/>
            <w:tcBorders>
              <w:bottom w:val="single" w:sz="2" w:space="0" w:color="000000"/>
            </w:tcBorders>
            <w:shd w:fill="auto" w:val="clear"/>
            <w:tcMar>
              <w:bottom w:w="50" w:type="dxa"/>
            </w:tcMar>
            <w:vAlign w:val="center"/>
          </w:tcPr>
          <w:p>
            <w:pPr>
              <w:pStyle w:val="TableContents"/>
              <w:spacing w:before="0" w:after="0"/>
              <w:jc w:val="center"/>
              <w:rPr>
                <w:spacing w:val="-1"/>
              </w:rPr>
            </w:pPr>
            <w:r>
              <w:rPr>
                <w:spacing w:val="-1"/>
              </w:rPr>
              <w:t xml:space="preserve">4,622,073 </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734" w:type="dxa"/>
            <w:tcBorders>
              <w:bottom w:val="single" w:sz="2" w:space="0" w:color="000000"/>
            </w:tcBorders>
            <w:shd w:fill="auto" w:val="clear"/>
            <w:tcMar>
              <w:bottom w:w="50" w:type="dxa"/>
            </w:tcMar>
            <w:vAlign w:val="center"/>
          </w:tcPr>
          <w:p>
            <w:pPr>
              <w:pStyle w:val="TableContents"/>
              <w:spacing w:before="0" w:after="0"/>
              <w:jc w:val="center"/>
              <w:rPr/>
            </w:pPr>
            <w:r>
              <w:rPr>
                <w:spacing w:val="-1"/>
              </w:rPr>
              <w:t>7.6%</w:t>
            </w:r>
            <w:r>
              <w:rPr/>
              <w:t xml:space="preserve"> </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56" w:type="dxa"/>
            <w:tcBorders/>
            <w:shd w:fill="auto" w:val="clear"/>
            <w:vAlign w:val="center"/>
          </w:tcPr>
          <w:p>
            <w:pPr>
              <w:pStyle w:val="TableContents"/>
              <w:spacing w:before="0" w:after="283"/>
              <w:rPr/>
            </w:pPr>
            <w:r>
              <w:rPr/>
              <w:t>​</w:t>
            </w:r>
          </w:p>
        </w:tc>
      </w:tr>
    </w:tbl>
    <w:p>
      <w:pPr>
        <w:pStyle w:val="TextBody"/>
        <w:spacing w:before="0" w:after="0"/>
        <w:ind w:left="960" w:right="0" w:hanging="0"/>
        <w:rPr>
          <w:caps w:val="false"/>
          <w:smallCaps w:val="false"/>
          <w:color w:val="000000"/>
        </w:rPr>
      </w:pPr>
      <w:r>
        <w:rPr>
          <w:caps w:val="false"/>
          <w:smallCaps w:val="false"/>
          <w:color w:val="000000"/>
        </w:rPr>
        <w:t>​</w:t>
      </w:r>
    </w:p>
    <w:p>
      <w:pPr>
        <w:pStyle w:val="TextBody"/>
        <w:spacing w:lineRule="atLeast" w:line="200" w:before="68" w:after="0"/>
        <w:ind w:left="136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0"/>
          <w:sz w:val="18"/>
        </w:rPr>
        <w:t>Less than 1%</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43180" distB="0" distL="0" distR="0" simplePos="0" locked="0" layoutInCell="1" allowOverlap="1" relativeHeight="117">
                <wp:simplePos x="0" y="0"/>
                <wp:positionH relativeFrom="column">
                  <wp:align>left</wp:align>
                </wp:positionH>
                <wp:positionV relativeFrom="line">
                  <wp:align>top</wp:align>
                </wp:positionV>
                <wp:extent cx="254000" cy="262890"/>
                <wp:effectExtent l="0" t="0" r="0" b="0"/>
                <wp:wrapSquare wrapText="largest"/>
                <wp:docPr id="127" name="Frame94"/>
                <a:graphic xmlns:a="http://schemas.openxmlformats.org/drawingml/2006/main">
                  <a:graphicData uri="http://schemas.microsoft.com/office/word/2010/wordprocessingShape">
                    <wps:wsp>
                      <wps:cNvSpPr txBox="1"/>
                      <wps:spPr>
                        <a:xfrm>
                          <a:off x="0" y="0"/>
                          <a:ext cx="254000" cy="262890"/>
                        </a:xfrm>
                        <a:prstGeom prst="rect"/>
                      </wps:spPr>
                      <wps:txbx>
                        <w:txbxContent>
                          <w:p>
                            <w:pPr>
                              <w:pStyle w:val="TextBody"/>
                              <w:spacing w:lineRule="atLeast" w:line="200" w:before="0" w:after="283"/>
                              <w:jc w:val="left"/>
                              <w:rPr>
                                <w:sz w:val="18"/>
                              </w:rPr>
                            </w:pPr>
                            <w:r>
                              <w:rPr>
                                <w:spacing w:val="0"/>
                                <w:sz w:val="18"/>
                              </w:rPr>
                              <w:t>*</w:t>
                            </w:r>
                            <w:r>
                              <w:rPr>
                                <w:sz w:val="18"/>
                              </w:rPr>
                              <w:t xml:space="preserve"> </w:t>
                              <w:br/>
                            </w:r>
                          </w:p>
                        </w:txbxContent>
                      </wps:txbx>
                      <wps:bodyPr anchor="t" lIns="0" tIns="0" rIns="0" bIns="0">
                        <a:noAutofit/>
                      </wps:bodyPr>
                    </wps:wsp>
                  </a:graphicData>
                </a:graphic>
              </wp:anchor>
            </w:drawing>
          </mc:Choice>
          <mc:Fallback>
            <w:pict>
              <v:rect style="position:absolute;rotation:0;width:20pt;height:20.7pt;mso-wrap-distance-left:0pt;mso-wrap-distance-right:0pt;mso-wrap-distance-top:3.4pt;mso-wrap-distance-bottom:0pt;margin-top:3.4pt;mso-position-vertical:top;mso-position-vertical-relative:text;margin-left:0pt;mso-position-horizontal:left;mso-position-horizontal-relative:text">
                <v:textbox>
                  <w:txbxContent>
                    <w:p>
                      <w:pPr>
                        <w:pStyle w:val="TextBody"/>
                        <w:spacing w:lineRule="atLeast" w:line="200" w:before="0" w:after="283"/>
                        <w:jc w:val="left"/>
                        <w:rPr>
                          <w:sz w:val="18"/>
                        </w:rPr>
                      </w:pPr>
                      <w:r>
                        <w:rPr>
                          <w:spacing w:val="0"/>
                          <w:sz w:val="18"/>
                        </w:rPr>
                        <w:t>*</w:t>
                      </w:r>
                      <w:r>
                        <w:rPr>
                          <w:sz w:val="18"/>
                        </w:rPr>
                        <w:t xml:space="preserve"> </w:t>
                        <w:br/>
                      </w:r>
                    </w:p>
                  </w:txbxContent>
                </v:textbox>
                <w10:wrap type="square" side="right"/>
              </v:rect>
            </w:pict>
          </mc:Fallback>
        </mc:AlternateContent>
      </w:r>
    </w:p>
    <w:p>
      <w:pPr>
        <w:pStyle w:val="TextBody"/>
        <w:spacing w:before="0" w:after="0"/>
        <w:ind w:left="960" w:right="0" w:hanging="0"/>
        <w:rPr>
          <w:caps w:val="false"/>
          <w:smallCaps w:val="false"/>
          <w:color w:val="000000"/>
        </w:rPr>
      </w:pPr>
      <w:r>
        <w:rPr>
          <w:caps w:val="false"/>
          <w:smallCaps w:val="false"/>
          <w:color w:val="000000"/>
        </w:rPr>
        <w:t>​</w:t>
      </w:r>
    </w:p>
    <w:p>
      <w:pPr>
        <w:pStyle w:val="TextBody"/>
        <w:spacing w:lineRule="atLeast" w:line="200" w:before="78" w:after="0"/>
        <w:ind w:left="1360" w:right="0" w:hanging="0"/>
        <w:jc w:val="both"/>
        <w:rPr>
          <w:rFonts w:ascii="Arial;Helvetica;sans-serif" w:hAnsi="Arial;Helvetica;sans-serif"/>
          <w:b w:val="false"/>
          <w:i w:val="false"/>
          <w:caps w:val="false"/>
          <w:smallCaps w:val="false"/>
          <w:color w:val="000000"/>
          <w:spacing w:val="0"/>
          <w:sz w:val="18"/>
        </w:rPr>
      </w:pPr>
      <w:r>
        <w:rPr>
          <w:rFonts w:ascii="Arial;Helvetica;sans-serif" w:hAnsi="Arial;Helvetica;sans-serif"/>
          <w:b w:val="false"/>
          <w:i w:val="false"/>
          <w:caps w:val="false"/>
          <w:smallCaps w:val="false"/>
          <w:color w:val="000000"/>
          <w:spacing w:val="0"/>
          <w:sz w:val="18"/>
        </w:rPr>
        <w:t xml:space="preserve">Based solely upon information set forth in a Schedule 13G/A filed on February 9, 2023. Consists of (i) 11,452,014 shares of common stock held by Versant Venture Capital VI, L.P., or Versant VI, and (ii) 714,095 shares of common stock held by Versant Vantage II GP-GP, LLC, or Versant II. Versant Ventures VI GP, L.P., or Versant VI GP LP, is the sole general partner of Versant VI and Versant Ventures VI GP-GP, LLC is the sole general partner of Versant VI GP LP and has voting and dispositive control over the shares held by Versant VI. Jerel Davis, Brad Bolzon, Tom Woiwode, Clare Ozawa, Kirk Nielsen and Robin Praeger, the managing directors of Versant Ventures VI GP-GP, LLC, may be deemed to possess voting and dispositive control over the shares held by Versant VI and may be deemed to have indirect beneficial ownership of the shares held by Versant VI but disclaims beneficial ownership of such securities, except to the extent of their respective pecuniary interest therein, if any. Versant Vantage II GP, L.P., or Versant II GP LP, is the sole general partner of Versant II and Versant Vantage II GP-GP, LLC is the sole general partner of Versant II GP LP and has voting and dispositive control over the shares held by Versant II. Dr. Davis, Mr. Bolzan, Mr. Woiwode, Ms. Owaza, Alex Mayweg and Ms. Praeger, the managing directors of Versant Vantage II GP-GP, LLC, may be deemed to possess voting and dispositive control over the shares held by Versant II and may be deemed to have indirect beneficial ownership of the shares held by Versant II but disclaims beneficial ownership of such securities, except to the extent of their respective pecuniary interest therein, if any. The </w:t>
      </w:r>
      <w:r>
        <mc:AlternateContent>
          <mc:Choice Requires="wps">
            <w:drawing>
              <wp:anchor behindDoc="0" distT="49530" distB="0" distL="0" distR="0" simplePos="0" locked="0" layoutInCell="1" allowOverlap="1" relativeHeight="118">
                <wp:simplePos x="0" y="0"/>
                <wp:positionH relativeFrom="column">
                  <wp:align>left</wp:align>
                </wp:positionH>
                <wp:positionV relativeFrom="line">
                  <wp:align>top</wp:align>
                </wp:positionV>
                <wp:extent cx="254000" cy="262890"/>
                <wp:effectExtent l="0" t="0" r="0" b="0"/>
                <wp:wrapSquare wrapText="largest"/>
                <wp:docPr id="128" name="Frame95"/>
                <a:graphic xmlns:a="http://schemas.openxmlformats.org/drawingml/2006/main">
                  <a:graphicData uri="http://schemas.microsoft.com/office/word/2010/wordprocessingShape">
                    <wps:wsp>
                      <wps:cNvSpPr txBox="1"/>
                      <wps:spPr>
                        <a:xfrm>
                          <a:off x="0" y="0"/>
                          <a:ext cx="254000" cy="262890"/>
                        </a:xfrm>
                        <a:prstGeom prst="rect"/>
                      </wps:spPr>
                      <wps:txbx>
                        <w:txbxContent>
                          <w:p>
                            <w:pPr>
                              <w:pStyle w:val="TextBody"/>
                              <w:spacing w:lineRule="atLeast" w:line="200" w:before="0" w:after="283"/>
                              <w:jc w:val="both"/>
                              <w:rPr>
                                <w:sz w:val="18"/>
                              </w:rPr>
                            </w:pPr>
                            <w:r>
                              <w:rPr>
                                <w:spacing w:val="0"/>
                                <w:sz w:val="18"/>
                              </w:rPr>
                              <w:t>(1)</w:t>
                            </w:r>
                            <w:r>
                              <w:rPr>
                                <w:sz w:val="18"/>
                              </w:rPr>
                              <w:t xml:space="preserve"> </w:t>
                              <w:br/>
                            </w:r>
                          </w:p>
                        </w:txbxContent>
                      </wps:txbx>
                      <wps:bodyPr anchor="t" lIns="0" tIns="0" rIns="0" bIns="0">
                        <a:noAutofit/>
                      </wps:bodyPr>
                    </wps:wsp>
                  </a:graphicData>
                </a:graphic>
              </wp:anchor>
            </w:drawing>
          </mc:Choice>
          <mc:Fallback>
            <w:pict>
              <v:rect style="position:absolute;rotation:0;width:20pt;height:20.7pt;mso-wrap-distance-left:0pt;mso-wrap-distance-right:0pt;mso-wrap-distance-top:3.9pt;mso-wrap-distance-bottom:0pt;margin-top:3.9pt;mso-position-vertical:top;mso-position-vertical-relative:text;margin-left:0pt;mso-position-horizontal:left;mso-position-horizontal-relative:text">
                <v:textbox>
                  <w:txbxContent>
                    <w:p>
                      <w:pPr>
                        <w:pStyle w:val="TextBody"/>
                        <w:spacing w:lineRule="atLeast" w:line="200" w:before="0" w:after="283"/>
                        <w:jc w:val="both"/>
                        <w:rPr>
                          <w:sz w:val="18"/>
                        </w:rPr>
                      </w:pPr>
                      <w:r>
                        <w:rPr>
                          <w:spacing w:val="0"/>
                          <w:sz w:val="18"/>
                        </w:rPr>
                        <w:t>(1)</w:t>
                      </w:r>
                      <w:r>
                        <w:rPr>
                          <w:sz w:val="18"/>
                        </w:rPr>
                        <w:t xml:space="preserve"> </w:t>
                        <w:br/>
                      </w:r>
                    </w:p>
                  </w:txbxContent>
                </v:textbox>
                <w10:wrap type="square" side="right"/>
              </v:rect>
            </w:pict>
          </mc:Fallback>
        </mc:AlternateContent>
      </w:r>
    </w:p>
    <w:p>
      <w:pPr>
        <w:pStyle w:val="TextBody"/>
        <w:spacing w:before="0" w:after="0"/>
        <w:ind w:left="960" w:right="0" w:hanging="0"/>
        <w:rPr>
          <w:caps w:val="false"/>
          <w:smallCaps w:val="false"/>
          <w:color w:val="000000"/>
        </w:rPr>
      </w:pPr>
      <w:r>
        <w:rPr>
          <w:caps w:val="false"/>
          <w:smallCaps w:val="false"/>
          <w:color w:val="000000"/>
        </w:rPr>
        <w:t>​</w:t>
      </w:r>
    </w:p>
    <w:p>
      <w:pPr>
        <w:pStyle w:val="TextBody"/>
        <w:spacing w:lineRule="atLeast" w:line="240" w:before="100" w:after="283"/>
        <w:ind w:left="960" w:right="0" w:hanging="0"/>
        <w:jc w:val="righ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1DA46F"/>
          <w:spacing w:val="0"/>
          <w:sz w:val="20"/>
        </w:rPr>
        <w:t>Notice of Annual Meeting of Stockholders</w:t>
      </w:r>
      <w:r>
        <w:rPr>
          <w:rFonts w:ascii="Arial;Helvetica;sans-serif" w:hAnsi="Arial;Helvetica;sans-serif"/>
          <w:b/>
          <w:i w:val="false"/>
          <w:caps w:val="false"/>
          <w:smallCaps w:val="false"/>
          <w:color w:val="000000"/>
          <w:spacing w:val="0"/>
          <w:sz w:val="20"/>
        </w:rPr>
        <w:t> and 2023 Proxy Statement | </w:t>
      </w:r>
      <w:r>
        <w:rPr>
          <w:rFonts w:ascii="Arial;Helvetica;sans-serif" w:hAnsi="Arial;Helvetica;sans-serif"/>
          <w:b w:val="false"/>
          <w:i w:val="false"/>
          <w:caps w:val="false"/>
          <w:smallCaps w:val="false"/>
          <w:color w:val="000000"/>
          <w:spacing w:val="-1"/>
          <w:sz w:val="20"/>
        </w:rPr>
        <w:t>33</w:t>
      </w:r>
      <w:r>
        <w:rPr>
          <w:rFonts w:ascii="Arial;Helvetica;sans-serif" w:hAnsi="Arial;Helvetica;sans-serif"/>
          <w:b/>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tbl>
      <w:tblPr>
        <w:tblW w:w="5959" w:type="dxa"/>
        <w:jc w:val="left"/>
        <w:tblInd w:w="960" w:type="dxa"/>
        <w:tblCellMar>
          <w:top w:w="0" w:type="dxa"/>
          <w:left w:w="0" w:type="dxa"/>
          <w:bottom w:w="0" w:type="dxa"/>
          <w:right w:w="0" w:type="dxa"/>
        </w:tblCellMar>
      </w:tblPr>
      <w:tblGrid>
        <w:gridCol w:w="124"/>
        <w:gridCol w:w="5681"/>
        <w:gridCol w:w="154"/>
      </w:tblGrid>
      <w:tr>
        <w:trPr/>
        <w:tc>
          <w:tcPr>
            <w:tcW w:w="124" w:type="dxa"/>
            <w:tcBorders/>
            <w:shd w:fill="1DA46F" w:val="clear"/>
            <w:vAlign w:val="center"/>
          </w:tcPr>
          <w:p>
            <w:pPr>
              <w:pStyle w:val="TableContents"/>
              <w:spacing w:before="0" w:after="283"/>
              <w:rPr/>
            </w:pPr>
            <w:r>
              <w:rPr/>
              <w:t>​</w:t>
            </w:r>
          </w:p>
        </w:tc>
        <w:tc>
          <w:tcPr>
            <w:tcW w:w="5681" w:type="dxa"/>
            <w:tcBorders/>
            <w:shd w:fill="1DA46F" w:val="clear"/>
            <w:vAlign w:val="center"/>
          </w:tcPr>
          <w:p>
            <w:pPr>
              <w:pStyle w:val="TableContents"/>
              <w:spacing w:lineRule="atLeast" w:line="432" w:before="0" w:after="0"/>
              <w:rPr/>
            </w:pPr>
            <w:r>
              <w:rPr>
                <w:spacing w:val="-5"/>
              </w:rPr>
              <w:t xml:space="preserve">SECURITY OWNERSHIP OF CERTAIN BENEFICIAL </w:t>
            </w:r>
            <w:r>
              <w:rPr/>
              <w:br/>
            </w:r>
            <w:r>
              <w:rPr>
                <w:spacing w:val="-5"/>
              </w:rPr>
              <w:t>OWNERS AND MANAGEMENT</w:t>
            </w:r>
            <w:r>
              <w:rPr/>
              <w:t xml:space="preserve"> </w:t>
            </w:r>
          </w:p>
        </w:tc>
        <w:tc>
          <w:tcPr>
            <w:tcW w:w="154" w:type="dxa"/>
            <w:tcBorders/>
            <w:shd w:fill="1DA46F" w:val="clear"/>
            <w:vAlign w:val="center"/>
          </w:tcPr>
          <w:p>
            <w:pPr>
              <w:pStyle w:val="TableContents"/>
              <w:spacing w:before="0" w:after="283"/>
              <w:rPr/>
            </w:pPr>
            <w:r>
              <w:rPr/>
              <w:t>​</w:t>
            </w:r>
          </w:p>
        </w:tc>
      </w:tr>
    </w:tbl>
    <w:p>
      <w:pPr>
        <w:pStyle w:val="TextBody"/>
        <w:spacing w:lineRule="atLeast" w:line="200" w:before="360" w:after="283"/>
        <w:ind w:left="1360" w:right="0" w:hanging="0"/>
        <w:jc w:val="both"/>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0"/>
          <w:sz w:val="18"/>
        </w:rPr>
        <w:t>business address for each of Versant VI, Versant VI GP LP, Versant Ventures VI GP-GP, LLC, Versant II, Versant II GP LP and Versant Vantage II GP-GP, LLC is One Sansome Street, Suite 3630, San Francisco, CA 94104.</w:t>
      </w:r>
      <w:r>
        <w:rPr>
          <w:rFonts w:ascii="Arial;Helvetica;sans-serif" w:hAnsi="Arial;Helvetica;sans-serif"/>
          <w:b w:val="false"/>
          <w:i w:val="false"/>
          <w:caps w:val="false"/>
          <w:smallCaps w:val="false"/>
          <w:color w:val="000000"/>
          <w:spacing w:val="4"/>
          <w:sz w:val="18"/>
        </w:rPr>
        <w:t xml:space="preserve"> </w:t>
      </w:r>
    </w:p>
    <w:p>
      <w:pPr>
        <w:pStyle w:val="TextBody"/>
        <w:spacing w:lineRule="atLeast" w:line="200" w:before="80" w:after="0"/>
        <w:ind w:left="1360" w:right="0" w:hanging="0"/>
        <w:jc w:val="both"/>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0"/>
          <w:sz w:val="18"/>
        </w:rPr>
        <w:t>Based solely upon information set forth in a Schedule 13G filed on February 11, 2022. FUJIFILM Cellular Dynamics, Inc., or FCDI, is an indirect, wholly owned subsidiary of FUJIFILM Holdings Corporation, which has sole voting and investment power over the Century shares held by FCDI. The address for FUJIFILM Holdings Corporation is 7-3, Akasaka 9-chome, Minato-ku, Tokyo 107-0052, Japan.</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50800" distB="0" distL="0" distR="0" simplePos="0" locked="0" layoutInCell="1" allowOverlap="1" relativeHeight="119">
                <wp:simplePos x="0" y="0"/>
                <wp:positionH relativeFrom="column">
                  <wp:align>left</wp:align>
                </wp:positionH>
                <wp:positionV relativeFrom="line">
                  <wp:align>top</wp:align>
                </wp:positionV>
                <wp:extent cx="254000" cy="350520"/>
                <wp:effectExtent l="0" t="0" r="0" b="0"/>
                <wp:wrapSquare wrapText="largest"/>
                <wp:docPr id="129" name="Frame96"/>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00" w:before="0" w:after="283"/>
                              <w:jc w:val="both"/>
                              <w:rPr/>
                            </w:pPr>
                            <w:r>
                              <w:rPr>
                                <w:spacing w:val="0"/>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spacing w:lineRule="atLeast" w:line="200" w:before="0" w:after="283"/>
                        <w:jc w:val="both"/>
                        <w:rPr/>
                      </w:pPr>
                      <w:r>
                        <w:rPr>
                          <w:spacing w:val="0"/>
                        </w:rPr>
                        <w:t>(2)</w:t>
                      </w:r>
                      <w:r>
                        <w:rPr/>
                        <w:t xml:space="preserve"> </w:t>
                        <w:br/>
                      </w:r>
                    </w:p>
                  </w:txbxContent>
                </v:textbox>
                <w10:wrap type="square" side="right"/>
              </v:rect>
            </w:pict>
          </mc:Fallback>
        </mc:AlternateContent>
      </w:r>
    </w:p>
    <w:p>
      <w:pPr>
        <w:pStyle w:val="TextBody"/>
        <w:spacing w:before="0" w:after="0"/>
        <w:ind w:left="960" w:right="0" w:hanging="0"/>
        <w:rPr>
          <w:caps w:val="false"/>
          <w:smallCaps w:val="false"/>
          <w:color w:val="000000"/>
        </w:rPr>
      </w:pPr>
      <w:r>
        <w:rPr>
          <w:caps w:val="false"/>
          <w:smallCaps w:val="false"/>
          <w:color w:val="000000"/>
        </w:rPr>
        <w:t>​</w:t>
      </w:r>
    </w:p>
    <w:p>
      <w:pPr>
        <w:pStyle w:val="TextBody"/>
        <w:spacing w:lineRule="atLeast" w:line="200" w:before="80" w:after="0"/>
        <w:ind w:left="1360" w:right="0" w:hanging="0"/>
        <w:jc w:val="both"/>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0"/>
          <w:sz w:val="18"/>
        </w:rPr>
        <w:t>Based solely upon information set forth in a Schedule 13G filed on February 11, 2022. Bayer World Investments B.V. is a subsidiary of Bayer AG and voting and investment decisions with respect to these shares are made by Bayer AG’s Board of Management, which consists of Werner Baumann, Liam Condom, Serena Lin, Wolfgang Nickl, Stefan Oelrich, and Heiko Schipper. Each of Messrs. Baumann, Condon, Nickl, Oelrich, Schipper, and Ms. Lin disclaim beneficial ownership over the shares held by Bayer World Investments B.V. The address for Bayer World Investments B.V. is Bayer AG, Kaiser-Wilhelm-Allee 3, 51373 Leverkusen, Germany.</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50800" distB="0" distL="0" distR="0" simplePos="0" locked="0" layoutInCell="1" allowOverlap="1" relativeHeight="120">
                <wp:simplePos x="0" y="0"/>
                <wp:positionH relativeFrom="column">
                  <wp:align>left</wp:align>
                </wp:positionH>
                <wp:positionV relativeFrom="line">
                  <wp:align>top</wp:align>
                </wp:positionV>
                <wp:extent cx="254000" cy="350520"/>
                <wp:effectExtent l="0" t="0" r="0" b="0"/>
                <wp:wrapSquare wrapText="largest"/>
                <wp:docPr id="130" name="Frame97"/>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00" w:before="0" w:after="283"/>
                              <w:jc w:val="both"/>
                              <w:rPr/>
                            </w:pPr>
                            <w:r>
                              <w:rPr>
                                <w:spacing w:val="0"/>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spacing w:lineRule="atLeast" w:line="200" w:before="0" w:after="283"/>
                        <w:jc w:val="both"/>
                        <w:rPr/>
                      </w:pPr>
                      <w:r>
                        <w:rPr>
                          <w:spacing w:val="0"/>
                        </w:rPr>
                        <w:t>(3)</w:t>
                      </w:r>
                      <w:r>
                        <w:rPr/>
                        <w:t xml:space="preserve"> </w:t>
                        <w:br/>
                      </w:r>
                    </w:p>
                  </w:txbxContent>
                </v:textbox>
                <w10:wrap type="square" side="right"/>
              </v:rect>
            </w:pict>
          </mc:Fallback>
        </mc:AlternateContent>
      </w:r>
    </w:p>
    <w:p>
      <w:pPr>
        <w:pStyle w:val="TextBody"/>
        <w:spacing w:before="0" w:after="0"/>
        <w:ind w:left="960" w:right="0" w:hanging="0"/>
        <w:rPr>
          <w:caps w:val="false"/>
          <w:smallCaps w:val="false"/>
          <w:color w:val="000000"/>
        </w:rPr>
      </w:pPr>
      <w:r>
        <w:rPr>
          <w:caps w:val="false"/>
          <w:smallCaps w:val="false"/>
          <w:color w:val="000000"/>
        </w:rPr>
        <w:t>​</w:t>
      </w:r>
    </w:p>
    <w:p>
      <w:pPr>
        <w:pStyle w:val="TextBody"/>
        <w:spacing w:lineRule="atLeast" w:line="200" w:before="80" w:after="0"/>
        <w:ind w:left="1360" w:right="0" w:hanging="0"/>
        <w:jc w:val="both"/>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0"/>
          <w:sz w:val="18"/>
        </w:rPr>
        <w:t>Based solely upon information set forth in a Schedule 13D/A filed on October 11, 2022. Consists of (i) 3,206,380 shares of common stock held by Casdin Capital, LLC, or Casdin Capital, and (ii) 16,560 shares of common stock held by Eli Casdin. Eli Casdin is the managing member of Casdin Capital. Mr. Casdin disclaims beneficial ownership of such securities held by Casdin Capital except to the extent of his pecuniary interest therein. The address of each of Casdin Capital and Mr. Casdin is 1350 Avenue of the Americas, Suite 2600, New York, New York 10019.</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50800" distB="0" distL="0" distR="0" simplePos="0" locked="0" layoutInCell="1" allowOverlap="1" relativeHeight="121">
                <wp:simplePos x="0" y="0"/>
                <wp:positionH relativeFrom="column">
                  <wp:align>left</wp:align>
                </wp:positionH>
                <wp:positionV relativeFrom="line">
                  <wp:align>top</wp:align>
                </wp:positionV>
                <wp:extent cx="254000" cy="350520"/>
                <wp:effectExtent l="0" t="0" r="0" b="0"/>
                <wp:wrapSquare wrapText="largest"/>
                <wp:docPr id="131" name="Frame98"/>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00" w:before="0" w:after="283"/>
                              <w:jc w:val="both"/>
                              <w:rPr/>
                            </w:pPr>
                            <w:r>
                              <w:rPr>
                                <w:spacing w:val="0"/>
                              </w:rPr>
                              <w:t>(4)</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spacing w:lineRule="atLeast" w:line="200" w:before="0" w:after="283"/>
                        <w:jc w:val="both"/>
                        <w:rPr/>
                      </w:pPr>
                      <w:r>
                        <w:rPr>
                          <w:spacing w:val="0"/>
                        </w:rPr>
                        <w:t>(4)</w:t>
                      </w:r>
                      <w:r>
                        <w:rPr/>
                        <w:t xml:space="preserve"> </w:t>
                        <w:br/>
                      </w:r>
                    </w:p>
                  </w:txbxContent>
                </v:textbox>
                <w10:wrap type="square" side="right"/>
              </v:rect>
            </w:pict>
          </mc:Fallback>
        </mc:AlternateContent>
      </w:r>
    </w:p>
    <w:p>
      <w:pPr>
        <w:pStyle w:val="TextBody"/>
        <w:spacing w:before="0" w:after="0"/>
        <w:ind w:left="960" w:right="0" w:hanging="0"/>
        <w:rPr>
          <w:caps w:val="false"/>
          <w:smallCaps w:val="false"/>
          <w:color w:val="000000"/>
        </w:rPr>
      </w:pPr>
      <w:r>
        <w:rPr>
          <w:caps w:val="false"/>
          <w:smallCaps w:val="false"/>
          <w:color w:val="000000"/>
        </w:rPr>
        <w:t>​</w:t>
      </w:r>
    </w:p>
    <w:p>
      <w:pPr>
        <w:pStyle w:val="TextBody"/>
        <w:spacing w:lineRule="atLeast" w:line="200" w:before="80" w:after="0"/>
        <w:ind w:left="1360" w:right="0" w:hanging="0"/>
        <w:jc w:val="both"/>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0"/>
          <w:sz w:val="18"/>
        </w:rPr>
        <w:t>Based solely upon information set forth in a Schedule 13G/A filed on February 9, 2023. Abigail P. Johnson is a Director, the Chairman and the Chief Executive Officer of FMR LLC. 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 The address of FMR LLC is 245 Summer Street, Boston, Massachusetts 02210.</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50800" distB="0" distL="0" distR="0" simplePos="0" locked="0" layoutInCell="1" allowOverlap="1" relativeHeight="122">
                <wp:simplePos x="0" y="0"/>
                <wp:positionH relativeFrom="column">
                  <wp:align>left</wp:align>
                </wp:positionH>
                <wp:positionV relativeFrom="line">
                  <wp:align>top</wp:align>
                </wp:positionV>
                <wp:extent cx="254000" cy="350520"/>
                <wp:effectExtent l="0" t="0" r="0" b="0"/>
                <wp:wrapSquare wrapText="largest"/>
                <wp:docPr id="132" name="Frame99"/>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00" w:before="0" w:after="283"/>
                              <w:jc w:val="both"/>
                              <w:rPr/>
                            </w:pPr>
                            <w:r>
                              <w:rPr>
                                <w:spacing w:val="0"/>
                              </w:rPr>
                              <w:t>(5)</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spacing w:lineRule="atLeast" w:line="200" w:before="0" w:after="283"/>
                        <w:jc w:val="both"/>
                        <w:rPr/>
                      </w:pPr>
                      <w:r>
                        <w:rPr>
                          <w:spacing w:val="0"/>
                        </w:rPr>
                        <w:t>(5)</w:t>
                      </w:r>
                      <w:r>
                        <w:rPr/>
                        <w:t xml:space="preserve"> </w:t>
                        <w:br/>
                      </w:r>
                    </w:p>
                  </w:txbxContent>
                </v:textbox>
                <w10:wrap type="square" side="right"/>
              </v:rect>
            </w:pict>
          </mc:Fallback>
        </mc:AlternateContent>
      </w:r>
    </w:p>
    <w:p>
      <w:pPr>
        <w:pStyle w:val="TextBody"/>
        <w:spacing w:before="0" w:after="0"/>
        <w:ind w:left="960" w:right="0" w:hanging="0"/>
        <w:rPr>
          <w:caps w:val="false"/>
          <w:smallCaps w:val="false"/>
          <w:color w:val="000000"/>
        </w:rPr>
      </w:pPr>
      <w:r>
        <w:rPr>
          <w:caps w:val="false"/>
          <w:smallCaps w:val="false"/>
          <w:color w:val="000000"/>
        </w:rPr>
        <w:t>​</w:t>
      </w:r>
    </w:p>
    <w:p>
      <w:pPr>
        <w:pStyle w:val="TextBody"/>
        <w:spacing w:lineRule="atLeast" w:line="200" w:before="80" w:after="0"/>
        <w:ind w:left="1360" w:right="0" w:hanging="0"/>
        <w:jc w:val="both"/>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0"/>
          <w:sz w:val="18"/>
        </w:rPr>
        <w:t>Consists of (i) 526,919 shares of common stock, (ii) 645,619 shares of common stock issuable pursuant to options that are exercisable within 60 days of April 15, 2023, (iii) 397,400 shares of common stock held by the NS Irrevocable Trust for Gabriel O. Flores dated April 30, 2021, or the NS Trust, and (iv) 397,400 shares of common stock held by the Flores Family Trust for Gabriel O. Flores dated October 27, 2016, or the Flores Trust. Dr. Flores is trustee of the NS Trust and Nancy Stone, Dr. Flores’ wife, is trustee of the Flores Trust. Dr. Flores disclaims beneficial ownership of the shares held by each of the NS Trust and the Flores Trust.</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50800" distB="0" distL="0" distR="0" simplePos="0" locked="0" layoutInCell="1" allowOverlap="1" relativeHeight="123">
                <wp:simplePos x="0" y="0"/>
                <wp:positionH relativeFrom="column">
                  <wp:align>left</wp:align>
                </wp:positionH>
                <wp:positionV relativeFrom="line">
                  <wp:align>top</wp:align>
                </wp:positionV>
                <wp:extent cx="254000" cy="350520"/>
                <wp:effectExtent l="0" t="0" r="0" b="0"/>
                <wp:wrapSquare wrapText="largest"/>
                <wp:docPr id="133" name="Frame100"/>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00" w:before="0" w:after="283"/>
                              <w:jc w:val="both"/>
                              <w:rPr/>
                            </w:pPr>
                            <w:r>
                              <w:rPr>
                                <w:spacing w:val="0"/>
                              </w:rPr>
                              <w:t>(6)</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spacing w:lineRule="atLeast" w:line="200" w:before="0" w:after="283"/>
                        <w:jc w:val="both"/>
                        <w:rPr/>
                      </w:pPr>
                      <w:r>
                        <w:rPr>
                          <w:spacing w:val="0"/>
                        </w:rPr>
                        <w:t>(6)</w:t>
                      </w:r>
                      <w:r>
                        <w:rPr/>
                        <w:t xml:space="preserve"> </w:t>
                        <w:br/>
                      </w:r>
                    </w:p>
                  </w:txbxContent>
                </v:textbox>
                <w10:wrap type="square" side="right"/>
              </v:rect>
            </w:pict>
          </mc:Fallback>
        </mc:AlternateContent>
      </w:r>
    </w:p>
    <w:p>
      <w:pPr>
        <w:pStyle w:val="TextBody"/>
        <w:spacing w:before="0" w:after="0"/>
        <w:ind w:left="960" w:right="0" w:hanging="0"/>
        <w:rPr>
          <w:caps w:val="false"/>
          <w:smallCaps w:val="false"/>
          <w:color w:val="000000"/>
        </w:rPr>
      </w:pPr>
      <w:r>
        <w:rPr>
          <w:caps w:val="false"/>
          <w:smallCaps w:val="false"/>
          <w:color w:val="000000"/>
        </w:rPr>
        <w:t>​</w:t>
      </w:r>
    </w:p>
    <w:p>
      <w:pPr>
        <w:pStyle w:val="TextBody"/>
        <w:spacing w:lineRule="atLeast" w:line="200" w:before="80" w:after="0"/>
        <w:ind w:left="1360" w:right="0" w:hanging="0"/>
        <w:jc w:val="both"/>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0"/>
          <w:sz w:val="18"/>
        </w:rPr>
        <w:t>Consists of (i) 79,488 shares of common stock and (ii) 273,765 shares of common stock issuable pursuant to options that are exercisable within 60 days of April 15, 2023.</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50800" distB="0" distL="0" distR="0" simplePos="0" locked="0" layoutInCell="1" allowOverlap="1" relativeHeight="124">
                <wp:simplePos x="0" y="0"/>
                <wp:positionH relativeFrom="column">
                  <wp:align>left</wp:align>
                </wp:positionH>
                <wp:positionV relativeFrom="line">
                  <wp:align>top</wp:align>
                </wp:positionV>
                <wp:extent cx="254000" cy="350520"/>
                <wp:effectExtent l="0" t="0" r="0" b="0"/>
                <wp:wrapSquare wrapText="largest"/>
                <wp:docPr id="134" name="Frame101"/>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00" w:before="0" w:after="283"/>
                              <w:jc w:val="both"/>
                              <w:rPr/>
                            </w:pPr>
                            <w:r>
                              <w:rPr>
                                <w:spacing w:val="0"/>
                              </w:rPr>
                              <w:t>(7)</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spacing w:lineRule="atLeast" w:line="200" w:before="0" w:after="283"/>
                        <w:jc w:val="both"/>
                        <w:rPr/>
                      </w:pPr>
                      <w:r>
                        <w:rPr>
                          <w:spacing w:val="0"/>
                        </w:rPr>
                        <w:t>(7)</w:t>
                      </w:r>
                      <w:r>
                        <w:rPr/>
                        <w:t xml:space="preserve"> </w:t>
                        <w:br/>
                      </w:r>
                    </w:p>
                  </w:txbxContent>
                </v:textbox>
                <w10:wrap type="square" side="right"/>
              </v:rect>
            </w:pict>
          </mc:Fallback>
        </mc:AlternateContent>
      </w:r>
    </w:p>
    <w:p>
      <w:pPr>
        <w:pStyle w:val="TextBody"/>
        <w:spacing w:before="0" w:after="0"/>
        <w:ind w:left="960" w:right="0" w:hanging="0"/>
        <w:rPr>
          <w:caps w:val="false"/>
          <w:smallCaps w:val="false"/>
          <w:color w:val="000000"/>
        </w:rPr>
      </w:pPr>
      <w:r>
        <w:rPr>
          <w:caps w:val="false"/>
          <w:smallCaps w:val="false"/>
          <w:color w:val="000000"/>
        </w:rPr>
        <w:t>​</w:t>
      </w:r>
    </w:p>
    <w:p>
      <w:pPr>
        <w:pStyle w:val="TextBody"/>
        <w:spacing w:lineRule="atLeast" w:line="200" w:before="80" w:after="0"/>
        <w:ind w:left="1360" w:right="0" w:hanging="0"/>
        <w:jc w:val="both"/>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0"/>
          <w:sz w:val="18"/>
        </w:rPr>
        <w:t>Consists of (i) 74,218 shares of common stock and (ii) 359,341 shares of common stock issuable pursuant to options that are exercisable within 60 days of April 15, 2023.</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50800" distB="0" distL="0" distR="0" simplePos="0" locked="0" layoutInCell="1" allowOverlap="1" relativeHeight="125">
                <wp:simplePos x="0" y="0"/>
                <wp:positionH relativeFrom="column">
                  <wp:align>left</wp:align>
                </wp:positionH>
                <wp:positionV relativeFrom="line">
                  <wp:align>top</wp:align>
                </wp:positionV>
                <wp:extent cx="254000" cy="350520"/>
                <wp:effectExtent l="0" t="0" r="0" b="0"/>
                <wp:wrapSquare wrapText="largest"/>
                <wp:docPr id="135" name="Frame102"/>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00" w:before="0" w:after="283"/>
                              <w:jc w:val="both"/>
                              <w:rPr/>
                            </w:pPr>
                            <w:r>
                              <w:rPr>
                                <w:spacing w:val="0"/>
                              </w:rPr>
                              <w:t>(8)</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spacing w:lineRule="atLeast" w:line="200" w:before="0" w:after="283"/>
                        <w:jc w:val="both"/>
                        <w:rPr/>
                      </w:pPr>
                      <w:r>
                        <w:rPr>
                          <w:spacing w:val="0"/>
                        </w:rPr>
                        <w:t>(8)</w:t>
                      </w:r>
                      <w:r>
                        <w:rPr/>
                        <w:t xml:space="preserve"> </w:t>
                        <w:br/>
                      </w:r>
                    </w:p>
                  </w:txbxContent>
                </v:textbox>
                <w10:wrap type="square" side="right"/>
              </v:rect>
            </w:pict>
          </mc:Fallback>
        </mc:AlternateContent>
      </w:r>
    </w:p>
    <w:p>
      <w:pPr>
        <w:pStyle w:val="TextBody"/>
        <w:spacing w:before="0" w:after="0"/>
        <w:ind w:left="960" w:right="0" w:hanging="0"/>
        <w:rPr>
          <w:caps w:val="false"/>
          <w:smallCaps w:val="false"/>
          <w:color w:val="000000"/>
        </w:rPr>
      </w:pPr>
      <w:r>
        <w:rPr>
          <w:caps w:val="false"/>
          <w:smallCaps w:val="false"/>
          <w:color w:val="000000"/>
        </w:rPr>
        <w:t>​</w:t>
      </w:r>
    </w:p>
    <w:p>
      <w:pPr>
        <w:pStyle w:val="TextBody"/>
        <w:spacing w:lineRule="atLeast" w:line="200" w:before="80" w:after="0"/>
        <w:ind w:left="1360" w:right="0" w:hanging="0"/>
        <w:jc w:val="both"/>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0"/>
          <w:sz w:val="18"/>
        </w:rPr>
        <w:t>Consists of 74,581 shares of common stock issuable pursuant to options that are exercisable within 60 days of April 15, 2023.</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50800" distB="0" distL="0" distR="0" simplePos="0" locked="0" layoutInCell="1" allowOverlap="1" relativeHeight="126">
                <wp:simplePos x="0" y="0"/>
                <wp:positionH relativeFrom="column">
                  <wp:align>left</wp:align>
                </wp:positionH>
                <wp:positionV relativeFrom="line">
                  <wp:align>top</wp:align>
                </wp:positionV>
                <wp:extent cx="254000" cy="350520"/>
                <wp:effectExtent l="0" t="0" r="0" b="0"/>
                <wp:wrapSquare wrapText="largest"/>
                <wp:docPr id="136" name="Frame103"/>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00" w:before="0" w:after="283"/>
                              <w:jc w:val="both"/>
                              <w:rPr/>
                            </w:pPr>
                            <w:r>
                              <w:rPr>
                                <w:spacing w:val="0"/>
                              </w:rPr>
                              <w:t>(9)</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spacing w:lineRule="atLeast" w:line="200" w:before="0" w:after="283"/>
                        <w:jc w:val="both"/>
                        <w:rPr/>
                      </w:pPr>
                      <w:r>
                        <w:rPr>
                          <w:spacing w:val="0"/>
                        </w:rPr>
                        <w:t>(9)</w:t>
                      </w:r>
                      <w:r>
                        <w:rPr/>
                        <w:t xml:space="preserve"> </w:t>
                        <w:br/>
                      </w:r>
                    </w:p>
                  </w:txbxContent>
                </v:textbox>
                <w10:wrap type="square" side="right"/>
              </v:rect>
            </w:pict>
          </mc:Fallback>
        </mc:AlternateContent>
      </w:r>
    </w:p>
    <w:p>
      <w:pPr>
        <w:pStyle w:val="TextBody"/>
        <w:spacing w:before="0" w:after="0"/>
        <w:ind w:left="960" w:right="0" w:hanging="0"/>
        <w:rPr>
          <w:caps w:val="false"/>
          <w:smallCaps w:val="false"/>
          <w:color w:val="000000"/>
        </w:rPr>
      </w:pPr>
      <w:r>
        <w:rPr>
          <w:caps w:val="false"/>
          <w:smallCaps w:val="false"/>
          <w:color w:val="000000"/>
        </w:rPr>
        <w:t>​</w:t>
      </w:r>
    </w:p>
    <w:p>
      <w:pPr>
        <w:pStyle w:val="TextBody"/>
        <w:spacing w:lineRule="atLeast" w:line="200" w:before="80" w:after="0"/>
        <w:ind w:left="1360" w:right="0" w:hanging="0"/>
        <w:jc w:val="both"/>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0"/>
          <w:sz w:val="18"/>
        </w:rPr>
        <w:t>Consists of (i) 98,936 shares of common stock and (ii) 25,668 shares of common stock issuable pursuant to options that are exercisable within 60 days of April 15, 2023.</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50800" distB="0" distL="0" distR="0" simplePos="0" locked="0" layoutInCell="1" allowOverlap="1" relativeHeight="127">
                <wp:simplePos x="0" y="0"/>
                <wp:positionH relativeFrom="column">
                  <wp:align>left</wp:align>
                </wp:positionH>
                <wp:positionV relativeFrom="line">
                  <wp:align>top</wp:align>
                </wp:positionV>
                <wp:extent cx="254000" cy="525780"/>
                <wp:effectExtent l="0" t="0" r="0" b="0"/>
                <wp:wrapSquare wrapText="largest"/>
                <wp:docPr id="137" name="Frame104"/>
                <a:graphic xmlns:a="http://schemas.openxmlformats.org/drawingml/2006/main">
                  <a:graphicData uri="http://schemas.microsoft.com/office/word/2010/wordprocessingShape">
                    <wps:wsp>
                      <wps:cNvSpPr txBox="1"/>
                      <wps:spPr>
                        <a:xfrm>
                          <a:off x="0" y="0"/>
                          <a:ext cx="254000" cy="525780"/>
                        </a:xfrm>
                        <a:prstGeom prst="rect"/>
                      </wps:spPr>
                      <wps:txbx>
                        <w:txbxContent>
                          <w:p>
                            <w:pPr>
                              <w:pStyle w:val="TextBody"/>
                              <w:spacing w:lineRule="atLeast" w:line="200" w:before="0" w:after="283"/>
                              <w:jc w:val="both"/>
                              <w:rPr/>
                            </w:pPr>
                            <w:r>
                              <w:rPr>
                                <w:spacing w:val="0"/>
                              </w:rPr>
                              <w:t>(10)</w:t>
                            </w:r>
                            <w:r>
                              <w:rPr/>
                              <w:t xml:space="preserve"> </w:t>
                              <w:br/>
                            </w:r>
                          </w:p>
                        </w:txbxContent>
                      </wps:txbx>
                      <wps:bodyPr anchor="t" lIns="0" tIns="0" rIns="0" bIns="0">
                        <a:noAutofit/>
                      </wps:bodyPr>
                    </wps:wsp>
                  </a:graphicData>
                </a:graphic>
              </wp:anchor>
            </w:drawing>
          </mc:Choice>
          <mc:Fallback>
            <w:pict>
              <v:rect style="position:absolute;rotation:0;width:20pt;height:41.4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spacing w:lineRule="atLeast" w:line="200" w:before="0" w:after="283"/>
                        <w:jc w:val="both"/>
                        <w:rPr/>
                      </w:pPr>
                      <w:r>
                        <w:rPr>
                          <w:spacing w:val="0"/>
                        </w:rPr>
                        <w:t>(10)</w:t>
                      </w:r>
                      <w:r>
                        <w:rPr/>
                        <w:t xml:space="preserve"> </w:t>
                        <w:br/>
                      </w:r>
                    </w:p>
                  </w:txbxContent>
                </v:textbox>
                <w10:wrap type="square" side="right"/>
              </v:rect>
            </w:pict>
          </mc:Fallback>
        </mc:AlternateContent>
      </w:r>
    </w:p>
    <w:p>
      <w:pPr>
        <w:pStyle w:val="TextBody"/>
        <w:spacing w:before="0" w:after="0"/>
        <w:ind w:left="960" w:right="0" w:hanging="0"/>
        <w:rPr>
          <w:caps w:val="false"/>
          <w:smallCaps w:val="false"/>
          <w:color w:val="000000"/>
        </w:rPr>
      </w:pPr>
      <w:r>
        <w:rPr>
          <w:caps w:val="false"/>
          <w:smallCaps w:val="false"/>
          <w:color w:val="000000"/>
        </w:rPr>
        <w:t>​</w:t>
      </w:r>
    </w:p>
    <w:p>
      <w:pPr>
        <w:pStyle w:val="TextBody"/>
        <w:spacing w:lineRule="atLeast" w:line="200" w:before="80" w:after="0"/>
        <w:ind w:left="1360" w:right="0" w:hanging="0"/>
        <w:jc w:val="both"/>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0"/>
          <w:sz w:val="18"/>
        </w:rPr>
        <w:t>Consists of 7,728 shares of common stock issuable pursuant to options that are exercisable within 60 days of April 15, 2023.</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50800" distB="0" distL="0" distR="0" simplePos="0" locked="0" layoutInCell="1" allowOverlap="1" relativeHeight="128">
                <wp:simplePos x="0" y="0"/>
                <wp:positionH relativeFrom="column">
                  <wp:align>left</wp:align>
                </wp:positionH>
                <wp:positionV relativeFrom="line">
                  <wp:align>top</wp:align>
                </wp:positionV>
                <wp:extent cx="254000" cy="525780"/>
                <wp:effectExtent l="0" t="0" r="0" b="0"/>
                <wp:wrapSquare wrapText="largest"/>
                <wp:docPr id="138" name="Frame105"/>
                <a:graphic xmlns:a="http://schemas.openxmlformats.org/drawingml/2006/main">
                  <a:graphicData uri="http://schemas.microsoft.com/office/word/2010/wordprocessingShape">
                    <wps:wsp>
                      <wps:cNvSpPr txBox="1"/>
                      <wps:spPr>
                        <a:xfrm>
                          <a:off x="0" y="0"/>
                          <a:ext cx="254000" cy="525780"/>
                        </a:xfrm>
                        <a:prstGeom prst="rect"/>
                      </wps:spPr>
                      <wps:txbx>
                        <w:txbxContent>
                          <w:p>
                            <w:pPr>
                              <w:pStyle w:val="TextBody"/>
                              <w:spacing w:lineRule="atLeast" w:line="200" w:before="0" w:after="283"/>
                              <w:jc w:val="both"/>
                              <w:rPr/>
                            </w:pPr>
                            <w:r>
                              <w:rPr>
                                <w:spacing w:val="0"/>
                              </w:rPr>
                              <w:t>(11)</w:t>
                            </w:r>
                            <w:r>
                              <w:rPr/>
                              <w:t xml:space="preserve"> </w:t>
                              <w:br/>
                            </w:r>
                          </w:p>
                        </w:txbxContent>
                      </wps:txbx>
                      <wps:bodyPr anchor="t" lIns="0" tIns="0" rIns="0" bIns="0">
                        <a:noAutofit/>
                      </wps:bodyPr>
                    </wps:wsp>
                  </a:graphicData>
                </a:graphic>
              </wp:anchor>
            </w:drawing>
          </mc:Choice>
          <mc:Fallback>
            <w:pict>
              <v:rect style="position:absolute;rotation:0;width:20pt;height:41.4pt;mso-wrap-distance-left:0pt;mso-wrap-distance-right:0pt;mso-wrap-distance-top:4pt;mso-wrap-distance-bottom:0pt;margin-top:4pt;mso-position-vertical:top;mso-position-vertical-relative:text;margin-left:20pt;mso-position-horizontal:left;mso-position-horizontal-relative:text">
                <v:textbox>
                  <w:txbxContent>
                    <w:p>
                      <w:pPr>
                        <w:pStyle w:val="TextBody"/>
                        <w:spacing w:lineRule="atLeast" w:line="200" w:before="0" w:after="283"/>
                        <w:jc w:val="both"/>
                        <w:rPr/>
                      </w:pPr>
                      <w:r>
                        <w:rPr>
                          <w:spacing w:val="0"/>
                        </w:rPr>
                        <w:t>(11)</w:t>
                      </w:r>
                      <w:r>
                        <w:rPr/>
                        <w:t xml:space="preserve"> </w:t>
                        <w:br/>
                      </w:r>
                    </w:p>
                  </w:txbxContent>
                </v:textbox>
                <w10:wrap type="square" side="right"/>
              </v:rect>
            </w:pict>
          </mc:Fallback>
        </mc:AlternateContent>
      </w:r>
    </w:p>
    <w:p>
      <w:pPr>
        <w:pStyle w:val="TextBody"/>
        <w:spacing w:before="0" w:after="0"/>
        <w:ind w:left="960" w:right="0" w:hanging="0"/>
        <w:rPr>
          <w:caps w:val="false"/>
          <w:smallCaps w:val="false"/>
          <w:color w:val="000000"/>
        </w:rPr>
      </w:pPr>
      <w:r>
        <w:rPr>
          <w:caps w:val="false"/>
          <w:smallCaps w:val="false"/>
          <w:color w:val="000000"/>
        </w:rPr>
        <w:t>​</w:t>
      </w:r>
    </w:p>
    <w:p>
      <w:pPr>
        <w:pStyle w:val="TextBody"/>
        <w:spacing w:lineRule="atLeast" w:line="200" w:before="80" w:after="0"/>
        <w:ind w:left="1360" w:right="0" w:hanging="0"/>
        <w:jc w:val="both"/>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0"/>
          <w:sz w:val="18"/>
        </w:rPr>
        <w:t>Consists of (i) 494,345 shares of common stock and (ii) 24,840 shares of common stock issuable pursuant to options that are exercisable within 60 days of April 15, 2023.</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50800" distB="0" distL="0" distR="0" simplePos="0" locked="0" layoutInCell="1" allowOverlap="1" relativeHeight="129">
                <wp:simplePos x="0" y="0"/>
                <wp:positionH relativeFrom="column">
                  <wp:align>left</wp:align>
                </wp:positionH>
                <wp:positionV relativeFrom="line">
                  <wp:align>top</wp:align>
                </wp:positionV>
                <wp:extent cx="254000" cy="525780"/>
                <wp:effectExtent l="0" t="0" r="0" b="0"/>
                <wp:wrapSquare wrapText="largest"/>
                <wp:docPr id="139" name="Frame106"/>
                <a:graphic xmlns:a="http://schemas.openxmlformats.org/drawingml/2006/main">
                  <a:graphicData uri="http://schemas.microsoft.com/office/word/2010/wordprocessingShape">
                    <wps:wsp>
                      <wps:cNvSpPr txBox="1"/>
                      <wps:spPr>
                        <a:xfrm>
                          <a:off x="0" y="0"/>
                          <a:ext cx="254000" cy="525780"/>
                        </a:xfrm>
                        <a:prstGeom prst="rect"/>
                      </wps:spPr>
                      <wps:txbx>
                        <w:txbxContent>
                          <w:p>
                            <w:pPr>
                              <w:pStyle w:val="TextBody"/>
                              <w:spacing w:lineRule="atLeast" w:line="200" w:before="0" w:after="283"/>
                              <w:jc w:val="both"/>
                              <w:rPr/>
                            </w:pPr>
                            <w:r>
                              <w:rPr>
                                <w:spacing w:val="0"/>
                              </w:rPr>
                              <w:t>(12)</w:t>
                            </w:r>
                            <w:r>
                              <w:rPr/>
                              <w:t xml:space="preserve"> </w:t>
                              <w:br/>
                            </w:r>
                          </w:p>
                        </w:txbxContent>
                      </wps:txbx>
                      <wps:bodyPr anchor="t" lIns="0" tIns="0" rIns="0" bIns="0">
                        <a:noAutofit/>
                      </wps:bodyPr>
                    </wps:wsp>
                  </a:graphicData>
                </a:graphic>
              </wp:anchor>
            </w:drawing>
          </mc:Choice>
          <mc:Fallback>
            <w:pict>
              <v:rect style="position:absolute;rotation:0;width:20pt;height:41.4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spacing w:lineRule="atLeast" w:line="200" w:before="0" w:after="283"/>
                        <w:jc w:val="both"/>
                        <w:rPr/>
                      </w:pPr>
                      <w:r>
                        <w:rPr>
                          <w:spacing w:val="0"/>
                        </w:rPr>
                        <w:t>(12)</w:t>
                      </w:r>
                      <w:r>
                        <w:rPr/>
                        <w:t xml:space="preserve"> </w:t>
                        <w:br/>
                      </w:r>
                    </w:p>
                  </w:txbxContent>
                </v:textbox>
                <w10:wrap type="square" side="right"/>
              </v:rect>
            </w:pict>
          </mc:Fallback>
        </mc:AlternateContent>
      </w:r>
    </w:p>
    <w:p>
      <w:pPr>
        <w:pStyle w:val="TextBody"/>
        <w:spacing w:before="0" w:after="0"/>
        <w:ind w:left="960" w:right="0" w:hanging="0"/>
        <w:rPr>
          <w:caps w:val="false"/>
          <w:smallCaps w:val="false"/>
          <w:color w:val="000000"/>
        </w:rPr>
      </w:pPr>
      <w:r>
        <w:rPr>
          <w:caps w:val="false"/>
          <w:smallCaps w:val="false"/>
          <w:color w:val="000000"/>
        </w:rPr>
        <w:t>​</w:t>
      </w:r>
    </w:p>
    <w:p>
      <w:pPr>
        <w:pStyle w:val="TextBody"/>
        <w:spacing w:lineRule="atLeast" w:line="200" w:before="80" w:after="0"/>
        <w:ind w:left="1360" w:right="0" w:hanging="0"/>
        <w:jc w:val="both"/>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0"/>
          <w:sz w:val="18"/>
        </w:rPr>
        <w:t>Consists of 7,728 shares of common stock issuable pursuant to options that are exercisable within 60 days of April 15, 2023.</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50800" distB="0" distL="0" distR="0" simplePos="0" locked="0" layoutInCell="1" allowOverlap="1" relativeHeight="130">
                <wp:simplePos x="0" y="0"/>
                <wp:positionH relativeFrom="column">
                  <wp:align>left</wp:align>
                </wp:positionH>
                <wp:positionV relativeFrom="line">
                  <wp:align>top</wp:align>
                </wp:positionV>
                <wp:extent cx="254000" cy="525780"/>
                <wp:effectExtent l="0" t="0" r="0" b="0"/>
                <wp:wrapSquare wrapText="largest"/>
                <wp:docPr id="140" name="Frame107"/>
                <a:graphic xmlns:a="http://schemas.openxmlformats.org/drawingml/2006/main">
                  <a:graphicData uri="http://schemas.microsoft.com/office/word/2010/wordprocessingShape">
                    <wps:wsp>
                      <wps:cNvSpPr txBox="1"/>
                      <wps:spPr>
                        <a:xfrm>
                          <a:off x="0" y="0"/>
                          <a:ext cx="254000" cy="525780"/>
                        </a:xfrm>
                        <a:prstGeom prst="rect"/>
                      </wps:spPr>
                      <wps:txbx>
                        <w:txbxContent>
                          <w:p>
                            <w:pPr>
                              <w:pStyle w:val="TextBody"/>
                              <w:spacing w:lineRule="atLeast" w:line="200" w:before="0" w:after="283"/>
                              <w:jc w:val="both"/>
                              <w:rPr/>
                            </w:pPr>
                            <w:r>
                              <w:rPr>
                                <w:spacing w:val="0"/>
                              </w:rPr>
                              <w:t>(13)</w:t>
                            </w:r>
                            <w:r>
                              <w:rPr/>
                              <w:t xml:space="preserve"> </w:t>
                              <w:br/>
                            </w:r>
                          </w:p>
                        </w:txbxContent>
                      </wps:txbx>
                      <wps:bodyPr anchor="t" lIns="0" tIns="0" rIns="0" bIns="0">
                        <a:noAutofit/>
                      </wps:bodyPr>
                    </wps:wsp>
                  </a:graphicData>
                </a:graphic>
              </wp:anchor>
            </w:drawing>
          </mc:Choice>
          <mc:Fallback>
            <w:pict>
              <v:rect style="position:absolute;rotation:0;width:20pt;height:41.4pt;mso-wrap-distance-left:0pt;mso-wrap-distance-right:0pt;mso-wrap-distance-top:4pt;mso-wrap-distance-bottom:0pt;margin-top:4pt;mso-position-vertical:top;mso-position-vertical-relative:text;margin-left:20pt;mso-position-horizontal:left;mso-position-horizontal-relative:text">
                <v:textbox>
                  <w:txbxContent>
                    <w:p>
                      <w:pPr>
                        <w:pStyle w:val="TextBody"/>
                        <w:spacing w:lineRule="atLeast" w:line="200" w:before="0" w:after="283"/>
                        <w:jc w:val="both"/>
                        <w:rPr/>
                      </w:pPr>
                      <w:r>
                        <w:rPr>
                          <w:spacing w:val="0"/>
                        </w:rPr>
                        <w:t>(13)</w:t>
                      </w:r>
                      <w:r>
                        <w:rPr/>
                        <w:t xml:space="preserve"> </w:t>
                        <w:br/>
                      </w:r>
                    </w:p>
                  </w:txbxContent>
                </v:textbox>
                <w10:wrap type="square" side="right"/>
              </v:rect>
            </w:pict>
          </mc:Fallback>
        </mc:AlternateContent>
      </w:r>
    </w:p>
    <w:p>
      <w:pPr>
        <w:pStyle w:val="TextBody"/>
        <w:spacing w:before="0" w:after="0"/>
        <w:ind w:left="960" w:right="0" w:hanging="0"/>
        <w:rPr>
          <w:caps w:val="false"/>
          <w:smallCaps w:val="false"/>
          <w:color w:val="000000"/>
        </w:rPr>
      </w:pPr>
      <w:r>
        <w:rPr>
          <w:caps w:val="false"/>
          <w:smallCaps w:val="false"/>
          <w:color w:val="000000"/>
        </w:rPr>
        <w:t>​</w:t>
      </w:r>
    </w:p>
    <w:p>
      <w:pPr>
        <w:pStyle w:val="TextBody"/>
        <w:spacing w:lineRule="atLeast" w:line="200" w:before="80" w:after="0"/>
        <w:ind w:left="1360" w:right="0" w:hanging="0"/>
        <w:jc w:val="both"/>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0"/>
          <w:sz w:val="18"/>
        </w:rPr>
        <w:t>Consists of 75,409 shares of common stock issuable pursuant to options that are exercisable within 60 days of April 15, 2023.</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50800" distB="0" distL="0" distR="0" simplePos="0" locked="0" layoutInCell="1" allowOverlap="1" relativeHeight="131">
                <wp:simplePos x="0" y="0"/>
                <wp:positionH relativeFrom="column">
                  <wp:align>left</wp:align>
                </wp:positionH>
                <wp:positionV relativeFrom="line">
                  <wp:align>top</wp:align>
                </wp:positionV>
                <wp:extent cx="254000" cy="525780"/>
                <wp:effectExtent l="0" t="0" r="0" b="0"/>
                <wp:wrapSquare wrapText="largest"/>
                <wp:docPr id="141" name="Frame108"/>
                <a:graphic xmlns:a="http://schemas.openxmlformats.org/drawingml/2006/main">
                  <a:graphicData uri="http://schemas.microsoft.com/office/word/2010/wordprocessingShape">
                    <wps:wsp>
                      <wps:cNvSpPr txBox="1"/>
                      <wps:spPr>
                        <a:xfrm>
                          <a:off x="0" y="0"/>
                          <a:ext cx="254000" cy="525780"/>
                        </a:xfrm>
                        <a:prstGeom prst="rect"/>
                      </wps:spPr>
                      <wps:txbx>
                        <w:txbxContent>
                          <w:p>
                            <w:pPr>
                              <w:pStyle w:val="TextBody"/>
                              <w:spacing w:lineRule="atLeast" w:line="200" w:before="0" w:after="283"/>
                              <w:jc w:val="both"/>
                              <w:rPr/>
                            </w:pPr>
                            <w:r>
                              <w:rPr>
                                <w:spacing w:val="0"/>
                              </w:rPr>
                              <w:t>(14)</w:t>
                            </w:r>
                            <w:r>
                              <w:rPr/>
                              <w:t xml:space="preserve"> </w:t>
                              <w:br/>
                            </w:r>
                          </w:p>
                        </w:txbxContent>
                      </wps:txbx>
                      <wps:bodyPr anchor="t" lIns="0" tIns="0" rIns="0" bIns="0">
                        <a:noAutofit/>
                      </wps:bodyPr>
                    </wps:wsp>
                  </a:graphicData>
                </a:graphic>
              </wp:anchor>
            </w:drawing>
          </mc:Choice>
          <mc:Fallback>
            <w:pict>
              <v:rect style="position:absolute;rotation:0;width:20pt;height:41.4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spacing w:lineRule="atLeast" w:line="200" w:before="0" w:after="283"/>
                        <w:jc w:val="both"/>
                        <w:rPr/>
                      </w:pPr>
                      <w:r>
                        <w:rPr>
                          <w:spacing w:val="0"/>
                        </w:rPr>
                        <w:t>(14)</w:t>
                      </w:r>
                      <w:r>
                        <w:rPr/>
                        <w:t xml:space="preserve"> </w:t>
                        <w:br/>
                      </w:r>
                    </w:p>
                  </w:txbxContent>
                </v:textbox>
                <w10:wrap type="square" side="right"/>
              </v:rect>
            </w:pict>
          </mc:Fallback>
        </mc:AlternateContent>
      </w:r>
    </w:p>
    <w:p>
      <w:pPr>
        <w:pStyle w:val="TextBody"/>
        <w:spacing w:before="0" w:after="0"/>
        <w:ind w:left="960" w:right="0" w:hanging="0"/>
        <w:rPr>
          <w:caps w:val="false"/>
          <w:smallCaps w:val="false"/>
          <w:color w:val="000000"/>
        </w:rPr>
      </w:pPr>
      <w:r>
        <w:rPr>
          <w:caps w:val="false"/>
          <w:smallCaps w:val="false"/>
          <w:color w:val="000000"/>
        </w:rPr>
        <w:t>​</w:t>
      </w:r>
    </w:p>
    <w:p>
      <w:pPr>
        <w:pStyle w:val="TextBody"/>
        <w:spacing w:lineRule="atLeast" w:line="200" w:before="80" w:after="0"/>
        <w:ind w:left="1360" w:right="0" w:hanging="0"/>
        <w:jc w:val="both"/>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0"/>
          <w:sz w:val="18"/>
        </w:rPr>
        <w:t>Consists of 28,980 shares of common stock issuable pursuant to options that are exercisable within 60 days of April 15, 2023.</w:t>
      </w:r>
      <w:r>
        <w:rPr>
          <w:rFonts w:ascii="Arial;Helvetica;sans-serif" w:hAnsi="Arial;Helvetica;sans-serif"/>
          <w:b w:val="false"/>
          <w:i w:val="false"/>
          <w:caps w:val="false"/>
          <w:smallCaps w:val="false"/>
          <w:color w:val="000000"/>
          <w:sz w:val="18"/>
        </w:rPr>
        <w:t xml:space="preserve"> </w:t>
      </w:r>
      <w:r>
        <mc:AlternateContent>
          <mc:Choice Requires="wps">
            <w:drawing>
              <wp:anchor behindDoc="0" distT="50800" distB="0" distL="0" distR="0" simplePos="0" locked="0" layoutInCell="1" allowOverlap="1" relativeHeight="132">
                <wp:simplePos x="0" y="0"/>
                <wp:positionH relativeFrom="column">
                  <wp:align>left</wp:align>
                </wp:positionH>
                <wp:positionV relativeFrom="line">
                  <wp:align>top</wp:align>
                </wp:positionV>
                <wp:extent cx="254000" cy="525780"/>
                <wp:effectExtent l="0" t="0" r="0" b="0"/>
                <wp:wrapSquare wrapText="largest"/>
                <wp:docPr id="142" name="Frame109"/>
                <a:graphic xmlns:a="http://schemas.openxmlformats.org/drawingml/2006/main">
                  <a:graphicData uri="http://schemas.microsoft.com/office/word/2010/wordprocessingShape">
                    <wps:wsp>
                      <wps:cNvSpPr txBox="1"/>
                      <wps:spPr>
                        <a:xfrm>
                          <a:off x="0" y="0"/>
                          <a:ext cx="254000" cy="525780"/>
                        </a:xfrm>
                        <a:prstGeom prst="rect"/>
                      </wps:spPr>
                      <wps:txbx>
                        <w:txbxContent>
                          <w:p>
                            <w:pPr>
                              <w:pStyle w:val="TextBody"/>
                              <w:spacing w:lineRule="atLeast" w:line="200" w:before="0" w:after="283"/>
                              <w:jc w:val="both"/>
                              <w:rPr/>
                            </w:pPr>
                            <w:r>
                              <w:rPr>
                                <w:spacing w:val="0"/>
                              </w:rPr>
                              <w:t>(15)</w:t>
                            </w:r>
                            <w:r>
                              <w:rPr/>
                              <w:t xml:space="preserve"> </w:t>
                              <w:br/>
                            </w:r>
                          </w:p>
                        </w:txbxContent>
                      </wps:txbx>
                      <wps:bodyPr anchor="t" lIns="0" tIns="0" rIns="0" bIns="0">
                        <a:noAutofit/>
                      </wps:bodyPr>
                    </wps:wsp>
                  </a:graphicData>
                </a:graphic>
              </wp:anchor>
            </w:drawing>
          </mc:Choice>
          <mc:Fallback>
            <w:pict>
              <v:rect style="position:absolute;rotation:0;width:20pt;height:41.4pt;mso-wrap-distance-left:0pt;mso-wrap-distance-right:0pt;mso-wrap-distance-top:4pt;mso-wrap-distance-bottom:0pt;margin-top:4pt;mso-position-vertical:top;mso-position-vertical-relative:text;margin-left:20pt;mso-position-horizontal:left;mso-position-horizontal-relative:text">
                <v:textbox>
                  <w:txbxContent>
                    <w:p>
                      <w:pPr>
                        <w:pStyle w:val="TextBody"/>
                        <w:spacing w:lineRule="atLeast" w:line="200" w:before="0" w:after="283"/>
                        <w:jc w:val="both"/>
                        <w:rPr/>
                      </w:pPr>
                      <w:r>
                        <w:rPr>
                          <w:spacing w:val="0"/>
                        </w:rPr>
                        <w:t>(15)</w:t>
                      </w:r>
                      <w:r>
                        <w:rPr/>
                        <w:t xml:space="preserve"> </w:t>
                        <w:br/>
                      </w:r>
                    </w:p>
                  </w:txbxContent>
                </v:textbox>
                <w10:wrap type="square" side="right"/>
              </v:rect>
            </w:pict>
          </mc:Fallback>
        </mc:AlternateContent>
      </w:r>
    </w:p>
    <w:p>
      <w:pPr>
        <w:pStyle w:val="TextBody"/>
        <w:spacing w:before="0" w:after="0"/>
        <w:ind w:left="960" w:right="0" w:hanging="0"/>
        <w:rPr>
          <w:caps w:val="false"/>
          <w:smallCaps w:val="false"/>
          <w:color w:val="000000"/>
        </w:rPr>
      </w:pPr>
      <w:r>
        <w:rPr>
          <w:caps w:val="false"/>
          <w:smallCaps w:val="false"/>
          <w:color w:val="000000"/>
        </w:rPr>
        <w:t>​</w:t>
      </w:r>
    </w:p>
    <w:p>
      <w:pPr>
        <w:pStyle w:val="TextBody"/>
        <w:spacing w:lineRule="atLeast" w:line="240" w:before="100" w:after="283"/>
        <w:ind w:left="960" w:right="0" w:hanging="0"/>
        <w:jc w:val="righ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1DA46F"/>
          <w:spacing w:val="0"/>
          <w:sz w:val="20"/>
        </w:rPr>
        <w:t>Notice of Annual Meeting of Stockholders</w:t>
      </w:r>
      <w:r>
        <w:rPr>
          <w:rFonts w:ascii="Arial;Helvetica;sans-serif" w:hAnsi="Arial;Helvetica;sans-serif"/>
          <w:b/>
          <w:i w:val="false"/>
          <w:caps w:val="false"/>
          <w:smallCaps w:val="false"/>
          <w:color w:val="000000"/>
          <w:spacing w:val="0"/>
          <w:sz w:val="20"/>
        </w:rPr>
        <w:t> and 2023 Proxy Statement | </w:t>
      </w:r>
      <w:r>
        <w:rPr>
          <w:rFonts w:ascii="Arial;Helvetica;sans-serif" w:hAnsi="Arial;Helvetica;sans-serif"/>
          <w:b w:val="false"/>
          <w:i w:val="false"/>
          <w:caps w:val="false"/>
          <w:smallCaps w:val="false"/>
          <w:color w:val="000000"/>
          <w:spacing w:val="-1"/>
          <w:sz w:val="20"/>
        </w:rPr>
        <w:t>34</w:t>
      </w:r>
      <w:r>
        <w:rPr>
          <w:rFonts w:ascii="Arial;Helvetica;sans-serif" w:hAnsi="Arial;Helvetica;sans-serif"/>
          <w:b/>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53" w:name="tITBV"/>
      <w:bookmarkEnd w:id="53"/>
      <w:r>
        <w:rPr>
          <w:rFonts w:ascii="calibri;arial;sans-serif" w:hAnsi="calibri;arial;sans-serif"/>
          <w:b w:val="false"/>
          <w:i w:val="false"/>
          <w:caps w:val="false"/>
          <w:smallCaps w:val="false"/>
          <w:color w:val="000000"/>
          <w:sz w:val="16"/>
        </w:rPr>
        <w:t>​</w:t>
      </w:r>
      <w:bookmarkStart w:id="54" w:name="tP1EO"/>
      <w:bookmarkEnd w:id="54"/>
      <w:r>
        <w:rPr>
          <w:rFonts w:ascii="calibri;arial;sans-serif" w:hAnsi="calibri;arial;sans-serif"/>
          <w:b w:val="false"/>
          <w:i w:val="false"/>
          <w:caps w:val="false"/>
          <w:smallCaps w:val="false"/>
          <w:color w:val="000000"/>
          <w:sz w:val="16"/>
        </w:rPr>
        <w:t xml:space="preserve">​ </w:t>
      </w:r>
    </w:p>
    <w:tbl>
      <w:tblPr>
        <w:tblW w:w="3194" w:type="dxa"/>
        <w:jc w:val="left"/>
        <w:tblInd w:w="960" w:type="dxa"/>
        <w:tblCellMar>
          <w:top w:w="0" w:type="dxa"/>
          <w:left w:w="0" w:type="dxa"/>
          <w:bottom w:w="0" w:type="dxa"/>
          <w:right w:w="0" w:type="dxa"/>
        </w:tblCellMar>
      </w:tblPr>
      <w:tblGrid>
        <w:gridCol w:w="124"/>
        <w:gridCol w:w="2916"/>
        <w:gridCol w:w="154"/>
      </w:tblGrid>
      <w:tr>
        <w:trPr/>
        <w:tc>
          <w:tcPr>
            <w:tcW w:w="124" w:type="dxa"/>
            <w:tcBorders/>
            <w:shd w:fill="1DA46F" w:val="clear"/>
            <w:vAlign w:val="center"/>
          </w:tcPr>
          <w:p>
            <w:pPr>
              <w:pStyle w:val="TableContents"/>
              <w:spacing w:before="0" w:after="283"/>
              <w:rPr/>
            </w:pPr>
            <w:r>
              <w:rPr/>
              <w:t>​</w:t>
            </w:r>
          </w:p>
        </w:tc>
        <w:tc>
          <w:tcPr>
            <w:tcW w:w="2916" w:type="dxa"/>
            <w:tcBorders/>
            <w:shd w:fill="1DA46F" w:val="clear"/>
            <w:vAlign w:val="center"/>
          </w:tcPr>
          <w:p>
            <w:pPr>
              <w:pStyle w:val="TableContents"/>
              <w:spacing w:lineRule="atLeast" w:line="360" w:before="0" w:after="0"/>
              <w:rPr/>
            </w:pPr>
            <w:r>
              <w:rPr>
                <w:spacing w:val="-5"/>
              </w:rPr>
              <w:t>ITEMS TO BE VOTED ON</w:t>
            </w:r>
            <w:r>
              <w:rPr/>
              <w:t xml:space="preserve"> </w:t>
            </w:r>
          </w:p>
        </w:tc>
        <w:tc>
          <w:tcPr>
            <w:tcW w:w="154" w:type="dxa"/>
            <w:tcBorders/>
            <w:shd w:fill="1DA46F" w:val="clear"/>
            <w:vAlign w:val="center"/>
          </w:tcPr>
          <w:p>
            <w:pPr>
              <w:pStyle w:val="TableContents"/>
              <w:spacing w:before="0" w:after="283"/>
              <w:rPr/>
            </w:pPr>
            <w:r>
              <w:rPr/>
              <w:t>​</w:t>
            </w:r>
          </w:p>
        </w:tc>
      </w:tr>
    </w:tbl>
    <w:p>
      <w:pPr>
        <w:pStyle w:val="TextBody"/>
        <w:spacing w:lineRule="atLeast" w:line="240" w:before="360" w:after="283"/>
        <w:ind w:left="960" w:right="0" w:hanging="0"/>
        <w:jc w:val="both"/>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3"/>
          <w:sz w:val="20"/>
        </w:rPr>
        <w:t>PROPOSAL 1: ELECTION OF CLASS II DIRECTORS FOR A THREE-YEAR TERM EXPIRING IN 2026</w:t>
      </w:r>
      <w:r>
        <w:rPr>
          <w:rFonts w:ascii="Arial;Helvetica;sans-serif" w:hAnsi="Arial;Helvetica;sans-serif"/>
          <w:b/>
          <w:i w:val="false"/>
          <w:caps w:val="false"/>
          <w:smallCaps w:val="false"/>
          <w:color w:val="000000"/>
          <w:spacing w:val="4"/>
          <w:sz w:val="20"/>
        </w:rPr>
        <w:t xml:space="preserve"> </w:t>
      </w:r>
    </w:p>
    <w:p>
      <w:pPr>
        <w:pStyle w:val="TextBody"/>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At the Annual Meeting, our stockholders will vote on the election of three Class II director nominees named in this Proxy Statement as directors, each to serve until our 2026 Annual Meeting of Stockholders and until their respective successors are elected and qualified. Our Board has unanimously nominated Cynthia Butitta, Timothy Walbert and Alessandro Riva, M.D. for election to our Board at the Annual Meeting.</w:t>
      </w:r>
      <w:r>
        <w:rPr>
          <w:rFonts w:ascii="Arial;Helvetica;sans-serif" w:hAnsi="Arial;Helvetica;sans-serif"/>
          <w:b w:val="false"/>
          <w:i w:val="false"/>
          <w:caps w:val="false"/>
          <w:smallCaps w:val="false"/>
          <w:color w:val="000000"/>
          <w:spacing w:val="4"/>
          <w:sz w:val="20"/>
        </w:rPr>
        <w:t xml:space="preserve"> </w:t>
      </w:r>
    </w:p>
    <w:p>
      <w:pPr>
        <w:pStyle w:val="TextBody"/>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Each of the nominees has agreed to be named and to serve, and we expect each nominee to be able to serve if elected. If any nominee is unable to serve, the Nominating and Corporate Governance Committee will recommend to our Board a replacement nominee. The Board may then designate the other nominee to stand for election. If you voted for the unavailable nominee, your vote will be cast for his or her replacement.</w:t>
      </w:r>
      <w:r>
        <w:rPr>
          <w:rFonts w:ascii="Arial;Helvetica;sans-serif" w:hAnsi="Arial;Helvetica;sans-serif"/>
          <w:b w:val="false"/>
          <w:i w:val="false"/>
          <w:caps w:val="false"/>
          <w:smallCaps w:val="false"/>
          <w:color w:val="000000"/>
          <w:spacing w:val="4"/>
          <w:sz w:val="20"/>
        </w:rPr>
        <w:t xml:space="preserve"> </w:t>
      </w:r>
    </w:p>
    <w:tbl>
      <w:tblPr>
        <w:tblW w:w="9245" w:type="dxa"/>
        <w:jc w:val="left"/>
        <w:tblInd w:w="960" w:type="dxa"/>
        <w:tblCellMar>
          <w:top w:w="0" w:type="dxa"/>
          <w:left w:w="0" w:type="dxa"/>
          <w:bottom w:w="0" w:type="dxa"/>
          <w:right w:w="0" w:type="dxa"/>
        </w:tblCellMar>
      </w:tblPr>
      <w:tblGrid>
        <w:gridCol w:w="124"/>
        <w:gridCol w:w="109"/>
        <w:gridCol w:w="8169"/>
        <w:gridCol w:w="109"/>
        <w:gridCol w:w="109"/>
        <w:gridCol w:w="361"/>
        <w:gridCol w:w="109"/>
        <w:gridCol w:w="155"/>
      </w:tblGrid>
      <w:tr>
        <w:trPr/>
        <w:tc>
          <w:tcPr>
            <w:tcW w:w="124" w:type="dxa"/>
            <w:tcBorders/>
            <w:shd w:fill="auto" w:val="clear"/>
            <w:vAlign w:val="center"/>
          </w:tcPr>
          <w:p>
            <w:pPr>
              <w:pStyle w:val="TableContents"/>
              <w:spacing w:before="0" w:after="283"/>
              <w:rPr/>
            </w:pPr>
            <w:r>
              <w:rPr/>
              <w:t>​</w:t>
            </w:r>
          </w:p>
        </w:tc>
        <w:tc>
          <w:tcPr>
            <w:tcW w:w="109" w:type="dxa"/>
            <w:tcBorders>
              <w:bottom w:val="single" w:sz="16" w:space="0" w:color="148CD9"/>
            </w:tcBorders>
            <w:shd w:fill="auto" w:val="clear"/>
            <w:tcMar>
              <w:bottom w:w="28" w:type="dxa"/>
            </w:tcMar>
            <w:vAlign w:val="center"/>
          </w:tcPr>
          <w:p>
            <w:pPr>
              <w:pStyle w:val="TableContents"/>
              <w:spacing w:before="0" w:after="283"/>
              <w:rPr/>
            </w:pPr>
            <w:r>
              <w:rPr/>
              <w:t>​</w:t>
            </w:r>
          </w:p>
        </w:tc>
        <w:tc>
          <w:tcPr>
            <w:tcW w:w="8169" w:type="dxa"/>
            <w:tcBorders>
              <w:bottom w:val="single" w:sz="16" w:space="0" w:color="148CD9"/>
            </w:tcBorders>
            <w:shd w:fill="auto" w:val="clear"/>
            <w:tcMar>
              <w:bottom w:w="60" w:type="dxa"/>
            </w:tcMar>
            <w:vAlign w:val="center"/>
          </w:tcPr>
          <w:p>
            <w:pPr>
              <w:pStyle w:val="TableContents"/>
              <w:spacing w:lineRule="atLeast" w:line="240" w:before="0" w:after="0"/>
              <w:jc w:val="center"/>
              <w:rPr/>
            </w:pPr>
            <w:r>
              <w:rPr>
                <w:spacing w:val="-1"/>
              </w:rPr>
              <w:t xml:space="preserve">OUR BOARD UNANIMOUSLY RECOMMENDS STOCKHOLDERS VOTE </w:t>
            </w:r>
            <w:r>
              <w:rPr>
                <w:b/>
                <w:color w:val="1DA46F"/>
                <w:spacing w:val="-3"/>
              </w:rPr>
              <w:t>FOR</w:t>
            </w:r>
            <w:r>
              <w:rPr>
                <w:spacing w:val="-1"/>
              </w:rPr>
              <w:t xml:space="preserve"> THE </w:t>
            </w:r>
            <w:r>
              <w:rPr/>
              <w:br/>
            </w:r>
            <w:r>
              <w:rPr>
                <w:spacing w:val="-1"/>
              </w:rPr>
              <w:t xml:space="preserve">ELECTION OF CYNTHIA BUTITTA, TIMOTHY WALBERT AND ALESSANDRO RIVA, M.D. </w:t>
            </w:r>
          </w:p>
        </w:tc>
        <w:tc>
          <w:tcPr>
            <w:tcW w:w="109" w:type="dxa"/>
            <w:tcBorders>
              <w:bottom w:val="single" w:sz="16" w:space="0" w:color="148CD9"/>
            </w:tcBorders>
            <w:shd w:fill="auto" w:val="clear"/>
            <w:tcMar>
              <w:bottom w:w="28" w:type="dxa"/>
            </w:tcMar>
            <w:vAlign w:val="center"/>
          </w:tcPr>
          <w:p>
            <w:pPr>
              <w:pStyle w:val="TableContents"/>
              <w:spacing w:before="0" w:after="283"/>
              <w:rPr/>
            </w:pPr>
            <w:r>
              <w:rPr/>
              <w:t>​</w:t>
            </w:r>
          </w:p>
        </w:tc>
        <w:tc>
          <w:tcPr>
            <w:tcW w:w="109" w:type="dxa"/>
            <w:tcBorders>
              <w:bottom w:val="single" w:sz="16" w:space="0" w:color="148CD9"/>
            </w:tcBorders>
            <w:shd w:fill="auto" w:val="clear"/>
            <w:tcMar>
              <w:bottom w:w="28" w:type="dxa"/>
            </w:tcMar>
            <w:vAlign w:val="center"/>
          </w:tcPr>
          <w:p>
            <w:pPr>
              <w:pStyle w:val="TableContents"/>
              <w:spacing w:before="0" w:after="283"/>
              <w:rPr/>
            </w:pPr>
            <w:r>
              <w:rPr/>
              <w:t>​</w:t>
            </w:r>
          </w:p>
        </w:tc>
        <w:tc>
          <w:tcPr>
            <w:tcW w:w="361" w:type="dxa"/>
            <w:tcBorders>
              <w:bottom w:val="single" w:sz="16" w:space="0" w:color="148CD9"/>
            </w:tcBorders>
            <w:shd w:fill="auto" w:val="clear"/>
            <w:tcMar>
              <w:bottom w:w="28" w:type="dxa"/>
            </w:tcMar>
            <w:vAlign w:val="center"/>
          </w:tcPr>
          <w:p>
            <w:pPr>
              <w:pStyle w:val="TableContents"/>
              <w:spacing w:before="0" w:after="0"/>
              <w:jc w:val="left"/>
              <w:rPr>
                <w:color w:val="1DA46F"/>
              </w:rPr>
            </w:pPr>
            <w:r>
              <w:rPr>
                <w:color w:val="1DA46F"/>
                <w:spacing w:val="-2"/>
              </w:rPr>
              <w:t>✓</w:t>
            </w:r>
            <w:r>
              <w:rPr>
                <w:color w:val="1DA46F"/>
              </w:rPr>
              <w:t xml:space="preserve"> </w:t>
            </w:r>
          </w:p>
        </w:tc>
        <w:tc>
          <w:tcPr>
            <w:tcW w:w="109" w:type="dxa"/>
            <w:tcBorders>
              <w:bottom w:val="single" w:sz="16" w:space="0" w:color="148CD9"/>
            </w:tcBorders>
            <w:shd w:fill="auto" w:val="clear"/>
            <w:tcMar>
              <w:bottom w:w="28" w:type="dxa"/>
            </w:tcMar>
            <w:vAlign w:val="center"/>
          </w:tcPr>
          <w:p>
            <w:pPr>
              <w:pStyle w:val="TableContents"/>
              <w:spacing w:before="0" w:after="283"/>
              <w:rPr/>
            </w:pPr>
            <w:r>
              <w:rPr/>
              <w:t>​</w:t>
            </w:r>
          </w:p>
        </w:tc>
        <w:tc>
          <w:tcPr>
            <w:tcW w:w="155" w:type="dxa"/>
            <w:tcBorders/>
            <w:shd w:fill="auto" w:val="clear"/>
            <w:vAlign w:val="center"/>
          </w:tcPr>
          <w:p>
            <w:pPr>
              <w:pStyle w:val="TableContents"/>
              <w:spacing w:before="0" w:after="283"/>
              <w:rPr/>
            </w:pPr>
            <w:r>
              <w:rPr/>
              <w:t>​</w:t>
            </w:r>
          </w:p>
        </w:tc>
      </w:tr>
    </w:tbl>
    <w:p>
      <w:pPr>
        <w:pStyle w:val="TextBody"/>
        <w:spacing w:lineRule="atLeast" w:line="240" w:before="100" w:after="283"/>
        <w:ind w:left="960" w:right="0" w:hanging="0"/>
        <w:jc w:val="righ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1DA46F"/>
          <w:spacing w:val="0"/>
          <w:sz w:val="20"/>
        </w:rPr>
        <w:t>Notice of Annual Meeting of Stockholders</w:t>
      </w:r>
      <w:r>
        <w:rPr>
          <w:rFonts w:ascii="Arial;Helvetica;sans-serif" w:hAnsi="Arial;Helvetica;sans-serif"/>
          <w:b/>
          <w:i w:val="false"/>
          <w:caps w:val="false"/>
          <w:smallCaps w:val="false"/>
          <w:color w:val="000000"/>
          <w:spacing w:val="0"/>
          <w:sz w:val="20"/>
        </w:rPr>
        <w:t> and 2023 Proxy Statement | </w:t>
      </w:r>
      <w:r>
        <w:rPr>
          <w:rFonts w:ascii="Arial;Helvetica;sans-serif" w:hAnsi="Arial;Helvetica;sans-serif"/>
          <w:b w:val="false"/>
          <w:i w:val="false"/>
          <w:caps w:val="false"/>
          <w:smallCaps w:val="false"/>
          <w:color w:val="000000"/>
          <w:spacing w:val="-1"/>
          <w:sz w:val="20"/>
        </w:rPr>
        <w:t>35</w:t>
      </w:r>
      <w:r>
        <w:rPr>
          <w:rFonts w:ascii="Arial;Helvetica;sans-serif" w:hAnsi="Arial;Helvetica;sans-serif"/>
          <w:b/>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55" w:name="tP2RO"/>
      <w:bookmarkEnd w:id="55"/>
      <w:r>
        <w:rPr>
          <w:rFonts w:ascii="calibri;arial;sans-serif" w:hAnsi="calibri;arial;sans-serif"/>
          <w:b w:val="false"/>
          <w:i w:val="false"/>
          <w:caps w:val="false"/>
          <w:smallCaps w:val="false"/>
          <w:color w:val="000000"/>
          <w:sz w:val="16"/>
        </w:rPr>
        <w:t xml:space="preserve">​ </w:t>
      </w:r>
    </w:p>
    <w:tbl>
      <w:tblPr>
        <w:tblW w:w="3194" w:type="dxa"/>
        <w:jc w:val="left"/>
        <w:tblInd w:w="960" w:type="dxa"/>
        <w:tblCellMar>
          <w:top w:w="0" w:type="dxa"/>
          <w:left w:w="0" w:type="dxa"/>
          <w:bottom w:w="0" w:type="dxa"/>
          <w:right w:w="0" w:type="dxa"/>
        </w:tblCellMar>
      </w:tblPr>
      <w:tblGrid>
        <w:gridCol w:w="124"/>
        <w:gridCol w:w="2916"/>
        <w:gridCol w:w="154"/>
      </w:tblGrid>
      <w:tr>
        <w:trPr/>
        <w:tc>
          <w:tcPr>
            <w:tcW w:w="124" w:type="dxa"/>
            <w:tcBorders/>
            <w:shd w:fill="1DA46F" w:val="clear"/>
            <w:vAlign w:val="center"/>
          </w:tcPr>
          <w:p>
            <w:pPr>
              <w:pStyle w:val="TableContents"/>
              <w:spacing w:before="0" w:after="283"/>
              <w:rPr/>
            </w:pPr>
            <w:r>
              <w:rPr/>
              <w:t>​</w:t>
            </w:r>
          </w:p>
        </w:tc>
        <w:tc>
          <w:tcPr>
            <w:tcW w:w="2916" w:type="dxa"/>
            <w:tcBorders/>
            <w:shd w:fill="1DA46F" w:val="clear"/>
            <w:vAlign w:val="center"/>
          </w:tcPr>
          <w:p>
            <w:pPr>
              <w:pStyle w:val="TableContents"/>
              <w:spacing w:lineRule="atLeast" w:line="360" w:before="0" w:after="0"/>
              <w:rPr/>
            </w:pPr>
            <w:r>
              <w:rPr>
                <w:spacing w:val="-5"/>
              </w:rPr>
              <w:t>ITEMS TO BE VOTED ON</w:t>
            </w:r>
            <w:r>
              <w:rPr/>
              <w:t xml:space="preserve"> </w:t>
            </w:r>
          </w:p>
        </w:tc>
        <w:tc>
          <w:tcPr>
            <w:tcW w:w="154" w:type="dxa"/>
            <w:tcBorders/>
            <w:shd w:fill="1DA46F" w:val="clear"/>
            <w:vAlign w:val="center"/>
          </w:tcPr>
          <w:p>
            <w:pPr>
              <w:pStyle w:val="TableContents"/>
              <w:spacing w:before="0" w:after="283"/>
              <w:rPr/>
            </w:pPr>
            <w:r>
              <w:rPr/>
              <w:t>​</w:t>
            </w:r>
          </w:p>
        </w:tc>
      </w:tr>
    </w:tbl>
    <w:p>
      <w:pPr>
        <w:pStyle w:val="TextBody"/>
        <w:spacing w:lineRule="atLeast" w:line="240" w:before="360" w:after="283"/>
        <w:ind w:left="960" w:right="0" w:hanging="0"/>
        <w:jc w:val="both"/>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3"/>
          <w:sz w:val="20"/>
        </w:rPr>
        <w:t>PROPOSAL 2: RATIFICATION OF APPOINTMENT OF ERNST &amp; YOUNG LLP AS OUR INDEPENDENT REGISTERED PUBLIC ACCOUNTING FIRM FOR 2023</w:t>
      </w:r>
      <w:r>
        <w:rPr>
          <w:rFonts w:ascii="Arial;Helvetica;sans-serif" w:hAnsi="Arial;Helvetica;sans-serif"/>
          <w:b/>
          <w:i w:val="false"/>
          <w:caps w:val="false"/>
          <w:smallCaps w:val="false"/>
          <w:color w:val="000000"/>
          <w:spacing w:val="4"/>
          <w:sz w:val="20"/>
        </w:rPr>
        <w:t xml:space="preserve"> </w:t>
      </w:r>
    </w:p>
    <w:p>
      <w:pPr>
        <w:pStyle w:val="TextBody"/>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The Audit Committee of the Board has appointed and engaged EY to serve as our independent registered public accounting firm to audit the consolidated financial statements of the Company and our subsidiary for the 2023 fiscal year, and to perform audit-related services. EY has served as our independent registered public accounting firm since 2019.</w:t>
      </w:r>
      <w:r>
        <w:rPr>
          <w:rFonts w:ascii="Arial;Helvetica;sans-serif" w:hAnsi="Arial;Helvetica;sans-serif"/>
          <w:b w:val="false"/>
          <w:i w:val="false"/>
          <w:caps w:val="false"/>
          <w:smallCaps w:val="false"/>
          <w:color w:val="000000"/>
          <w:spacing w:val="4"/>
          <w:sz w:val="20"/>
        </w:rPr>
        <w:t xml:space="preserve"> </w:t>
      </w:r>
    </w:p>
    <w:p>
      <w:pPr>
        <w:pStyle w:val="TextBody"/>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Stockholders are hereby asked to ratify the Audit Committee’s appointment of EY as our independent registered public accounting firm for the 2023 fiscal year.</w:t>
      </w:r>
      <w:r>
        <w:rPr>
          <w:rFonts w:ascii="Arial;Helvetica;sans-serif" w:hAnsi="Arial;Helvetica;sans-serif"/>
          <w:b w:val="false"/>
          <w:i w:val="false"/>
          <w:caps w:val="false"/>
          <w:smallCaps w:val="false"/>
          <w:color w:val="000000"/>
          <w:spacing w:val="4"/>
          <w:sz w:val="20"/>
        </w:rPr>
        <w:t xml:space="preserve"> </w:t>
      </w:r>
    </w:p>
    <w:p>
      <w:pPr>
        <w:pStyle w:val="TextBody"/>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The Audit Committee is solely responsible for selecting our independent auditors. Although stockholder ratification of the appointment of EY to serve as our independent registered public accounting firm is not required by law or our organizational documents, the Board has determined that it is desirable to seek stockholder ratification as a matter of good corporate governance in view of the critical role played by independent registered public accounting firms in maintaining the integrity of financial controls and reporting. If the stockholders do not ratify the appointment of EY, the Audit Committee will reconsider its selection and whether to engage an alternative independent registered public accounting firm.</w:t>
      </w:r>
      <w:r>
        <w:rPr>
          <w:rFonts w:ascii="Arial;Helvetica;sans-serif" w:hAnsi="Arial;Helvetica;sans-serif"/>
          <w:b w:val="false"/>
          <w:i w:val="false"/>
          <w:caps w:val="false"/>
          <w:smallCaps w:val="false"/>
          <w:color w:val="000000"/>
          <w:spacing w:val="4"/>
          <w:sz w:val="20"/>
        </w:rPr>
        <w:t xml:space="preserve"> </w:t>
      </w:r>
    </w:p>
    <w:p>
      <w:pPr>
        <w:pStyle w:val="TextBody"/>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Representatives of EY are expected to virtually attend the Annual Meeting where they will be available to respond to appropriate questions and, if they desire, to make a statement.</w:t>
      </w:r>
      <w:r>
        <w:rPr>
          <w:rFonts w:ascii="Arial;Helvetica;sans-serif" w:hAnsi="Arial;Helvetica;sans-serif"/>
          <w:b w:val="false"/>
          <w:i w:val="false"/>
          <w:caps w:val="false"/>
          <w:smallCaps w:val="false"/>
          <w:color w:val="000000"/>
          <w:spacing w:val="4"/>
          <w:sz w:val="20"/>
        </w:rPr>
        <w:t xml:space="preserve"> </w:t>
      </w:r>
    </w:p>
    <w:tbl>
      <w:tblPr>
        <w:tblW w:w="9245" w:type="dxa"/>
        <w:jc w:val="left"/>
        <w:tblInd w:w="960" w:type="dxa"/>
        <w:tblCellMar>
          <w:top w:w="0" w:type="dxa"/>
          <w:left w:w="0" w:type="dxa"/>
          <w:bottom w:w="0" w:type="dxa"/>
          <w:right w:w="0" w:type="dxa"/>
        </w:tblCellMar>
      </w:tblPr>
      <w:tblGrid>
        <w:gridCol w:w="124"/>
        <w:gridCol w:w="109"/>
        <w:gridCol w:w="8166"/>
        <w:gridCol w:w="109"/>
        <w:gridCol w:w="109"/>
        <w:gridCol w:w="364"/>
        <w:gridCol w:w="109"/>
        <w:gridCol w:w="155"/>
      </w:tblGrid>
      <w:tr>
        <w:trPr/>
        <w:tc>
          <w:tcPr>
            <w:tcW w:w="124" w:type="dxa"/>
            <w:tcBorders/>
            <w:shd w:fill="auto" w:val="clear"/>
            <w:vAlign w:val="center"/>
          </w:tcPr>
          <w:p>
            <w:pPr>
              <w:pStyle w:val="TableContents"/>
              <w:spacing w:before="0" w:after="283"/>
              <w:rPr/>
            </w:pPr>
            <w:r>
              <w:rPr/>
              <w:t>​</w:t>
            </w:r>
          </w:p>
        </w:tc>
        <w:tc>
          <w:tcPr>
            <w:tcW w:w="109" w:type="dxa"/>
            <w:tcBorders>
              <w:bottom w:val="single" w:sz="16" w:space="0" w:color="148CD9"/>
            </w:tcBorders>
            <w:shd w:fill="auto" w:val="clear"/>
            <w:tcMar>
              <w:bottom w:w="28" w:type="dxa"/>
            </w:tcMar>
            <w:vAlign w:val="center"/>
          </w:tcPr>
          <w:p>
            <w:pPr>
              <w:pStyle w:val="TableContents"/>
              <w:spacing w:before="0" w:after="283"/>
              <w:rPr/>
            </w:pPr>
            <w:r>
              <w:rPr/>
              <w:t>​</w:t>
            </w:r>
          </w:p>
        </w:tc>
        <w:tc>
          <w:tcPr>
            <w:tcW w:w="8166" w:type="dxa"/>
            <w:tcBorders>
              <w:bottom w:val="single" w:sz="16" w:space="0" w:color="148CD9"/>
            </w:tcBorders>
            <w:shd w:fill="auto" w:val="clear"/>
            <w:tcMar>
              <w:bottom w:w="60" w:type="dxa"/>
            </w:tcMar>
            <w:vAlign w:val="center"/>
          </w:tcPr>
          <w:p>
            <w:pPr>
              <w:pStyle w:val="TableContents"/>
              <w:spacing w:lineRule="atLeast" w:line="240" w:before="0" w:after="0"/>
              <w:jc w:val="center"/>
              <w:rPr/>
            </w:pPr>
            <w:r>
              <w:rPr>
                <w:spacing w:val="-1"/>
              </w:rPr>
              <w:t xml:space="preserve">THE BOARD UNANIMOUSLY RECOMMENDS A VOTE </w:t>
            </w:r>
            <w:r>
              <w:rPr>
                <w:b/>
                <w:color w:val="1DA46F"/>
                <w:spacing w:val="-3"/>
              </w:rPr>
              <w:t>FOR</w:t>
            </w:r>
            <w:r>
              <w:rPr>
                <w:spacing w:val="-1"/>
              </w:rPr>
              <w:t xml:space="preserve"> THE RATIFICATION OF </w:t>
            </w:r>
            <w:r>
              <w:rPr/>
              <w:br/>
            </w:r>
            <w:r>
              <w:rPr>
                <w:spacing w:val="-1"/>
              </w:rPr>
              <w:t xml:space="preserve">ERNST &amp; YOUNG LLP AS INDEPENDENT REGISTERED PUBLIC ACCOUNTING FIRM </w:t>
            </w:r>
            <w:r>
              <w:rPr/>
              <w:br/>
            </w:r>
            <w:r>
              <w:rPr>
                <w:spacing w:val="-1"/>
              </w:rPr>
              <w:t xml:space="preserve">FOR THE COMPANY FOR THE FISCAL YEAR ENDING DECEMBER 31, 2023. </w:t>
            </w:r>
          </w:p>
        </w:tc>
        <w:tc>
          <w:tcPr>
            <w:tcW w:w="109" w:type="dxa"/>
            <w:tcBorders>
              <w:bottom w:val="single" w:sz="16" w:space="0" w:color="148CD9"/>
            </w:tcBorders>
            <w:shd w:fill="auto" w:val="clear"/>
            <w:tcMar>
              <w:bottom w:w="28" w:type="dxa"/>
            </w:tcMar>
            <w:vAlign w:val="center"/>
          </w:tcPr>
          <w:p>
            <w:pPr>
              <w:pStyle w:val="TableContents"/>
              <w:spacing w:before="0" w:after="283"/>
              <w:rPr/>
            </w:pPr>
            <w:r>
              <w:rPr/>
              <w:t>​</w:t>
            </w:r>
          </w:p>
        </w:tc>
        <w:tc>
          <w:tcPr>
            <w:tcW w:w="109" w:type="dxa"/>
            <w:tcBorders>
              <w:bottom w:val="single" w:sz="16" w:space="0" w:color="148CD9"/>
            </w:tcBorders>
            <w:shd w:fill="auto" w:val="clear"/>
            <w:tcMar>
              <w:bottom w:w="28" w:type="dxa"/>
            </w:tcMar>
            <w:vAlign w:val="center"/>
          </w:tcPr>
          <w:p>
            <w:pPr>
              <w:pStyle w:val="TableContents"/>
              <w:spacing w:before="0" w:after="283"/>
              <w:rPr/>
            </w:pPr>
            <w:r>
              <w:rPr/>
              <w:t>​</w:t>
            </w:r>
          </w:p>
        </w:tc>
        <w:tc>
          <w:tcPr>
            <w:tcW w:w="364" w:type="dxa"/>
            <w:tcBorders>
              <w:bottom w:val="single" w:sz="16" w:space="0" w:color="148CD9"/>
            </w:tcBorders>
            <w:shd w:fill="auto" w:val="clear"/>
            <w:tcMar>
              <w:bottom w:w="28" w:type="dxa"/>
            </w:tcMar>
            <w:vAlign w:val="center"/>
          </w:tcPr>
          <w:p>
            <w:pPr>
              <w:pStyle w:val="TableContents"/>
              <w:spacing w:before="0" w:after="0"/>
              <w:jc w:val="left"/>
              <w:rPr>
                <w:color w:val="1DA46F"/>
              </w:rPr>
            </w:pPr>
            <w:r>
              <w:rPr>
                <w:color w:val="1DA46F"/>
                <w:spacing w:val="-2"/>
              </w:rPr>
              <w:t>✓</w:t>
            </w:r>
            <w:r>
              <w:rPr>
                <w:color w:val="1DA46F"/>
              </w:rPr>
              <w:t xml:space="preserve"> </w:t>
            </w:r>
          </w:p>
        </w:tc>
        <w:tc>
          <w:tcPr>
            <w:tcW w:w="109" w:type="dxa"/>
            <w:tcBorders>
              <w:bottom w:val="single" w:sz="16" w:space="0" w:color="148CD9"/>
            </w:tcBorders>
            <w:shd w:fill="auto" w:val="clear"/>
            <w:tcMar>
              <w:bottom w:w="28" w:type="dxa"/>
            </w:tcMar>
            <w:vAlign w:val="center"/>
          </w:tcPr>
          <w:p>
            <w:pPr>
              <w:pStyle w:val="TableContents"/>
              <w:spacing w:before="0" w:after="283"/>
              <w:rPr/>
            </w:pPr>
            <w:r>
              <w:rPr/>
              <w:t>​</w:t>
            </w:r>
          </w:p>
        </w:tc>
        <w:tc>
          <w:tcPr>
            <w:tcW w:w="155" w:type="dxa"/>
            <w:tcBorders/>
            <w:shd w:fill="auto" w:val="clear"/>
            <w:vAlign w:val="center"/>
          </w:tcPr>
          <w:p>
            <w:pPr>
              <w:pStyle w:val="TableContents"/>
              <w:spacing w:before="0" w:after="283"/>
              <w:rPr/>
            </w:pPr>
            <w:r>
              <w:rPr/>
              <w:t>​</w:t>
            </w:r>
          </w:p>
        </w:tc>
      </w:tr>
    </w:tbl>
    <w:p>
      <w:pPr>
        <w:pStyle w:val="TextBody"/>
        <w:spacing w:lineRule="atLeast" w:line="240" w:before="100" w:after="283"/>
        <w:ind w:left="960" w:right="0" w:hanging="0"/>
        <w:jc w:val="righ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1DA46F"/>
          <w:spacing w:val="0"/>
          <w:sz w:val="20"/>
        </w:rPr>
        <w:t>Notice of Annual Meeting of Stockholders</w:t>
      </w:r>
      <w:r>
        <w:rPr>
          <w:rFonts w:ascii="Arial;Helvetica;sans-serif" w:hAnsi="Arial;Helvetica;sans-serif"/>
          <w:b/>
          <w:i w:val="false"/>
          <w:caps w:val="false"/>
          <w:smallCaps w:val="false"/>
          <w:color w:val="000000"/>
          <w:spacing w:val="0"/>
          <w:sz w:val="20"/>
        </w:rPr>
        <w:t> and 2023 Proxy Statement | </w:t>
      </w:r>
      <w:r>
        <w:rPr>
          <w:rFonts w:ascii="Arial;Helvetica;sans-serif" w:hAnsi="Arial;Helvetica;sans-serif"/>
          <w:b w:val="false"/>
          <w:i w:val="false"/>
          <w:caps w:val="false"/>
          <w:smallCaps w:val="false"/>
          <w:color w:val="000000"/>
          <w:spacing w:val="-1"/>
          <w:sz w:val="20"/>
        </w:rPr>
        <w:t>36</w:t>
      </w:r>
      <w:r>
        <w:rPr>
          <w:rFonts w:ascii="Arial;Helvetica;sans-serif" w:hAnsi="Arial;Helvetica;sans-serif"/>
          <w:b/>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56" w:name="tOTIN"/>
      <w:bookmarkEnd w:id="56"/>
      <w:r>
        <w:rPr>
          <w:rFonts w:ascii="calibri;arial;sans-serif" w:hAnsi="calibri;arial;sans-serif"/>
          <w:b w:val="false"/>
          <w:i w:val="false"/>
          <w:caps w:val="false"/>
          <w:smallCaps w:val="false"/>
          <w:color w:val="000000"/>
          <w:sz w:val="16"/>
        </w:rPr>
        <w:t>​</w:t>
      </w:r>
      <w:bookmarkStart w:id="57" w:name="tOTMA"/>
      <w:bookmarkEnd w:id="57"/>
      <w:r>
        <w:rPr>
          <w:rFonts w:ascii="calibri;arial;sans-serif" w:hAnsi="calibri;arial;sans-serif"/>
          <w:b w:val="false"/>
          <w:i w:val="false"/>
          <w:caps w:val="false"/>
          <w:smallCaps w:val="false"/>
          <w:color w:val="000000"/>
          <w:sz w:val="16"/>
        </w:rPr>
        <w:t>​</w:t>
      </w:r>
      <w:bookmarkStart w:id="58" w:name="tRFSO"/>
      <w:bookmarkEnd w:id="58"/>
      <w:r>
        <w:rPr>
          <w:rFonts w:ascii="calibri;arial;sans-serif" w:hAnsi="calibri;arial;sans-serif"/>
          <w:b w:val="false"/>
          <w:i w:val="false"/>
          <w:caps w:val="false"/>
          <w:smallCaps w:val="false"/>
          <w:color w:val="000000"/>
          <w:sz w:val="16"/>
        </w:rPr>
        <w:t>​</w:t>
      </w:r>
      <w:bookmarkStart w:id="59" w:name="tSCTT"/>
      <w:bookmarkEnd w:id="59"/>
      <w:r>
        <w:rPr>
          <w:rFonts w:ascii="calibri;arial;sans-serif" w:hAnsi="calibri;arial;sans-serif"/>
          <w:b w:val="false"/>
          <w:i w:val="false"/>
          <w:caps w:val="false"/>
          <w:smallCaps w:val="false"/>
          <w:color w:val="000000"/>
          <w:sz w:val="16"/>
        </w:rPr>
        <w:t xml:space="preserve">​ </w:t>
      </w:r>
    </w:p>
    <w:tbl>
      <w:tblPr>
        <w:tblW w:w="2969" w:type="dxa"/>
        <w:jc w:val="left"/>
        <w:tblInd w:w="960" w:type="dxa"/>
        <w:tblCellMar>
          <w:top w:w="0" w:type="dxa"/>
          <w:left w:w="0" w:type="dxa"/>
          <w:bottom w:w="0" w:type="dxa"/>
          <w:right w:w="0" w:type="dxa"/>
        </w:tblCellMar>
      </w:tblPr>
      <w:tblGrid>
        <w:gridCol w:w="124"/>
        <w:gridCol w:w="2691"/>
        <w:gridCol w:w="154"/>
      </w:tblGrid>
      <w:tr>
        <w:trPr/>
        <w:tc>
          <w:tcPr>
            <w:tcW w:w="124" w:type="dxa"/>
            <w:tcBorders/>
            <w:shd w:fill="1DA46F" w:val="clear"/>
            <w:vAlign w:val="center"/>
          </w:tcPr>
          <w:p>
            <w:pPr>
              <w:pStyle w:val="TableContents"/>
              <w:spacing w:before="0" w:after="283"/>
              <w:rPr/>
            </w:pPr>
            <w:r>
              <w:rPr/>
              <w:t>​</w:t>
            </w:r>
          </w:p>
        </w:tc>
        <w:tc>
          <w:tcPr>
            <w:tcW w:w="2691" w:type="dxa"/>
            <w:tcBorders/>
            <w:shd w:fill="1DA46F" w:val="clear"/>
            <w:vAlign w:val="center"/>
          </w:tcPr>
          <w:p>
            <w:pPr>
              <w:pStyle w:val="TableContents"/>
              <w:spacing w:lineRule="atLeast" w:line="360" w:before="0" w:after="0"/>
              <w:rPr/>
            </w:pPr>
            <w:r>
              <w:rPr>
                <w:spacing w:val="-5"/>
              </w:rPr>
              <w:t>OTHER INFORMATION</w:t>
            </w:r>
            <w:r>
              <w:rPr/>
              <w:t xml:space="preserve"> </w:t>
            </w:r>
          </w:p>
        </w:tc>
        <w:tc>
          <w:tcPr>
            <w:tcW w:w="154" w:type="dxa"/>
            <w:tcBorders/>
            <w:shd w:fill="1DA46F" w:val="clear"/>
            <w:vAlign w:val="center"/>
          </w:tcPr>
          <w:p>
            <w:pPr>
              <w:pStyle w:val="TableContents"/>
              <w:spacing w:before="0" w:after="283"/>
              <w:rPr/>
            </w:pPr>
            <w:r>
              <w:rPr/>
              <w:t>​</w:t>
            </w:r>
          </w:p>
        </w:tc>
      </w:tr>
    </w:tbl>
    <w:p>
      <w:pPr>
        <w:pStyle w:val="TextBody"/>
        <w:spacing w:lineRule="atLeast" w:line="240" w:before="360" w:after="283"/>
        <w:ind w:left="960" w:right="0" w:hanging="0"/>
        <w:jc w:val="both"/>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3"/>
          <w:sz w:val="20"/>
        </w:rPr>
        <w:t>OTHER MATTERS</w:t>
      </w:r>
      <w:r>
        <w:rPr>
          <w:rFonts w:ascii="Arial;Helvetica;sans-serif" w:hAnsi="Arial;Helvetica;sans-serif"/>
          <w:b/>
          <w:i w:val="false"/>
          <w:caps w:val="false"/>
          <w:smallCaps w:val="false"/>
          <w:color w:val="000000"/>
          <w:spacing w:val="4"/>
          <w:sz w:val="20"/>
        </w:rPr>
        <w:t xml:space="preserve"> </w:t>
      </w:r>
    </w:p>
    <w:p>
      <w:pPr>
        <w:pStyle w:val="TextBody"/>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The Annual Meeting is called for the purposes set forth in the Notice. Our Board does not know of any other matters to be considered by the stockholders at the Annual Meeting, other than the matters described in the Notice. However, the enclosed proxy confers discretionary authority on the persons named in the proxy card with respect to matters that may properly come before the Annual Meeting and that are not known to our Board at the date this Proxy Statement was printed. It is the intention of the persons named in the proxy card to vote in accordance with their best judgment on any such matter.</w:t>
      </w:r>
      <w:r>
        <w:rPr>
          <w:rFonts w:ascii="Arial;Helvetica;sans-serif" w:hAnsi="Arial;Helvetica;sans-serif"/>
          <w:b w:val="false"/>
          <w:i w:val="false"/>
          <w:caps w:val="false"/>
          <w:smallCaps w:val="false"/>
          <w:color w:val="000000"/>
          <w:spacing w:val="4"/>
          <w:sz w:val="20"/>
        </w:rPr>
        <w:t xml:space="preserve"> </w:t>
      </w:r>
    </w:p>
    <w:p>
      <w:pPr>
        <w:pStyle w:val="TextBody"/>
        <w:spacing w:lineRule="atLeast" w:line="240" w:before="240" w:after="283"/>
        <w:jc w:val="both"/>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3"/>
          <w:sz w:val="20"/>
        </w:rPr>
        <w:t>REQUIREMENTS FOR SUBMISSION OF STOCKHOLDER PROPOSALS FOR NEXT YEAR’S ANNUAL MEETING</w:t>
      </w:r>
      <w:r>
        <w:rPr>
          <w:rFonts w:ascii="Arial;Helvetica;sans-serif" w:hAnsi="Arial;Helvetica;sans-serif"/>
          <w:b/>
          <w:i w:val="false"/>
          <w:caps w:val="false"/>
          <w:smallCaps w:val="false"/>
          <w:color w:val="000000"/>
          <w:spacing w:val="4"/>
          <w:sz w:val="20"/>
        </w:rPr>
        <w:t xml:space="preserve"> </w:t>
      </w:r>
    </w:p>
    <w:p>
      <w:pPr>
        <w:pStyle w:val="TextBody"/>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Stockholders intending to present a proposal to be considered for inclusion in the proxy statement for our 2024 Annual Meeting of Stockholders must submit a proposal that is received at our principal executive offices no later than December 30, 2023, which is the 120</w:t>
      </w:r>
      <w:r>
        <w:rPr>
          <w:rFonts w:ascii="Arial;Helvetica;sans-serif" w:hAnsi="Arial;Helvetica;sans-serif"/>
          <w:b w:val="false"/>
          <w:i w:val="false"/>
          <w:caps w:val="false"/>
          <w:smallCaps w:val="false"/>
          <w:color w:val="000000"/>
          <w:spacing w:val="0"/>
          <w:sz w:val="15"/>
        </w:rPr>
        <w:t>th</w:t>
      </w:r>
      <w:r>
        <w:rPr>
          <w:rFonts w:ascii="Arial;Helvetica;sans-serif" w:hAnsi="Arial;Helvetica;sans-serif"/>
          <w:b w:val="false"/>
          <w:i w:val="false"/>
          <w:caps w:val="false"/>
          <w:smallCaps w:val="false"/>
          <w:color w:val="000000"/>
          <w:spacing w:val="-1"/>
          <w:sz w:val="20"/>
        </w:rPr>
        <w:t xml:space="preserve"> day prior to the first anniversary we released this Proxy Statement to our stockholders for the 2023 Annual Meeting of Stockholders. Proposals must be sent via registered, certified, or express mail (or other means that allows the stockholder to determine when the proposal was received by the Secretary) to our Secretary at Century Therapeutics, Inc., 3675 Market Street, Philadelphia, PA 19104. Proposals must contain the information required under our Bylaws, a copy of which is available upon request to our Secretary, and also must comply with the SEC’s regulations regarding the inclusion of stockholder proposals in Company-sponsored proxy materials.</w:t>
      </w:r>
      <w:r>
        <w:rPr>
          <w:rFonts w:ascii="Arial;Helvetica;sans-serif" w:hAnsi="Arial;Helvetica;sans-serif"/>
          <w:b w:val="false"/>
          <w:i w:val="false"/>
          <w:caps w:val="false"/>
          <w:smallCaps w:val="false"/>
          <w:color w:val="000000"/>
          <w:spacing w:val="4"/>
          <w:sz w:val="20"/>
        </w:rPr>
        <w:t xml:space="preserve"> </w:t>
      </w:r>
    </w:p>
    <w:p>
      <w:pPr>
        <w:pStyle w:val="TextBody"/>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Stockholders intending to present a proposal or nominate a director for election at our 2024 Annual Meeting of Stockholders without having the proposal or nomination included in our Proxy Statement must comply with the requirements set forth in our Bylaws. Our Bylaws require, among other things, that the Secretary of the Company receive the proposal or nomination no earlier than the close of business on the 120</w:t>
      </w:r>
      <w:r>
        <w:rPr>
          <w:rFonts w:ascii="Arial;Helvetica;sans-serif" w:hAnsi="Arial;Helvetica;sans-serif"/>
          <w:b w:val="false"/>
          <w:i w:val="false"/>
          <w:caps w:val="false"/>
          <w:smallCaps w:val="false"/>
          <w:color w:val="000000"/>
          <w:spacing w:val="0"/>
          <w:sz w:val="15"/>
        </w:rPr>
        <w:t>th</w:t>
      </w:r>
      <w:r>
        <w:rPr>
          <w:rFonts w:ascii="Arial;Helvetica;sans-serif" w:hAnsi="Arial;Helvetica;sans-serif"/>
          <w:b w:val="false"/>
          <w:i w:val="false"/>
          <w:caps w:val="false"/>
          <w:smallCaps w:val="false"/>
          <w:color w:val="000000"/>
          <w:spacing w:val="-1"/>
          <w:sz w:val="20"/>
        </w:rPr>
        <w:t xml:space="preserve"> day, and no later than the close of business on the 90</w:t>
      </w:r>
      <w:r>
        <w:rPr>
          <w:rFonts w:ascii="Arial;Helvetica;sans-serif" w:hAnsi="Arial;Helvetica;sans-serif"/>
          <w:b w:val="false"/>
          <w:i w:val="false"/>
          <w:caps w:val="false"/>
          <w:smallCaps w:val="false"/>
          <w:color w:val="000000"/>
          <w:spacing w:val="0"/>
          <w:sz w:val="15"/>
        </w:rPr>
        <w:t>th</w:t>
      </w:r>
      <w:r>
        <w:rPr>
          <w:rFonts w:ascii="Arial;Helvetica;sans-serif" w:hAnsi="Arial;Helvetica;sans-serif"/>
          <w:b w:val="false"/>
          <w:i w:val="false"/>
          <w:caps w:val="false"/>
          <w:smallCaps w:val="false"/>
          <w:color w:val="000000"/>
          <w:spacing w:val="-1"/>
          <w:sz w:val="20"/>
        </w:rPr>
        <w:t xml:space="preserve"> day, prior to the first anniversary of the preceding year’s annual meeting. Accordingly, for our 2024 Annual Meeting of Stockholders, our Secretary must receive the proposal or nomination no earlier than February 28, 2024 and no later than the close of business on March 29, 2024. However, if we change the date of the 2024 Annual Meeting of Stockholders by more than 30 days before or 60 days after the anniversary of this year’s Annual Meeting, stockholder proposals must be received no later than the close of business on the later of the 90</w:t>
      </w:r>
      <w:r>
        <w:rPr>
          <w:rFonts w:ascii="Arial;Helvetica;sans-serif" w:hAnsi="Arial;Helvetica;sans-serif"/>
          <w:b w:val="false"/>
          <w:i w:val="false"/>
          <w:caps w:val="false"/>
          <w:smallCaps w:val="false"/>
          <w:color w:val="000000"/>
          <w:spacing w:val="0"/>
          <w:sz w:val="15"/>
        </w:rPr>
        <w:t>th</w:t>
      </w:r>
      <w:r>
        <w:rPr>
          <w:rFonts w:ascii="Arial;Helvetica;sans-serif" w:hAnsi="Arial;Helvetica;sans-serif"/>
          <w:b w:val="false"/>
          <w:i w:val="false"/>
          <w:caps w:val="false"/>
          <w:smallCaps w:val="false"/>
          <w:color w:val="000000"/>
          <w:spacing w:val="-1"/>
          <w:sz w:val="20"/>
        </w:rPr>
        <w:t xml:space="preserve"> day prior to the scheduled date of the meeting and the tenth day following the day on which public notice of the meeting was first made. Proposals must contain the information required under our Bylaws, a copy of which is available upon request to our Secretary. If the stockholder does not meet the applicable deadlines or comply with the requirements of SEC Rule 14a-4, we may exercise discretionary voting authority under proxies we solicit to vote, in accordance with our best judgment, on any such proposal. In addition, to comply with the universal proxy rules, stockholders who intend to solicit proxies in support of director nominees other than the Company’s nominees must provide notice that sets forth the information required by Rule 14a-19 under the Securities Exchange Act of 1934 no later than April 28, 2024.</w:t>
      </w:r>
      <w:r>
        <w:rPr>
          <w:rFonts w:ascii="Arial;Helvetica;sans-serif" w:hAnsi="Arial;Helvetica;sans-serif"/>
          <w:b w:val="false"/>
          <w:i w:val="false"/>
          <w:caps w:val="false"/>
          <w:smallCaps w:val="false"/>
          <w:color w:val="000000"/>
          <w:spacing w:val="4"/>
          <w:sz w:val="20"/>
        </w:rPr>
        <w:t xml:space="preserve"> </w:t>
      </w:r>
    </w:p>
    <w:p>
      <w:pPr>
        <w:pStyle w:val="TextBody"/>
        <w:spacing w:lineRule="atLeast" w:line="240" w:before="240" w:after="283"/>
        <w:jc w:val="both"/>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3"/>
          <w:sz w:val="20"/>
        </w:rPr>
        <w:t>STOCKHOLDER COMMUNICATIONS TO THE BOARD</w:t>
      </w:r>
      <w:r>
        <w:rPr>
          <w:rFonts w:ascii="Arial;Helvetica;sans-serif" w:hAnsi="Arial;Helvetica;sans-serif"/>
          <w:b/>
          <w:i w:val="false"/>
          <w:caps w:val="false"/>
          <w:smallCaps w:val="false"/>
          <w:color w:val="000000"/>
          <w:spacing w:val="4"/>
          <w:sz w:val="20"/>
        </w:rPr>
        <w:t xml:space="preserve"> </w:t>
      </w:r>
    </w:p>
    <w:p>
      <w:pPr>
        <w:pStyle w:val="TextBody"/>
        <w:spacing w:lineRule="atLeast" w:line="240" w:before="160" w:after="283"/>
        <w:jc w:val="both"/>
        <w:rPr>
          <w:rFonts w:ascii="Arial;Helvetica;sans-serif" w:hAnsi="Arial;Helvetica;sans-serif"/>
          <w:b w:val="false"/>
          <w:i w:val="false"/>
          <w:caps w:val="false"/>
          <w:smallCaps w:val="false"/>
          <w:color w:val="000000"/>
          <w:spacing w:val="-1"/>
          <w:sz w:val="20"/>
        </w:rPr>
      </w:pPr>
      <w:r>
        <w:rPr>
          <w:rFonts w:ascii="Arial;Helvetica;sans-serif" w:hAnsi="Arial;Helvetica;sans-serif"/>
          <w:b w:val="false"/>
          <w:i w:val="false"/>
          <w:caps w:val="false"/>
          <w:smallCaps w:val="false"/>
          <w:color w:val="000000"/>
          <w:spacing w:val="-1"/>
          <w:sz w:val="20"/>
        </w:rPr>
        <w:t xml:space="preserve">Stockholders and other interested parties may communicate with the Board by writing to the Secretary, Century Therapeutics, Inc., 3675 Market Street, Philadelphia, PA 19104. Communications intended for a specific director or directors should be addressed to their attention to the Secretary at the address provided above. Communications received from stockholders are forwarded directly to Board members as part of the materials mailed in advance of the next scheduled Board meeting following receipt of the communications. The Board has authorized the Secretary, in his or her discretion, to forward communications on a more expedited basis if circumstances warrant or to exclude a communication if it is illegal, unduly hostile or threatening, or similarly inappropriate. Advertisements, solicitations for periodical or other subscriptions, and other similar communications generally will not be forwarded to the directors. </w:t>
      </w:r>
    </w:p>
    <w:p>
      <w:pPr>
        <w:pStyle w:val="TextBody"/>
        <w:spacing w:lineRule="atLeast" w:line="240" w:before="100" w:after="283"/>
        <w:ind w:left="960" w:right="0" w:hanging="0"/>
        <w:jc w:val="righ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1DA46F"/>
          <w:spacing w:val="0"/>
          <w:sz w:val="20"/>
        </w:rPr>
        <w:t>Notice of Annual Meeting of Stockholders</w:t>
      </w:r>
      <w:r>
        <w:rPr>
          <w:rFonts w:ascii="Arial;Helvetica;sans-serif" w:hAnsi="Arial;Helvetica;sans-serif"/>
          <w:b/>
          <w:i w:val="false"/>
          <w:caps w:val="false"/>
          <w:smallCaps w:val="false"/>
          <w:color w:val="000000"/>
          <w:spacing w:val="0"/>
          <w:sz w:val="20"/>
        </w:rPr>
        <w:t> and 2023 Proxy Statement | </w:t>
      </w:r>
      <w:r>
        <w:rPr>
          <w:rFonts w:ascii="Arial;Helvetica;sans-serif" w:hAnsi="Arial;Helvetica;sans-serif"/>
          <w:b w:val="false"/>
          <w:i w:val="false"/>
          <w:caps w:val="false"/>
          <w:smallCaps w:val="false"/>
          <w:color w:val="000000"/>
          <w:spacing w:val="-1"/>
          <w:sz w:val="20"/>
        </w:rPr>
        <w:t>37</w:t>
      </w:r>
      <w:r>
        <w:rPr>
          <w:rFonts w:ascii="Arial;Helvetica;sans-serif" w:hAnsi="Arial;Helvetica;sans-serif"/>
          <w:b/>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60" w:name="tAOM"/>
      <w:bookmarkEnd w:id="60"/>
      <w:r>
        <w:rPr>
          <w:rFonts w:ascii="calibri;arial;sans-serif" w:hAnsi="calibri;arial;sans-serif"/>
          <w:b w:val="false"/>
          <w:i w:val="false"/>
          <w:caps w:val="false"/>
          <w:smallCaps w:val="false"/>
          <w:color w:val="000000"/>
          <w:sz w:val="16"/>
        </w:rPr>
        <w:t xml:space="preserve">​ </w:t>
      </w:r>
    </w:p>
    <w:tbl>
      <w:tblPr>
        <w:tblW w:w="2969" w:type="dxa"/>
        <w:jc w:val="left"/>
        <w:tblInd w:w="960" w:type="dxa"/>
        <w:tblCellMar>
          <w:top w:w="0" w:type="dxa"/>
          <w:left w:w="0" w:type="dxa"/>
          <w:bottom w:w="0" w:type="dxa"/>
          <w:right w:w="0" w:type="dxa"/>
        </w:tblCellMar>
      </w:tblPr>
      <w:tblGrid>
        <w:gridCol w:w="124"/>
        <w:gridCol w:w="2691"/>
        <w:gridCol w:w="154"/>
      </w:tblGrid>
      <w:tr>
        <w:trPr/>
        <w:tc>
          <w:tcPr>
            <w:tcW w:w="124" w:type="dxa"/>
            <w:tcBorders/>
            <w:shd w:fill="1DA46F" w:val="clear"/>
            <w:vAlign w:val="center"/>
          </w:tcPr>
          <w:p>
            <w:pPr>
              <w:pStyle w:val="TableContents"/>
              <w:spacing w:before="0" w:after="283"/>
              <w:rPr/>
            </w:pPr>
            <w:r>
              <w:rPr/>
              <w:t>​</w:t>
            </w:r>
          </w:p>
        </w:tc>
        <w:tc>
          <w:tcPr>
            <w:tcW w:w="2691" w:type="dxa"/>
            <w:tcBorders/>
            <w:shd w:fill="1DA46F" w:val="clear"/>
            <w:vAlign w:val="center"/>
          </w:tcPr>
          <w:p>
            <w:pPr>
              <w:pStyle w:val="TableContents"/>
              <w:spacing w:lineRule="atLeast" w:line="360" w:before="0" w:after="0"/>
              <w:rPr/>
            </w:pPr>
            <w:r>
              <w:rPr>
                <w:spacing w:val="-5"/>
              </w:rPr>
              <w:t>OTHER INFORMATION</w:t>
            </w:r>
            <w:r>
              <w:rPr/>
              <w:t xml:space="preserve"> </w:t>
            </w:r>
          </w:p>
        </w:tc>
        <w:tc>
          <w:tcPr>
            <w:tcW w:w="154" w:type="dxa"/>
            <w:tcBorders/>
            <w:shd w:fill="1DA46F" w:val="clear"/>
            <w:vAlign w:val="center"/>
          </w:tcPr>
          <w:p>
            <w:pPr>
              <w:pStyle w:val="TableContents"/>
              <w:spacing w:before="0" w:after="283"/>
              <w:rPr/>
            </w:pPr>
            <w:r>
              <w:rPr/>
              <w:t>​</w:t>
            </w:r>
          </w:p>
        </w:tc>
      </w:tr>
    </w:tbl>
    <w:p>
      <w:pPr>
        <w:pStyle w:val="TextBody"/>
        <w:spacing w:lineRule="atLeast" w:line="240" w:before="360" w:after="283"/>
        <w:ind w:left="960" w:right="0" w:hanging="0"/>
        <w:jc w:val="both"/>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3"/>
          <w:sz w:val="20"/>
        </w:rPr>
        <w:t>AVAILABILITY OF MATERIALS</w:t>
      </w:r>
      <w:r>
        <w:rPr>
          <w:rFonts w:ascii="Arial;Helvetica;sans-serif" w:hAnsi="Arial;Helvetica;sans-serif"/>
          <w:b/>
          <w:i w:val="false"/>
          <w:caps w:val="false"/>
          <w:smallCaps w:val="false"/>
          <w:color w:val="000000"/>
          <w:spacing w:val="4"/>
          <w:sz w:val="20"/>
        </w:rPr>
        <w:t xml:space="preserve"> </w:t>
      </w:r>
    </w:p>
    <w:p>
      <w:pPr>
        <w:pStyle w:val="TextBody"/>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Our 2022 Annual Report, including the financial statements and financial statement schedules, has been filed with the SEC and provides additional information about us, which is incorporated by reference herein. It is available on the Internet at www.centurytx.com and is available in paper form (other than exhibits thereto) by first class mail or other equally prompt means to beneficial owners of our common stock, without charge, upon written request to Chief Financial Officer, Century Therapeutics, Inc., 3675 Market Street, Philadelphia, PA 19104. In addition, it is available to beneficial and record holders of our common stock at www.astproxyportal.com/ast/24419.</w:t>
      </w:r>
      <w:r>
        <w:rPr>
          <w:rFonts w:ascii="Arial;Helvetica;sans-serif" w:hAnsi="Arial;Helvetica;sans-serif"/>
          <w:b w:val="false"/>
          <w:i w:val="false"/>
          <w:caps w:val="false"/>
          <w:smallCaps w:val="false"/>
          <w:color w:val="000000"/>
          <w:sz w:val="20"/>
        </w:rPr>
        <w:t xml:space="preserve"> </w:t>
      </w:r>
    </w:p>
    <w:p>
      <w:pPr>
        <w:pStyle w:val="TextBody"/>
        <w:spacing w:lineRule="atLeast" w:line="240" w:before="100" w:after="283"/>
        <w:ind w:left="960" w:right="0" w:hanging="0"/>
        <w:jc w:val="righ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1DA46F"/>
          <w:spacing w:val="0"/>
          <w:sz w:val="20"/>
        </w:rPr>
        <w:t>Notice of Annual Meeting of Stockholders</w:t>
      </w:r>
      <w:r>
        <w:rPr>
          <w:rFonts w:ascii="Arial;Helvetica;sans-serif" w:hAnsi="Arial;Helvetica;sans-serif"/>
          <w:b/>
          <w:i w:val="false"/>
          <w:caps w:val="false"/>
          <w:smallCaps w:val="false"/>
          <w:color w:val="000000"/>
          <w:spacing w:val="0"/>
          <w:sz w:val="20"/>
        </w:rPr>
        <w:t> and 2023 Proxy Statement | </w:t>
      </w:r>
      <w:r>
        <w:rPr>
          <w:rFonts w:ascii="Arial;Helvetica;sans-serif" w:hAnsi="Arial;Helvetica;sans-serif"/>
          <w:b w:val="false"/>
          <w:i w:val="false"/>
          <w:caps w:val="false"/>
          <w:smallCaps w:val="false"/>
          <w:color w:val="000000"/>
          <w:spacing w:val="-1"/>
          <w:sz w:val="20"/>
        </w:rPr>
        <w:t>38</w:t>
      </w:r>
      <w:r>
        <w:rPr>
          <w:rFonts w:ascii="Arial;Helvetica;sans-serif" w:hAnsi="Arial;Helvetica;sans-serif"/>
          <w:b/>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141" w:before="0" w:after="283"/>
        <w:ind w:left="0" w:right="0" w:hanging="0"/>
        <w:jc w:val="both"/>
        <w:rPr>
          <w:rFonts w:ascii="Arial;Helvetica;sans-serif" w:hAnsi="Arial;Helvetica;sans-serif"/>
          <w:b w:val="false"/>
          <w:i w:val="false"/>
          <w:caps w:val="false"/>
          <w:smallCaps w:val="false"/>
          <w:color w:val="FFFFFF"/>
          <w:sz w:val="2"/>
        </w:rPr>
      </w:pPr>
      <w:r>
        <w:rPr>
          <w:rFonts w:ascii="Arial;Helvetica;sans-serif" w:hAnsi="Arial;Helvetica;sans-serif"/>
          <w:b w:val="false"/>
          <w:i w:val="false"/>
          <w:caps w:val="false"/>
          <w:smallCaps w:val="false"/>
          <w:color w:val="FFFFFF"/>
          <w:spacing w:val="0"/>
          <w:sz w:val="2"/>
        </w:rPr>
        <w:t>014475CENTURY THERAPEUTICS, INC.Proxy for Annual Meeting of Stockholders on June 27, 2023Solicited on Behalf of the Board of DirectorsThe undersigned hereby appoints Greg Russotti, Ph.D. and Michael Diem, M.D., andeach of them, with full power of substitution and power to act alone, as proxies to vote allthe shares of Common Stock which the undersigned would be entitled to vote if personallypresent and acting at the Annual Meeting of Stockholders of Century Therapeutics, Inc., tobe held on Tuesday, June 27, 2023, at 9:00 a.m. Eastern Time, and at any adjournments orpostponements thereof, as follows:(Continued and to be signed on the reverse side)1.1</w:t>
      </w:r>
      <w:r>
        <w:rPr>
          <w:rFonts w:ascii="Arial;Helvetica;sans-serif" w:hAnsi="Arial;Helvetica;sans-serif"/>
          <w:b w:val="false"/>
          <w:i w:val="false"/>
          <w:caps w:val="false"/>
          <w:smallCaps w:val="false"/>
          <w:color w:val="FFFFFF"/>
          <w:sz w:val="2"/>
        </w:rPr>
        <w:t xml:space="preserve"> </w:t>
      </w:r>
    </w:p>
    <w:p>
      <w:pPr>
        <w:pStyle w:val="TextBody"/>
        <w:spacing w:before="200" w:after="283"/>
        <w:jc w:val="center"/>
        <w:rPr>
          <w:caps w:val="false"/>
          <w:smallCaps w:val="false"/>
          <w:color w:val="000000"/>
        </w:rPr>
      </w:pPr>
      <w:r>
        <w:rPr>
          <w:caps w:val="false"/>
          <w:smallCaps w:val="false"/>
          <w:color w:val="000000"/>
        </w:rPr>
        <w:drawing>
          <wp:inline distT="0" distB="0" distL="0" distR="0">
            <wp:extent cx="6991350" cy="9048750"/>
            <wp:effectExtent l="0" t="0" r="0" b="0"/>
            <wp:docPr id="143"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 name="Image21" descr=""/>
                    <pic:cNvPicPr>
                      <a:picLocks noChangeAspect="1" noChangeArrowheads="1"/>
                    </pic:cNvPicPr>
                  </pic:nvPicPr>
                  <pic:blipFill>
                    <a:blip r:embed="rId22"/>
                    <a:stretch>
                      <a:fillRect/>
                    </a:stretch>
                  </pic:blipFill>
                  <pic:spPr bwMode="auto">
                    <a:xfrm>
                      <a:off x="0" y="0"/>
                      <a:ext cx="6991350" cy="9048750"/>
                    </a:xfrm>
                    <a:prstGeom prst="rect">
                      <a:avLst/>
                    </a:prstGeom>
                  </pic:spPr>
                </pic:pic>
              </a:graphicData>
            </a:graphic>
          </wp:inline>
        </w:drawing>
      </w:r>
      <w:r>
        <w:rPr>
          <w:caps w:val="false"/>
          <w:smallCaps w:val="false"/>
          <w:color w:val="000000"/>
        </w:rPr>
        <w:t xml:space="preserve"> </w:t>
      </w:r>
    </w:p>
    <w:p>
      <w:pPr>
        <w:pStyle w:val="HorizontalLine"/>
        <w:rPr/>
      </w:pPr>
      <w:r>
        <w:rPr/>
      </w:r>
    </w:p>
    <w:p>
      <w:pPr>
        <w:pStyle w:val="TextBody"/>
        <w:spacing w:lineRule="atLeast" w:line="160" w:before="0" w:after="0"/>
        <w:ind w:left="0" w:right="0" w:hanging="0"/>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141" w:before="0" w:after="283"/>
        <w:ind w:left="0" w:right="0" w:hanging="0"/>
        <w:jc w:val="both"/>
        <w:rPr>
          <w:rFonts w:ascii="Arial;Helvetica;sans-serif" w:hAnsi="Arial;Helvetica;sans-serif"/>
          <w:b w:val="false"/>
          <w:i w:val="false"/>
          <w:caps w:val="false"/>
          <w:smallCaps w:val="false"/>
          <w:color w:val="FFFFFF"/>
          <w:sz w:val="2"/>
        </w:rPr>
      </w:pPr>
      <w:r>
        <w:rPr>
          <w:rFonts w:ascii="Arial;Helvetica;sans-serif" w:hAnsi="Arial;Helvetica;sans-serif"/>
          <w:b w:val="false"/>
          <w:i w:val="false"/>
          <w:caps w:val="false"/>
          <w:smallCaps w:val="false"/>
          <w:color w:val="FFFFFF"/>
          <w:spacing w:val="0"/>
          <w:sz w:val="2"/>
        </w:rPr>
        <w:t>2. Ratification of Appointment of Ernst &amp; Young LLP as our IndependentRegistered Public Accounting Firm for 2023.In their discretion, the proxies are authorized to vote upon such other business as mayproperly come before the Annual Meeting. This proxy when properly executed will be votedas directed herein by the undersigned stockholder. If no direction is made, this proxy willbe voted FOR ALL NOMINEES in Proposal 1 and FOR Proposal 2.Signature of Stockholder Date: Signature of Stockholder Date:Note: Please sign exactly as your name or names appear on this Proxy. When shares are held jointly, each holder should sign. When signing as executor, administrator, attorney, trustee or guardian, please give fulltitle as such. If the signer is a corporation, please sign full corporate name by duly authorized officer, giving full title as such. If signer is a partnership, please sign in partnership name by authorized person.To change the address on your account, please check the box at right andindicate your new address in the address space above. Please note thatchanges to the registered name(s) on the account may not be submitted viathis method.INSTRUCTIONS: To withhold authority to vote for any individual nominee(s), mark “FOR ALL EXCEPT”and fill in the circle next to each nominee you wish to withhold, as shown here:JOHN SMITH1234 MAIN STREETAPT. 203NEW YORK, NY 10038INTERNET - Access “www.voteproxy.com” and follow the on-screeninstructions or scan the QR code with your smartphone. Have yourproxy card available when you access the web page.TELEPHONE - Call toll-free 1-800-PROXIES (1-800-776-9437) inthe United States or 1-718-921-8500 from foreign countries fromany touch-tone telephone and follow the instructions. Have yourproxy card available when you call.Vote online/phone until 11:59 PM EST the day before the meeting.MAIL - Sign, date and mail your proxy card in the envelopeprovided as soon as possible.IN PERSON - You may vote your shares in person by attendingthe Annual Meeting.GO GREEN - e-Consent makes it easy to go paperless. Withe-Consent, you can quickly access your proxy material, statementsand other eligible documents online, while reducing costs, clutterand paper waste. Enroll today via www.astfinancial.com to enjoyonline access.PROXY VOTING INSTRUCTIONSPlease detach along perforated line and mail in the envelope provided IF you are not voting via telephone or the Internet.THE BOARD OF DIRECTORS RECOMMENDS A VOTE "FOR" THE ELECTION OF DIRECTORS AND "FOR" PROPOSAL 2.PLEASE SIGN, DATE AND RETURN PROMPTLY IN THE ENCLOSED ENVELOPE. PLEASE MARK YOUR VOTE IN BLUE OR BLACK INK AS SHOWN HERE x20330000000000001000 8 062723COMPANY NUMBERACCOUNT NUMBERMARK “X” HERE IF YOU PLAN TO ATTEND THE MEETING.ANNUAL MEETING OF STOCKHOLDERS OFCENTURY THERAPEUTICS, INC.June 27, 20231. Election of class 1 Directors for a three year term expiring in 2026:O Cynthia ButittaO Timothy WalbertO Alessandro Riva, M.D.FOR ALL NOMINEESWITHHOLD AUTHORITYFOR ALL NOMINEESFOR ALL EXCEPT(See instructions below)NOMINEES:FOR AGAINST ABSTAINNOTICE OF INTERNET AVAILABILITY OF PROXY MATERIALS:The Notice of Meeting, proxy statement and proxy cardare available at http://www.astproxyportal.com/ast/24419</w:t>
      </w:r>
      <w:r>
        <w:rPr>
          <w:rFonts w:ascii="Arial;Helvetica;sans-serif" w:hAnsi="Arial;Helvetica;sans-serif"/>
          <w:b w:val="false"/>
          <w:i w:val="false"/>
          <w:caps w:val="false"/>
          <w:smallCaps w:val="false"/>
          <w:color w:val="FFFFFF"/>
          <w:sz w:val="2"/>
        </w:rPr>
        <w:t xml:space="preserve"> </w:t>
      </w:r>
    </w:p>
    <w:p>
      <w:pPr>
        <w:pStyle w:val="TextBody"/>
        <w:spacing w:before="520" w:after="283"/>
        <w:jc w:val="center"/>
        <w:rPr>
          <w:caps w:val="false"/>
          <w:smallCaps w:val="false"/>
          <w:color w:val="000000"/>
        </w:rPr>
      </w:pPr>
      <w:r>
        <w:rPr>
          <w:caps w:val="false"/>
          <w:smallCaps w:val="false"/>
          <w:color w:val="000000"/>
        </w:rPr>
        <w:drawing>
          <wp:inline distT="0" distB="0" distL="0" distR="0">
            <wp:extent cx="6991350" cy="9048750"/>
            <wp:effectExtent l="0" t="0" r="0" b="0"/>
            <wp:docPr id="144"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 name="Image22" descr=""/>
                    <pic:cNvPicPr>
                      <a:picLocks noChangeAspect="1" noChangeArrowheads="1"/>
                    </pic:cNvPicPr>
                  </pic:nvPicPr>
                  <pic:blipFill>
                    <a:blip r:embed="rId23"/>
                    <a:stretch>
                      <a:fillRect/>
                    </a:stretch>
                  </pic:blipFill>
                  <pic:spPr bwMode="auto">
                    <a:xfrm>
                      <a:off x="0" y="0"/>
                      <a:ext cx="6991350" cy="9048750"/>
                    </a:xfrm>
                    <a:prstGeom prst="rect">
                      <a:avLst/>
                    </a:prstGeom>
                  </pic:spPr>
                </pic:pic>
              </a:graphicData>
            </a:graphic>
          </wp:inline>
        </w:drawing>
      </w:r>
      <w:r>
        <w:rPr>
          <w:caps w:val="false"/>
          <w:smallCaps w:val="false"/>
          <w:color w:val="000000"/>
        </w:rPr>
        <w:t xml:space="preserve"> </w:t>
      </w:r>
    </w:p>
    <w:p>
      <w:pPr>
        <w:pStyle w:val="HorizontalLine"/>
        <w:pBdr>
          <w:bottom w:val="double" w:sz="2" w:space="0" w:color="808080"/>
        </w:pBdr>
        <w:spacing w:before="0" w:after="283"/>
        <w:rPr/>
      </w:pP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calibri">
    <w:altName w:val="arial"/>
    <w:charset w:val="00"/>
    <w:family w:val="auto"/>
    <w:pitch w:val="default"/>
  </w:font>
  <w:font w:name="Arial">
    <w:altName w:val="Helvetica"/>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image" Target="media/image21.jpeg"/><Relationship Id="rId23" Type="http://schemas.openxmlformats.org/officeDocument/2006/relationships/image" Target="media/image22.jpeg"/><Relationship Id="rId24" Type="http://schemas.openxmlformats.org/officeDocument/2006/relationships/fontTable" Target="fontTable.xml"/><Relationship Id="rId2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4</Pages>
  <Words>20622</Words>
  <CharactersWithSpaces>136926</CharactersWithSpaces>
  <Paragraphs>3697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