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BUTITTA CYNTHIA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CENTURY THERAPEUTICS,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 N 38TH STREET, 11TH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Century Therapeutics, Inc.</w:t>
              </w:r>
            </w:hyperlink>
            <w:r>
              <w:rPr/>
              <w:t xml:space="preserve"> [ </w:t>
            </w:r>
            <w:r>
              <w:rPr>
                <w:rFonts w:ascii="Times;serif" w:hAnsi="Times;serif"/>
                <w:color w:val="0000FF"/>
                <w:sz w:val="24"/>
                <w:shd w:fill="FFFFFF" w:val="clear"/>
              </w:rPr>
              <w:t>IPSC</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06/27/2023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3.19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06/27/2023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06/27/2024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vests on the earlier of (a) June 27, 2024, or (b) the next annual meeting of stockholders, in each case subject to the Reporting Person's continued service through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Diem,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06/29/2023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22082" TargetMode="External"/><Relationship Id="rId4" Type="http://schemas.openxmlformats.org/officeDocument/2006/relationships/hyperlink" Target="http://www.sec.gov/cgi-bin/browse-edgar?action=getcompany&amp;CIK=000185011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601</Words>
  <Characters>3276</Characters>
  <CharactersWithSpaces>3814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