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199390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8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August 11,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191135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Century Therapeutics, Inc.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ectPr>
          <w:pgSz w:w="11900" w:h="16838" w:orient="portrait"/>
          <w:cols w:equalWidth="0" w:num="1">
            <w:col w:w="11240"/>
          </w:cols>
          <w:pgMar w:left="320" w:top="700" w:right="339" w:bottom="1440" w:gutter="0" w:footer="0" w:header="0"/>
        </w:sectPr>
      </w:pPr>
    </w:p>
    <w:p>
      <w:pPr>
        <w:spacing w:after="0" w:line="200" w:lineRule="exact"/>
        <w:rPr>
          <w:sz w:val="24"/>
          <w:szCs w:val="24"/>
          <w:color w:val="auto"/>
        </w:rPr>
      </w:pPr>
    </w:p>
    <w:p>
      <w:pPr>
        <w:spacing w:after="0" w:line="352" w:lineRule="exact"/>
        <w:rPr>
          <w:sz w:val="24"/>
          <w:szCs w:val="24"/>
          <w:color w:val="auto"/>
        </w:rPr>
      </w:pPr>
    </w:p>
    <w:p>
      <w:pPr>
        <w:ind w:left="15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88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9" w:lineRule="exact"/>
        <w:rPr>
          <w:sz w:val="24"/>
          <w:szCs w:val="24"/>
          <w:color w:val="auto"/>
        </w:rPr>
      </w:pPr>
    </w:p>
    <w:p>
      <w:pPr>
        <w:ind w:left="840"/>
        <w:spacing w:after="0"/>
        <w:rPr>
          <w:sz w:val="20"/>
          <w:szCs w:val="20"/>
          <w:color w:val="auto"/>
        </w:rPr>
      </w:pPr>
      <w:r>
        <w:rPr>
          <w:rFonts w:ascii="Times New Roman" w:cs="Times New Roman" w:eastAsia="Times New Roman" w:hAnsi="Times New Roman"/>
          <w:sz w:val="17"/>
          <w:szCs w:val="17"/>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2" w:lineRule="exact"/>
        <w:rPr>
          <w:sz w:val="24"/>
          <w:szCs w:val="24"/>
          <w:color w:val="auto"/>
        </w:rPr>
      </w:pPr>
    </w:p>
    <w:p>
      <w:pPr>
        <w:jc w:val="center"/>
        <w:ind w:right="1320"/>
        <w:spacing w:after="0"/>
        <w:rPr>
          <w:sz w:val="20"/>
          <w:szCs w:val="20"/>
          <w:color w:val="auto"/>
        </w:rPr>
      </w:pPr>
      <w:r>
        <w:rPr>
          <w:rFonts w:ascii="Times New Roman" w:cs="Times New Roman" w:eastAsia="Times New Roman" w:hAnsi="Times New Roman"/>
          <w:sz w:val="18"/>
          <w:szCs w:val="18"/>
          <w:b w:val="1"/>
          <w:bCs w:val="1"/>
          <w:color w:val="auto"/>
        </w:rPr>
        <w:t>001-40498</w:t>
      </w:r>
    </w:p>
    <w:p>
      <w:pPr>
        <w:spacing w:after="0" w:line="31" w:lineRule="exact"/>
        <w:rPr>
          <w:sz w:val="24"/>
          <w:szCs w:val="24"/>
          <w:color w:val="auto"/>
        </w:rPr>
      </w:pPr>
    </w:p>
    <w:p>
      <w:pPr>
        <w:jc w:val="center"/>
        <w:ind w:right="132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84-2040295</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00" w:lineRule="exact"/>
        <w:rPr>
          <w:sz w:val="24"/>
          <w:szCs w:val="24"/>
          <w:color w:val="auto"/>
        </w:rPr>
      </w:pPr>
    </w:p>
    <w:p>
      <w:pPr>
        <w:sectPr>
          <w:pgSz w:w="11900" w:h="16838" w:orient="portrait"/>
          <w:cols w:equalWidth="0" w:num="3">
            <w:col w:w="4040" w:space="720"/>
            <w:col w:w="3300" w:space="720"/>
            <w:col w:w="2460"/>
          </w:cols>
          <w:pgMar w:left="320" w:top="700" w:right="339" w:bottom="1440" w:gutter="0" w:footer="0" w:header="0"/>
          <w:type w:val="continuous"/>
        </w:sectPr>
      </w:pPr>
    </w:p>
    <w:p>
      <w:pPr>
        <w:spacing w:after="0" w:line="14" w:lineRule="exact"/>
        <w:rPr>
          <w:sz w:val="24"/>
          <w:szCs w:val="24"/>
          <w:color w:val="auto"/>
        </w:rPr>
      </w:pPr>
    </w:p>
    <w:p>
      <w:pPr>
        <w:jc w:val="center"/>
        <w:ind w:right="1460"/>
        <w:spacing w:after="0"/>
        <w:rPr>
          <w:sz w:val="20"/>
          <w:szCs w:val="20"/>
          <w:color w:val="auto"/>
        </w:rPr>
      </w:pPr>
      <w:r>
        <w:rPr>
          <w:rFonts w:ascii="Times New Roman" w:cs="Times New Roman" w:eastAsia="Times New Roman" w:hAnsi="Times New Roman"/>
          <w:sz w:val="18"/>
          <w:szCs w:val="18"/>
          <w:b w:val="1"/>
          <w:bCs w:val="1"/>
          <w:color w:val="auto"/>
        </w:rPr>
        <w:t>3675 Market Street</w:t>
      </w:r>
    </w:p>
    <w:p>
      <w:pPr>
        <w:spacing w:after="0" w:line="31" w:lineRule="exact"/>
        <w:rPr>
          <w:sz w:val="24"/>
          <w:szCs w:val="24"/>
          <w:color w:val="auto"/>
        </w:rPr>
      </w:pPr>
    </w:p>
    <w:p>
      <w:pPr>
        <w:jc w:val="center"/>
        <w:ind w:right="1460"/>
        <w:spacing w:after="0"/>
        <w:rPr>
          <w:sz w:val="20"/>
          <w:szCs w:val="20"/>
          <w:color w:val="auto"/>
        </w:rPr>
      </w:pPr>
      <w:r>
        <w:rPr>
          <w:rFonts w:ascii="Times New Roman" w:cs="Times New Roman" w:eastAsia="Times New Roman" w:hAnsi="Times New Roman"/>
          <w:sz w:val="18"/>
          <w:szCs w:val="18"/>
          <w:b w:val="1"/>
          <w:bCs w:val="1"/>
          <w:color w:val="auto"/>
        </w:rPr>
        <w:t>Philadelphia, Pennsylvania</w:t>
      </w:r>
    </w:p>
    <w:p>
      <w:pPr>
        <w:spacing w:after="0" w:line="9" w:lineRule="exact"/>
        <w:rPr>
          <w:sz w:val="24"/>
          <w:szCs w:val="24"/>
          <w:color w:val="auto"/>
        </w:rPr>
      </w:pPr>
    </w:p>
    <w:p>
      <w:pPr>
        <w:jc w:val="center"/>
        <w:ind w:right="146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10" w:lineRule="exact"/>
        <w:rPr>
          <w:sz w:val="24"/>
          <w:szCs w:val="24"/>
          <w:color w:val="auto"/>
        </w:rPr>
      </w:pPr>
    </w:p>
    <w:p>
      <w:pPr>
        <w:jc w:val="center"/>
        <w:ind w:right="2080"/>
        <w:spacing w:after="0"/>
        <w:rPr>
          <w:sz w:val="20"/>
          <w:szCs w:val="20"/>
          <w:color w:val="auto"/>
        </w:rPr>
      </w:pPr>
      <w:r>
        <w:rPr>
          <w:rFonts w:ascii="Times New Roman" w:cs="Times New Roman" w:eastAsia="Times New Roman" w:hAnsi="Times New Roman"/>
          <w:sz w:val="18"/>
          <w:szCs w:val="18"/>
          <w:b w:val="1"/>
          <w:bCs w:val="1"/>
          <w:color w:val="auto"/>
        </w:rPr>
        <w:t>19104</w:t>
      </w:r>
    </w:p>
    <w:p>
      <w:pPr>
        <w:spacing w:after="0" w:line="31" w:lineRule="exact"/>
        <w:rPr>
          <w:sz w:val="24"/>
          <w:szCs w:val="24"/>
          <w:color w:val="auto"/>
        </w:rPr>
      </w:pPr>
    </w:p>
    <w:p>
      <w:pPr>
        <w:jc w:val="center"/>
        <w:ind w:right="2080"/>
        <w:spacing w:after="0"/>
        <w:rPr>
          <w:sz w:val="20"/>
          <w:szCs w:val="20"/>
          <w:color w:val="auto"/>
        </w:rPr>
      </w:pPr>
      <w:r>
        <w:rPr>
          <w:rFonts w:ascii="Times New Roman" w:cs="Times New Roman" w:eastAsia="Times New Roman" w:hAnsi="Times New Roman"/>
          <w:sz w:val="17"/>
          <w:szCs w:val="17"/>
          <w:color w:val="auto"/>
        </w:rPr>
        <w:t>(Zip Code)</w:t>
      </w:r>
    </w:p>
    <w:p>
      <w:pPr>
        <w:spacing w:after="0" w:line="200" w:lineRule="exact"/>
        <w:rPr>
          <w:sz w:val="24"/>
          <w:szCs w:val="24"/>
          <w:color w:val="auto"/>
        </w:rPr>
      </w:pPr>
    </w:p>
    <w:p>
      <w:pPr>
        <w:sectPr>
          <w:pgSz w:w="11900" w:h="16838" w:orient="portrait"/>
          <w:cols w:equalWidth="0" w:num="2">
            <w:col w:w="7660" w:space="720"/>
            <w:col w:w="2860"/>
          </w:cols>
          <w:pgMar w:left="320" w:top="700" w:right="339" w:bottom="1440" w:gutter="0" w:footer="0" w:header="0"/>
          <w:type w:val="continuous"/>
        </w:sectPr>
      </w:pP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(267) 817-5790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460" w:hanging="448"/>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460" w:hanging="448"/>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460" w:hanging="448"/>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460" w:hanging="448"/>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10"/>
        </w:trPr>
        <w:tc>
          <w:tcPr>
            <w:tcW w:w="3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Exchange on Which</w:t>
            </w:r>
          </w:p>
        </w:tc>
      </w:tr>
      <w:tr>
        <w:trPr>
          <w:trHeight w:val="238"/>
        </w:trPr>
        <w:tc>
          <w:tcPr>
            <w:tcW w:w="4640" w:type="dxa"/>
            <w:vAlign w:val="bottom"/>
            <w:gridSpan w:val="3"/>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w w:val="99"/>
              </w:rPr>
              <w:t>Title of Each Class</w:t>
            </w:r>
          </w:p>
        </w:tc>
        <w:tc>
          <w:tcPr>
            <w:tcW w:w="3000" w:type="dxa"/>
            <w:vAlign w:val="bottom"/>
            <w:gridSpan w:val="2"/>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Registered</w:t>
            </w:r>
          </w:p>
        </w:tc>
      </w:tr>
      <w:tr>
        <w:trPr>
          <w:trHeight w:val="232"/>
        </w:trPr>
        <w:tc>
          <w:tcPr>
            <w:tcW w:w="3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120" w:type="dxa"/>
            <w:vAlign w:val="bottom"/>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2900" w:type="dxa"/>
            <w:vAlign w:val="bottom"/>
            <w:tcBorders>
              <w:top w:val="single" w:sz="8" w:color="auto"/>
            </w:tcBorders>
          </w:tcPr>
          <w:p>
            <w:pPr>
              <w:jc w:val="center"/>
              <w:ind w:right="590"/>
              <w:spacing w:after="0"/>
              <w:rPr>
                <w:sz w:val="20"/>
                <w:szCs w:val="20"/>
                <w:color w:val="auto"/>
              </w:rPr>
            </w:pPr>
            <w:r>
              <w:rPr>
                <w:rFonts w:ascii="Times New Roman" w:cs="Times New Roman" w:eastAsia="Times New Roman" w:hAnsi="Times New Roman"/>
                <w:sz w:val="18"/>
                <w:szCs w:val="18"/>
                <w:b w:val="1"/>
                <w:bCs w:val="1"/>
                <w:color w:val="auto"/>
              </w:rPr>
              <w:t>IPSC</w:t>
            </w:r>
          </w:p>
        </w:tc>
        <w:tc>
          <w:tcPr>
            <w:tcW w:w="10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Nasdaq Global Select Market</w:t>
            </w:r>
          </w:p>
        </w:tc>
      </w:tr>
    </w:tbl>
    <w:p>
      <w:pPr>
        <w:spacing w:after="0" w:line="175" w:lineRule="exact"/>
        <w:rPr>
          <w:sz w:val="24"/>
          <w:szCs w:val="24"/>
          <w:color w:val="auto"/>
        </w:rPr>
      </w:pPr>
    </w:p>
    <w:p>
      <w:pPr>
        <w:ind w:right="52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23"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459740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00" w:right="339" w:bottom="1440" w:gutter="0" w:footer="0" w:header="0"/>
          <w:type w:val="continuous"/>
        </w:sectPr>
      </w:pPr>
    </w:p>
    <w:bookmarkStart w:id="1" w:name="page2"/>
    <w:bookmarkEnd w:id="1"/>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8"/>
          <w:szCs w:val="18"/>
          <w:b w:val="1"/>
          <w:bCs w:val="1"/>
          <w:u w:val="single" w:color="auto"/>
          <w:color w:val="auto"/>
        </w:rPr>
        <w:t>Results of Operations and Financial Condition</w:t>
      </w:r>
    </w:p>
    <w:p>
      <w:pPr>
        <w:spacing w:after="0" w:line="22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On August 11, 2022, Century Therapeutics,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issued a press release announcing its financial results for the quarter ended June 30, 2022. A copy of the press release is furnished as Exhibit 99.1 to this Current Report on Form 8-K and is incorporated herein by reference.</w:t>
      </w:r>
    </w:p>
    <w:p>
      <w:pPr>
        <w:spacing w:after="0" w:line="16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information contained in this Item 2.02 (including Exhibit 99.1) is being furnished and shall not be deemed “filed” for purposes of Section 18 of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or otherwise subject to the liabilities of that section and shall not be deemed to be incorporated by reference in any filing under the Securities Act of 1933, as amended, or the Exchange Act, except as shall be expressly set forth by specific reference in such filing.</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1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53"/>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 Exhibits</w:t>
            </w:r>
          </w:p>
        </w:tc>
        <w:tc>
          <w:tcPr>
            <w:tcW w:w="220" w:type="dxa"/>
            <w:vAlign w:val="bottom"/>
            <w:tcBorders>
              <w:top w:val="single" w:sz="8" w:color="auto"/>
            </w:tcBorders>
          </w:tcPr>
          <w:p>
            <w:pPr>
              <w:spacing w:after="0"/>
              <w:rPr>
                <w:sz w:val="24"/>
                <w:szCs w:val="24"/>
                <w:color w:val="auto"/>
              </w:rPr>
            </w:pPr>
          </w:p>
        </w:tc>
        <w:tc>
          <w:tcPr>
            <w:tcW w:w="2420" w:type="dxa"/>
            <w:vAlign w:val="bottom"/>
            <w:tcBorders>
              <w:top w:val="single" w:sz="8" w:color="auto"/>
            </w:tcBorders>
          </w:tcPr>
          <w:p>
            <w:pPr>
              <w:spacing w:after="0"/>
              <w:rPr>
                <w:sz w:val="24"/>
                <w:szCs w:val="24"/>
                <w:color w:val="auto"/>
              </w:rPr>
            </w:pPr>
          </w:p>
        </w:tc>
        <w:tc>
          <w:tcPr>
            <w:tcW w:w="2440" w:type="dxa"/>
            <w:vAlign w:val="bottom"/>
          </w:tcPr>
          <w:p>
            <w:pPr>
              <w:spacing w:after="0"/>
              <w:rPr>
                <w:sz w:val="24"/>
                <w:szCs w:val="24"/>
                <w:color w:val="auto"/>
              </w:rPr>
            </w:pPr>
          </w:p>
        </w:tc>
        <w:tc>
          <w:tcPr>
            <w:tcW w:w="5020" w:type="dxa"/>
            <w:vAlign w:val="bottom"/>
          </w:tcPr>
          <w:p>
            <w:pPr>
              <w:spacing w:after="0"/>
              <w:rPr>
                <w:sz w:val="24"/>
                <w:szCs w:val="24"/>
                <w:color w:val="auto"/>
              </w:rPr>
            </w:pPr>
          </w:p>
        </w:tc>
      </w:tr>
      <w:tr>
        <w:trPr>
          <w:trHeight w:val="41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5020" w:type="dxa"/>
            <w:vAlign w:val="bottom"/>
          </w:tcPr>
          <w:p>
            <w:pPr>
              <w:spacing w:after="0"/>
              <w:rPr>
                <w:sz w:val="24"/>
                <w:szCs w:val="24"/>
                <w:color w:val="auto"/>
              </w:rPr>
            </w:pPr>
          </w:p>
        </w:tc>
      </w:tr>
      <w:tr>
        <w:trPr>
          <w:trHeight w:val="238"/>
        </w:trPr>
        <w:tc>
          <w:tcPr>
            <w:tcW w:w="11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No.</w:t>
            </w:r>
          </w:p>
        </w:tc>
        <w:tc>
          <w:tcPr>
            <w:tcW w:w="220" w:type="dxa"/>
            <w:vAlign w:val="bottom"/>
          </w:tcPr>
          <w:p>
            <w:pPr>
              <w:spacing w:after="0"/>
              <w:rPr>
                <w:sz w:val="20"/>
                <w:szCs w:val="20"/>
                <w:color w:val="auto"/>
              </w:rPr>
            </w:pPr>
          </w:p>
        </w:tc>
        <w:tc>
          <w:tcPr>
            <w:tcW w:w="2420" w:type="dxa"/>
            <w:vAlign w:val="bottom"/>
            <w:tcBorders>
              <w:bottom w:val="single" w:sz="8" w:color="auto"/>
            </w:tcBorders>
          </w:tcPr>
          <w:p>
            <w:pPr>
              <w:spacing w:after="0"/>
              <w:rPr>
                <w:sz w:val="20"/>
                <w:szCs w:val="20"/>
                <w:color w:val="auto"/>
              </w:rPr>
            </w:pPr>
          </w:p>
        </w:tc>
        <w:tc>
          <w:tcPr>
            <w:tcW w:w="7460" w:type="dxa"/>
            <w:vAlign w:val="bottom"/>
            <w:tcBorders>
              <w:bottom w:val="single" w:sz="8" w:color="auto"/>
            </w:tcBorders>
            <w:gridSpan w:val="2"/>
          </w:tcPr>
          <w:p>
            <w:pPr>
              <w:ind w:left="2120"/>
              <w:spacing w:after="0"/>
              <w:rPr>
                <w:sz w:val="20"/>
                <w:szCs w:val="20"/>
                <w:color w:val="auto"/>
              </w:rPr>
            </w:pPr>
            <w:r>
              <w:rPr>
                <w:rFonts w:ascii="Times New Roman" w:cs="Times New Roman" w:eastAsia="Times New Roman" w:hAnsi="Times New Roman"/>
                <w:sz w:val="18"/>
                <w:szCs w:val="18"/>
                <w:b w:val="1"/>
                <w:bCs w:val="1"/>
                <w:color w:val="auto"/>
              </w:rPr>
              <w:t>Document</w:t>
            </w:r>
          </w:p>
        </w:tc>
      </w:tr>
      <w:tr>
        <w:trPr>
          <w:trHeight w:val="38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220" w:type="dxa"/>
            <w:vAlign w:val="bottom"/>
          </w:tcPr>
          <w:p>
            <w:pPr>
              <w:spacing w:after="0"/>
              <w:rPr>
                <w:sz w:val="24"/>
                <w:szCs w:val="24"/>
                <w:color w:val="auto"/>
              </w:rPr>
            </w:pPr>
          </w:p>
        </w:tc>
        <w:tc>
          <w:tcPr>
            <w:tcW w:w="98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Press Release of Century Therapeutics, Inc., dated August 11, 2022</w:t>
            </w:r>
          </w:p>
        </w:tc>
      </w:tr>
      <w:tr>
        <w:trPr>
          <w:trHeight w:val="20"/>
        </w:trPr>
        <w:tc>
          <w:tcPr>
            <w:tcW w:w="32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60" w:type="dxa"/>
            <w:vAlign w:val="bottom"/>
            <w:gridSpan w:val="2"/>
            <w:shd w:val="clear" w:color="auto" w:fill="0000EE"/>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r>
      <w:tr>
        <w:trPr>
          <w:trHeight w:val="453"/>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675"/>
        </w:trPr>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50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CENTURY THERAPEUTICS, INC.</w:t>
      </w:r>
    </w:p>
    <w:p>
      <w:pPr>
        <w:spacing w:after="0" w:line="229"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Osvaldo Flores, Ph.D.</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Osvaldo Flores, Ph.D.</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2254250" cy="6343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254250"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Century Therapeutics Reports Second Quarter 2022 Financial Results and Provides Business Updates</w:t>
      </w:r>
    </w:p>
    <w:p>
      <w:pPr>
        <w:spacing w:after="0" w:line="227" w:lineRule="exact"/>
        <w:rPr>
          <w:sz w:val="20"/>
          <w:szCs w:val="20"/>
          <w:color w:val="auto"/>
        </w:rPr>
      </w:pPr>
    </w:p>
    <w:p>
      <w:pPr>
        <w:ind w:left="280" w:hanging="108"/>
        <w:spacing w:after="0"/>
        <w:tabs>
          <w:tab w:leader="none" w:pos="280"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Following the recent submission of the IND application for CNTY-101 and pending FDA clearance, the Phase 1 ELiPSE-1 trial in relapsed/refractory</w:t>
      </w:r>
    </w:p>
    <w:p>
      <w:pPr>
        <w:spacing w:after="0" w:line="29" w:lineRule="exact"/>
        <w:rPr>
          <w:rFonts w:ascii="Times New Roman" w:cs="Times New Roman" w:eastAsia="Times New Roman" w:hAnsi="Times New Roman"/>
          <w:sz w:val="18"/>
          <w:szCs w:val="18"/>
          <w:i w:val="1"/>
          <w:iCs w:val="1"/>
          <w:color w:val="auto"/>
        </w:rPr>
      </w:pPr>
    </w:p>
    <w:p>
      <w:pPr>
        <w:ind w:left="3360"/>
        <w:spacing w:after="0"/>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lymphoma is on track to commence in the second half of 2022 -</w:t>
      </w:r>
    </w:p>
    <w:p>
      <w:pPr>
        <w:spacing w:after="0" w:line="204" w:lineRule="exact"/>
        <w:rPr>
          <w:rFonts w:ascii="Times New Roman" w:cs="Times New Roman" w:eastAsia="Times New Roman" w:hAnsi="Times New Roman"/>
          <w:sz w:val="18"/>
          <w:szCs w:val="18"/>
          <w:i w:val="1"/>
          <w:iCs w:val="1"/>
          <w:color w:val="auto"/>
        </w:rPr>
      </w:pPr>
    </w:p>
    <w:p>
      <w:pPr>
        <w:ind w:left="1400" w:hanging="96"/>
        <w:spacing w:after="0"/>
        <w:tabs>
          <w:tab w:leader="none" w:pos="1400" w:val="left"/>
        </w:tabs>
        <w:numPr>
          <w:ilvl w:val="1"/>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Ended second quarter 2022 with cash, cash equivalents, and investments of $429.4; Expected cash runway into 2025 -</w:t>
      </w:r>
    </w:p>
    <w:p>
      <w:pPr>
        <w:spacing w:after="0" w:line="227"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 xml:space="preserve">PHILADELPHIA, August 11, 2022 -- </w:t>
      </w:r>
      <w:r>
        <w:rPr>
          <w:rFonts w:ascii="Times New Roman" w:cs="Times New Roman" w:eastAsia="Times New Roman" w:hAnsi="Times New Roman"/>
          <w:sz w:val="18"/>
          <w:szCs w:val="18"/>
          <w:u w:val="single" w:color="auto"/>
          <w:color w:val="auto"/>
        </w:rPr>
        <w:t>Century Therapeutics, Inc.</w:t>
      </w:r>
      <w:r>
        <w:rPr>
          <w:rFonts w:ascii="Times New Roman" w:cs="Times New Roman" w:eastAsia="Times New Roman" w:hAnsi="Times New Roman"/>
          <w:sz w:val="18"/>
          <w:szCs w:val="18"/>
          <w:color w:val="auto"/>
        </w:rPr>
        <w:t>, (NASDAQ: IPSC), an innovative biotechnology company developing induced pluripotent stem cell (iPSC)-derived cell therapies in immuno-oncology, today reported financial results and business highlights for the second quarter ended June 30, 2022.</w:t>
      </w:r>
    </w:p>
    <w:p>
      <w:pPr>
        <w:spacing w:after="0" w:line="176"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“We are excited about our recent IND submission for our lead candidate, CNTY-101, and pending FDA clearance, are looking forward to initiating the Phase 1 ELiPSE-1 trial in relapsed/refractory lymphoma,” said Lalo Flores, Chief Executive Officer, Century Therapeutics. “We continue to make steady progress in building a best-in-class allogeneic cell therapy platform and achieved a key milestone this quarter in establishing the iNK 3.0 Common Progenitor, which we believe will accelerate new candidate selection. Additionally, we look forward to providing updates on our gamma delta iT platform and other program advancements in the coming months.”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Highlights</w:t>
      </w:r>
    </w:p>
    <w:p>
      <w:pPr>
        <w:spacing w:after="0" w:line="229" w:lineRule="exact"/>
        <w:rPr>
          <w:sz w:val="20"/>
          <w:szCs w:val="20"/>
          <w:color w:val="auto"/>
        </w:rPr>
      </w:pPr>
    </w:p>
    <w:p>
      <w:pPr>
        <w:jc w:val="both"/>
        <w:ind w:left="660" w:right="120" w:hanging="328"/>
        <w:spacing w:after="0" w:line="22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w:t>
      </w:r>
      <w:r>
        <w:rPr>
          <w:rFonts w:ascii="Times New Roman" w:cs="Times New Roman" w:eastAsia="Times New Roman" w:hAnsi="Times New Roman"/>
          <w:sz w:val="18"/>
          <w:szCs w:val="18"/>
          <w:u w:val="single" w:color="auto"/>
          <w:color w:val="auto"/>
        </w:rPr>
        <w:t>presented</w:t>
      </w:r>
      <w:r>
        <w:rPr>
          <w:rFonts w:ascii="Times New Roman" w:cs="Times New Roman" w:eastAsia="Times New Roman" w:hAnsi="Times New Roman"/>
          <w:sz w:val="18"/>
          <w:szCs w:val="18"/>
          <w:color w:val="auto"/>
        </w:rPr>
        <w:t xml:space="preserve"> preclinical data on MAD7, a novel CRISPR nuclease used to enable the genetic engineering of iPSC-derived NK and T cell product candidates, during a poster presentation at the American Society of Gene and Cell Therapy (ASGCT) 25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Annual Meeting held on May 16-19, 2022 in Washington, D.C. A copy of the presentation is available in the Posters section of Century’s website.</w:t>
      </w:r>
    </w:p>
    <w:p>
      <w:pPr>
        <w:spacing w:after="0" w:line="200" w:lineRule="exact"/>
        <w:rPr>
          <w:rFonts w:ascii="Times New Roman" w:cs="Times New Roman" w:eastAsia="Times New Roman" w:hAnsi="Times New Roman"/>
          <w:sz w:val="18"/>
          <w:szCs w:val="18"/>
          <w:color w:val="auto"/>
        </w:rPr>
      </w:pPr>
    </w:p>
    <w:p>
      <w:pPr>
        <w:ind w:left="660" w:right="300" w:hanging="328"/>
        <w:spacing w:after="0" w:line="26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 Research and Development Event in June, Century’s management team discussed CNTY-103, the Company’s first solid tumor candidate for glioblastoma, the establishment of the Common Progenitor iNK 3.0, and progress on the Company’s next-generation iPSC-based cell therapy platform. Century expects to submit an Investigational New Drug (IND) application for CNTY-103 in 2024.</w:t>
      </w:r>
    </w:p>
    <w:p>
      <w:pPr>
        <w:spacing w:after="0" w:line="175" w:lineRule="exact"/>
        <w:rPr>
          <w:rFonts w:ascii="Times New Roman" w:cs="Times New Roman" w:eastAsia="Times New Roman" w:hAnsi="Times New Roman"/>
          <w:sz w:val="18"/>
          <w:szCs w:val="18"/>
          <w:color w:val="auto"/>
        </w:rPr>
      </w:pPr>
    </w:p>
    <w:p>
      <w:pPr>
        <w:ind w:left="660" w:right="84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current Good Manufacturing Practice (cGMP) manufacturing facility in Branchburg, New Jersey is operational and undergoing qualification.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Century was added to the Russell Microcap Index in June 2022.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Subsequent Events and Upcoming Milestones</w:t>
      </w:r>
    </w:p>
    <w:p>
      <w:pPr>
        <w:spacing w:after="0" w:line="229" w:lineRule="exact"/>
        <w:rPr>
          <w:sz w:val="20"/>
          <w:szCs w:val="20"/>
          <w:color w:val="auto"/>
        </w:rPr>
      </w:pPr>
    </w:p>
    <w:p>
      <w:pPr>
        <w:jc w:val="both"/>
        <w:ind w:left="660" w:right="120" w:hanging="328"/>
        <w:spacing w:after="0" w:line="261"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recent submission of the IND application for CNTY-101, the Company remains on track to initiate its Phase 1 ELiPSE-1 clinical trial in the second half of 2022, subject to U.S. Food and Drug Administration (FDA) clearance of the application. ELiPSE-1 will assess CNTY-101 in patients with relapsed/refractory CD19 positive aggressive lymphoma or indolent lymphoma after at least two prior lines of therapy, including patients who have received prior CAR-T cell therapy.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2254250" cy="6343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2254250" cy="63436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Second Quarter 2022 Financial Results</w:t>
      </w:r>
    </w:p>
    <w:p>
      <w:pPr>
        <w:spacing w:after="0" w:line="225" w:lineRule="exact"/>
        <w:rPr>
          <w:sz w:val="20"/>
          <w:szCs w:val="20"/>
          <w:color w:val="auto"/>
        </w:rPr>
      </w:pPr>
    </w:p>
    <w:p>
      <w:pPr>
        <w:ind w:left="660" w:hanging="328"/>
        <w:spacing w:after="0" w:line="26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Cash Position: </w:t>
      </w:r>
      <w:r>
        <w:rPr>
          <w:rFonts w:ascii="Times New Roman" w:cs="Times New Roman" w:eastAsia="Times New Roman" w:hAnsi="Times New Roman"/>
          <w:sz w:val="18"/>
          <w:szCs w:val="18"/>
          <w:color w:val="auto"/>
        </w:rPr>
        <w:t>Cash, cash equivalents, and investments were $429.4 million as of June 30, 2022, as compared to $358.8 million as of December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31, 2021. Net cash provided by operations was $61.2 million for the six months ended June 30, 2022 (which includes deferred revenue from the Bristol-Myers Squibb (BMS) collaboration of $120.7M) compared to net cash used in operations of $40.7 million for the six months ended June 30, 2021.</w:t>
      </w:r>
    </w:p>
    <w:p>
      <w:pPr>
        <w:spacing w:after="0" w:line="176" w:lineRule="exact"/>
        <w:rPr>
          <w:rFonts w:ascii="Times New Roman" w:cs="Times New Roman" w:eastAsia="Times New Roman" w:hAnsi="Times New Roman"/>
          <w:sz w:val="18"/>
          <w:szCs w:val="18"/>
          <w:color w:val="auto"/>
        </w:rPr>
      </w:pPr>
    </w:p>
    <w:p>
      <w:pPr>
        <w:ind w:left="660" w:right="160" w:hanging="328"/>
        <w:spacing w:after="0" w:line="28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Collaboration Revenue: </w:t>
      </w:r>
      <w:r>
        <w:rPr>
          <w:rFonts w:ascii="Times New Roman" w:cs="Times New Roman" w:eastAsia="Times New Roman" w:hAnsi="Times New Roman"/>
          <w:sz w:val="18"/>
          <w:szCs w:val="18"/>
          <w:color w:val="auto"/>
        </w:rPr>
        <w:t>Collaboration revenue was $1.4 million for the three months ended June 30, 2022, generated through the Company’s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collaboration, option and license agreement with BMS.</w:t>
      </w:r>
    </w:p>
    <w:p>
      <w:pPr>
        <w:spacing w:after="0" w:line="154" w:lineRule="exact"/>
        <w:rPr>
          <w:rFonts w:ascii="Times New Roman" w:cs="Times New Roman" w:eastAsia="Times New Roman" w:hAnsi="Times New Roman"/>
          <w:sz w:val="18"/>
          <w:szCs w:val="18"/>
          <w:color w:val="auto"/>
        </w:rPr>
      </w:pPr>
    </w:p>
    <w:p>
      <w:pPr>
        <w:ind w:left="660" w:right="20" w:hanging="328"/>
        <w:spacing w:after="0" w:line="259"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Research and Development (R&amp;D) expenses</w:t>
      </w:r>
      <w:r>
        <w:rPr>
          <w:rFonts w:ascii="Times New Roman" w:cs="Times New Roman" w:eastAsia="Times New Roman" w:hAnsi="Times New Roman"/>
          <w:sz w:val="18"/>
          <w:szCs w:val="18"/>
          <w:color w:val="auto"/>
        </w:rPr>
        <w:t>: R&amp;D expenses were $24.5 million for the three months ended June 30, 2022, compared to $18.9</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million for the same period in 2021. The increase in R&amp;D expenses was primarily due to an increase in personnel expenses related to increased headcount to expand the Company’s R&amp;D capabilities, costs for pre-clinical studies, costs for laboratory supplies and facility costs, offset by a decrease in collaboration expenses with FUJIFILM Cellular Dynamics, Inc. (FCDI) as the scope of work with FCDI has narrowed down to primarily manufacturing CNTY-101 clinical supply.</w:t>
      </w:r>
    </w:p>
    <w:p>
      <w:pPr>
        <w:spacing w:after="0" w:line="179" w:lineRule="exact"/>
        <w:rPr>
          <w:rFonts w:ascii="Times New Roman" w:cs="Times New Roman" w:eastAsia="Times New Roman" w:hAnsi="Times New Roman"/>
          <w:sz w:val="18"/>
          <w:szCs w:val="18"/>
          <w:color w:val="auto"/>
        </w:rPr>
      </w:pPr>
    </w:p>
    <w:p>
      <w:pPr>
        <w:ind w:left="660" w:hanging="328"/>
        <w:spacing w:after="0" w:line="26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General and Administrative (G&amp;A) expenses</w:t>
      </w:r>
      <w:r>
        <w:rPr>
          <w:rFonts w:ascii="Times New Roman" w:cs="Times New Roman" w:eastAsia="Times New Roman" w:hAnsi="Times New Roman"/>
          <w:sz w:val="18"/>
          <w:szCs w:val="18"/>
          <w:color w:val="auto"/>
        </w:rPr>
        <w:t>: G&amp;A expenses were $8.3 million for the three months ended June 30, 2022, compared to $4.1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million for the same period in 2021. The increase was primarily due to an increase in employee headcount, an increase in directors’ and officers’ insurance expense and an increase in the Company’s professional fees as a result of expanded operations to support the Company’s infrastructure as well as additional costs to operate as a public company, and increased information technology and facility costs.</w:t>
      </w:r>
    </w:p>
    <w:p>
      <w:pPr>
        <w:spacing w:after="0" w:line="1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Net loss</w:t>
      </w:r>
      <w:r>
        <w:rPr>
          <w:rFonts w:ascii="Times New Roman" w:cs="Times New Roman" w:eastAsia="Times New Roman" w:hAnsi="Times New Roman"/>
          <w:sz w:val="18"/>
          <w:szCs w:val="18"/>
          <w:color w:val="auto"/>
        </w:rPr>
        <w:t>: Net loss was $31.0 million for the three months ended June 30, 2022, compared to $23.3 million for the same period in 2021.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Guidance</w:t>
      </w:r>
    </w:p>
    <w:p>
      <w:pPr>
        <w:spacing w:after="0" w:line="229" w:lineRule="exact"/>
        <w:rPr>
          <w:sz w:val="20"/>
          <w:szCs w:val="20"/>
          <w:color w:val="auto"/>
        </w:rPr>
      </w:pPr>
    </w:p>
    <w:p>
      <w:pPr>
        <w:ind w:left="660" w:right="5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expects full year GAAP Operating Expenses to be between $155 million and $165 million including non-cash stock-based compensation expense of $10 million to $15 million.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expects its cash, cash equivalents, and investments will support operations into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1440" w:right="47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2254250" cy="6343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2254250" cy="63436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Century Therapeutics</w:t>
      </w:r>
    </w:p>
    <w:p>
      <w:pPr>
        <w:spacing w:after="0" w:line="229" w:lineRule="exact"/>
        <w:rPr>
          <w:sz w:val="20"/>
          <w:szCs w:val="20"/>
          <w:color w:val="auto"/>
        </w:rPr>
      </w:pPr>
    </w:p>
    <w:p>
      <w:pPr>
        <w:ind w:right="340"/>
        <w:spacing w:after="0" w:line="255" w:lineRule="auto"/>
        <w:rPr>
          <w:sz w:val="20"/>
          <w:szCs w:val="20"/>
          <w:color w:val="auto"/>
        </w:rPr>
      </w:pPr>
      <w:r>
        <w:rPr>
          <w:rFonts w:ascii="Times New Roman" w:cs="Times New Roman" w:eastAsia="Times New Roman" w:hAnsi="Times New Roman"/>
          <w:sz w:val="18"/>
          <w:szCs w:val="18"/>
          <w:color w:val="auto"/>
        </w:rPr>
        <w:t xml:space="preserve">Century Therapeutics, Inc. (NASDAQ: IPSC) is harnessing the power of adult stem cells to develop curative cell therapy products for cancer that we believe will allow us to overcome the limitations of first-generation cell therapies. Our genetically engineered, iPSC-derived iNK and iT cell product candidates are designed to specifically target hematologic and solid tumor cancers. We are leveraging our expertise in cellular reprogramming, genetic engineering, and manufacturing to develop therapies with the potential to overcome many of the challenges inherent to cell therapy and provide a significant advantage over existing cell therapy technologies. We believe our commitment to developing off-the-shelf cell therapies will expand patient access and provide an unparalleled opportunity to advance the course of cancer care. For more information on Century Therapeutics please visit </w:t>
      </w:r>
      <w:r>
        <w:rPr>
          <w:rFonts w:ascii="Times New Roman" w:cs="Times New Roman" w:eastAsia="Times New Roman" w:hAnsi="Times New Roman"/>
          <w:sz w:val="18"/>
          <w:szCs w:val="18"/>
          <w:u w:val="single" w:color="auto"/>
          <w:color w:val="auto"/>
        </w:rPr>
        <w:t>https://www.centurytx.com/.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and made pursuant to the safe harbor provisions of, The Private Securities Litigation Reform Act of 1995. All statements contained in this press release, other than statements of historical facts or statements that relate to present facts or current conditions, including but not limited to, statements regarding our cash, financial resources, and estimated expenses, our clinical development plans and timelines, and the development of our U.S. manufacturing facility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 some cases, you can identify forward-looking statements by terms such as “may,” “might,” “will,” “should,” “expect,” “plan,” “aim,” “seek,” “anticipate,” “could,” “intend,” “target,” “project,” “contemplate,” “believe,” “estimate,” “predict,” “forecast,” “potential” or “continue” or the negative of these terms or other similar expressions. The forward-looking statements in this presentation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press release and are subject to a number of risks, uncertainties and assumptions, some of which cannot be predicted or quantified and some of which are beyond our control, including, among others: our ability to successfully advance our current and future product candidates through development activities, preclinical studies, and clinical trials; our ability to obtain FDA acceptance for our IND submissions and commence clinical trials on expected timelines, or at all; our reliance on the maintenance of certain key collaborative relationships for the manufacturing and development of our product candidates; the timing, scope and likelihood of regulatory filings and approvals, including final regulatory approval of our product candidates; the impact of the COVID-19 pandemic, geopolitical issues and inflation on our business and operations, supply chain and labor force; the performance of third parties in connection with the development of our product candidates, including third parties conducting our future clinical trials as well as third-party suppliers and manufacturers; our ability to successfully commercialize our product candidates and develop sales and marketing capabilities, if our product candidates are approved; and our ability to maintain and successfully enforce adequate intellectual property protection. These and other risks and uncertainties are described more fully in the “Risk Factors” section of our most recent filings with the Securities and Exchange Commission and available at www.sec.gov.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Moreover, we operate in a dynamic industry and economy. New risk factors and uncertainties may emerge from time to time, and it is not possible for management to predict all risk factors and uncertainties that we may face. Except as required by applicable law, we do not plan to publicly update or revise any forward-looking statements contained herein, whether as a result of any new information, future events, changed circumstances or otherwise.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More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Company: Elizabeth Krutoholow – </w:t>
      </w:r>
      <w:r>
        <w:rPr>
          <w:rFonts w:ascii="Times New Roman" w:cs="Times New Roman" w:eastAsia="Times New Roman" w:hAnsi="Times New Roman"/>
          <w:sz w:val="18"/>
          <w:szCs w:val="18"/>
          <w:u w:val="single" w:color="auto"/>
          <w:color w:val="auto"/>
        </w:rPr>
        <w:t>investor.relations@centurytx.com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Investors: Melissa Forst/Maghan Meyers – </w:t>
      </w:r>
      <w:r>
        <w:rPr>
          <w:rFonts w:ascii="Times New Roman" w:cs="Times New Roman" w:eastAsia="Times New Roman" w:hAnsi="Times New Roman"/>
          <w:sz w:val="18"/>
          <w:szCs w:val="18"/>
          <w:u w:val="single" w:color="auto"/>
          <w:color w:val="auto"/>
        </w:rPr>
        <w:t>century@argotpartners.com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Media: Joshua R. Mansbach – </w:t>
      </w:r>
      <w:r>
        <w:rPr>
          <w:rFonts w:ascii="Times New Roman" w:cs="Times New Roman" w:eastAsia="Times New Roman" w:hAnsi="Times New Roman"/>
          <w:sz w:val="18"/>
          <w:szCs w:val="18"/>
          <w:u w:val="single" w:color="auto"/>
          <w:color w:val="auto"/>
        </w:rPr>
        <w:t>century@argotpartners.com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2254250" cy="6343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2254250" cy="63436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Century Therapeutics, Inc</w:t>
      </w:r>
    </w:p>
    <w:p>
      <w:pPr>
        <w:spacing w:after="0" w:line="31"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Condensed Balance Sheets</w:t>
      </w:r>
    </w:p>
    <w:p>
      <w:pPr>
        <w:spacing w:after="0" w:line="9"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6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7"/>
              </w:rPr>
              <w:t>December 31,</w:t>
            </w:r>
          </w:p>
        </w:tc>
      </w:tr>
      <w:tr>
        <w:trPr>
          <w:trHeight w:val="238"/>
        </w:trPr>
        <w:tc>
          <w:tcPr>
            <w:tcW w:w="6680" w:type="dxa"/>
            <w:vAlign w:val="bottom"/>
            <w:tcBorders>
              <w:bottom w:val="single" w:sz="8" w:color="CCEEFF"/>
            </w:tcBorders>
          </w:tcPr>
          <w:p>
            <w:pPr>
              <w:spacing w:after="0"/>
              <w:rPr>
                <w:sz w:val="20"/>
                <w:szCs w:val="20"/>
                <w:color w:val="auto"/>
              </w:rPr>
            </w:pPr>
          </w:p>
        </w:tc>
        <w:tc>
          <w:tcPr>
            <w:tcW w:w="17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0"/>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9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112,787</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56,445</w:t>
            </w:r>
          </w:p>
        </w:tc>
      </w:tr>
      <w:tr>
        <w:trPr>
          <w:trHeight w:val="216"/>
        </w:trPr>
        <w:tc>
          <w:tcPr>
            <w:tcW w:w="6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Short-term investments</w:t>
            </w: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265,971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166,434</w:t>
            </w:r>
          </w:p>
        </w:tc>
        <w:tc>
          <w:tcPr>
            <w:tcW w:w="80" w:type="dxa"/>
            <w:vAlign w:val="bottom"/>
          </w:tcPr>
          <w:p>
            <w:pPr>
              <w:spacing w:after="0"/>
              <w:rPr>
                <w:sz w:val="18"/>
                <w:szCs w:val="18"/>
                <w:color w:val="auto"/>
              </w:rPr>
            </w:pPr>
          </w:p>
        </w:tc>
      </w:tr>
      <w:tr>
        <w:trPr>
          <w:trHeight w:val="230"/>
        </w:trPr>
        <w:tc>
          <w:tcPr>
            <w:tcW w:w="6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7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5,035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5,275</w:t>
            </w:r>
          </w:p>
        </w:tc>
        <w:tc>
          <w:tcPr>
            <w:tcW w:w="80" w:type="dxa"/>
            <w:vAlign w:val="bottom"/>
            <w:shd w:val="clear" w:color="auto" w:fill="CCEEFF"/>
          </w:tcPr>
          <w:p>
            <w:pPr>
              <w:spacing w:after="0"/>
              <w:rPr>
                <w:sz w:val="19"/>
                <w:szCs w:val="19"/>
                <w:color w:val="auto"/>
              </w:rPr>
            </w:pPr>
          </w:p>
        </w:tc>
      </w:tr>
      <w:tr>
        <w:trPr>
          <w:trHeight w:val="209"/>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7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383,793</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228,154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69,971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57,967</w:t>
            </w: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24,728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11,854</w:t>
            </w:r>
          </w:p>
        </w:tc>
        <w:tc>
          <w:tcPr>
            <w:tcW w:w="80" w:type="dxa"/>
            <w:vAlign w:val="bottom"/>
          </w:tcPr>
          <w:p>
            <w:pPr>
              <w:spacing w:after="0"/>
              <w:rPr>
                <w:sz w:val="18"/>
                <w:szCs w:val="18"/>
                <w:color w:val="auto"/>
              </w:rPr>
            </w:pPr>
          </w:p>
        </w:tc>
      </w:tr>
      <w:tr>
        <w:trPr>
          <w:trHeight w:val="216"/>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investments</w:t>
            </w: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50,607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135,914</w:t>
            </w:r>
          </w:p>
        </w:tc>
        <w:tc>
          <w:tcPr>
            <w:tcW w:w="80" w:type="dxa"/>
            <w:vAlign w:val="bottom"/>
            <w:shd w:val="clear" w:color="auto" w:fill="CCEEFF"/>
          </w:tcPr>
          <w:p>
            <w:pPr>
              <w:spacing w:after="0"/>
              <w:rPr>
                <w:sz w:val="18"/>
                <w:szCs w:val="18"/>
                <w:color w:val="auto"/>
              </w:rPr>
            </w:pPr>
          </w:p>
        </w:tc>
      </w:tr>
      <w:tr>
        <w:trPr>
          <w:trHeight w:val="229"/>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1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3,485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3,486</w:t>
            </w:r>
          </w:p>
        </w:tc>
        <w:tc>
          <w:tcPr>
            <w:tcW w:w="80" w:type="dxa"/>
            <w:vAlign w:val="bottom"/>
          </w:tcPr>
          <w:p>
            <w:pPr>
              <w:spacing w:after="0"/>
              <w:rPr>
                <w:sz w:val="19"/>
                <w:szCs w:val="19"/>
                <w:color w:val="auto"/>
              </w:rPr>
            </w:pPr>
          </w:p>
        </w:tc>
      </w:tr>
      <w:tr>
        <w:trPr>
          <w:trHeight w:val="223"/>
        </w:trPr>
        <w:tc>
          <w:tcPr>
            <w:tcW w:w="6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7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532,584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437,375</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6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66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convertible preferred stock, and stockholders' equity</w:t>
            </w: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Accounts payable</w:t>
            </w:r>
          </w:p>
        </w:tc>
        <w:tc>
          <w:tcPr>
            <w:tcW w:w="19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4,048</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7,596</w:t>
            </w:r>
          </w:p>
        </w:tc>
        <w:tc>
          <w:tcPr>
            <w:tcW w:w="80" w:type="dxa"/>
            <w:vAlign w:val="bottom"/>
            <w:shd w:val="clear" w:color="auto" w:fill="CCEEFF"/>
          </w:tcPr>
          <w:p>
            <w:pPr>
              <w:spacing w:after="0"/>
              <w:rPr>
                <w:sz w:val="18"/>
                <w:szCs w:val="18"/>
                <w:color w:val="auto"/>
              </w:rPr>
            </w:pPr>
          </w:p>
        </w:tc>
      </w:tr>
      <w:tr>
        <w:trPr>
          <w:trHeight w:val="216"/>
        </w:trPr>
        <w:tc>
          <w:tcPr>
            <w:tcW w:w="6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9,697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8,059</w:t>
            </w:r>
          </w:p>
        </w:tc>
        <w:tc>
          <w:tcPr>
            <w:tcW w:w="80" w:type="dxa"/>
            <w:vAlign w:val="bottom"/>
          </w:tcPr>
          <w:p>
            <w:pPr>
              <w:spacing w:after="0"/>
              <w:rPr>
                <w:sz w:val="18"/>
                <w:szCs w:val="18"/>
                <w:color w:val="auto"/>
              </w:rPr>
            </w:pPr>
          </w:p>
        </w:tc>
      </w:tr>
      <w:tr>
        <w:trPr>
          <w:trHeight w:val="230"/>
        </w:trPr>
        <w:tc>
          <w:tcPr>
            <w:tcW w:w="6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Deferred revenue, current</w:t>
            </w:r>
          </w:p>
        </w:tc>
        <w:tc>
          <w:tcPr>
            <w:tcW w:w="17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7,824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r>
      <w:tr>
        <w:trPr>
          <w:trHeight w:val="210"/>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7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21,569</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15,655</w:t>
            </w:r>
          </w:p>
        </w:tc>
        <w:tc>
          <w:tcPr>
            <w:tcW w:w="100" w:type="dxa"/>
            <w:vAlign w:val="bottom"/>
            <w:gridSpan w:val="2"/>
          </w:tcPr>
          <w:p>
            <w:pPr>
              <w:spacing w:after="0"/>
              <w:rPr>
                <w:sz w:val="18"/>
                <w:szCs w:val="18"/>
                <w:color w:val="auto"/>
              </w:rPr>
            </w:pPr>
          </w:p>
        </w:tc>
      </w:tr>
      <w:tr>
        <w:trPr>
          <w:trHeight w:val="216"/>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liability, noncurrent</w:t>
            </w: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30,433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14,559</w:t>
            </w: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net</w:t>
            </w: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8,501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8,903</w:t>
            </w:r>
          </w:p>
        </w:tc>
        <w:tc>
          <w:tcPr>
            <w:tcW w:w="80" w:type="dxa"/>
            <w:vAlign w:val="bottom"/>
          </w:tcPr>
          <w:p>
            <w:pPr>
              <w:spacing w:after="0"/>
              <w:rPr>
                <w:sz w:val="18"/>
                <w:szCs w:val="18"/>
                <w:color w:val="auto"/>
              </w:rPr>
            </w:pPr>
          </w:p>
        </w:tc>
      </w:tr>
      <w:tr>
        <w:trPr>
          <w:trHeight w:val="216"/>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1,220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2,020</w:t>
            </w:r>
          </w:p>
        </w:tc>
        <w:tc>
          <w:tcPr>
            <w:tcW w:w="80" w:type="dxa"/>
            <w:vAlign w:val="bottom"/>
            <w:shd w:val="clear" w:color="auto" w:fill="CCEEFF"/>
          </w:tcPr>
          <w:p>
            <w:pPr>
              <w:spacing w:after="0"/>
              <w:rPr>
                <w:sz w:val="18"/>
                <w:szCs w:val="18"/>
                <w:color w:val="auto"/>
              </w:rPr>
            </w:pPr>
          </w:p>
        </w:tc>
      </w:tr>
      <w:tr>
        <w:trPr>
          <w:trHeight w:val="230"/>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112,909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r>
      <w:tr>
        <w:trPr>
          <w:trHeight w:val="210"/>
        </w:trPr>
        <w:tc>
          <w:tcPr>
            <w:tcW w:w="6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7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174,632</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41,137</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09"/>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818,047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785,049</w:t>
            </w:r>
          </w:p>
        </w:tc>
        <w:tc>
          <w:tcPr>
            <w:tcW w:w="80" w:type="dxa"/>
            <w:vAlign w:val="bottom"/>
          </w:tcPr>
          <w:p>
            <w:pPr>
              <w:spacing w:after="0"/>
              <w:rPr>
                <w:sz w:val="18"/>
                <w:szCs w:val="18"/>
                <w:color w:val="auto"/>
              </w:rPr>
            </w:pPr>
          </w:p>
        </w:tc>
      </w:tr>
      <w:tr>
        <w:trPr>
          <w:trHeight w:val="216"/>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(456,667)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(388,166)</w:t>
            </w:r>
          </w:p>
        </w:tc>
      </w:tr>
      <w:tr>
        <w:trPr>
          <w:trHeight w:val="230"/>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(3,434)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(650)</w:t>
            </w:r>
          </w:p>
        </w:tc>
      </w:tr>
      <w:tr>
        <w:trPr>
          <w:trHeight w:val="210"/>
        </w:trPr>
        <w:tc>
          <w:tcPr>
            <w:tcW w:w="6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7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357,952</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396,238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23"/>
        </w:trPr>
        <w:tc>
          <w:tcPr>
            <w:tcW w:w="6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176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532,584</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437,375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6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655"/>
        </w:trPr>
        <w:tc>
          <w:tcPr>
            <w:tcW w:w="66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440" w:right="33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2254250" cy="6343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2254250" cy="63436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Century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and per share amounts)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740" w:type="dxa"/>
            <w:vAlign w:val="bottom"/>
            <w:gridSpan w:val="6"/>
          </w:tcPr>
          <w:p>
            <w:pPr>
              <w:jc w:val="right"/>
              <w:ind w:right="701"/>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00" w:type="dxa"/>
            <w:vAlign w:val="bottom"/>
          </w:tcPr>
          <w:p>
            <w:pPr>
              <w:spacing w:after="0"/>
              <w:rPr>
                <w:sz w:val="20"/>
                <w:szCs w:val="20"/>
                <w:color w:val="auto"/>
              </w:rPr>
            </w:pPr>
          </w:p>
        </w:tc>
        <w:tc>
          <w:tcPr>
            <w:tcW w:w="2580" w:type="dxa"/>
            <w:vAlign w:val="bottom"/>
            <w:gridSpan w:val="6"/>
          </w:tcPr>
          <w:p>
            <w:pPr>
              <w:jc w:val="right"/>
              <w:ind w:right="681"/>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01"/>
        </w:trPr>
        <w:tc>
          <w:tcPr>
            <w:tcW w:w="44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gridSpan w:val="2"/>
          </w:tcPr>
          <w:p>
            <w:pPr>
              <w:jc w:val="right"/>
              <w:ind w:right="361"/>
              <w:spacing w:after="0" w:line="201" w:lineRule="exact"/>
              <w:rPr>
                <w:sz w:val="20"/>
                <w:szCs w:val="20"/>
                <w:color w:val="auto"/>
              </w:rPr>
            </w:pPr>
            <w:r>
              <w:rPr>
                <w:rFonts w:ascii="Times New Roman" w:cs="Times New Roman" w:eastAsia="Times New Roman" w:hAnsi="Times New Roman"/>
                <w:sz w:val="18"/>
                <w:szCs w:val="18"/>
                <w:b w:val="1"/>
                <w:bCs w:val="1"/>
                <w:color w:val="auto"/>
              </w:rPr>
              <w:t>June 30,</w:t>
            </w:r>
          </w:p>
        </w:tc>
        <w:tc>
          <w:tcPr>
            <w:tcW w:w="1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ind w:right="210"/>
              <w:spacing w:after="0" w:line="201" w:lineRule="exact"/>
              <w:rPr>
                <w:sz w:val="20"/>
                <w:szCs w:val="20"/>
                <w:color w:val="auto"/>
              </w:rPr>
            </w:pPr>
            <w:r>
              <w:rPr>
                <w:rFonts w:ascii="Times New Roman" w:cs="Times New Roman" w:eastAsia="Times New Roman" w:hAnsi="Times New Roman"/>
                <w:sz w:val="18"/>
                <w:szCs w:val="18"/>
                <w:b w:val="1"/>
                <w:bCs w:val="1"/>
                <w:color w:val="auto"/>
              </w:rPr>
              <w:t>June 30,</w:t>
            </w:r>
          </w:p>
        </w:tc>
        <w:tc>
          <w:tcPr>
            <w:tcW w:w="2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gridSpan w:val="2"/>
          </w:tcPr>
          <w:p>
            <w:pPr>
              <w:jc w:val="right"/>
              <w:ind w:right="341"/>
              <w:spacing w:after="0" w:line="201" w:lineRule="exact"/>
              <w:rPr>
                <w:sz w:val="20"/>
                <w:szCs w:val="20"/>
                <w:color w:val="auto"/>
              </w:rPr>
            </w:pPr>
            <w:r>
              <w:rPr>
                <w:rFonts w:ascii="Times New Roman" w:cs="Times New Roman" w:eastAsia="Times New Roman" w:hAnsi="Times New Roman"/>
                <w:sz w:val="18"/>
                <w:szCs w:val="18"/>
                <w:b w:val="1"/>
                <w:bCs w:val="1"/>
                <w:color w:val="auto"/>
              </w:rPr>
              <w:t>June 30,</w:t>
            </w:r>
          </w:p>
        </w:tc>
        <w:tc>
          <w:tcPr>
            <w:tcW w:w="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ind w:right="210"/>
              <w:spacing w:after="0" w:line="201" w:lineRule="exact"/>
              <w:rPr>
                <w:sz w:val="20"/>
                <w:szCs w:val="20"/>
                <w:color w:val="auto"/>
              </w:rPr>
            </w:pPr>
            <w:r>
              <w:rPr>
                <w:rFonts w:ascii="Times New Roman" w:cs="Times New Roman" w:eastAsia="Times New Roman" w:hAnsi="Times New Roman"/>
                <w:sz w:val="18"/>
                <w:szCs w:val="18"/>
                <w:b w:val="1"/>
                <w:bCs w:val="1"/>
                <w:color w:val="auto"/>
              </w:rPr>
              <w:t>June 30,</w:t>
            </w:r>
          </w:p>
        </w:tc>
        <w:tc>
          <w:tcPr>
            <w:tcW w:w="100" w:type="dxa"/>
            <w:vAlign w:val="bottom"/>
          </w:tcPr>
          <w:p>
            <w:pPr>
              <w:spacing w:after="0"/>
              <w:rPr>
                <w:sz w:val="17"/>
                <w:szCs w:val="17"/>
                <w:color w:val="auto"/>
              </w:rPr>
            </w:pPr>
          </w:p>
        </w:tc>
      </w:tr>
      <w:tr>
        <w:trPr>
          <w:trHeight w:val="238"/>
        </w:trPr>
        <w:tc>
          <w:tcPr>
            <w:tcW w:w="4460" w:type="dxa"/>
            <w:vAlign w:val="bottom"/>
            <w:tcBorders>
              <w:bottom w:val="single" w:sz="8" w:color="CCEEFF"/>
            </w:tcBorders>
          </w:tcPr>
          <w:p>
            <w:pPr>
              <w:spacing w:after="0"/>
              <w:rPr>
                <w:sz w:val="20"/>
                <w:szCs w:val="20"/>
                <w:color w:val="auto"/>
              </w:rPr>
            </w:pPr>
          </w:p>
        </w:tc>
        <w:tc>
          <w:tcPr>
            <w:tcW w:w="10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r>
      <w:tr>
        <w:trPr>
          <w:trHeight w:val="209"/>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Collaboration Revenue</w:t>
            </w: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44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24,494</w:t>
            </w:r>
          </w:p>
        </w:tc>
        <w:tc>
          <w:tcPr>
            <w:tcW w:w="28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18,933</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45,690</w:t>
            </w:r>
          </w:p>
        </w:tc>
        <w:tc>
          <w:tcPr>
            <w:tcW w:w="2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34,307</w:t>
            </w:r>
          </w:p>
        </w:tc>
      </w:tr>
      <w:tr>
        <w:trPr>
          <w:trHeight w:val="216"/>
        </w:trPr>
        <w:tc>
          <w:tcPr>
            <w:tcW w:w="4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8,253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4,088</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15,551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6,776</w:t>
            </w:r>
          </w:p>
        </w:tc>
      </w:tr>
      <w:tr>
        <w:trPr>
          <w:trHeight w:val="229"/>
        </w:trPr>
        <w:tc>
          <w:tcPr>
            <w:tcW w:w="4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In-process research and development</w:t>
            </w: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10,000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446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0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32,747</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23,021</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71,241</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41,083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44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(31,351)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(23,021)</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(68,787)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(41,083)</w:t>
            </w:r>
          </w:p>
        </w:tc>
      </w:tr>
      <w:tr>
        <w:trPr>
          <w:trHeight w:val="216"/>
        </w:trPr>
        <w:tc>
          <w:tcPr>
            <w:tcW w:w="44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(330)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(318)</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(644)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w:t>
            </w:r>
          </w:p>
        </w:tc>
      </w:tr>
      <w:tr>
        <w:trPr>
          <w:trHeight w:val="230"/>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711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66</w:t>
            </w:r>
          </w:p>
        </w:tc>
        <w:tc>
          <w:tcPr>
            <w:tcW w:w="200" w:type="dxa"/>
            <w:vAlign w:val="bottom"/>
          </w:tcPr>
          <w:p>
            <w:pPr>
              <w:spacing w:after="0"/>
              <w:rPr>
                <w:sz w:val="19"/>
                <w:szCs w:val="19"/>
                <w:color w:val="auto"/>
              </w:rPr>
            </w:pPr>
          </w:p>
        </w:tc>
        <w:tc>
          <w:tcPr>
            <w:tcW w:w="11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964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94</w:t>
            </w:r>
          </w:p>
        </w:tc>
      </w:tr>
      <w:tr>
        <w:trPr>
          <w:trHeight w:val="209"/>
        </w:trPr>
        <w:tc>
          <w:tcPr>
            <w:tcW w:w="4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10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(30,970)</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(23,273)</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(68,467)</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(41,621)</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4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4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0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(30,988</w:t>
            </w:r>
          </w:p>
        </w:tc>
        <w:tc>
          <w:tcPr>
            <w:tcW w:w="14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(23,273</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(68,501</w:t>
            </w:r>
          </w:p>
        </w:tc>
        <w:tc>
          <w:tcPr>
            <w:tcW w:w="14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(41,621</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44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44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Unrealized (loss) gain on investments</w:t>
            </w: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(780)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32</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(2,766)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4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tcPr>
          <w:p>
            <w:pPr>
              <w:spacing w:after="0"/>
              <w:rPr>
                <w:sz w:val="19"/>
                <w:szCs w:val="19"/>
                <w:color w:val="auto"/>
              </w:rPr>
            </w:pPr>
          </w:p>
        </w:tc>
        <w:tc>
          <w:tcPr>
            <w:tcW w:w="11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3"/>
        </w:trPr>
        <w:tc>
          <w:tcPr>
            <w:tcW w:w="44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10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(31,780</w:t>
            </w:r>
          </w:p>
        </w:tc>
        <w:tc>
          <w:tcPr>
            <w:tcW w:w="14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(23,250</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(71,285</w:t>
            </w:r>
          </w:p>
        </w:tc>
        <w:tc>
          <w:tcPr>
            <w:tcW w:w="14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(41,621</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44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44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common share - Basic and Diluted</w:t>
            </w:r>
          </w:p>
        </w:tc>
        <w:tc>
          <w:tcPr>
            <w:tcW w:w="10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(0.54)</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(1.93)</w:t>
            </w:r>
          </w:p>
        </w:tc>
        <w:tc>
          <w:tcPr>
            <w:tcW w:w="2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(1.19)</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w:t>
            </w: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6"/>
        </w:trPr>
        <w:tc>
          <w:tcPr>
            <w:tcW w:w="44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10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57,685,006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12,044,610</w:t>
            </w: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57,370,022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9,775,840</w:t>
            </w:r>
          </w:p>
        </w:tc>
      </w:tr>
      <w:tr>
        <w:trPr>
          <w:trHeight w:val="668"/>
        </w:trPr>
        <w:tc>
          <w:tcPr>
            <w:tcW w:w="44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1060" w:type="dxa"/>
            <w:vAlign w:val="bottom"/>
            <w:tcBorders>
              <w:top w:val="single" w:sz="8" w:color="auto"/>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lvl w:ilvl="1">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2022-08-11T07:03:45Z</dcterms:created>
  <dcterms:modified xsi:type="dcterms:W3CDTF">2022-08-11T07:03:45Z</dcterms:modified>
</cp:coreProperties>
</file>