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339090</wp:posOffset>
            </wp:positionV>
            <wp:extent cx="650049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049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6500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65004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0495" cy="1714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65004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0495" cy="17145"/>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51" w:lineRule="exact"/>
        <w:rPr>
          <w:sz w:val="24"/>
          <w:szCs w:val="24"/>
          <w:color w:val="auto"/>
        </w:rPr>
      </w:pPr>
    </w:p>
    <w:p>
      <w:pPr>
        <w:ind w:left="380" w:hanging="370"/>
        <w:spacing w:after="0"/>
        <w:tabs>
          <w:tab w:leader="none" w:pos="3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 w:lineRule="exact"/>
        <w:rPr>
          <w:sz w:val="24"/>
          <w:szCs w:val="24"/>
          <w:color w:val="auto"/>
        </w:rPr>
      </w:pPr>
    </w:p>
    <w:p>
      <w:pPr>
        <w:ind w:left="380" w:hanging="370"/>
        <w:spacing w:after="0"/>
        <w:tabs>
          <w:tab w:leader="none" w:pos="3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 w:lineRule="exact"/>
        <w:rPr>
          <w:rFonts w:ascii="MS PGothic" w:cs="MS PGothic" w:eastAsia="MS PGothic" w:hAnsi="MS PGothic"/>
          <w:sz w:val="16"/>
          <w:szCs w:val="16"/>
          <w:color w:val="auto"/>
          <w:highlight w:val="black"/>
        </w:rPr>
      </w:pPr>
    </w:p>
    <w:p>
      <w:pPr>
        <w:ind w:left="27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transition period from _______ to _______</w:t>
      </w:r>
    </w:p>
    <w:p>
      <w:pPr>
        <w:spacing w:after="0" w:line="58" w:lineRule="exact"/>
        <w:rPr>
          <w:rFonts w:ascii="MS PGothic" w:cs="MS PGothic" w:eastAsia="MS PGothic" w:hAnsi="MS PGothic"/>
          <w:sz w:val="16"/>
          <w:szCs w:val="16"/>
          <w:color w:val="auto"/>
          <w:highlight w:val="black"/>
        </w:rPr>
      </w:pPr>
    </w:p>
    <w:p>
      <w:pPr>
        <w:ind w:left="37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6500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049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Century Therapeutics,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6500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0495" cy="8255"/>
                    </a:xfrm>
                    <a:prstGeom prst="rect">
                      <a:avLst/>
                    </a:prstGeom>
                    <a:noFill/>
                  </pic:spPr>
                </pic:pic>
              </a:graphicData>
            </a:graphic>
          </wp:anchor>
        </w:drawing>
      </w:r>
    </w:p>
    <w:p>
      <w:pPr>
        <w:spacing w:after="0" w:line="72" w:lineRule="exact"/>
        <w:rPr>
          <w:sz w:val="24"/>
          <w:szCs w:val="24"/>
          <w:color w:val="auto"/>
        </w:rPr>
      </w:pPr>
    </w:p>
    <w:tbl>
      <w:tblPr>
        <w:tblLayout w:type="fixed"/>
        <w:tblInd w:w="1280" w:type="dxa"/>
        <w:tblCellMar>
          <w:top w:w="0" w:type="dxa"/>
          <w:left w:w="0" w:type="dxa"/>
          <w:bottom w:w="0" w:type="dxa"/>
          <w:right w:w="0" w:type="dxa"/>
        </w:tblCellMar>
      </w:tblPr>
      <w:tr>
        <w:trPr>
          <w:trHeight w:val="188"/>
        </w:trPr>
        <w:tc>
          <w:tcPr>
            <w:tcW w:w="5980" w:type="dxa"/>
            <w:vAlign w:val="bottom"/>
          </w:tcPr>
          <w:p>
            <w:pPr>
              <w:jc w:val="center"/>
              <w:ind w:right="2859"/>
              <w:spacing w:after="0"/>
              <w:rPr>
                <w:sz w:val="20"/>
                <w:szCs w:val="20"/>
                <w:color w:val="auto"/>
              </w:rPr>
            </w:pPr>
            <w:r>
              <w:rPr>
                <w:rFonts w:ascii="Arial" w:cs="Arial" w:eastAsia="Arial" w:hAnsi="Arial"/>
                <w:sz w:val="16"/>
                <w:szCs w:val="16"/>
                <w:b w:val="1"/>
                <w:bCs w:val="1"/>
                <w:color w:val="auto"/>
              </w:rPr>
              <w:t>Delaware</w:t>
            </w:r>
          </w:p>
        </w:tc>
        <w:tc>
          <w:tcPr>
            <w:tcW w:w="1440" w:type="dxa"/>
            <w:vAlign w:val="bottom"/>
          </w:tcPr>
          <w:p>
            <w:pPr>
              <w:jc w:val="right"/>
              <w:ind w:right="159"/>
              <w:spacing w:after="0"/>
              <w:rPr>
                <w:sz w:val="20"/>
                <w:szCs w:val="20"/>
                <w:color w:val="auto"/>
              </w:rPr>
            </w:pPr>
            <w:r>
              <w:rPr>
                <w:rFonts w:ascii="Arial" w:cs="Arial" w:eastAsia="Arial" w:hAnsi="Arial"/>
                <w:sz w:val="16"/>
                <w:szCs w:val="16"/>
                <w:b w:val="1"/>
                <w:bCs w:val="1"/>
                <w:color w:val="auto"/>
              </w:rPr>
              <w:t>84-2040295</w:t>
            </w:r>
          </w:p>
        </w:tc>
      </w:tr>
      <w:tr>
        <w:trPr>
          <w:trHeight w:val="188"/>
        </w:trPr>
        <w:tc>
          <w:tcPr>
            <w:tcW w:w="5980" w:type="dxa"/>
            <w:vAlign w:val="bottom"/>
          </w:tcPr>
          <w:p>
            <w:pPr>
              <w:jc w:val="center"/>
              <w:ind w:right="2879"/>
              <w:spacing w:after="0"/>
              <w:rPr>
                <w:sz w:val="20"/>
                <w:szCs w:val="20"/>
                <w:color w:val="auto"/>
              </w:rPr>
            </w:pPr>
            <w:r>
              <w:rPr>
                <w:rFonts w:ascii="Arial" w:cs="Arial" w:eastAsia="Arial" w:hAnsi="Arial"/>
                <w:sz w:val="16"/>
                <w:szCs w:val="16"/>
                <w:b w:val="1"/>
                <w:bCs w:val="1"/>
                <w:color w:val="auto"/>
              </w:rPr>
              <w:t>(State or other jurisdiction of</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(I.R.S. Employer</w:t>
            </w:r>
          </w:p>
        </w:tc>
      </w:tr>
      <w:tr>
        <w:trPr>
          <w:trHeight w:val="188"/>
        </w:trPr>
        <w:tc>
          <w:tcPr>
            <w:tcW w:w="5980" w:type="dxa"/>
            <w:vAlign w:val="bottom"/>
          </w:tcPr>
          <w:p>
            <w:pPr>
              <w:jc w:val="center"/>
              <w:ind w:right="2879"/>
              <w:spacing w:after="0"/>
              <w:rPr>
                <w:sz w:val="20"/>
                <w:szCs w:val="20"/>
                <w:color w:val="auto"/>
              </w:rPr>
            </w:pPr>
            <w:r>
              <w:rPr>
                <w:rFonts w:ascii="Arial" w:cs="Arial" w:eastAsia="Arial" w:hAnsi="Arial"/>
                <w:sz w:val="16"/>
                <w:szCs w:val="16"/>
                <w:b w:val="1"/>
                <w:bCs w:val="1"/>
                <w:color w:val="auto"/>
              </w:rPr>
              <w:t>incorporation or organization)</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Identification No.)</w:t>
            </w:r>
          </w:p>
        </w:tc>
      </w:tr>
      <w:tr>
        <w:trPr>
          <w:trHeight w:val="188"/>
        </w:trPr>
        <w:tc>
          <w:tcPr>
            <w:tcW w:w="5980" w:type="dxa"/>
            <w:vAlign w:val="bottom"/>
          </w:tcPr>
          <w:p>
            <w:pPr>
              <w:jc w:val="center"/>
              <w:ind w:right="2879"/>
              <w:spacing w:after="0"/>
              <w:rPr>
                <w:sz w:val="20"/>
                <w:szCs w:val="20"/>
                <w:color w:val="auto"/>
              </w:rPr>
            </w:pPr>
            <w:r>
              <w:rPr>
                <w:rFonts w:ascii="Arial" w:cs="Arial" w:eastAsia="Arial" w:hAnsi="Arial"/>
                <w:sz w:val="16"/>
                <w:szCs w:val="16"/>
                <w:b w:val="1"/>
                <w:bCs w:val="1"/>
                <w:color w:val="auto"/>
              </w:rPr>
              <w:t>3675 Market Street</w:t>
            </w:r>
          </w:p>
        </w:tc>
        <w:tc>
          <w:tcPr>
            <w:tcW w:w="1440" w:type="dxa"/>
            <w:vAlign w:val="bottom"/>
          </w:tcPr>
          <w:p>
            <w:pPr>
              <w:spacing w:after="0"/>
              <w:rPr>
                <w:sz w:val="16"/>
                <w:szCs w:val="16"/>
                <w:color w:val="auto"/>
              </w:rPr>
            </w:pPr>
          </w:p>
        </w:tc>
      </w:tr>
      <w:tr>
        <w:trPr>
          <w:trHeight w:val="188"/>
        </w:trPr>
        <w:tc>
          <w:tcPr>
            <w:tcW w:w="5980" w:type="dxa"/>
            <w:vAlign w:val="bottom"/>
          </w:tcPr>
          <w:p>
            <w:pPr>
              <w:jc w:val="center"/>
              <w:ind w:right="2859"/>
              <w:spacing w:after="0"/>
              <w:rPr>
                <w:sz w:val="20"/>
                <w:szCs w:val="20"/>
                <w:color w:val="auto"/>
              </w:rPr>
            </w:pPr>
            <w:r>
              <w:rPr>
                <w:rFonts w:ascii="Arial" w:cs="Arial" w:eastAsia="Arial" w:hAnsi="Arial"/>
                <w:sz w:val="16"/>
                <w:szCs w:val="16"/>
                <w:b w:val="1"/>
                <w:bCs w:val="1"/>
                <w:color w:val="auto"/>
              </w:rPr>
              <w:t>Philadelphia, Pennsylvania</w:t>
            </w: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19104</w:t>
            </w:r>
          </w:p>
        </w:tc>
      </w:tr>
      <w:tr>
        <w:trPr>
          <w:trHeight w:val="214"/>
        </w:trPr>
        <w:tc>
          <w:tcPr>
            <w:tcW w:w="5980" w:type="dxa"/>
            <w:vAlign w:val="bottom"/>
          </w:tcPr>
          <w:p>
            <w:pPr>
              <w:jc w:val="center"/>
              <w:ind w:right="2879"/>
              <w:spacing w:after="0"/>
              <w:rPr>
                <w:sz w:val="20"/>
                <w:szCs w:val="20"/>
                <w:color w:val="auto"/>
              </w:rPr>
            </w:pPr>
            <w:r>
              <w:rPr>
                <w:rFonts w:ascii="Arial" w:cs="Arial" w:eastAsia="Arial" w:hAnsi="Arial"/>
                <w:sz w:val="16"/>
                <w:szCs w:val="16"/>
                <w:b w:val="1"/>
                <w:bCs w:val="1"/>
                <w:color w:val="auto"/>
              </w:rPr>
              <w:t>(Address of principal executive offices)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(Zip Code)</w:t>
            </w:r>
          </w:p>
        </w:tc>
      </w:tr>
      <w:tr>
        <w:trPr>
          <w:trHeight w:val="203"/>
        </w:trPr>
        <w:tc>
          <w:tcPr>
            <w:tcW w:w="5980" w:type="dxa"/>
            <w:vAlign w:val="bottom"/>
          </w:tcPr>
          <w:p>
            <w:pPr>
              <w:jc w:val="right"/>
              <w:ind w:right="1499"/>
              <w:spacing w:after="0"/>
              <w:rPr>
                <w:sz w:val="20"/>
                <w:szCs w:val="20"/>
                <w:color w:val="auto"/>
              </w:rPr>
            </w:pPr>
            <w:r>
              <w:rPr>
                <w:rFonts w:ascii="Arial" w:cs="Arial" w:eastAsia="Arial" w:hAnsi="Arial"/>
                <w:sz w:val="16"/>
                <w:szCs w:val="16"/>
                <w:b w:val="1"/>
                <w:bCs w:val="1"/>
                <w:color w:val="auto"/>
              </w:rPr>
              <w:t>(267) 817-5790</w:t>
            </w:r>
          </w:p>
        </w:tc>
        <w:tc>
          <w:tcPr>
            <w:tcW w:w="1440" w:type="dxa"/>
            <w:vAlign w:val="bottom"/>
          </w:tcPr>
          <w:p>
            <w:pPr>
              <w:spacing w:after="0"/>
              <w:rPr>
                <w:sz w:val="17"/>
                <w:szCs w:val="17"/>
                <w:color w:val="auto"/>
              </w:rPr>
            </w:pPr>
          </w:p>
        </w:tc>
      </w:tr>
      <w:tr>
        <w:trPr>
          <w:trHeight w:val="214"/>
        </w:trPr>
        <w:tc>
          <w:tcPr>
            <w:tcW w:w="5980" w:type="dxa"/>
            <w:vAlign w:val="bottom"/>
          </w:tcPr>
          <w:p>
            <w:pPr>
              <w:jc w:val="center"/>
              <w:ind w:left="1619"/>
              <w:spacing w:after="0"/>
              <w:rPr>
                <w:sz w:val="20"/>
                <w:szCs w:val="20"/>
                <w:color w:val="auto"/>
              </w:rPr>
            </w:pPr>
            <w:r>
              <w:rPr>
                <w:rFonts w:ascii="Arial" w:cs="Arial" w:eastAsia="Arial" w:hAnsi="Arial"/>
                <w:sz w:val="16"/>
                <w:szCs w:val="16"/>
                <w:b w:val="1"/>
                <w:bCs w:val="1"/>
                <w:color w:val="auto"/>
              </w:rPr>
              <w:t>(Registrant’s telephone number, including area code)</w:t>
            </w:r>
          </w:p>
        </w:tc>
        <w:tc>
          <w:tcPr>
            <w:tcW w:w="1440" w:type="dxa"/>
            <w:vAlign w:val="bottom"/>
          </w:tcPr>
          <w:p>
            <w:pPr>
              <w:spacing w:after="0"/>
              <w:rPr>
                <w:sz w:val="18"/>
                <w:szCs w:val="18"/>
                <w:color w:val="auto"/>
              </w:rPr>
            </w:pPr>
          </w:p>
        </w:tc>
      </w:tr>
    </w:tbl>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7" w:lineRule="exact"/>
        <w:rPr>
          <w:sz w:val="24"/>
          <w:szCs w:val="24"/>
          <w:color w:val="auto"/>
        </w:rPr>
      </w:pPr>
    </w:p>
    <w:p>
      <w:pPr>
        <w:ind w:left="268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6500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0495" cy="8255"/>
                    </a:xfrm>
                    <a:prstGeom prst="rect">
                      <a:avLst/>
                    </a:prstGeom>
                    <a:noFill/>
                  </pic:spPr>
                </pic:pic>
              </a:graphicData>
            </a:graphic>
          </wp:anchor>
        </w:drawing>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Trading</w:t>
            </w:r>
          </w:p>
        </w:tc>
        <w:tc>
          <w:tcPr>
            <w:tcW w:w="3060" w:type="dxa"/>
            <w:vAlign w:val="bottom"/>
          </w:tcPr>
          <w:p>
            <w:pPr>
              <w:spacing w:after="0"/>
              <w:rPr>
                <w:sz w:val="12"/>
                <w:szCs w:val="12"/>
                <w:color w:val="auto"/>
              </w:rPr>
            </w:pPr>
          </w:p>
        </w:tc>
      </w:tr>
      <w:tr>
        <w:trPr>
          <w:trHeight w:val="156"/>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00" w:type="dxa"/>
            <w:vAlign w:val="bottom"/>
          </w:tcPr>
          <w:p>
            <w:pPr>
              <w:spacing w:after="0"/>
              <w:rPr>
                <w:sz w:val="13"/>
                <w:szCs w:val="13"/>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200" w:type="dxa"/>
            <w:vAlign w:val="bottom"/>
          </w:tcPr>
          <w:p>
            <w:pPr>
              <w:spacing w:after="0"/>
              <w:rPr>
                <w:sz w:val="13"/>
                <w:szCs w:val="13"/>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9"/>
        </w:trPr>
        <w:tc>
          <w:tcPr>
            <w:tcW w:w="3580" w:type="dxa"/>
            <w:vAlign w:val="bottom"/>
            <w:gridSpan w:val="2"/>
          </w:tcPr>
          <w:p>
            <w:pPr>
              <w:jc w:val="center"/>
              <w:ind w:right="220"/>
              <w:spacing w:after="0"/>
              <w:rPr>
                <w:sz w:val="20"/>
                <w:szCs w:val="20"/>
                <w:color w:val="auto"/>
              </w:rPr>
            </w:pPr>
            <w:r>
              <w:rPr>
                <w:rFonts w:ascii="Arial" w:cs="Arial" w:eastAsia="Arial" w:hAnsi="Arial"/>
                <w:sz w:val="16"/>
                <w:szCs w:val="16"/>
                <w:color w:val="auto"/>
              </w:rPr>
              <w:t>Common Stock, $0.0001 par value per share</w:t>
            </w:r>
          </w:p>
        </w:tc>
        <w:tc>
          <w:tcPr>
            <w:tcW w:w="358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IPSC</w:t>
            </w:r>
          </w:p>
        </w:tc>
        <w:tc>
          <w:tcPr>
            <w:tcW w:w="306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r>
    </w:tbl>
    <w:p>
      <w:pPr>
        <w:spacing w:after="0" w:line="75" w:lineRule="exact"/>
        <w:rPr>
          <w:sz w:val="24"/>
          <w:szCs w:val="24"/>
          <w:color w:val="auto"/>
        </w:rPr>
      </w:pPr>
    </w:p>
    <w:p>
      <w:pPr>
        <w:ind w:right="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ind w:right="38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ind w:right="140"/>
        <w:spacing w:after="0" w:line="25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940"/>
              <w:spacing w:after="0"/>
              <w:rPr>
                <w:sz w:val="20"/>
                <w:szCs w:val="20"/>
                <w:color w:val="auto"/>
              </w:rPr>
            </w:pPr>
            <w:r>
              <w:rPr>
                <w:rFonts w:ascii="Arial" w:cs="Arial" w:eastAsia="Arial" w:hAnsi="Arial"/>
                <w:sz w:val="16"/>
                <w:szCs w:val="16"/>
                <w:color w:val="auto"/>
              </w:rPr>
              <w:t>Accelerated filer</w:t>
            </w:r>
          </w:p>
        </w:tc>
        <w:tc>
          <w:tcPr>
            <w:tcW w:w="56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02"/>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gridSpan w:val="2"/>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30"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right="1180"/>
        <w:spacing w:after="0" w:line="24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12, 2021, the registrant had 54,404,091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65004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049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38100</wp:posOffset>
            </wp:positionV>
            <wp:extent cx="6500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0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650049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0495" cy="34290"/>
                    </a:xfrm>
                    <a:prstGeom prst="rect">
                      <a:avLst/>
                    </a:prstGeom>
                    <a:noFill/>
                  </pic:spPr>
                </pic:pic>
              </a:graphicData>
            </a:graphic>
          </wp:anchor>
        </w:drawing>
      </w:r>
    </w:p>
    <w:p>
      <w:pPr>
        <w:sectPr>
          <w:pgSz w:w="11900" w:h="16838" w:orient="portrait"/>
          <w:cols w:equalWidth="0" w:num="1">
            <w:col w:w="10240"/>
          </w:cols>
          <w:pgMar w:left="820" w:top="677"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60" w:type="dxa"/>
            <w:vAlign w:val="bottom"/>
            <w:gridSpan w:val="3"/>
            <w:vMerge w:val="restart"/>
          </w:tcPr>
          <w:p>
            <w:pPr>
              <w:spacing w:after="0"/>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PART I.</w:t>
              </w:r>
            </w:hyperlink>
          </w:p>
        </w:tc>
        <w:tc>
          <w:tcPr>
            <w:tcW w:w="220" w:type="dxa"/>
            <w:vAlign w:val="bottom"/>
            <w:gridSpan w:val="3"/>
            <w:vMerge w:val="restart"/>
          </w:tcPr>
          <w:p>
            <w:pPr>
              <w:spacing w:after="0"/>
              <w:rPr>
                <w:sz w:val="15"/>
                <w:szCs w:val="15"/>
                <w:color w:val="auto"/>
              </w:rPr>
            </w:pPr>
          </w:p>
        </w:tc>
        <w:tc>
          <w:tcPr>
            <w:tcW w:w="2540" w:type="dxa"/>
            <w:vAlign w:val="bottom"/>
            <w:gridSpan w:val="10"/>
            <w:vMerge w:val="restart"/>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FINANCIAL INFORMATION</w:t>
              </w:r>
            </w:hyperlink>
          </w:p>
        </w:tc>
        <w:tc>
          <w:tcPr>
            <w:tcW w:w="4860" w:type="dxa"/>
            <w:vAlign w:val="bottom"/>
            <w:gridSpan w:val="11"/>
            <w:vMerge w:val="restart"/>
          </w:tcPr>
          <w:p>
            <w:pPr>
              <w:spacing w:after="0"/>
              <w:rPr>
                <w:sz w:val="15"/>
                <w:szCs w:val="15"/>
                <w:color w:val="auto"/>
              </w:rPr>
            </w:pPr>
          </w:p>
        </w:tc>
        <w:tc>
          <w:tcPr>
            <w:tcW w:w="6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660" w:type="dxa"/>
            <w:vAlign w:val="bottom"/>
            <w:gridSpan w:val="3"/>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2540" w:type="dxa"/>
            <w:vAlign w:val="bottom"/>
            <w:gridSpan w:val="10"/>
            <w:vMerge w:val="continue"/>
          </w:tcPr>
          <w:p>
            <w:pPr>
              <w:spacing w:after="0"/>
              <w:rPr>
                <w:sz w:val="15"/>
                <w:szCs w:val="15"/>
                <w:color w:val="auto"/>
              </w:rPr>
            </w:pPr>
          </w:p>
        </w:tc>
        <w:tc>
          <w:tcPr>
            <w:tcW w:w="4860" w:type="dxa"/>
            <w:vAlign w:val="bottom"/>
            <w:gridSpan w:val="11"/>
            <w:vMerge w:val="continue"/>
          </w:tcPr>
          <w:p>
            <w:pPr>
              <w:spacing w:after="0"/>
              <w:rPr>
                <w:sz w:val="15"/>
                <w:szCs w:val="15"/>
                <w:color w:val="auto"/>
              </w:rPr>
            </w:pPr>
          </w:p>
        </w:tc>
        <w:tc>
          <w:tcPr>
            <w:tcW w:w="620" w:type="dxa"/>
            <w:vAlign w:val="bottom"/>
            <w:gridSpan w:val="4"/>
          </w:tcPr>
          <w:p>
            <w:pPr>
              <w:jc w:val="right"/>
              <w:ind w:right="20"/>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40" w:type="dxa"/>
            <w:vAlign w:val="bottom"/>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560" w:type="dxa"/>
            <w:vAlign w:val="bottom"/>
            <w:gridSpan w:val="2"/>
            <w:shd w:val="clear" w:color="auto" w:fill="0000EE"/>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60" w:type="dxa"/>
            <w:vAlign w:val="bottom"/>
            <w:gridSpan w:val="3"/>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Item 1.</w:t>
              </w:r>
            </w:hyperlink>
          </w:p>
        </w:tc>
        <w:tc>
          <w:tcPr>
            <w:tcW w:w="220" w:type="dxa"/>
            <w:vAlign w:val="bottom"/>
            <w:gridSpan w:val="3"/>
          </w:tcPr>
          <w:p>
            <w:pPr>
              <w:spacing w:after="0"/>
              <w:rPr>
                <w:sz w:val="16"/>
                <w:szCs w:val="16"/>
                <w:color w:val="auto"/>
              </w:rPr>
            </w:pPr>
          </w:p>
        </w:tc>
        <w:tc>
          <w:tcPr>
            <w:tcW w:w="2540" w:type="dxa"/>
            <w:vAlign w:val="bottom"/>
            <w:gridSpan w:val="10"/>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Financial Statements:</w:t>
              </w:r>
            </w:hyperlink>
          </w:p>
        </w:tc>
        <w:tc>
          <w:tcPr>
            <w:tcW w:w="4860" w:type="dxa"/>
            <w:vAlign w:val="bottom"/>
            <w:gridSpan w:val="11"/>
          </w:tcPr>
          <w:p>
            <w:pPr>
              <w:spacing w:after="0"/>
              <w:rPr>
                <w:sz w:val="16"/>
                <w:szCs w:val="16"/>
                <w:color w:val="auto"/>
              </w:rPr>
            </w:pPr>
          </w:p>
        </w:tc>
        <w:tc>
          <w:tcPr>
            <w:tcW w:w="6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gridSpan w:val="2"/>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20" w:type="dxa"/>
            <w:vAlign w:val="bottom"/>
            <w:gridSpan w:val="17"/>
          </w:tcPr>
          <w:p>
            <w:pPr>
              <w:spacing w:after="0" w:line="189"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Balance Sheets as of June 30, 2021 (unaudited) and December 31, 2020</w:t>
              </w:r>
            </w:hyperlink>
          </w:p>
        </w:tc>
        <w:tc>
          <w:tcPr>
            <w:tcW w:w="480" w:type="dxa"/>
            <w:vAlign w:val="bottom"/>
            <w:gridSpan w:val="4"/>
          </w:tcPr>
          <w:p>
            <w:pPr>
              <w:spacing w:after="0"/>
              <w:rPr>
                <w:sz w:val="18"/>
                <w:szCs w:val="18"/>
                <w:color w:val="auto"/>
              </w:rPr>
            </w:pPr>
          </w:p>
        </w:tc>
        <w:tc>
          <w:tcPr>
            <w:tcW w:w="6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60" w:type="dxa"/>
            <w:vAlign w:val="bottom"/>
            <w:tcBorders>
              <w:top w:val="single" w:sz="8" w:color="0000EE"/>
              <w:bottom w:val="single" w:sz="8" w:color="0000EE"/>
            </w:tcBorders>
            <w:gridSpan w:val="15"/>
          </w:tcPr>
          <w:p>
            <w:pPr>
              <w:spacing w:after="0" w:line="17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Consolidated Statements of Operations and Comprehensive Loss for the three and six</w:t>
              </w:r>
            </w:hyperlink>
          </w:p>
        </w:tc>
        <w:tc>
          <w:tcPr>
            <w:tcW w:w="60" w:type="dxa"/>
            <w:vAlign w:val="bottom"/>
            <w:tcBorders>
              <w:top w:val="single" w:sz="8" w:color="0000EE"/>
            </w:tcBorders>
            <w:gridSpan w:val="2"/>
          </w:tcPr>
          <w:p>
            <w:pPr>
              <w:spacing w:after="0"/>
              <w:rPr>
                <w:sz w:val="15"/>
                <w:szCs w:val="15"/>
                <w:color w:val="auto"/>
              </w:rPr>
            </w:pPr>
          </w:p>
        </w:tc>
        <w:tc>
          <w:tcPr>
            <w:tcW w:w="48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0" w:type="dxa"/>
            <w:vAlign w:val="bottom"/>
            <w:gridSpan w:val="21"/>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months ended June 30, 2021 and 2020 (unaudited)</w:t>
              </w:r>
            </w:hyperlink>
          </w:p>
        </w:tc>
        <w:tc>
          <w:tcPr>
            <w:tcW w:w="620" w:type="dxa"/>
            <w:vAlign w:val="bottom"/>
            <w:gridSpan w:val="4"/>
          </w:tcPr>
          <w:p>
            <w:pPr>
              <w:jc w:val="right"/>
              <w:ind w:right="20"/>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900" w:type="dxa"/>
            <w:vAlign w:val="bottom"/>
            <w:tcBorders>
              <w:bottom w:val="single" w:sz="8" w:color="0000EE"/>
            </w:tcBorders>
            <w:gridSpan w:val="16"/>
          </w:tcPr>
          <w:p>
            <w:pPr>
              <w:spacing w:after="0" w:line="176"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Consolidated Statements of Changes in Convertible Preferred Stock and Stockholders’</w:t>
              </w:r>
            </w:hyperlink>
          </w:p>
        </w:tc>
        <w:tc>
          <w:tcPr>
            <w:tcW w:w="500" w:type="dxa"/>
            <w:vAlign w:val="bottom"/>
            <w:gridSpan w:val="5"/>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940" w:type="dxa"/>
            <w:vAlign w:val="bottom"/>
            <w:gridSpan w:val="18"/>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Equity (Deficit) for the three and six months ended June 30, 2021 and 2020 (unaudited)</w:t>
              </w:r>
            </w:hyperlink>
          </w:p>
        </w:tc>
        <w:tc>
          <w:tcPr>
            <w:tcW w:w="460" w:type="dxa"/>
            <w:vAlign w:val="bottom"/>
            <w:gridSpan w:val="3"/>
          </w:tcPr>
          <w:p>
            <w:pPr>
              <w:spacing w:after="0"/>
              <w:rPr>
                <w:sz w:val="15"/>
                <w:szCs w:val="15"/>
                <w:color w:val="auto"/>
              </w:rPr>
            </w:pPr>
          </w:p>
        </w:tc>
        <w:tc>
          <w:tcPr>
            <w:tcW w:w="620" w:type="dxa"/>
            <w:vAlign w:val="bottom"/>
            <w:gridSpan w:val="4"/>
          </w:tcPr>
          <w:p>
            <w:pPr>
              <w:jc w:val="right"/>
              <w:ind w:right="20"/>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0" w:type="dxa"/>
            <w:vAlign w:val="bottom"/>
            <w:gridSpan w:val="21"/>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Statements of Cash Flows for the six months ended June 30, 2021 and 2020</w:t>
              </w:r>
            </w:hyperlink>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(unaudited)</w:t>
              </w:r>
            </w:hyperlink>
          </w:p>
        </w:tc>
        <w:tc>
          <w:tcPr>
            <w:tcW w:w="6180" w:type="dxa"/>
            <w:vAlign w:val="bottom"/>
            <w:tcBorders>
              <w:top w:val="single" w:sz="8" w:color="0000EE"/>
            </w:tcBorders>
            <w:gridSpan w:val="17"/>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4"/>
          </w:tcPr>
          <w:p>
            <w:pPr>
              <w:jc w:val="right"/>
              <w:ind w:right="20"/>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360" w:type="dxa"/>
            <w:vAlign w:val="bottom"/>
            <w:gridSpan w:val="2"/>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8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gridSpan w:val="5"/>
          </w:tcPr>
          <w:p>
            <w:pPr>
              <w:spacing w:after="0"/>
              <w:rPr>
                <w:sz w:val="2"/>
                <w:szCs w:val="2"/>
                <w:color w:val="auto"/>
              </w:rPr>
            </w:pPr>
          </w:p>
        </w:tc>
        <w:tc>
          <w:tcPr>
            <w:tcW w:w="3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13"/>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Notes to Unaudited Consolidated Financial Statements</w:t>
              </w:r>
            </w:hyperlink>
          </w:p>
        </w:tc>
        <w:tc>
          <w:tcPr>
            <w:tcW w:w="2700" w:type="dxa"/>
            <w:vAlign w:val="bottom"/>
            <w:gridSpan w:val="8"/>
          </w:tcPr>
          <w:p>
            <w:pPr>
              <w:spacing w:after="0"/>
              <w:rPr>
                <w:sz w:val="16"/>
                <w:szCs w:val="16"/>
                <w:color w:val="auto"/>
              </w:rPr>
            </w:pPr>
          </w:p>
        </w:tc>
        <w:tc>
          <w:tcPr>
            <w:tcW w:w="6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360" w:type="dxa"/>
            <w:vAlign w:val="bottom"/>
            <w:gridSpan w:val="2"/>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gridSpan w:val="2"/>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560" w:type="dxa"/>
            <w:vAlign w:val="bottom"/>
            <w:gridSpan w:val="2"/>
            <w:shd w:val="clear" w:color="auto" w:fill="0000EE"/>
          </w:tcPr>
          <w:p>
            <w:pPr>
              <w:spacing w:after="0"/>
              <w:rPr>
                <w:sz w:val="2"/>
                <w:szCs w:val="2"/>
                <w:color w:val="auto"/>
              </w:rPr>
            </w:pPr>
          </w:p>
        </w:tc>
        <w:tc>
          <w:tcPr>
            <w:tcW w:w="2160" w:type="dxa"/>
            <w:vAlign w:val="bottom"/>
            <w:gridSpan w:val="3"/>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gridSpan w:val="5"/>
          </w:tcPr>
          <w:p>
            <w:pPr>
              <w:spacing w:after="0"/>
              <w:rPr>
                <w:sz w:val="2"/>
                <w:szCs w:val="2"/>
                <w:color w:val="auto"/>
              </w:rPr>
            </w:pPr>
          </w:p>
        </w:tc>
        <w:tc>
          <w:tcPr>
            <w:tcW w:w="3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gridSpan w:val="6"/>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7400" w:type="dxa"/>
            <w:vAlign w:val="bottom"/>
            <w:gridSpan w:val="21"/>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42">
              <w:r>
                <w:rPr>
                  <w:rFonts w:ascii="Arial" w:cs="Arial" w:eastAsia="Arial" w:hAnsi="Arial"/>
                  <w:sz w:val="18"/>
                  <w:szCs w:val="18"/>
                  <w:color w:val="0000EE"/>
                </w:rPr>
                <w:t>Item 3.</w:t>
              </w:r>
            </w:hyperlink>
          </w:p>
        </w:tc>
        <w:tc>
          <w:tcPr>
            <w:tcW w:w="7400" w:type="dxa"/>
            <w:vAlign w:val="bottom"/>
            <w:gridSpan w:val="21"/>
          </w:tcPr>
          <w:p>
            <w:pPr>
              <w:spacing w:after="0" w:line="195"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62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Item 4.</w:t>
              </w:r>
            </w:hyperlink>
          </w:p>
        </w:tc>
        <w:tc>
          <w:tcPr>
            <w:tcW w:w="7400" w:type="dxa"/>
            <w:vAlign w:val="bottom"/>
            <w:gridSpan w:val="21"/>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62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5"/>
              </w:rPr>
            </w:pPr>
            <w:hyperlink w:anchor="page44">
              <w:r>
                <w:rPr>
                  <w:rFonts w:ascii="Arial" w:cs="Arial" w:eastAsia="Arial" w:hAnsi="Arial"/>
                  <w:sz w:val="18"/>
                  <w:szCs w:val="18"/>
                  <w:b w:val="1"/>
                  <w:bCs w:val="1"/>
                  <w:color w:val="0000EE"/>
                  <w:w w:val="95"/>
                </w:rPr>
                <w:t>PART II.</w:t>
              </w:r>
            </w:hyperlink>
          </w:p>
        </w:tc>
        <w:tc>
          <w:tcPr>
            <w:tcW w:w="200" w:type="dxa"/>
            <w:vAlign w:val="bottom"/>
            <w:gridSpan w:val="2"/>
          </w:tcPr>
          <w:p>
            <w:pPr>
              <w:spacing w:after="0"/>
              <w:rPr>
                <w:sz w:val="24"/>
                <w:szCs w:val="24"/>
                <w:color w:val="auto"/>
              </w:rPr>
            </w:pPr>
          </w:p>
        </w:tc>
        <w:tc>
          <w:tcPr>
            <w:tcW w:w="1980" w:type="dxa"/>
            <w:vAlign w:val="bottom"/>
            <w:tcBorders>
              <w:bottom w:val="single" w:sz="8" w:color="0000EE"/>
            </w:tcBorders>
            <w:gridSpan w:val="8"/>
          </w:tcPr>
          <w:p>
            <w:pPr>
              <w:spacing w:after="0"/>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OTHER INFORMATION</w:t>
              </w:r>
            </w:hyperlink>
          </w:p>
        </w:tc>
        <w:tc>
          <w:tcPr>
            <w:tcW w:w="5420" w:type="dxa"/>
            <w:vAlign w:val="bottom"/>
            <w:gridSpan w:val="13"/>
          </w:tcPr>
          <w:p>
            <w:pPr>
              <w:spacing w:after="0"/>
              <w:rPr>
                <w:sz w:val="24"/>
                <w:szCs w:val="2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44">
              <w:r>
                <w:rPr>
                  <w:rFonts w:ascii="Arial" w:cs="Arial" w:eastAsia="Arial" w:hAnsi="Arial"/>
                  <w:sz w:val="18"/>
                  <w:szCs w:val="18"/>
                  <w:color w:val="0000EE"/>
                </w:rPr>
                <w:t>Item 1.</w:t>
              </w:r>
            </w:hyperlink>
          </w:p>
        </w:tc>
        <w:tc>
          <w:tcPr>
            <w:tcW w:w="7400" w:type="dxa"/>
            <w:vAlign w:val="bottom"/>
            <w:gridSpan w:val="21"/>
          </w:tcPr>
          <w:p>
            <w:pPr>
              <w:spacing w:after="0" w:line="195"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62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44">
              <w:r>
                <w:rPr>
                  <w:rFonts w:ascii="Arial" w:cs="Arial" w:eastAsia="Arial" w:hAnsi="Arial"/>
                  <w:sz w:val="18"/>
                  <w:szCs w:val="18"/>
                  <w:color w:val="0000EE"/>
                </w:rPr>
                <w:t>Item 1A.</w:t>
              </w:r>
            </w:hyperlink>
          </w:p>
        </w:tc>
        <w:tc>
          <w:tcPr>
            <w:tcW w:w="7400" w:type="dxa"/>
            <w:vAlign w:val="bottom"/>
            <w:gridSpan w:val="21"/>
          </w:tcPr>
          <w:p>
            <w:pPr>
              <w:spacing w:after="0" w:line="195"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62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0" w:type="dxa"/>
            <w:vAlign w:val="bottom"/>
            <w:gridSpan w:val="3"/>
          </w:tcPr>
          <w:p>
            <w:pPr>
              <w:spacing w:after="0" w:line="195" w:lineRule="exact"/>
              <w:rPr>
                <w:rFonts w:ascii="Arial" w:cs="Arial" w:eastAsia="Arial" w:hAnsi="Arial"/>
                <w:sz w:val="18"/>
                <w:szCs w:val="18"/>
                <w:color w:val="0000EE"/>
              </w:rPr>
            </w:pPr>
            <w:hyperlink w:anchor="page102">
              <w:r>
                <w:rPr>
                  <w:rFonts w:ascii="Arial" w:cs="Arial" w:eastAsia="Arial" w:hAnsi="Arial"/>
                  <w:sz w:val="18"/>
                  <w:szCs w:val="18"/>
                  <w:color w:val="0000EE"/>
                </w:rPr>
                <w:t>Item 2.</w:t>
              </w:r>
            </w:hyperlink>
          </w:p>
        </w:tc>
        <w:tc>
          <w:tcPr>
            <w:tcW w:w="220" w:type="dxa"/>
            <w:vAlign w:val="bottom"/>
            <w:gridSpan w:val="3"/>
          </w:tcPr>
          <w:p>
            <w:pPr>
              <w:spacing w:after="0"/>
              <w:rPr>
                <w:sz w:val="16"/>
                <w:szCs w:val="16"/>
                <w:color w:val="auto"/>
              </w:rPr>
            </w:pPr>
          </w:p>
        </w:tc>
        <w:tc>
          <w:tcPr>
            <w:tcW w:w="7400" w:type="dxa"/>
            <w:vAlign w:val="bottom"/>
            <w:gridSpan w:val="21"/>
          </w:tcPr>
          <w:p>
            <w:pPr>
              <w:spacing w:after="0" w:line="195" w:lineRule="exact"/>
              <w:rPr>
                <w:rFonts w:ascii="Arial" w:cs="Arial" w:eastAsia="Arial" w:hAnsi="Arial"/>
                <w:sz w:val="18"/>
                <w:szCs w:val="18"/>
                <w:color w:val="0000EE"/>
              </w:rPr>
            </w:pPr>
            <w:hyperlink w:anchor="page102">
              <w:r>
                <w:rPr>
                  <w:rFonts w:ascii="Arial" w:cs="Arial" w:eastAsia="Arial" w:hAnsi="Arial"/>
                  <w:sz w:val="18"/>
                  <w:szCs w:val="18"/>
                  <w:color w:val="0000EE"/>
                </w:rPr>
                <w:t>Unregistered Sales of Equity Securities and Use of Proceeds</w:t>
              </w:r>
            </w:hyperlink>
          </w:p>
        </w:tc>
        <w:tc>
          <w:tcPr>
            <w:tcW w:w="62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Item 3.</w:t>
              </w:r>
            </w:hyperlink>
          </w:p>
        </w:tc>
        <w:tc>
          <w:tcPr>
            <w:tcW w:w="7400" w:type="dxa"/>
            <w:vAlign w:val="bottom"/>
            <w:gridSpan w:val="21"/>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Defaults Upon Senior Securities</w:t>
              </w:r>
            </w:hyperlink>
          </w:p>
        </w:tc>
        <w:tc>
          <w:tcPr>
            <w:tcW w:w="62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Item 4.</w:t>
              </w:r>
            </w:hyperlink>
          </w:p>
        </w:tc>
        <w:tc>
          <w:tcPr>
            <w:tcW w:w="7400" w:type="dxa"/>
            <w:vAlign w:val="bottom"/>
            <w:gridSpan w:val="21"/>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Mine Safety Disclosures</w:t>
              </w:r>
            </w:hyperlink>
          </w:p>
        </w:tc>
        <w:tc>
          <w:tcPr>
            <w:tcW w:w="62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480" w:type="dxa"/>
            <w:vAlign w:val="bottom"/>
            <w:gridSpan w:val="1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Item 5.</w:t>
              </w:r>
            </w:hyperlink>
          </w:p>
        </w:tc>
        <w:tc>
          <w:tcPr>
            <w:tcW w:w="7400" w:type="dxa"/>
            <w:vAlign w:val="bottom"/>
            <w:gridSpan w:val="21"/>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Other Information</w:t>
              </w:r>
            </w:hyperlink>
          </w:p>
        </w:tc>
        <w:tc>
          <w:tcPr>
            <w:tcW w:w="62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00" w:type="dxa"/>
            <w:vAlign w:val="bottom"/>
            <w:gridSpan w:val="17"/>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6"/>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Item 6.</w:t>
              </w:r>
            </w:hyperlink>
          </w:p>
        </w:tc>
        <w:tc>
          <w:tcPr>
            <w:tcW w:w="7400" w:type="dxa"/>
            <w:vAlign w:val="bottom"/>
            <w:gridSpan w:val="21"/>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Exhibits</w:t>
              </w:r>
            </w:hyperlink>
          </w:p>
        </w:tc>
        <w:tc>
          <w:tcPr>
            <w:tcW w:w="62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60" w:type="dxa"/>
            <w:vAlign w:val="bottom"/>
            <w:tcBorders>
              <w:bottom w:val="single" w:sz="8" w:color="0000EE"/>
            </w:tcBorders>
            <w:gridSpan w:val="5"/>
          </w:tcPr>
          <w:p>
            <w:pPr>
              <w:spacing w:after="0" w:line="195" w:lineRule="exact"/>
              <w:rPr>
                <w:rFonts w:ascii="Arial" w:cs="Arial" w:eastAsia="Arial" w:hAnsi="Arial"/>
                <w:sz w:val="18"/>
                <w:szCs w:val="18"/>
                <w:color w:val="0000EE"/>
                <w:w w:val="97"/>
              </w:rPr>
            </w:pPr>
            <w:hyperlink w:anchor="page106">
              <w:r>
                <w:rPr>
                  <w:rFonts w:ascii="Arial" w:cs="Arial" w:eastAsia="Arial" w:hAnsi="Arial"/>
                  <w:sz w:val="18"/>
                  <w:szCs w:val="18"/>
                  <w:color w:val="0000EE"/>
                  <w:w w:val="97"/>
                </w:rPr>
                <w:t>Signatures</w:t>
              </w:r>
            </w:hyperlink>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This Quarterly Report on Form 10-Q contains forward-looking statements concerning our business, operations and financial performance,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include, but are not limited to, statements about:</w:t>
      </w:r>
    </w:p>
    <w:p>
      <w:pPr>
        <w:spacing w:after="0" w:line="167" w:lineRule="exact"/>
        <w:rPr>
          <w:sz w:val="20"/>
          <w:szCs w:val="20"/>
          <w:color w:val="auto"/>
        </w:rPr>
      </w:pPr>
    </w:p>
    <w:p>
      <w:pPr>
        <w:ind w:left="720" w:right="13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57" w:lineRule="exact"/>
        <w:rPr>
          <w:rFonts w:ascii="Arial" w:cs="Arial" w:eastAsia="Arial" w:hAnsi="Arial"/>
          <w:sz w:val="18"/>
          <w:szCs w:val="18"/>
          <w:color w:val="auto"/>
        </w:rPr>
      </w:pPr>
    </w:p>
    <w:p>
      <w:pPr>
        <w:ind w:left="720" w:right="49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preclinical nature of our business and our ability to successfully advance our current and future product candidates through development activities, preclinical studies, and clinical trials;</w:t>
      </w:r>
    </w:p>
    <w:p>
      <w:pPr>
        <w:spacing w:after="0" w:line="171" w:lineRule="exact"/>
        <w:rPr>
          <w:rFonts w:ascii="Arial" w:cs="Arial" w:eastAsia="Arial" w:hAnsi="Arial"/>
          <w:sz w:val="18"/>
          <w:szCs w:val="18"/>
          <w:color w:val="auto"/>
        </w:rPr>
      </w:pPr>
    </w:p>
    <w:p>
      <w:pPr>
        <w:ind w:left="720" w:right="73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57" w:lineRule="exact"/>
        <w:rPr>
          <w:rFonts w:ascii="Arial" w:cs="Arial" w:eastAsia="Arial" w:hAnsi="Arial"/>
          <w:sz w:val="18"/>
          <w:szCs w:val="18"/>
          <w:color w:val="auto"/>
        </w:rPr>
      </w:pPr>
    </w:p>
    <w:p>
      <w:pPr>
        <w:ind w:left="720" w:right="55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57" w:lineRule="exact"/>
        <w:rPr>
          <w:rFonts w:ascii="Arial" w:cs="Arial" w:eastAsia="Arial" w:hAnsi="Arial"/>
          <w:sz w:val="18"/>
          <w:szCs w:val="18"/>
          <w:color w:val="auto"/>
        </w:rPr>
      </w:pPr>
    </w:p>
    <w:p>
      <w:pPr>
        <w:ind w:left="720" w:right="359" w:hanging="320"/>
        <w:spacing w:after="0" w:line="23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pandemic, including the emergence of new variants of COVID-19, such as the delta variant, and measures taken to contain its spread ultimately impact our business, including development activities, preclinical studies, and future clinical trials;</w:t>
      </w:r>
    </w:p>
    <w:p>
      <w:pPr>
        <w:spacing w:after="0" w:line="175" w:lineRule="exact"/>
        <w:rPr>
          <w:rFonts w:ascii="Arial" w:cs="Arial" w:eastAsia="Arial" w:hAnsi="Arial"/>
          <w:sz w:val="18"/>
          <w:szCs w:val="18"/>
          <w:color w:val="auto"/>
        </w:rPr>
      </w:pPr>
    </w:p>
    <w:p>
      <w:pPr>
        <w:ind w:left="720" w:right="43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product candidates, in particular CNTY-101, CNTY-103, and CNTY-102;</w:t>
      </w:r>
    </w:p>
    <w:p>
      <w:pPr>
        <w:spacing w:after="0" w:line="157" w:lineRule="exact"/>
        <w:rPr>
          <w:rFonts w:ascii="Arial" w:cs="Arial" w:eastAsia="Arial" w:hAnsi="Arial"/>
          <w:sz w:val="18"/>
          <w:szCs w:val="18"/>
          <w:color w:val="auto"/>
        </w:rPr>
      </w:pPr>
    </w:p>
    <w:p>
      <w:pPr>
        <w:ind w:left="720" w:right="159" w:hanging="320"/>
        <w:spacing w:after="0" w:line="23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novelty of our approach to immuno-oncology treatment of cancer, utilizing iPSC-derived natural killer cells, or iNK cells, and iPSC-derived T cells, or iT cells, and the challenges we will face due to the novel nature of such technology;</w:t>
      </w:r>
    </w:p>
    <w:p>
      <w:pPr>
        <w:spacing w:after="0" w:line="161"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196" w:lineRule="exact"/>
        <w:rPr>
          <w:rFonts w:ascii="Arial" w:cs="Arial" w:eastAsia="Arial" w:hAnsi="Arial"/>
          <w:sz w:val="18"/>
          <w:szCs w:val="18"/>
          <w:color w:val="auto"/>
        </w:rPr>
      </w:pPr>
    </w:p>
    <w:p>
      <w:pPr>
        <w:ind w:left="720" w:right="119" w:hanging="320"/>
        <w:spacing w:after="0" w:line="23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161" w:lineRule="exact"/>
        <w:rPr>
          <w:rFonts w:ascii="Arial" w:cs="Arial" w:eastAsia="Arial" w:hAnsi="Arial"/>
          <w:sz w:val="18"/>
          <w:szCs w:val="18"/>
          <w:color w:val="auto"/>
        </w:rPr>
      </w:pPr>
    </w:p>
    <w:p>
      <w:pPr>
        <w:ind w:left="720" w:right="25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future clinical trials;</w:t>
      </w:r>
    </w:p>
    <w:p>
      <w:pPr>
        <w:spacing w:after="0" w:line="157" w:lineRule="exact"/>
        <w:rPr>
          <w:rFonts w:ascii="Arial" w:cs="Arial" w:eastAsia="Arial" w:hAnsi="Arial"/>
          <w:sz w:val="18"/>
          <w:szCs w:val="18"/>
          <w:color w:val="auto"/>
        </w:rPr>
      </w:pPr>
    </w:p>
    <w:p>
      <w:pPr>
        <w:ind w:left="720" w:right="139" w:hanging="320"/>
        <w:spacing w:after="0" w:line="273"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our future investigational new drug, or IND, applications and the likelihood of, and our ability to obtain and maintain, regulatory clearance of such IND applications for our product candidates;</w:t>
      </w:r>
    </w:p>
    <w:p>
      <w:pPr>
        <w:spacing w:after="0" w:line="147" w:lineRule="exact"/>
        <w:rPr>
          <w:rFonts w:ascii="Arial" w:cs="Arial" w:eastAsia="Arial" w:hAnsi="Arial"/>
          <w:sz w:val="17"/>
          <w:szCs w:val="17"/>
          <w:color w:val="auto"/>
        </w:rPr>
      </w:pPr>
    </w:p>
    <w:p>
      <w:pPr>
        <w:ind w:left="720" w:right="99" w:hanging="320"/>
        <w:spacing w:after="0" w:line="24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57" w:lineRule="exact"/>
        <w:rPr>
          <w:rFonts w:ascii="Arial" w:cs="Arial" w:eastAsia="Arial" w:hAnsi="Arial"/>
          <w:sz w:val="18"/>
          <w:szCs w:val="18"/>
          <w:color w:val="auto"/>
        </w:rPr>
      </w:pPr>
    </w:p>
    <w:p>
      <w:pPr>
        <w:jc w:val="both"/>
        <w:ind w:left="720" w:right="199" w:hanging="320"/>
        <w:spacing w:after="0" w:line="23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79" w:hanging="320"/>
        <w:spacing w:after="0" w:line="273"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performance of third parties in connection with the development of our product candidates, including third parties conducting our future clinical trials as well as third-party suppliers and manufacturers;</w:t>
      </w:r>
    </w:p>
    <w:p>
      <w:pPr>
        <w:spacing w:after="0" w:line="147" w:lineRule="exact"/>
        <w:rPr>
          <w:rFonts w:ascii="Arial" w:cs="Arial" w:eastAsia="Arial" w:hAnsi="Arial"/>
          <w:sz w:val="17"/>
          <w:szCs w:val="17"/>
          <w:color w:val="auto"/>
        </w:rPr>
      </w:pPr>
    </w:p>
    <w:p>
      <w:pPr>
        <w:ind w:left="720" w:right="1399" w:hanging="320"/>
        <w:spacing w:after="0" w:line="24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57" w:lineRule="exact"/>
        <w:rPr>
          <w:rFonts w:ascii="Arial" w:cs="Arial" w:eastAsia="Arial" w:hAnsi="Arial"/>
          <w:sz w:val="18"/>
          <w:szCs w:val="18"/>
          <w:color w:val="auto"/>
        </w:rPr>
      </w:pPr>
    </w:p>
    <w:p>
      <w:pPr>
        <w:ind w:left="720" w:right="499" w:hanging="320"/>
        <w:spacing w:after="0" w:line="24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public opinion and scrutiny of cell-based immuno-oncology therapies for treating cancer and its potential impact on public perception of our company and product candidates;</w:t>
      </w:r>
    </w:p>
    <w:p>
      <w:pPr>
        <w:spacing w:after="0" w:line="157" w:lineRule="exact"/>
        <w:rPr>
          <w:rFonts w:ascii="Arial" w:cs="Arial" w:eastAsia="Arial" w:hAnsi="Arial"/>
          <w:sz w:val="18"/>
          <w:szCs w:val="18"/>
          <w:color w:val="auto"/>
        </w:rPr>
      </w:pPr>
    </w:p>
    <w:p>
      <w:pPr>
        <w:ind w:left="720" w:right="559" w:hanging="320"/>
        <w:spacing w:after="0" w:line="24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71" w:lineRule="exact"/>
        <w:rPr>
          <w:rFonts w:ascii="Arial" w:cs="Arial" w:eastAsia="Arial" w:hAnsi="Arial"/>
          <w:sz w:val="18"/>
          <w:szCs w:val="18"/>
          <w:color w:val="auto"/>
        </w:rPr>
      </w:pPr>
    </w:p>
    <w:p>
      <w:pPr>
        <w:ind w:left="720" w:right="359" w:hanging="320"/>
        <w:spacing w:after="0" w:line="24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57" w:lineRule="exact"/>
        <w:rPr>
          <w:rFonts w:ascii="Arial" w:cs="Arial" w:eastAsia="Arial" w:hAnsi="Arial"/>
          <w:sz w:val="18"/>
          <w:szCs w:val="18"/>
          <w:color w:val="auto"/>
        </w:rPr>
      </w:pPr>
    </w:p>
    <w:p>
      <w:pPr>
        <w:ind w:left="720" w:right="539" w:hanging="320"/>
        <w:spacing w:after="0" w:line="24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196" w:lineRule="exact"/>
        <w:rPr>
          <w:rFonts w:ascii="Arial" w:cs="Arial" w:eastAsia="Arial" w:hAnsi="Arial"/>
          <w:sz w:val="18"/>
          <w:szCs w:val="18"/>
          <w:color w:val="auto"/>
        </w:rPr>
      </w:pPr>
    </w:p>
    <w:p>
      <w:pPr>
        <w:ind w:left="720" w:right="199" w:hanging="320"/>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60" w:lineRule="exact"/>
        <w:rPr>
          <w:rFonts w:ascii="Arial" w:cs="Arial" w:eastAsia="Arial" w:hAnsi="Arial"/>
          <w:sz w:val="18"/>
          <w:szCs w:val="18"/>
          <w:color w:val="auto"/>
        </w:rPr>
      </w:pPr>
    </w:p>
    <w:p>
      <w:pPr>
        <w:ind w:left="720" w:hanging="32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96" w:lineRule="exact"/>
        <w:rPr>
          <w:rFonts w:ascii="Arial" w:cs="Arial" w:eastAsia="Arial" w:hAnsi="Arial"/>
          <w:sz w:val="18"/>
          <w:szCs w:val="18"/>
          <w:color w:val="auto"/>
        </w:rPr>
      </w:pPr>
    </w:p>
    <w:p>
      <w:pPr>
        <w:ind w:left="720" w:right="199" w:hanging="320"/>
        <w:spacing w:after="0" w:line="24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Quarterly Report on Form 10-Q.</w:t>
      </w:r>
    </w:p>
    <w:p>
      <w:pPr>
        <w:spacing w:after="0" w:line="158" w:lineRule="exact"/>
        <w:rPr>
          <w:sz w:val="20"/>
          <w:szCs w:val="20"/>
          <w:color w:val="auto"/>
        </w:rPr>
      </w:pPr>
    </w:p>
    <w:p>
      <w:pPr>
        <w:ind w:left="60" w:right="119"/>
        <w:spacing w:after="0" w:line="250" w:lineRule="auto"/>
        <w:rPr>
          <w:sz w:val="20"/>
          <w:szCs w:val="20"/>
          <w:color w:val="auto"/>
        </w:rPr>
      </w:pPr>
      <w:r>
        <w:rPr>
          <w:rFonts w:ascii="Arial" w:cs="Arial" w:eastAsia="Arial" w:hAnsi="Arial"/>
          <w:sz w:val="17"/>
          <w:szCs w:val="17"/>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II, Item 1A of this Quarterly Report on Form 10-Q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5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or the Securities Act, and Section 21E of the Securities Exchange Act of 1934,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05"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Part II, Item 1A, “Risk Factors” in this Quarterly Report on Form 10-Q. The below summary is qualified in its entirety by those more complete discussions of such risks and uncertainties. You should consider carefully the risks and uncertainties described under Part II, Item 1A, “Risk Factors” in this Quarterly Report on Form 10-Q as part of your evaluation of an investment in our common stock.</w:t>
      </w:r>
    </w:p>
    <w:p>
      <w:pPr>
        <w:spacing w:after="0" w:line="161" w:lineRule="exact"/>
        <w:rPr>
          <w:sz w:val="20"/>
          <w:szCs w:val="20"/>
          <w:color w:val="auto"/>
        </w:rPr>
      </w:pPr>
    </w:p>
    <w:p>
      <w:pPr>
        <w:ind w:left="720" w:right="159" w:hanging="320"/>
        <w:spacing w:after="0" w:line="24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losses since our inception, and anticipate that we will continue to incur significant losses in the foreseeable future;</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achieve or maintain profitability;</w:t>
      </w:r>
    </w:p>
    <w:p>
      <w:pPr>
        <w:spacing w:after="0" w:line="196" w:lineRule="exact"/>
        <w:rPr>
          <w:rFonts w:ascii="Arial" w:cs="Arial" w:eastAsia="Arial" w:hAnsi="Arial"/>
          <w:sz w:val="18"/>
          <w:szCs w:val="18"/>
          <w:color w:val="auto"/>
        </w:rPr>
      </w:pPr>
    </w:p>
    <w:p>
      <w:pPr>
        <w:ind w:left="720" w:right="99" w:hanging="320"/>
        <w:spacing w:after="0" w:line="23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very early in our development efforts and our business is dependent on our ability to advance our current and future product candidates through preclinical studies and clinical trials, obtain marketing approval and ultimately commercialize our current and future product candidates;</w:t>
      </w:r>
    </w:p>
    <w:p>
      <w:pPr>
        <w:spacing w:after="0" w:line="161" w:lineRule="exact"/>
        <w:rPr>
          <w:rFonts w:ascii="Arial" w:cs="Arial" w:eastAsia="Arial" w:hAnsi="Arial"/>
          <w:sz w:val="18"/>
          <w:szCs w:val="18"/>
          <w:color w:val="auto"/>
        </w:rPr>
      </w:pPr>
    </w:p>
    <w:p>
      <w:pPr>
        <w:ind w:left="720" w:right="639" w:hanging="320"/>
        <w:spacing w:after="0" w:line="24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highly dependent on the success of our lead product candidate, CNTY-101 and our other product candidates;</w:t>
      </w:r>
    </w:p>
    <w:p>
      <w:pPr>
        <w:spacing w:after="0" w:line="157" w:lineRule="exact"/>
        <w:rPr>
          <w:rFonts w:ascii="Arial" w:cs="Arial" w:eastAsia="Arial" w:hAnsi="Arial"/>
          <w:sz w:val="18"/>
          <w:szCs w:val="18"/>
          <w:color w:val="auto"/>
        </w:rPr>
      </w:pPr>
    </w:p>
    <w:p>
      <w:pPr>
        <w:ind w:left="720" w:right="259" w:hanging="320"/>
        <w:spacing w:after="0" w:line="23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highly dependent on our strategic relationships and collaborations and any termination or loss of significant rights under such arrangements with our strategic partners could seriously harm our business;</w:t>
      </w:r>
    </w:p>
    <w:p>
      <w:pPr>
        <w:spacing w:after="0" w:line="175" w:lineRule="exact"/>
        <w:rPr>
          <w:rFonts w:ascii="Arial" w:cs="Arial" w:eastAsia="Arial" w:hAnsi="Arial"/>
          <w:sz w:val="18"/>
          <w:szCs w:val="18"/>
          <w:color w:val="auto"/>
        </w:rPr>
      </w:pPr>
    </w:p>
    <w:p>
      <w:pPr>
        <w:ind w:left="720" w:right="59" w:hanging="320"/>
        <w:spacing w:after="0" w:line="24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may materially and adversely affect our business and our financial results and could cause a disruption to our supply chain and the development of our product candidates;</w:t>
      </w:r>
    </w:p>
    <w:p>
      <w:pPr>
        <w:spacing w:after="0" w:line="157" w:lineRule="exact"/>
        <w:rPr>
          <w:rFonts w:ascii="Arial" w:cs="Arial" w:eastAsia="Arial" w:hAnsi="Arial"/>
          <w:sz w:val="18"/>
          <w:szCs w:val="18"/>
          <w:color w:val="auto"/>
        </w:rPr>
      </w:pPr>
    </w:p>
    <w:p>
      <w:pPr>
        <w:ind w:left="720" w:right="499" w:hanging="320"/>
        <w:spacing w:after="0" w:line="23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Utilizing CAR-iNK and CAR-iT cells represents a novel approach to immuno-oncology treatment of cancer, and we must overcome significant challenges in order to develop, commercialize, and manufacture our product candidates;</w:t>
      </w:r>
    </w:p>
    <w:p>
      <w:pPr>
        <w:spacing w:after="0" w:line="161" w:lineRule="exact"/>
        <w:rPr>
          <w:rFonts w:ascii="Arial" w:cs="Arial" w:eastAsia="Arial" w:hAnsi="Arial"/>
          <w:sz w:val="18"/>
          <w:szCs w:val="18"/>
          <w:color w:val="auto"/>
        </w:rPr>
      </w:pPr>
    </w:p>
    <w:p>
      <w:pPr>
        <w:ind w:left="720" w:right="219" w:hanging="320"/>
        <w:spacing w:after="0" w:line="23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74" w:lineRule="exact"/>
        <w:rPr>
          <w:rFonts w:ascii="Arial" w:cs="Arial" w:eastAsia="Arial" w:hAnsi="Arial"/>
          <w:sz w:val="18"/>
          <w:szCs w:val="18"/>
          <w:color w:val="auto"/>
        </w:rPr>
      </w:pPr>
    </w:p>
    <w:p>
      <w:pPr>
        <w:ind w:left="720" w:right="259" w:hanging="320"/>
        <w:spacing w:after="0" w:line="23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an organization, we have no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60" w:lineRule="exact"/>
        <w:rPr>
          <w:rFonts w:ascii="Arial" w:cs="Arial" w:eastAsia="Arial" w:hAnsi="Arial"/>
          <w:sz w:val="18"/>
          <w:szCs w:val="18"/>
          <w:color w:val="auto"/>
        </w:rPr>
      </w:pPr>
    </w:p>
    <w:p>
      <w:pPr>
        <w:ind w:left="720" w:right="119" w:hanging="320"/>
        <w:spacing w:after="0" w:line="24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manufacture and distribution of our iPSC-derived cell product candidates is complex and subject to a multitude of risks;</w:t>
      </w:r>
    </w:p>
    <w:p>
      <w:pPr>
        <w:spacing w:after="0" w:line="157" w:lineRule="exact"/>
        <w:rPr>
          <w:rFonts w:ascii="Arial" w:cs="Arial" w:eastAsia="Arial" w:hAnsi="Arial"/>
          <w:sz w:val="18"/>
          <w:szCs w:val="18"/>
          <w:color w:val="auto"/>
        </w:rPr>
      </w:pPr>
    </w:p>
    <w:p>
      <w:pPr>
        <w:ind w:left="720" w:right="259" w:hanging="320"/>
        <w:spacing w:after="0" w:line="256"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currently rely on third parties for the manufacture of our product candidates for development, however, we intend to operate our own manufacturing facility in the future for the production of certain of our product candidates. Delays in designing and constructing cGMP-compliant manufacturing facilities could delay our development plans and thereby limit our ability to generate revenues;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159" w:hanging="320"/>
        <w:spacing w:after="0" w:line="23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successfully commercialize CNTY-101 or any of our other product candidates for which we receive regulatory approval, or experience significant delays in doing so, our business will be materially harmed;</w:t>
      </w:r>
    </w:p>
    <w:p>
      <w:pPr>
        <w:spacing w:after="0" w:line="175" w:lineRule="exact"/>
        <w:rPr>
          <w:rFonts w:ascii="Arial" w:cs="Arial" w:eastAsia="Arial" w:hAnsi="Arial"/>
          <w:sz w:val="18"/>
          <w:szCs w:val="18"/>
          <w:color w:val="auto"/>
        </w:rPr>
      </w:pPr>
    </w:p>
    <w:p>
      <w:pPr>
        <w:ind w:left="720" w:right="319" w:hanging="320"/>
        <w:spacing w:after="0" w:line="23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61" w:lineRule="exact"/>
        <w:rPr>
          <w:rFonts w:ascii="Arial" w:cs="Arial" w:eastAsia="Arial" w:hAnsi="Arial"/>
          <w:sz w:val="18"/>
          <w:szCs w:val="18"/>
          <w:color w:val="auto"/>
        </w:rPr>
      </w:pPr>
    </w:p>
    <w:p>
      <w:pPr>
        <w:ind w:left="720" w:right="459" w:hanging="320"/>
        <w:spacing w:after="0" w:line="24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face difficulties in obtaining, protecting, maintaining, and enforcing our intellectual property rights, including intellectual property rights that are licensed to us;</w:t>
      </w:r>
    </w:p>
    <w:p>
      <w:pPr>
        <w:spacing w:after="0" w:line="157" w:lineRule="exact"/>
        <w:rPr>
          <w:rFonts w:ascii="Arial" w:cs="Arial" w:eastAsia="Arial" w:hAnsi="Arial"/>
          <w:sz w:val="18"/>
          <w:szCs w:val="18"/>
          <w:color w:val="auto"/>
        </w:rPr>
      </w:pPr>
    </w:p>
    <w:p>
      <w:pPr>
        <w:ind w:left="720" w:right="659" w:hanging="320"/>
        <w:spacing w:after="0" w:line="24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currently own any issued patents or non-provisional patent applications relating to our product candidates;</w:t>
      </w:r>
    </w:p>
    <w:p>
      <w:pPr>
        <w:spacing w:after="0" w:line="171" w:lineRule="exact"/>
        <w:rPr>
          <w:rFonts w:ascii="Arial" w:cs="Arial" w:eastAsia="Arial" w:hAnsi="Arial"/>
          <w:sz w:val="18"/>
          <w:szCs w:val="18"/>
          <w:color w:val="auto"/>
        </w:rPr>
      </w:pPr>
    </w:p>
    <w:p>
      <w:pPr>
        <w:ind w:left="720" w:right="459" w:hanging="320"/>
        <w:spacing w:after="0" w:line="24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could be highly volatile, and purchasers of our common stock could incur substantial losses; and</w:t>
      </w:r>
    </w:p>
    <w:p>
      <w:pPr>
        <w:spacing w:after="0" w:line="157" w:lineRule="exact"/>
        <w:rPr>
          <w:rFonts w:ascii="Arial" w:cs="Arial" w:eastAsia="Arial" w:hAnsi="Arial"/>
          <w:sz w:val="18"/>
          <w:szCs w:val="18"/>
          <w:color w:val="auto"/>
        </w:rPr>
      </w:pPr>
    </w:p>
    <w:p>
      <w:pPr>
        <w:ind w:left="720" w:right="619" w:hanging="320"/>
        <w:spacing w:after="0" w:line="23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executive officers, directors, principal stockholders, and their affiliates continue to exercise significant control over our company, which limits the ability of our other stockholders to influence corporate matters and could delay or prevent a change in corporate control.</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I—FINANCIAL INFORMATION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 AND SUBSIDIARY</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CONSOLIDATED BALANCE SHEETS</w:t>
      </w:r>
    </w:p>
    <w:p>
      <w:pPr>
        <w:spacing w:after="0" w:line="6"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amounts)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3"/>
                <w:szCs w:val="13"/>
                <w:color w:val="auto"/>
              </w:rPr>
              <w:t>June 30, 2021</w:t>
            </w: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December 31,</w:t>
            </w:r>
          </w:p>
        </w:tc>
        <w:tc>
          <w:tcPr>
            <w:tcW w:w="20" w:type="dxa"/>
            <w:vAlign w:val="bottom"/>
          </w:tcPr>
          <w:p>
            <w:pPr>
              <w:spacing w:after="0"/>
              <w:rPr>
                <w:sz w:val="12"/>
                <w:szCs w:val="12"/>
                <w:color w:val="auto"/>
              </w:rPr>
            </w:pPr>
          </w:p>
        </w:tc>
      </w:tr>
      <w:tr>
        <w:trPr>
          <w:trHeight w:val="140"/>
        </w:trPr>
        <w:tc>
          <w:tcPr>
            <w:tcW w:w="6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(unaudited)</w:t>
            </w:r>
          </w:p>
        </w:tc>
        <w:tc>
          <w:tcPr>
            <w:tcW w:w="20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3"/>
                <w:szCs w:val="13"/>
                <w:color w:val="auto"/>
              </w:rPr>
              <w:t>2020</w:t>
            </w:r>
          </w:p>
        </w:tc>
        <w:tc>
          <w:tcPr>
            <w:tcW w:w="20" w:type="dxa"/>
            <w:vAlign w:val="bottom"/>
          </w:tcPr>
          <w:p>
            <w:pPr>
              <w:spacing w:after="0"/>
              <w:rPr>
                <w:sz w:val="12"/>
                <w:szCs w:val="12"/>
                <w:color w:val="auto"/>
              </w:rPr>
            </w:pPr>
          </w:p>
        </w:tc>
      </w:tr>
      <w:tr>
        <w:trPr>
          <w:trHeight w:val="128"/>
        </w:trPr>
        <w:tc>
          <w:tcPr>
            <w:tcW w:w="6360" w:type="dxa"/>
            <w:vAlign w:val="bottom"/>
            <w:tcBorders>
              <w:top w:val="single" w:sz="8" w:color="CCEEFF"/>
            </w:tcBorders>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Assets</w:t>
            </w:r>
          </w:p>
        </w:tc>
        <w:tc>
          <w:tcPr>
            <w:tcW w:w="2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6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Current assets</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120"/>
              <w:spacing w:after="0" w:line="134" w:lineRule="exact"/>
              <w:rPr>
                <w:sz w:val="20"/>
                <w:szCs w:val="20"/>
                <w:color w:val="auto"/>
              </w:rPr>
            </w:pPr>
            <w:r>
              <w:rPr>
                <w:rFonts w:ascii="Arial" w:cs="Arial" w:eastAsia="Arial" w:hAnsi="Arial"/>
                <w:sz w:val="13"/>
                <w:szCs w:val="13"/>
                <w:color w:val="auto"/>
              </w:rPr>
              <w:t>Cash and cash equivalents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272,277</w:t>
            </w:r>
          </w:p>
        </w:tc>
        <w:tc>
          <w:tcPr>
            <w:tcW w:w="20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27,211</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Short-term investments</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125,290</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48,542</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120"/>
              <w:spacing w:after="0" w:line="134" w:lineRule="exact"/>
              <w:rPr>
                <w:sz w:val="20"/>
                <w:szCs w:val="20"/>
                <w:color w:val="auto"/>
              </w:rPr>
            </w:pPr>
            <w:r>
              <w:rPr>
                <w:rFonts w:ascii="Arial" w:cs="Arial" w:eastAsia="Arial" w:hAnsi="Arial"/>
                <w:sz w:val="13"/>
                <w:szCs w:val="13"/>
                <w:color w:val="auto"/>
              </w:rPr>
              <w:t>Escrow deposits, current</w:t>
            </w:r>
          </w:p>
        </w:tc>
        <w:tc>
          <w:tcPr>
            <w:tcW w:w="20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419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783</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Prepaid expenses and other current assets</w:t>
            </w:r>
          </w:p>
        </w:tc>
        <w:tc>
          <w:tcPr>
            <w:tcW w:w="2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4,625</w:t>
            </w:r>
          </w:p>
        </w:tc>
        <w:tc>
          <w:tcPr>
            <w:tcW w:w="2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2,261</w:t>
            </w:r>
          </w:p>
        </w:tc>
        <w:tc>
          <w:tcPr>
            <w:tcW w:w="20" w:type="dxa"/>
            <w:vAlign w:val="bottom"/>
            <w:shd w:val="clear" w:color="auto" w:fill="CCEEFF"/>
          </w:tcPr>
          <w:p>
            <w:pPr>
              <w:spacing w:after="0"/>
              <w:rPr>
                <w:sz w:val="11"/>
                <w:szCs w:val="11"/>
                <w:color w:val="auto"/>
              </w:rPr>
            </w:pPr>
          </w:p>
        </w:tc>
      </w:tr>
      <w:tr>
        <w:trPr>
          <w:trHeight w:val="128"/>
        </w:trPr>
        <w:tc>
          <w:tcPr>
            <w:tcW w:w="6360" w:type="dxa"/>
            <w:vAlign w:val="bottom"/>
          </w:tcPr>
          <w:p>
            <w:pPr>
              <w:ind w:left="20"/>
              <w:spacing w:after="0" w:line="128" w:lineRule="exact"/>
              <w:rPr>
                <w:sz w:val="20"/>
                <w:szCs w:val="20"/>
                <w:color w:val="auto"/>
              </w:rPr>
            </w:pPr>
            <w:r>
              <w:rPr>
                <w:rFonts w:ascii="Arial" w:cs="Arial" w:eastAsia="Arial" w:hAnsi="Arial"/>
                <w:sz w:val="13"/>
                <w:szCs w:val="13"/>
                <w:color w:val="auto"/>
              </w:rPr>
              <w:t>Total current assets</w:t>
            </w:r>
          </w:p>
        </w:tc>
        <w:tc>
          <w:tcPr>
            <w:tcW w:w="200" w:type="dxa"/>
            <w:vAlign w:val="bottom"/>
          </w:tcPr>
          <w:p>
            <w:pPr>
              <w:spacing w:after="0"/>
              <w:rPr>
                <w:sz w:val="11"/>
                <w:szCs w:val="11"/>
                <w:color w:val="auto"/>
              </w:rPr>
            </w:pPr>
          </w:p>
        </w:tc>
        <w:tc>
          <w:tcPr>
            <w:tcW w:w="960" w:type="dxa"/>
            <w:vAlign w:val="bottom"/>
          </w:tcPr>
          <w:p>
            <w:pPr>
              <w:jc w:val="right"/>
              <w:spacing w:after="0" w:line="128" w:lineRule="exact"/>
              <w:rPr>
                <w:sz w:val="20"/>
                <w:szCs w:val="20"/>
                <w:color w:val="auto"/>
              </w:rPr>
            </w:pPr>
            <w:r>
              <w:rPr>
                <w:rFonts w:ascii="Arial" w:cs="Arial" w:eastAsia="Arial" w:hAnsi="Arial"/>
                <w:sz w:val="13"/>
                <w:szCs w:val="13"/>
                <w:color w:val="auto"/>
              </w:rPr>
              <w:t>402,611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28" w:lineRule="exact"/>
              <w:rPr>
                <w:sz w:val="20"/>
                <w:szCs w:val="20"/>
                <w:color w:val="auto"/>
              </w:rPr>
            </w:pPr>
            <w:r>
              <w:rPr>
                <w:rFonts w:ascii="Arial" w:cs="Arial" w:eastAsia="Arial" w:hAnsi="Arial"/>
                <w:sz w:val="13"/>
                <w:szCs w:val="13"/>
                <w:color w:val="auto"/>
              </w:rPr>
              <w:t>78,797</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Property and equipment, net</w:t>
            </w:r>
          </w:p>
        </w:tc>
        <w:tc>
          <w:tcPr>
            <w:tcW w:w="20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34,462</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15,385</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Operating lease right-of-use assets</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12,251</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9,392</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Restricted cash</w:t>
            </w:r>
          </w:p>
        </w:tc>
        <w:tc>
          <w:tcPr>
            <w:tcW w:w="20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2,235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517</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Escrow deposits, non-current</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555</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723</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Long-term investments</w:t>
            </w:r>
          </w:p>
        </w:tc>
        <w:tc>
          <w:tcPr>
            <w:tcW w:w="20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42,474</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1,053</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Security deposits</w:t>
            </w:r>
          </w:p>
        </w:tc>
        <w:tc>
          <w:tcPr>
            <w:tcW w:w="2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1,042</w:t>
            </w:r>
          </w:p>
        </w:tc>
        <w:tc>
          <w:tcPr>
            <w:tcW w:w="2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909</w:t>
            </w:r>
          </w:p>
        </w:tc>
        <w:tc>
          <w:tcPr>
            <w:tcW w:w="20" w:type="dxa"/>
            <w:vAlign w:val="bottom"/>
            <w:shd w:val="clear" w:color="auto" w:fill="CCEEFF"/>
          </w:tcPr>
          <w:p>
            <w:pPr>
              <w:spacing w:after="0"/>
              <w:rPr>
                <w:sz w:val="11"/>
                <w:szCs w:val="11"/>
                <w:color w:val="auto"/>
              </w:rPr>
            </w:pPr>
          </w:p>
        </w:tc>
      </w:tr>
      <w:tr>
        <w:trPr>
          <w:trHeight w:val="168"/>
        </w:trPr>
        <w:tc>
          <w:tcPr>
            <w:tcW w:w="6360" w:type="dxa"/>
            <w:vAlign w:val="bottom"/>
            <w:tcBorders>
              <w:bottom w:val="single" w:sz="8" w:color="CCEEFF"/>
            </w:tcBorders>
          </w:tcPr>
          <w:p>
            <w:pPr>
              <w:ind w:left="20"/>
              <w:spacing w:after="0" w:line="128" w:lineRule="exact"/>
              <w:rPr>
                <w:sz w:val="20"/>
                <w:szCs w:val="20"/>
                <w:color w:val="auto"/>
              </w:rPr>
            </w:pPr>
            <w:r>
              <w:rPr>
                <w:rFonts w:ascii="Arial" w:cs="Arial" w:eastAsia="Arial" w:hAnsi="Arial"/>
                <w:sz w:val="13"/>
                <w:szCs w:val="13"/>
                <w:b w:val="1"/>
                <w:bCs w:val="1"/>
                <w:color w:val="auto"/>
              </w:rPr>
              <w:t>Total assets</w:t>
            </w: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495,630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106,776</w:t>
            </w:r>
          </w:p>
        </w:tc>
        <w:tc>
          <w:tcPr>
            <w:tcW w:w="20" w:type="dxa"/>
            <w:vAlign w:val="bottom"/>
            <w:tcBorders>
              <w:bottom w:val="single" w:sz="8" w:color="CCEEFF"/>
            </w:tcBorders>
          </w:tcPr>
          <w:p>
            <w:pPr>
              <w:spacing w:after="0"/>
              <w:rPr>
                <w:sz w:val="14"/>
                <w:szCs w:val="14"/>
                <w:color w:val="auto"/>
              </w:rPr>
            </w:pPr>
          </w:p>
        </w:tc>
      </w:tr>
      <w:tr>
        <w:trPr>
          <w:trHeight w:val="115"/>
        </w:trPr>
        <w:tc>
          <w:tcPr>
            <w:tcW w:w="6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Liabilities, convertible preferred stock, and stockholders’ equity (deficit)</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Current liabilities</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Accounts payable</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13,427</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8,082</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120"/>
              <w:spacing w:after="0" w:line="134" w:lineRule="exact"/>
              <w:rPr>
                <w:sz w:val="20"/>
                <w:szCs w:val="20"/>
                <w:color w:val="auto"/>
              </w:rPr>
            </w:pPr>
            <w:r>
              <w:rPr>
                <w:rFonts w:ascii="Arial" w:cs="Arial" w:eastAsia="Arial" w:hAnsi="Arial"/>
                <w:sz w:val="13"/>
                <w:szCs w:val="13"/>
                <w:color w:val="auto"/>
              </w:rPr>
              <w:t>Accrued expenses and other liabilities</w:t>
            </w:r>
          </w:p>
        </w:tc>
        <w:tc>
          <w:tcPr>
            <w:tcW w:w="20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6,832</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4,030</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120"/>
              <w:spacing w:after="0" w:line="134" w:lineRule="exact"/>
              <w:rPr>
                <w:sz w:val="20"/>
                <w:szCs w:val="20"/>
                <w:color w:val="auto"/>
              </w:rPr>
            </w:pPr>
            <w:r>
              <w:rPr>
                <w:rFonts w:ascii="Arial" w:cs="Arial" w:eastAsia="Arial" w:hAnsi="Arial"/>
                <w:sz w:val="13"/>
                <w:szCs w:val="13"/>
                <w:color w:val="auto"/>
              </w:rPr>
              <w:t>Deposit liability</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966</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w:t>
            </w:r>
          </w:p>
        </w:tc>
      </w:tr>
      <w:tr>
        <w:trPr>
          <w:trHeight w:val="128"/>
        </w:trPr>
        <w:tc>
          <w:tcPr>
            <w:tcW w:w="6360" w:type="dxa"/>
            <w:vAlign w:val="bottom"/>
          </w:tcPr>
          <w:p>
            <w:pPr>
              <w:ind w:left="20"/>
              <w:spacing w:after="0" w:line="128" w:lineRule="exact"/>
              <w:rPr>
                <w:sz w:val="20"/>
                <w:szCs w:val="20"/>
                <w:color w:val="auto"/>
              </w:rPr>
            </w:pPr>
            <w:r>
              <w:rPr>
                <w:rFonts w:ascii="Arial" w:cs="Arial" w:eastAsia="Arial" w:hAnsi="Arial"/>
                <w:sz w:val="13"/>
                <w:szCs w:val="13"/>
                <w:color w:val="auto"/>
              </w:rPr>
              <w:t>Total current liabilities</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21,225</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12,112</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Operating lease liability, long term</w:t>
            </w:r>
          </w:p>
        </w:tc>
        <w:tc>
          <w:tcPr>
            <w:tcW w:w="20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14,752</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11,679</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Deposit liability, non-current</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2,268</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w:t>
            </w:r>
          </w:p>
        </w:tc>
      </w:tr>
      <w:tr>
        <w:trPr>
          <w:trHeight w:val="135"/>
        </w:trPr>
        <w:tc>
          <w:tcPr>
            <w:tcW w:w="6360" w:type="dxa"/>
            <w:vAlign w:val="bottom"/>
            <w:tcBorders>
              <w:bottom w:val="single" w:sz="8" w:color="CCEEFF"/>
            </w:tcBorders>
          </w:tcPr>
          <w:p>
            <w:pPr>
              <w:ind w:left="20"/>
              <w:spacing w:after="0" w:line="134" w:lineRule="exact"/>
              <w:rPr>
                <w:sz w:val="20"/>
                <w:szCs w:val="20"/>
                <w:color w:val="auto"/>
              </w:rPr>
            </w:pPr>
            <w:r>
              <w:rPr>
                <w:rFonts w:ascii="Arial" w:cs="Arial" w:eastAsia="Arial" w:hAnsi="Arial"/>
                <w:sz w:val="13"/>
                <w:szCs w:val="13"/>
                <w:color w:val="auto"/>
              </w:rPr>
              <w:t>Long-term debt, net</w:t>
            </w: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9,788</w:t>
            </w: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9,636</w:t>
            </w:r>
          </w:p>
        </w:tc>
        <w:tc>
          <w:tcPr>
            <w:tcW w:w="20" w:type="dxa"/>
            <w:vAlign w:val="bottom"/>
            <w:tcBorders>
              <w:bottom w:val="single" w:sz="8" w:color="CCEEFF"/>
            </w:tcBorders>
          </w:tcPr>
          <w:p>
            <w:pPr>
              <w:spacing w:after="0"/>
              <w:rPr>
                <w:sz w:val="11"/>
                <w:szCs w:val="11"/>
                <w:color w:val="auto"/>
              </w:rPr>
            </w:pPr>
          </w:p>
        </w:tc>
      </w:tr>
      <w:tr>
        <w:trPr>
          <w:trHeight w:val="128"/>
        </w:trPr>
        <w:tc>
          <w:tcPr>
            <w:tcW w:w="6360" w:type="dxa"/>
            <w:vAlign w:val="bottom"/>
            <w:tcBorders>
              <w:bottom w:val="single" w:sz="8" w:color="CCEEFF"/>
            </w:tcBorders>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Total liabilities</w:t>
            </w:r>
          </w:p>
        </w:tc>
        <w:tc>
          <w:tcPr>
            <w:tcW w:w="2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48,033</w:t>
            </w:r>
          </w:p>
        </w:tc>
        <w:tc>
          <w:tcPr>
            <w:tcW w:w="2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33,427</w:t>
            </w:r>
          </w:p>
        </w:tc>
        <w:tc>
          <w:tcPr>
            <w:tcW w:w="20" w:type="dxa"/>
            <w:vAlign w:val="bottom"/>
            <w:tcBorders>
              <w:bottom w:val="single" w:sz="8" w:color="CCEEFF"/>
            </w:tcBorders>
            <w:shd w:val="clear" w:color="auto" w:fill="CCEEFF"/>
          </w:tcPr>
          <w:p>
            <w:pPr>
              <w:spacing w:after="0"/>
              <w:rPr>
                <w:sz w:val="11"/>
                <w:szCs w:val="1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Commitments and contingencies (Note 11)</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29"/>
        </w:trPr>
        <w:tc>
          <w:tcPr>
            <w:tcW w:w="6360" w:type="dxa"/>
            <w:vAlign w:val="bottom"/>
          </w:tcPr>
          <w:p>
            <w:pPr>
              <w:ind w:left="20"/>
              <w:spacing w:after="0" w:line="129" w:lineRule="exact"/>
              <w:rPr>
                <w:sz w:val="20"/>
                <w:szCs w:val="20"/>
                <w:color w:val="auto"/>
              </w:rPr>
            </w:pPr>
            <w:r>
              <w:rPr>
                <w:rFonts w:ascii="Arial" w:cs="Arial" w:eastAsia="Arial" w:hAnsi="Arial"/>
                <w:sz w:val="13"/>
                <w:szCs w:val="13"/>
                <w:color w:val="auto"/>
                <w:w w:val="99"/>
              </w:rPr>
              <w:t>Non-cumulative convertible preferred stock, Series A, $ 0.0001 par value, 0 and 35,000,000 shares authorized,</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6360" w:type="dxa"/>
            <w:vAlign w:val="bottom"/>
          </w:tcPr>
          <w:p>
            <w:pPr>
              <w:ind w:left="20"/>
              <w:spacing w:after="0" w:line="141" w:lineRule="exact"/>
              <w:rPr>
                <w:sz w:val="20"/>
                <w:szCs w:val="20"/>
                <w:color w:val="auto"/>
              </w:rPr>
            </w:pPr>
            <w:r>
              <w:rPr>
                <w:rFonts w:ascii="Arial" w:cs="Arial" w:eastAsia="Arial" w:hAnsi="Arial"/>
                <w:sz w:val="13"/>
                <w:szCs w:val="13"/>
                <w:color w:val="auto"/>
              </w:rPr>
              <w:t>issued and outstanding at June 30, 2021 and December 31, 2020, respectively</w:t>
            </w:r>
          </w:p>
        </w:tc>
        <w:tc>
          <w:tcPr>
            <w:tcW w:w="200" w:type="dxa"/>
            <w:vAlign w:val="bottom"/>
          </w:tcPr>
          <w:p>
            <w:pPr>
              <w:spacing w:after="0"/>
              <w:rPr>
                <w:sz w:val="12"/>
                <w:szCs w:val="12"/>
                <w:color w:val="auto"/>
              </w:rPr>
            </w:pPr>
          </w:p>
        </w:tc>
        <w:tc>
          <w:tcPr>
            <w:tcW w:w="116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3"/>
                <w:szCs w:val="13"/>
                <w:color w:val="auto"/>
              </w:rPr>
              <w:t>34,922</w:t>
            </w:r>
          </w:p>
        </w:tc>
        <w:tc>
          <w:tcPr>
            <w:tcW w:w="20" w:type="dxa"/>
            <w:vAlign w:val="bottom"/>
          </w:tcPr>
          <w:p>
            <w:pPr>
              <w:spacing w:after="0"/>
              <w:rPr>
                <w:sz w:val="12"/>
                <w:szCs w:val="12"/>
                <w:color w:val="auto"/>
              </w:rPr>
            </w:pPr>
          </w:p>
        </w:tc>
      </w:tr>
      <w:tr>
        <w:trPr>
          <w:trHeight w:val="129"/>
        </w:trPr>
        <w:tc>
          <w:tcPr>
            <w:tcW w:w="6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Non-cumulative convertible preferred stock, Series B, $ 0.0001 par value, 0 and 26,143,790 shares authorized,</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0"/>
        </w:trPr>
        <w:tc>
          <w:tcPr>
            <w:tcW w:w="636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issued and outstanding at June 30, 2021 and December 31, 2020, respectively</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144,839</w:t>
            </w:r>
          </w:p>
        </w:tc>
        <w:tc>
          <w:tcPr>
            <w:tcW w:w="20" w:type="dxa"/>
            <w:vAlign w:val="bottom"/>
            <w:shd w:val="clear" w:color="auto" w:fill="CCEEFF"/>
          </w:tcPr>
          <w:p>
            <w:pPr>
              <w:spacing w:after="0"/>
              <w:rPr>
                <w:sz w:val="12"/>
                <w:szCs w:val="12"/>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Stockholders' equity (deficit):</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6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Preferred stock, $ 0.0001 par value, 10,000,000 and 0 shares authorized at June 30, 2021 and December 31,</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0"/>
        </w:trPr>
        <w:tc>
          <w:tcPr>
            <w:tcW w:w="636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2020, respectively, and 0 shares issued and outstanding</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w:t>
            </w:r>
          </w:p>
        </w:tc>
      </w:tr>
      <w:tr>
        <w:trPr>
          <w:trHeight w:val="129"/>
        </w:trPr>
        <w:tc>
          <w:tcPr>
            <w:tcW w:w="6360" w:type="dxa"/>
            <w:vAlign w:val="bottom"/>
          </w:tcPr>
          <w:p>
            <w:pPr>
              <w:ind w:left="20"/>
              <w:spacing w:after="0" w:line="129" w:lineRule="exact"/>
              <w:rPr>
                <w:sz w:val="20"/>
                <w:szCs w:val="20"/>
                <w:color w:val="auto"/>
              </w:rPr>
            </w:pPr>
            <w:r>
              <w:rPr>
                <w:rFonts w:ascii="Arial" w:cs="Arial" w:eastAsia="Arial" w:hAnsi="Arial"/>
                <w:sz w:val="13"/>
                <w:szCs w:val="13"/>
                <w:color w:val="auto"/>
              </w:rPr>
              <w:t>Common stock, $0.0001 par value, 300,000,000 and 125,236,190 shares authorized; 54,404,091 and</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6360" w:type="dxa"/>
            <w:vAlign w:val="bottom"/>
          </w:tcPr>
          <w:p>
            <w:pPr>
              <w:ind w:left="20"/>
              <w:spacing w:after="0" w:line="141" w:lineRule="exact"/>
              <w:rPr>
                <w:sz w:val="20"/>
                <w:szCs w:val="20"/>
                <w:color w:val="auto"/>
              </w:rPr>
            </w:pPr>
            <w:r>
              <w:rPr>
                <w:rFonts w:ascii="Arial" w:cs="Arial" w:eastAsia="Arial" w:hAnsi="Arial"/>
                <w:sz w:val="13"/>
                <w:szCs w:val="13"/>
                <w:color w:val="auto"/>
              </w:rPr>
              <w:t>7,481,861 shares issued and outstanding at June 30, 2021 and December 31, 2020, respectively</w:t>
            </w:r>
          </w:p>
        </w:tc>
        <w:tc>
          <w:tcPr>
            <w:tcW w:w="20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Arial" w:cs="Arial" w:eastAsia="Arial" w:hAnsi="Arial"/>
                <w:sz w:val="13"/>
                <w:szCs w:val="13"/>
                <w:color w:val="auto"/>
              </w:rPr>
              <w:t>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Additional paid-in capital</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781,558</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217,832</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Subscription receivable</w:t>
            </w:r>
          </w:p>
        </w:tc>
        <w:tc>
          <w:tcPr>
            <w:tcW w:w="200" w:type="dxa"/>
            <w:vAlign w:val="bottom"/>
          </w:tcPr>
          <w:p>
            <w:pPr>
              <w:spacing w:after="0"/>
              <w:rPr>
                <w:sz w:val="11"/>
                <w:szCs w:val="11"/>
                <w:color w:val="auto"/>
              </w:rPr>
            </w:pPr>
          </w:p>
        </w:tc>
        <w:tc>
          <w:tcPr>
            <w:tcW w:w="1160" w:type="dxa"/>
            <w:vAlign w:val="bottom"/>
            <w:gridSpan w:val="2"/>
          </w:tcPr>
          <w:p>
            <w:pPr>
              <w:jc w:val="right"/>
              <w:ind w:right="240"/>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(31,900)</w:t>
            </w:r>
          </w:p>
        </w:tc>
      </w:tr>
      <w:tr>
        <w:trPr>
          <w:trHeight w:val="135"/>
        </w:trPr>
        <w:tc>
          <w:tcPr>
            <w:tcW w:w="63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Accumulated deficit</w:t>
            </w:r>
          </w:p>
        </w:tc>
        <w:tc>
          <w:tcPr>
            <w:tcW w:w="2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3"/>
                <w:szCs w:val="13"/>
                <w:color w:val="auto"/>
              </w:rPr>
              <w:t>(333,963)</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3"/>
                <w:szCs w:val="13"/>
                <w:color w:val="auto"/>
              </w:rPr>
              <w:t>(292,342)</w:t>
            </w:r>
          </w:p>
        </w:tc>
      </w:tr>
      <w:tr>
        <w:trPr>
          <w:trHeight w:val="135"/>
        </w:trPr>
        <w:tc>
          <w:tcPr>
            <w:tcW w:w="6360" w:type="dxa"/>
            <w:vAlign w:val="bottom"/>
          </w:tcPr>
          <w:p>
            <w:pPr>
              <w:ind w:left="20"/>
              <w:spacing w:after="0" w:line="134" w:lineRule="exact"/>
              <w:rPr>
                <w:sz w:val="20"/>
                <w:szCs w:val="20"/>
                <w:color w:val="auto"/>
              </w:rPr>
            </w:pPr>
            <w:r>
              <w:rPr>
                <w:rFonts w:ascii="Arial" w:cs="Arial" w:eastAsia="Arial" w:hAnsi="Arial"/>
                <w:sz w:val="13"/>
                <w:szCs w:val="13"/>
                <w:color w:val="auto"/>
              </w:rPr>
              <w:t>Accumulated other comprehensive loss</w:t>
            </w:r>
          </w:p>
        </w:tc>
        <w:tc>
          <w:tcPr>
            <w:tcW w:w="200" w:type="dxa"/>
            <w:vAlign w:val="bottom"/>
          </w:tcPr>
          <w:p>
            <w:pPr>
              <w:spacing w:after="0"/>
              <w:rPr>
                <w:sz w:val="11"/>
                <w:szCs w:val="11"/>
                <w:color w:val="auto"/>
              </w:rPr>
            </w:pPr>
          </w:p>
        </w:tc>
        <w:tc>
          <w:tcPr>
            <w:tcW w:w="1160" w:type="dxa"/>
            <w:vAlign w:val="bottom"/>
            <w:gridSpan w:val="2"/>
          </w:tcPr>
          <w:p>
            <w:pPr>
              <w:jc w:val="right"/>
              <w:ind w:right="180"/>
              <w:spacing w:after="0" w:line="134" w:lineRule="exact"/>
              <w:rPr>
                <w:sz w:val="20"/>
                <w:szCs w:val="20"/>
                <w:color w:val="auto"/>
              </w:rPr>
            </w:pPr>
            <w:r>
              <w:rPr>
                <w:rFonts w:ascii="Arial" w:cs="Arial" w:eastAsia="Arial" w:hAnsi="Arial"/>
                <w:sz w:val="13"/>
                <w:szCs w:val="13"/>
                <w:color w:val="auto"/>
              </w:rPr>
              <w:t>(3)</w:t>
            </w:r>
          </w:p>
        </w:tc>
        <w:tc>
          <w:tcPr>
            <w:tcW w:w="200" w:type="dxa"/>
            <w:vAlign w:val="bottom"/>
          </w:tcPr>
          <w:p>
            <w:pPr>
              <w:spacing w:after="0"/>
              <w:rPr>
                <w:sz w:val="11"/>
                <w:szCs w:val="11"/>
                <w:color w:val="auto"/>
              </w:rPr>
            </w:pPr>
          </w:p>
        </w:tc>
        <w:tc>
          <w:tcPr>
            <w:tcW w:w="100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(3)</w:t>
            </w:r>
          </w:p>
        </w:tc>
      </w:tr>
      <w:tr>
        <w:trPr>
          <w:trHeight w:val="128"/>
        </w:trPr>
        <w:tc>
          <w:tcPr>
            <w:tcW w:w="6360" w:type="dxa"/>
            <w:vAlign w:val="bottom"/>
            <w:tcBorders>
              <w:top w:val="single" w:sz="8" w:color="CCEEFF"/>
            </w:tcBorders>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Total stockholders’ equity (deficit)</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447,597</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(106,412)</w:t>
            </w:r>
          </w:p>
        </w:tc>
        <w:tc>
          <w:tcPr>
            <w:tcW w:w="20" w:type="dxa"/>
            <w:vAlign w:val="bottom"/>
            <w:tcBorders>
              <w:top w:val="single" w:sz="8" w:color="CCEEFF"/>
            </w:tcBorders>
            <w:shd w:val="clear" w:color="auto" w:fill="CCEEFF"/>
          </w:tcPr>
          <w:p>
            <w:pPr>
              <w:spacing w:after="0"/>
              <w:rPr>
                <w:sz w:val="11"/>
                <w:szCs w:val="11"/>
                <w:color w:val="auto"/>
              </w:rPr>
            </w:pPr>
          </w:p>
        </w:tc>
      </w:tr>
      <w:tr>
        <w:trPr>
          <w:trHeight w:val="128"/>
        </w:trPr>
        <w:tc>
          <w:tcPr>
            <w:tcW w:w="6360" w:type="dxa"/>
            <w:vAlign w:val="bottom"/>
          </w:tcPr>
          <w:p>
            <w:pPr>
              <w:ind w:left="20"/>
              <w:spacing w:after="0" w:line="128" w:lineRule="exact"/>
              <w:rPr>
                <w:sz w:val="20"/>
                <w:szCs w:val="20"/>
                <w:color w:val="auto"/>
              </w:rPr>
            </w:pPr>
            <w:r>
              <w:rPr>
                <w:rFonts w:ascii="Arial" w:cs="Arial" w:eastAsia="Arial" w:hAnsi="Arial"/>
                <w:sz w:val="13"/>
                <w:szCs w:val="13"/>
                <w:b w:val="1"/>
                <w:bCs w:val="1"/>
                <w:color w:val="auto"/>
              </w:rPr>
              <w:t>Total liabilities and stockholders’ equity (deficit)</w:t>
            </w: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495,630</w:t>
            </w:r>
          </w:p>
        </w:tc>
        <w:tc>
          <w:tcPr>
            <w:tcW w:w="200" w:type="dxa"/>
            <w:vAlign w:val="bottom"/>
          </w:tcPr>
          <w:p>
            <w:pPr>
              <w:spacing w:after="0"/>
              <w:rPr>
                <w:sz w:val="11"/>
                <w:szCs w:val="11"/>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b w:val="1"/>
                <w:bCs w:val="1"/>
                <w:color w:val="auto"/>
              </w:rPr>
              <w:t>106,776</w:t>
            </w:r>
          </w:p>
        </w:tc>
        <w:tc>
          <w:tcPr>
            <w:tcW w:w="20" w:type="dxa"/>
            <w:vAlign w:val="bottom"/>
          </w:tcPr>
          <w:p>
            <w:pPr>
              <w:spacing w:after="0"/>
              <w:rPr>
                <w:sz w:val="11"/>
                <w:szCs w:val="1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STATEMENTS OF OPERATIONS AND COMPREHENSIVE LOSS</w:t>
      </w:r>
    </w:p>
    <w:p>
      <w:pPr>
        <w:jc w:val="center"/>
        <w:ind w:right="19"/>
        <w:spacing w:after="0" w:line="229"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Three Months Ended</w:t>
            </w:r>
          </w:p>
        </w:tc>
        <w:tc>
          <w:tcPr>
            <w:tcW w:w="160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Six Months Ended</w:t>
            </w: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Six Months Ended</w:t>
            </w:r>
          </w:p>
        </w:tc>
        <w:tc>
          <w:tcPr>
            <w:tcW w:w="20" w:type="dxa"/>
            <w:vAlign w:val="bottom"/>
          </w:tcPr>
          <w:p>
            <w:pPr>
              <w:spacing w:after="0"/>
              <w:rPr>
                <w:sz w:val="15"/>
                <w:szCs w:val="15"/>
                <w:color w:val="auto"/>
              </w:rPr>
            </w:pPr>
          </w:p>
        </w:tc>
      </w:tr>
      <w:tr>
        <w:trPr>
          <w:trHeight w:val="157"/>
        </w:trPr>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June 30, 2021</w:t>
            </w:r>
          </w:p>
        </w:tc>
        <w:tc>
          <w:tcPr>
            <w:tcW w:w="300" w:type="dxa"/>
            <w:vAlign w:val="bottom"/>
          </w:tcPr>
          <w:p>
            <w:pPr>
              <w:spacing w:after="0"/>
              <w:rPr>
                <w:sz w:val="13"/>
                <w:szCs w:val="13"/>
                <w:color w:val="auto"/>
              </w:rPr>
            </w:pPr>
          </w:p>
        </w:tc>
        <w:tc>
          <w:tcPr>
            <w:tcW w:w="13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June 30, 2020</w:t>
            </w:r>
          </w:p>
        </w:tc>
        <w:tc>
          <w:tcPr>
            <w:tcW w:w="160" w:type="dxa"/>
            <w:vAlign w:val="bottom"/>
          </w:tcPr>
          <w:p>
            <w:pPr>
              <w:spacing w:after="0"/>
              <w:rPr>
                <w:sz w:val="13"/>
                <w:szCs w:val="13"/>
                <w:color w:val="auto"/>
              </w:rPr>
            </w:pPr>
          </w:p>
        </w:tc>
        <w:tc>
          <w:tcPr>
            <w:tcW w:w="142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June 30, 2021</w:t>
            </w:r>
          </w:p>
        </w:tc>
        <w:tc>
          <w:tcPr>
            <w:tcW w:w="140" w:type="dxa"/>
            <w:vAlign w:val="bottom"/>
          </w:tcPr>
          <w:p>
            <w:pPr>
              <w:spacing w:after="0"/>
              <w:rPr>
                <w:sz w:val="13"/>
                <w:szCs w:val="13"/>
                <w:color w:val="auto"/>
              </w:rPr>
            </w:pPr>
          </w:p>
        </w:tc>
        <w:tc>
          <w:tcPr>
            <w:tcW w:w="12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June 30, 2020</w:t>
            </w:r>
          </w:p>
        </w:tc>
      </w:tr>
      <w:tr>
        <w:trPr>
          <w:trHeight w:val="195"/>
        </w:trPr>
        <w:tc>
          <w:tcPr>
            <w:tcW w:w="278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202"/>
        </w:trPr>
        <w:tc>
          <w:tcPr>
            <w:tcW w:w="2780" w:type="dxa"/>
            <w:vAlign w:val="bottom"/>
          </w:tcPr>
          <w:p>
            <w:pPr>
              <w:ind w:left="20"/>
              <w:spacing w:after="0" w:line="201"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4"/>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18,933</w:t>
            </w:r>
          </w:p>
        </w:tc>
        <w:tc>
          <w:tcPr>
            <w:tcW w:w="160" w:type="dxa"/>
            <w:vAlign w:val="bottom"/>
          </w:tcPr>
          <w:p>
            <w:pPr>
              <w:spacing w:after="0"/>
              <w:rPr>
                <w:sz w:val="17"/>
                <w:szCs w:val="17"/>
                <w:color w:val="auto"/>
              </w:rPr>
            </w:pPr>
          </w:p>
        </w:tc>
        <w:tc>
          <w:tcPr>
            <w:tcW w:w="300" w:type="dxa"/>
            <w:vAlign w:val="bottom"/>
          </w:tcPr>
          <w:p>
            <w:pPr>
              <w:jc w:val="right"/>
              <w:ind w:right="94"/>
              <w:spacing w:after="0" w:line="201"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8,484</w:t>
            </w:r>
          </w:p>
        </w:tc>
        <w:tc>
          <w:tcPr>
            <w:tcW w:w="16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34,307</w:t>
            </w:r>
          </w:p>
        </w:tc>
        <w:tc>
          <w:tcPr>
            <w:tcW w:w="18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16,427</w:t>
            </w:r>
          </w:p>
        </w:tc>
        <w:tc>
          <w:tcPr>
            <w:tcW w:w="20" w:type="dxa"/>
            <w:vAlign w:val="bottom"/>
          </w:tcPr>
          <w:p>
            <w:pPr>
              <w:spacing w:after="0"/>
              <w:rPr>
                <w:sz w:val="17"/>
                <w:szCs w:val="17"/>
                <w:color w:val="auto"/>
              </w:rPr>
            </w:pPr>
          </w:p>
        </w:tc>
      </w:tr>
      <w:tr>
        <w:trPr>
          <w:trHeight w:val="202"/>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4,088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2,310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6,776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4,360</w:t>
            </w:r>
          </w:p>
        </w:tc>
        <w:tc>
          <w:tcPr>
            <w:tcW w:w="20" w:type="dxa"/>
            <w:vAlign w:val="bottom"/>
            <w:shd w:val="clear" w:color="auto" w:fill="CCEEFF"/>
          </w:tcPr>
          <w:p>
            <w:pPr>
              <w:spacing w:after="0"/>
              <w:rPr>
                <w:sz w:val="17"/>
                <w:szCs w:val="17"/>
                <w:color w:val="auto"/>
              </w:rPr>
            </w:pPr>
          </w:p>
        </w:tc>
      </w:tr>
      <w:tr>
        <w:trPr>
          <w:trHeight w:val="201"/>
        </w:trPr>
        <w:tc>
          <w:tcPr>
            <w:tcW w:w="2780" w:type="dxa"/>
            <w:vAlign w:val="bottom"/>
          </w:tcPr>
          <w:p>
            <w:pPr>
              <w:ind w:left="20"/>
              <w:spacing w:after="0" w:line="201" w:lineRule="exact"/>
              <w:rPr>
                <w:sz w:val="20"/>
                <w:szCs w:val="20"/>
                <w:color w:val="auto"/>
              </w:rPr>
            </w:pPr>
            <w:r>
              <w:rPr>
                <w:rFonts w:ascii="Arial" w:cs="Arial" w:eastAsia="Arial" w:hAnsi="Arial"/>
                <w:sz w:val="18"/>
                <w:szCs w:val="18"/>
                <w:color w:val="auto"/>
              </w:rPr>
              <w:t>Write off of in-process research</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7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and development asset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4,722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4,722</w:t>
            </w:r>
          </w:p>
        </w:tc>
        <w:tc>
          <w:tcPr>
            <w:tcW w:w="20" w:type="dxa"/>
            <w:vAlign w:val="bottom"/>
            <w:tcBorders>
              <w:bottom w:val="single" w:sz="8" w:color="CCEEFF"/>
            </w:tcBorders>
          </w:tcPr>
          <w:p>
            <w:pPr>
              <w:spacing w:after="0"/>
              <w:rPr>
                <w:sz w:val="17"/>
                <w:szCs w:val="17"/>
                <w:color w:val="auto"/>
              </w:rPr>
            </w:pPr>
          </w:p>
        </w:tc>
      </w:tr>
      <w:tr>
        <w:trPr>
          <w:trHeight w:val="195"/>
        </w:trPr>
        <w:tc>
          <w:tcPr>
            <w:tcW w:w="2780" w:type="dxa"/>
            <w:vAlign w:val="bottom"/>
            <w:shd w:val="clear" w:color="auto" w:fill="CCEEFF"/>
          </w:tcPr>
          <w:p>
            <w:pPr>
              <w:ind w:left="120"/>
              <w:spacing w:after="0" w:line="195" w:lineRule="exact"/>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23,021</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15,516</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41,083</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25,509</w:t>
            </w:r>
          </w:p>
        </w:tc>
        <w:tc>
          <w:tcPr>
            <w:tcW w:w="20" w:type="dxa"/>
            <w:vAlign w:val="bottom"/>
            <w:shd w:val="clear" w:color="auto" w:fill="CCEEFF"/>
          </w:tcPr>
          <w:p>
            <w:pPr>
              <w:spacing w:after="0"/>
              <w:rPr>
                <w:sz w:val="16"/>
                <w:szCs w:val="16"/>
                <w:color w:val="auto"/>
              </w:rPr>
            </w:pPr>
          </w:p>
        </w:tc>
      </w:tr>
      <w:tr>
        <w:trPr>
          <w:trHeight w:val="195"/>
        </w:trPr>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(23,021)</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(15,516)</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(41,083)</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(25,509)</w:t>
            </w:r>
          </w:p>
        </w:tc>
      </w:tr>
      <w:tr>
        <w:trPr>
          <w:trHeight w:val="202"/>
        </w:trPr>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(632)</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r>
      <w:tr>
        <w:trPr>
          <w:trHeight w:val="202"/>
        </w:trPr>
        <w:tc>
          <w:tcPr>
            <w:tcW w:w="27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66</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215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535</w:t>
            </w:r>
          </w:p>
        </w:tc>
        <w:tc>
          <w:tcPr>
            <w:tcW w:w="20" w:type="dxa"/>
            <w:vAlign w:val="bottom"/>
            <w:tcBorders>
              <w:bottom w:val="single" w:sz="8" w:color="CCEEFF"/>
            </w:tcBorders>
          </w:tcPr>
          <w:p>
            <w:pPr>
              <w:spacing w:after="0"/>
              <w:rPr>
                <w:sz w:val="17"/>
                <w:szCs w:val="17"/>
                <w:color w:val="auto"/>
              </w:rPr>
            </w:pPr>
          </w:p>
        </w:tc>
      </w:tr>
      <w:tr>
        <w:trPr>
          <w:trHeight w:val="195"/>
        </w:trPr>
        <w:tc>
          <w:tcPr>
            <w:tcW w:w="27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shd w:val="clear" w:color="auto" w:fill="CCEEFF"/>
          </w:tcPr>
          <w:p>
            <w:pPr>
              <w:jc w:val="right"/>
              <w:ind w:right="94"/>
              <w:spacing w:after="0" w:line="195"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(23,273)</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94"/>
              <w:spacing w:after="0" w:line="195"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(15,301)</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(41,621)</w:t>
            </w: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(24,974)</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0"/>
        </w:trPr>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loss per common share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2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(3.34)</w:t>
            </w:r>
          </w:p>
        </w:tc>
      </w:tr>
      <w:tr>
        <w:trPr>
          <w:trHeight w:val="201"/>
        </w:trPr>
        <w:tc>
          <w:tcPr>
            <w:tcW w:w="278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common</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780" w:type="dxa"/>
            <w:vAlign w:val="bottom"/>
          </w:tcPr>
          <w:p>
            <w:pPr>
              <w:ind w:left="20"/>
              <w:spacing w:after="0" w:line="201" w:lineRule="exact"/>
              <w:rPr>
                <w:sz w:val="20"/>
                <w:szCs w:val="20"/>
                <w:color w:val="auto"/>
              </w:rPr>
            </w:pPr>
            <w:r>
              <w:rPr>
                <w:rFonts w:ascii="Arial" w:cs="Arial" w:eastAsia="Arial" w:hAnsi="Arial"/>
                <w:sz w:val="18"/>
                <w:szCs w:val="18"/>
                <w:color w:val="auto"/>
              </w:rPr>
              <w:t>shares outstanding</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780" w:type="dxa"/>
            <w:vAlign w:val="bottom"/>
          </w:tcPr>
          <w:p>
            <w:pPr>
              <w:ind w:left="20"/>
              <w:spacing w:after="0" w:line="202" w:lineRule="exact"/>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12,044,610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7,481,861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9,775,840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7,481,861</w:t>
            </w:r>
          </w:p>
        </w:tc>
        <w:tc>
          <w:tcPr>
            <w:tcW w:w="20" w:type="dxa"/>
            <w:vAlign w:val="bottom"/>
          </w:tcPr>
          <w:p>
            <w:pPr>
              <w:spacing w:after="0"/>
              <w:rPr>
                <w:sz w:val="17"/>
                <w:szCs w:val="17"/>
                <w:color w:val="auto"/>
              </w:rPr>
            </w:pPr>
          </w:p>
        </w:tc>
      </w:tr>
      <w:tr>
        <w:trPr>
          <w:trHeight w:val="202"/>
        </w:trPr>
        <w:tc>
          <w:tcPr>
            <w:tcW w:w="2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2"/>
        </w:trPr>
        <w:tc>
          <w:tcPr>
            <w:tcW w:w="2780" w:type="dxa"/>
            <w:vAlign w:val="bottom"/>
          </w:tcPr>
          <w:p>
            <w:pPr>
              <w:ind w:left="120"/>
              <w:spacing w:after="0" w:line="201" w:lineRule="exact"/>
              <w:rPr>
                <w:sz w:val="20"/>
                <w:szCs w:val="20"/>
                <w:color w:val="auto"/>
              </w:rPr>
            </w:pPr>
            <w:r>
              <w:rPr>
                <w:rFonts w:ascii="Arial" w:cs="Arial" w:eastAsia="Arial" w:hAnsi="Arial"/>
                <w:sz w:val="18"/>
                <w:szCs w:val="18"/>
                <w:color w:val="auto"/>
              </w:rPr>
              <w:t>Net loss</w:t>
            </w:r>
          </w:p>
        </w:tc>
        <w:tc>
          <w:tcPr>
            <w:tcW w:w="280" w:type="dxa"/>
            <w:vAlign w:val="bottom"/>
          </w:tcPr>
          <w:p>
            <w:pPr>
              <w:jc w:val="right"/>
              <w:ind w:right="94"/>
              <w:spacing w:after="0" w:line="201"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(23,273)</w:t>
            </w:r>
          </w:p>
        </w:tc>
        <w:tc>
          <w:tcPr>
            <w:tcW w:w="300" w:type="dxa"/>
            <w:vAlign w:val="bottom"/>
          </w:tcPr>
          <w:p>
            <w:pPr>
              <w:jc w:val="right"/>
              <w:ind w:right="94"/>
              <w:spacing w:after="0" w:line="201"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(15,301)</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(41,621)</w:t>
            </w: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(24,974)</w:t>
            </w:r>
          </w:p>
        </w:tc>
      </w:tr>
      <w:tr>
        <w:trPr>
          <w:trHeight w:val="201"/>
        </w:trPr>
        <w:tc>
          <w:tcPr>
            <w:tcW w:w="27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Unrealized gain on short-term</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2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7"/>
                <w:szCs w:val="17"/>
                <w:color w:val="auto"/>
              </w:rPr>
            </w:pPr>
          </w:p>
        </w:tc>
      </w:tr>
      <w:tr>
        <w:trPr>
          <w:trHeight w:val="201"/>
        </w:trPr>
        <w:tc>
          <w:tcPr>
            <w:tcW w:w="2780" w:type="dxa"/>
            <w:vAlign w:val="bottom"/>
          </w:tcPr>
          <w:p>
            <w:pPr>
              <w:ind w:left="120"/>
              <w:spacing w:after="0" w:line="201" w:lineRule="exact"/>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780" w:type="dxa"/>
            <w:vAlign w:val="bottom"/>
          </w:tcPr>
          <w:p>
            <w:pPr>
              <w:ind w:left="120"/>
              <w:spacing w:after="0" w:line="202" w:lineRule="exact"/>
              <w:rPr>
                <w:sz w:val="20"/>
                <w:szCs w:val="20"/>
                <w:color w:val="auto"/>
              </w:rPr>
            </w:pPr>
            <w:r>
              <w:rPr>
                <w:rFonts w:ascii="Arial" w:cs="Arial" w:eastAsia="Arial" w:hAnsi="Arial"/>
                <w:sz w:val="18"/>
                <w:szCs w:val="18"/>
                <w:color w:val="auto"/>
              </w:rPr>
              <w:t>adjustment</w:t>
            </w:r>
          </w:p>
        </w:tc>
        <w:tc>
          <w:tcPr>
            <w:tcW w:w="28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195"/>
        </w:trPr>
        <w:tc>
          <w:tcPr>
            <w:tcW w:w="2780" w:type="dxa"/>
            <w:vAlign w:val="bottom"/>
            <w:tcBorders>
              <w:top w:val="single" w:sz="8" w:color="CCEEFF"/>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shd w:val="clear" w:color="auto" w:fill="CCEEFF"/>
          </w:tcPr>
          <w:p>
            <w:pPr>
              <w:jc w:val="right"/>
              <w:ind w:right="94"/>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(23,250)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94"/>
              <w:spacing w:after="0" w:line="195"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(15,204)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(41,621)</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(24,850)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CENTURY THERAPEUTICS, INC.</w:t>
      </w:r>
    </w:p>
    <w:p>
      <w:pPr>
        <w:spacing w:after="0" w:line="15" w:lineRule="exact"/>
        <w:rPr>
          <w:sz w:val="20"/>
          <w:szCs w:val="20"/>
          <w:color w:val="auto"/>
        </w:rPr>
      </w:pPr>
    </w:p>
    <w:p>
      <w:pPr>
        <w:jc w:val="center"/>
        <w:ind w:right="1000"/>
        <w:spacing w:after="0"/>
        <w:rPr>
          <w:sz w:val="20"/>
          <w:szCs w:val="20"/>
          <w:color w:val="auto"/>
        </w:rPr>
      </w:pPr>
      <w:r>
        <w:rPr>
          <w:rFonts w:ascii="Arial" w:cs="Arial" w:eastAsia="Arial" w:hAnsi="Arial"/>
          <w:sz w:val="20"/>
          <w:szCs w:val="20"/>
          <w:b w:val="1"/>
          <w:bCs w:val="1"/>
          <w:color w:val="auto"/>
        </w:rPr>
        <w:t>CONSOLIDATED STATEMENTS OF CHANGES IN CONVERTIBLE PREFERRED STOCK 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auto"/>
        </w:rPr>
        <w:t>STOCKHOLDERS’ EQUITY (DEFICIT)</w:t>
      </w:r>
    </w:p>
    <w:p>
      <w:pPr>
        <w:jc w:val="center"/>
        <w:ind w:right="1000"/>
        <w:spacing w:after="0"/>
        <w:rPr>
          <w:sz w:val="20"/>
          <w:szCs w:val="20"/>
          <w:color w:val="auto"/>
        </w:rPr>
      </w:pPr>
      <w:r>
        <w:rPr>
          <w:rFonts w:ascii="Arial" w:cs="Arial" w:eastAsia="Arial" w:hAnsi="Arial"/>
          <w:sz w:val="25"/>
          <w:szCs w:val="25"/>
          <w:b w:val="1"/>
          <w:bCs w:val="1"/>
          <w:color w:val="auto"/>
        </w:rPr>
        <w:t>(Unaudited)</w:t>
      </w:r>
    </w:p>
    <w:p>
      <w:pPr>
        <w:spacing w:after="0" w:line="8" w:lineRule="exact"/>
        <w:rPr>
          <w:sz w:val="20"/>
          <w:szCs w:val="20"/>
          <w:color w:val="auto"/>
        </w:rPr>
      </w:pPr>
    </w:p>
    <w:p>
      <w:pPr>
        <w:jc w:val="center"/>
        <w:ind w:right="1000"/>
        <w:spacing w:after="0"/>
        <w:rPr>
          <w:sz w:val="20"/>
          <w:szCs w:val="20"/>
          <w:color w:val="auto"/>
        </w:rPr>
      </w:pPr>
      <w:r>
        <w:rPr>
          <w:rFonts w:ascii="Arial" w:cs="Arial" w:eastAsia="Arial" w:hAnsi="Arial"/>
          <w:sz w:val="25"/>
          <w:szCs w:val="25"/>
          <w:b w:val="1"/>
          <w:b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7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right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1"/>
                <w:szCs w:val="11"/>
                <w:color w:val="auto"/>
              </w:rPr>
              <w:t>Accumulated</w:t>
            </w: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160"/>
              <w:spacing w:after="0" w:line="121" w:lineRule="exact"/>
              <w:rPr>
                <w:sz w:val="20"/>
                <w:szCs w:val="20"/>
                <w:color w:val="auto"/>
              </w:rPr>
            </w:pPr>
            <w:r>
              <w:rPr>
                <w:rFonts w:ascii="Arial" w:cs="Arial" w:eastAsia="Arial" w:hAnsi="Arial"/>
                <w:sz w:val="11"/>
                <w:szCs w:val="11"/>
                <w:color w:val="auto"/>
              </w:rPr>
              <w:t>Series A</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Series B</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w w:val="99"/>
              </w:rPr>
              <w:t>Series C</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360"/>
              <w:spacing w:after="0" w:line="121" w:lineRule="exact"/>
              <w:rPr>
                <w:sz w:val="20"/>
                <w:szCs w:val="20"/>
                <w:color w:val="auto"/>
              </w:rPr>
            </w:pPr>
            <w:r>
              <w:rPr>
                <w:rFonts w:ascii="Arial" w:cs="Arial" w:eastAsia="Arial" w:hAnsi="Arial"/>
                <w:sz w:val="11"/>
                <w:szCs w:val="11"/>
                <w:color w:val="auto"/>
              </w:rPr>
              <w:t>Other</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1280" w:type="dxa"/>
            <w:vAlign w:val="bottom"/>
            <w:gridSpan w:val="5"/>
          </w:tcPr>
          <w:p>
            <w:pPr>
              <w:jc w:val="right"/>
              <w:ind w:right="160"/>
              <w:spacing w:after="0" w:line="121" w:lineRule="exact"/>
              <w:rPr>
                <w:sz w:val="20"/>
                <w:szCs w:val="20"/>
                <w:color w:val="auto"/>
              </w:rPr>
            </w:pPr>
            <w:r>
              <w:rPr>
                <w:rFonts w:ascii="Arial" w:cs="Arial" w:eastAsia="Arial" w:hAnsi="Arial"/>
                <w:sz w:val="11"/>
                <w:szCs w:val="11"/>
                <w:color w:val="auto"/>
              </w:rPr>
              <w:t>Convertible</w:t>
            </w:r>
          </w:p>
        </w:tc>
        <w:tc>
          <w:tcPr>
            <w:tcW w:w="620" w:type="dxa"/>
            <w:vAlign w:val="bottom"/>
          </w:tcPr>
          <w:p>
            <w:pPr>
              <w:spacing w:after="0"/>
              <w:rPr>
                <w:sz w:val="10"/>
                <w:szCs w:val="10"/>
                <w:color w:val="auto"/>
              </w:rPr>
            </w:pPr>
          </w:p>
        </w:tc>
        <w:tc>
          <w:tcPr>
            <w:tcW w:w="660" w:type="dxa"/>
            <w:vAlign w:val="bottom"/>
            <w:gridSpan w:val="4"/>
          </w:tcPr>
          <w:p>
            <w:pPr>
              <w:jc w:val="right"/>
              <w:ind w:right="100"/>
              <w:spacing w:after="0" w:line="121" w:lineRule="exact"/>
              <w:rPr>
                <w:sz w:val="20"/>
                <w:szCs w:val="20"/>
                <w:color w:val="auto"/>
              </w:rPr>
            </w:pPr>
            <w:r>
              <w:rPr>
                <w:rFonts w:ascii="Arial" w:cs="Arial" w:eastAsia="Arial" w:hAnsi="Arial"/>
                <w:sz w:val="11"/>
                <w:szCs w:val="11"/>
                <w:color w:val="auto"/>
                <w:w w:val="96"/>
              </w:rPr>
              <w:t>Convertible</w:t>
            </w:r>
          </w:p>
        </w:tc>
        <w:tc>
          <w:tcPr>
            <w:tcW w:w="620" w:type="dxa"/>
            <w:vAlign w:val="bottom"/>
          </w:tcPr>
          <w:p>
            <w:pPr>
              <w:spacing w:after="0"/>
              <w:rPr>
                <w:sz w:val="10"/>
                <w:szCs w:val="10"/>
                <w:color w:val="auto"/>
              </w:rPr>
            </w:pPr>
          </w:p>
        </w:tc>
        <w:tc>
          <w:tcPr>
            <w:tcW w:w="700" w:type="dxa"/>
            <w:vAlign w:val="bottom"/>
            <w:tcBorders>
              <w:right w:val="single" w:sz="8" w:color="auto"/>
            </w:tcBorders>
            <w:gridSpan w:val="3"/>
          </w:tcPr>
          <w:p>
            <w:pPr>
              <w:jc w:val="right"/>
              <w:ind w:right="66"/>
              <w:spacing w:after="0" w:line="121" w:lineRule="exact"/>
              <w:rPr>
                <w:sz w:val="20"/>
                <w:szCs w:val="20"/>
                <w:color w:val="auto"/>
              </w:rPr>
            </w:pPr>
            <w:r>
              <w:rPr>
                <w:rFonts w:ascii="Arial" w:cs="Arial" w:eastAsia="Arial" w:hAnsi="Arial"/>
                <w:sz w:val="11"/>
                <w:szCs w:val="11"/>
                <w:color w:val="auto"/>
              </w:rPr>
              <w:t>Convertible</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w w:val="90"/>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gridSpan w:val="4"/>
          </w:tcPr>
          <w:p>
            <w:pPr>
              <w:ind w:left="80"/>
              <w:spacing w:after="0" w:line="121" w:lineRule="exact"/>
              <w:rPr>
                <w:sz w:val="20"/>
                <w:szCs w:val="20"/>
                <w:color w:val="auto"/>
              </w:rPr>
            </w:pPr>
            <w:r>
              <w:rPr>
                <w:rFonts w:ascii="Arial" w:cs="Arial" w:eastAsia="Arial" w:hAnsi="Arial"/>
                <w:sz w:val="11"/>
                <w:szCs w:val="11"/>
                <w:color w:val="auto"/>
              </w:rPr>
              <w:t>Comprehensive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1280" w:type="dxa"/>
            <w:vAlign w:val="bottom"/>
            <w:gridSpan w:val="5"/>
          </w:tcPr>
          <w:p>
            <w:pPr>
              <w:jc w:val="right"/>
              <w:ind w:right="160"/>
              <w:spacing w:after="0" w:line="124" w:lineRule="exact"/>
              <w:rPr>
                <w:sz w:val="20"/>
                <w:szCs w:val="20"/>
                <w:color w:val="auto"/>
              </w:rPr>
            </w:pPr>
            <w:r>
              <w:rPr>
                <w:rFonts w:ascii="Arial" w:cs="Arial" w:eastAsia="Arial" w:hAnsi="Arial"/>
                <w:sz w:val="11"/>
                <w:szCs w:val="11"/>
                <w:color w:val="auto"/>
              </w:rPr>
              <w:t>Preferred Stock</w:t>
            </w:r>
          </w:p>
        </w:tc>
        <w:tc>
          <w:tcPr>
            <w:tcW w:w="1280" w:type="dxa"/>
            <w:vAlign w:val="bottom"/>
            <w:gridSpan w:val="5"/>
          </w:tcPr>
          <w:p>
            <w:pPr>
              <w:jc w:val="right"/>
              <w:ind w:right="100"/>
              <w:spacing w:after="0" w:line="124" w:lineRule="exact"/>
              <w:rPr>
                <w:sz w:val="20"/>
                <w:szCs w:val="20"/>
                <w:color w:val="auto"/>
              </w:rPr>
            </w:pPr>
            <w:r>
              <w:rPr>
                <w:rFonts w:ascii="Arial" w:cs="Arial" w:eastAsia="Arial" w:hAnsi="Arial"/>
                <w:sz w:val="11"/>
                <w:szCs w:val="11"/>
                <w:color w:val="auto"/>
              </w:rPr>
              <w:t>Preferred Stock</w:t>
            </w:r>
          </w:p>
        </w:tc>
        <w:tc>
          <w:tcPr>
            <w:tcW w:w="1320" w:type="dxa"/>
            <w:vAlign w:val="bottom"/>
            <w:tcBorders>
              <w:right w:val="single" w:sz="8" w:color="auto"/>
            </w:tcBorders>
            <w:gridSpan w:val="4"/>
          </w:tcPr>
          <w:p>
            <w:pPr>
              <w:jc w:val="right"/>
              <w:ind w:right="66"/>
              <w:spacing w:after="0" w:line="124" w:lineRule="exact"/>
              <w:rPr>
                <w:sz w:val="20"/>
                <w:szCs w:val="20"/>
                <w:color w:val="auto"/>
              </w:rPr>
            </w:pPr>
            <w:r>
              <w:rPr>
                <w:rFonts w:ascii="Arial" w:cs="Arial" w:eastAsia="Arial" w:hAnsi="Arial"/>
                <w:sz w:val="11"/>
                <w:szCs w:val="11"/>
                <w:color w:val="auto"/>
              </w:rPr>
              <w:t>Preferred Stock</w:t>
            </w:r>
          </w:p>
        </w:tc>
        <w:tc>
          <w:tcPr>
            <w:tcW w:w="60" w:type="dxa"/>
            <w:vAlign w:val="bottom"/>
          </w:tcPr>
          <w:p>
            <w:pPr>
              <w:spacing w:after="0"/>
              <w:rPr>
                <w:sz w:val="10"/>
                <w:szCs w:val="10"/>
                <w:color w:val="auto"/>
              </w:rPr>
            </w:pPr>
          </w:p>
        </w:tc>
        <w:tc>
          <w:tcPr>
            <w:tcW w:w="1040" w:type="dxa"/>
            <w:vAlign w:val="bottom"/>
            <w:gridSpan w:val="4"/>
          </w:tcPr>
          <w:p>
            <w:pPr>
              <w:jc w:val="right"/>
              <w:spacing w:after="0" w:line="124" w:lineRule="exact"/>
              <w:rPr>
                <w:sz w:val="20"/>
                <w:szCs w:val="20"/>
                <w:color w:val="auto"/>
              </w:rPr>
            </w:pPr>
            <w:r>
              <w:rPr>
                <w:rFonts w:ascii="Arial" w:cs="Arial" w:eastAsia="Arial" w:hAnsi="Arial"/>
                <w:sz w:val="11"/>
                <w:szCs w:val="11"/>
                <w:color w:val="auto"/>
              </w:rPr>
              <w:t>Common Stock</w:t>
            </w:r>
          </w:p>
        </w:tc>
        <w:tc>
          <w:tcPr>
            <w:tcW w:w="8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rPr>
              <w:t>Paid-in</w:t>
            </w:r>
          </w:p>
        </w:tc>
        <w:tc>
          <w:tcPr>
            <w:tcW w:w="700" w:type="dxa"/>
            <w:vAlign w:val="bottom"/>
            <w:gridSpan w:val="3"/>
          </w:tcPr>
          <w:p>
            <w:pPr>
              <w:ind w:left="80"/>
              <w:spacing w:after="0" w:line="124" w:lineRule="exact"/>
              <w:rPr>
                <w:sz w:val="20"/>
                <w:szCs w:val="20"/>
                <w:color w:val="auto"/>
              </w:rPr>
            </w:pPr>
            <w:r>
              <w:rPr>
                <w:rFonts w:ascii="Arial" w:cs="Arial" w:eastAsia="Arial" w:hAnsi="Arial"/>
                <w:sz w:val="11"/>
                <w:szCs w:val="11"/>
                <w:color w:val="auto"/>
                <w:w w:val="99"/>
              </w:rPr>
              <w:t>Subscription</w:t>
            </w:r>
          </w:p>
        </w:tc>
        <w:tc>
          <w:tcPr>
            <w:tcW w:w="700" w:type="dxa"/>
            <w:vAlign w:val="bottom"/>
            <w:gridSpan w:val="3"/>
          </w:tcPr>
          <w:p>
            <w:pPr>
              <w:ind w:left="60"/>
              <w:spacing w:after="0" w:line="124" w:lineRule="exact"/>
              <w:rPr>
                <w:sz w:val="20"/>
                <w:szCs w:val="20"/>
                <w:color w:val="auto"/>
              </w:rPr>
            </w:pPr>
            <w:r>
              <w:rPr>
                <w:rFonts w:ascii="Arial" w:cs="Arial" w:eastAsia="Arial" w:hAnsi="Arial"/>
                <w:sz w:val="11"/>
                <w:szCs w:val="11"/>
                <w:color w:val="auto"/>
                <w:w w:val="97"/>
              </w:rPr>
              <w:t>Accumulated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280"/>
              <w:spacing w:after="0" w:line="124" w:lineRule="exact"/>
              <w:rPr>
                <w:sz w:val="20"/>
                <w:szCs w:val="20"/>
                <w:color w:val="auto"/>
              </w:rPr>
            </w:pPr>
            <w:r>
              <w:rPr>
                <w:rFonts w:ascii="Arial" w:cs="Arial" w:eastAsia="Arial" w:hAnsi="Arial"/>
                <w:sz w:val="11"/>
                <w:szCs w:val="11"/>
                <w:color w:val="auto"/>
              </w:rPr>
              <w:t>Income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1"/>
                <w:szCs w:val="11"/>
                <w:color w:val="auto"/>
                <w:w w:val="96"/>
              </w:rPr>
              <w:t>Stockholders’</w:t>
            </w:r>
          </w:p>
        </w:tc>
        <w:tc>
          <w:tcPr>
            <w:tcW w:w="0" w:type="dxa"/>
            <w:vAlign w:val="bottom"/>
          </w:tcPr>
          <w:p>
            <w:pPr>
              <w:spacing w:after="0"/>
              <w:rPr>
                <w:sz w:val="1"/>
                <w:szCs w:val="1"/>
                <w:color w:val="auto"/>
              </w:rPr>
            </w:pPr>
          </w:p>
        </w:tc>
      </w:tr>
      <w:tr>
        <w:trPr>
          <w:trHeight w:val="115"/>
        </w:trPr>
        <w:tc>
          <w:tcPr>
            <w:tcW w:w="1760" w:type="dxa"/>
            <w:vAlign w:val="bottom"/>
          </w:tcPr>
          <w:p>
            <w:pPr>
              <w:spacing w:after="0"/>
              <w:rPr>
                <w:sz w:val="9"/>
                <w:szCs w:val="9"/>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120" w:type="dxa"/>
            <w:vAlign w:val="bottom"/>
          </w:tcPr>
          <w:p>
            <w:pPr>
              <w:spacing w:after="0"/>
              <w:rPr>
                <w:sz w:val="9"/>
                <w:szCs w:val="9"/>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Amount</w:t>
            </w:r>
          </w:p>
        </w:tc>
        <w:tc>
          <w:tcPr>
            <w:tcW w:w="60" w:type="dxa"/>
            <w:vAlign w:val="bottom"/>
          </w:tcPr>
          <w:p>
            <w:pPr>
              <w:spacing w:after="0"/>
              <w:rPr>
                <w:sz w:val="9"/>
                <w:szCs w:val="9"/>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right w:val="single" w:sz="8" w:color="auto"/>
            </w:tcBorders>
          </w:tcPr>
          <w:p>
            <w:pPr>
              <w:jc w:val="right"/>
              <w:ind w:right="66"/>
              <w:spacing w:after="0" w:line="115" w:lineRule="exact"/>
              <w:rPr>
                <w:sz w:val="20"/>
                <w:szCs w:val="20"/>
                <w:color w:val="auto"/>
              </w:rPr>
            </w:pPr>
            <w:r>
              <w:rPr>
                <w:rFonts w:ascii="Arial" w:cs="Arial" w:eastAsia="Arial" w:hAnsi="Arial"/>
                <w:sz w:val="11"/>
                <w:szCs w:val="11"/>
                <w:color w:val="auto"/>
              </w:rPr>
              <w:t>Amount</w:t>
            </w:r>
          </w:p>
        </w:tc>
        <w:tc>
          <w:tcPr>
            <w:tcW w:w="60" w:type="dxa"/>
            <w:vAlign w:val="bottom"/>
          </w:tcPr>
          <w:p>
            <w:pPr>
              <w:spacing w:after="0"/>
              <w:rPr>
                <w:sz w:val="9"/>
                <w:szCs w:val="9"/>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46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1"/>
                <w:szCs w:val="11"/>
                <w:color w:val="auto"/>
              </w:rPr>
              <w:t>Amount</w:t>
            </w:r>
          </w:p>
        </w:tc>
        <w:tc>
          <w:tcPr>
            <w:tcW w:w="8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Capital</w:t>
            </w:r>
          </w:p>
        </w:tc>
        <w:tc>
          <w:tcPr>
            <w:tcW w:w="80" w:type="dxa"/>
            <w:vAlign w:val="bottom"/>
          </w:tcPr>
          <w:p>
            <w:pPr>
              <w:spacing w:after="0"/>
              <w:rPr>
                <w:sz w:val="9"/>
                <w:szCs w:val="9"/>
                <w:color w:val="auto"/>
              </w:rPr>
            </w:pPr>
          </w:p>
        </w:tc>
        <w:tc>
          <w:tcPr>
            <w:tcW w:w="6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Receivable</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Deficit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ind w:left="360"/>
              <w:spacing w:after="0" w:line="115" w:lineRule="exact"/>
              <w:rPr>
                <w:sz w:val="20"/>
                <w:szCs w:val="20"/>
                <w:color w:val="auto"/>
              </w:rPr>
            </w:pPr>
            <w:r>
              <w:rPr>
                <w:rFonts w:ascii="Arial" w:cs="Arial" w:eastAsia="Arial" w:hAnsi="Arial"/>
                <w:sz w:val="11"/>
                <w:szCs w:val="11"/>
                <w:color w:val="auto"/>
              </w:rPr>
              <w:t>(Loss)</w:t>
            </w:r>
          </w:p>
        </w:tc>
        <w:tc>
          <w:tcPr>
            <w:tcW w:w="20" w:type="dxa"/>
            <w:vAlign w:val="bottom"/>
          </w:tcPr>
          <w:p>
            <w:pPr>
              <w:spacing w:after="0"/>
              <w:rPr>
                <w:sz w:val="9"/>
                <w:szCs w:val="9"/>
                <w:color w:val="auto"/>
              </w:rPr>
            </w:pPr>
          </w:p>
        </w:tc>
        <w:tc>
          <w:tcPr>
            <w:tcW w:w="720" w:type="dxa"/>
            <w:vAlign w:val="bottom"/>
            <w:gridSpan w:val="2"/>
          </w:tcPr>
          <w:p>
            <w:pPr>
              <w:spacing w:after="0" w:line="115" w:lineRule="exact"/>
              <w:rPr>
                <w:sz w:val="20"/>
                <w:szCs w:val="20"/>
                <w:color w:val="auto"/>
              </w:rPr>
            </w:pPr>
            <w:r>
              <w:rPr>
                <w:rFonts w:ascii="Arial" w:cs="Arial" w:eastAsia="Arial" w:hAnsi="Arial"/>
                <w:sz w:val="11"/>
                <w:szCs w:val="11"/>
                <w:color w:val="auto"/>
                <w:w w:val="97"/>
              </w:rPr>
              <w:t>Equity (Deficit)</w:t>
            </w:r>
          </w:p>
        </w:tc>
        <w:tc>
          <w:tcPr>
            <w:tcW w:w="0" w:type="dxa"/>
            <w:vAlign w:val="bottom"/>
          </w:tcPr>
          <w:p>
            <w:pPr>
              <w:spacing w:after="0"/>
              <w:rPr>
                <w:sz w:val="1"/>
                <w:szCs w:val="1"/>
                <w:color w:val="auto"/>
              </w:rPr>
            </w:pPr>
          </w:p>
        </w:tc>
      </w:tr>
      <w:tr>
        <w:trPr>
          <w:trHeight w:val="115"/>
        </w:trPr>
        <w:tc>
          <w:tcPr>
            <w:tcW w:w="17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2020</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35,000,000</w:t>
            </w:r>
          </w:p>
        </w:tc>
        <w:tc>
          <w:tcPr>
            <w:tcW w:w="12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34,922</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26,143,790</w:t>
            </w:r>
          </w:p>
        </w:tc>
        <w:tc>
          <w:tcPr>
            <w:tcW w:w="12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144,839</w:t>
            </w:r>
          </w:p>
        </w:tc>
        <w:tc>
          <w:tcPr>
            <w:tcW w:w="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right w:val="single" w:sz="8" w:color="auto"/>
            </w:tcBorders>
            <w:shd w:val="clear" w:color="auto" w:fill="CCEEFF"/>
          </w:tcPr>
          <w:p>
            <w:pPr>
              <w:jc w:val="right"/>
              <w:ind w:right="66"/>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7,481,861</w:t>
            </w:r>
          </w:p>
        </w:tc>
        <w:tc>
          <w:tcPr>
            <w:tcW w:w="220" w:type="dxa"/>
            <w:vAlign w:val="bottom"/>
            <w:tcBorders>
              <w:top w:val="single" w:sz="8" w:color="auto"/>
            </w:tcBorders>
            <w:gridSpan w:val="2"/>
            <w:shd w:val="clear" w:color="auto" w:fill="CCEEFF"/>
          </w:tcPr>
          <w:p>
            <w:pPr>
              <w:ind w:left="60"/>
              <w:spacing w:after="0" w:line="115" w:lineRule="exact"/>
              <w:rPr>
                <w:sz w:val="20"/>
                <w:szCs w:val="20"/>
                <w:color w:val="auto"/>
              </w:rPr>
            </w:pPr>
            <w:r>
              <w:rPr>
                <w:rFonts w:ascii="Arial" w:cs="Arial" w:eastAsia="Arial" w:hAnsi="Arial"/>
                <w:sz w:val="11"/>
                <w:szCs w:val="11"/>
                <w:b w:val="1"/>
                <w:bCs w:val="1"/>
                <w:color w:val="auto"/>
              </w:rPr>
              <w:t>$</w:t>
            </w:r>
          </w:p>
        </w:tc>
        <w:tc>
          <w:tcPr>
            <w:tcW w:w="2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$ 217,832</w:t>
            </w: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(31,900)</w:t>
            </w: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(292,342)</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(106,412</w:t>
            </w: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Receipt of subscription receivable</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31,900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31,900</w:t>
            </w:r>
          </w:p>
        </w:tc>
        <w:tc>
          <w:tcPr>
            <w:tcW w:w="0" w:type="dxa"/>
            <w:vAlign w:val="bottom"/>
          </w:tcPr>
          <w:p>
            <w:pPr>
              <w:spacing w:after="0"/>
              <w:rPr>
                <w:sz w:val="1"/>
                <w:szCs w:val="1"/>
                <w:color w:val="auto"/>
              </w:rPr>
            </w:pPr>
          </w:p>
        </w:tc>
      </w:tr>
      <w:tr>
        <w:trPr>
          <w:trHeight w:val="118"/>
        </w:trPr>
        <w:tc>
          <w:tcPr>
            <w:tcW w:w="176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Issuance of Series C preferred</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4"/>
        </w:trPr>
        <w:tc>
          <w:tcPr>
            <w:tcW w:w="17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stock, net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24,721,999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159,628</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60" w:type="dxa"/>
            <w:vAlign w:val="bottom"/>
          </w:tcPr>
          <w:p>
            <w:pPr>
              <w:spacing w:after="0" w:line="118" w:lineRule="exact"/>
              <w:rPr>
                <w:sz w:val="20"/>
                <w:szCs w:val="20"/>
                <w:color w:val="auto"/>
              </w:rPr>
            </w:pPr>
            <w:r>
              <w:rPr>
                <w:rFonts w:ascii="Arial" w:cs="Arial" w:eastAsia="Arial" w:hAnsi="Arial"/>
                <w:sz w:val="11"/>
                <w:szCs w:val="11"/>
                <w:color w:val="auto"/>
              </w:rPr>
              <w:t>Net assets contributed as result of</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1,061</w:t>
            </w:r>
          </w:p>
        </w:tc>
        <w:tc>
          <w:tcPr>
            <w:tcW w:w="0" w:type="dxa"/>
            <w:vAlign w:val="bottom"/>
          </w:tcPr>
          <w:p>
            <w:pPr>
              <w:spacing w:after="0"/>
              <w:rPr>
                <w:sz w:val="1"/>
                <w:szCs w:val="1"/>
                <w:color w:val="auto"/>
              </w:rPr>
            </w:pPr>
          </w:p>
        </w:tc>
      </w:tr>
      <w:tr>
        <w:trPr>
          <w:trHeight w:val="124"/>
        </w:trPr>
        <w:tc>
          <w:tcPr>
            <w:tcW w:w="1760" w:type="dxa"/>
            <w:vAlign w:val="bottom"/>
          </w:tcPr>
          <w:p>
            <w:pPr>
              <w:spacing w:after="0" w:line="124" w:lineRule="exact"/>
              <w:rPr>
                <w:sz w:val="20"/>
                <w:szCs w:val="20"/>
                <w:color w:val="auto"/>
              </w:rPr>
            </w:pPr>
            <w:r>
              <w:rPr>
                <w:rFonts w:ascii="Arial" w:cs="Arial" w:eastAsia="Arial" w:hAnsi="Arial"/>
                <w:sz w:val="11"/>
                <w:szCs w:val="11"/>
                <w:color w:val="auto"/>
              </w:rPr>
              <w:t>merger</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1,061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6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Issuance of common stock upon</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47</w:t>
            </w:r>
          </w:p>
        </w:tc>
        <w:tc>
          <w:tcPr>
            <w:tcW w:w="0" w:type="dxa"/>
            <w:vAlign w:val="bottom"/>
          </w:tcPr>
          <w:p>
            <w:pPr>
              <w:spacing w:after="0"/>
              <w:rPr>
                <w:sz w:val="1"/>
                <w:szCs w:val="1"/>
                <w:color w:val="auto"/>
              </w:rPr>
            </w:pPr>
          </w:p>
        </w:tc>
      </w:tr>
      <w:tr>
        <w:trPr>
          <w:trHeight w:val="124"/>
        </w:trPr>
        <w:tc>
          <w:tcPr>
            <w:tcW w:w="17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the exercise of stock options</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40,790</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47</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Vesting of restricted stock</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150,799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18"/>
        </w:trPr>
        <w:tc>
          <w:tcPr>
            <w:tcW w:w="176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Vesting of early exercise stock</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123</w:t>
            </w:r>
          </w:p>
        </w:tc>
        <w:tc>
          <w:tcPr>
            <w:tcW w:w="0" w:type="dxa"/>
            <w:vAlign w:val="bottom"/>
          </w:tcPr>
          <w:p>
            <w:pPr>
              <w:spacing w:after="0"/>
              <w:rPr>
                <w:sz w:val="1"/>
                <w:szCs w:val="1"/>
                <w:color w:val="auto"/>
              </w:rPr>
            </w:pPr>
          </w:p>
        </w:tc>
      </w:tr>
      <w:tr>
        <w:trPr>
          <w:trHeight w:val="124"/>
        </w:trPr>
        <w:tc>
          <w:tcPr>
            <w:tcW w:w="17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options</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199,083</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123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60" w:type="dxa"/>
            <w:vAlign w:val="bottom"/>
          </w:tcPr>
          <w:p>
            <w:pPr>
              <w:spacing w:after="0" w:line="118" w:lineRule="exact"/>
              <w:rPr>
                <w:sz w:val="20"/>
                <w:szCs w:val="20"/>
                <w:color w:val="auto"/>
              </w:rPr>
            </w:pPr>
            <w:r>
              <w:rPr>
                <w:rFonts w:ascii="Arial" w:cs="Arial" w:eastAsia="Arial" w:hAnsi="Arial"/>
                <w:sz w:val="11"/>
                <w:szCs w:val="11"/>
                <w:color w:val="auto"/>
              </w:rPr>
              <w:t>Unrealized loss on short-term</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(27</w:t>
            </w:r>
          </w:p>
        </w:tc>
        <w:tc>
          <w:tcPr>
            <w:tcW w:w="0" w:type="dxa"/>
            <w:vAlign w:val="bottom"/>
          </w:tcPr>
          <w:p>
            <w:pPr>
              <w:spacing w:after="0"/>
              <w:rPr>
                <w:sz w:val="1"/>
                <w:szCs w:val="1"/>
                <w:color w:val="auto"/>
              </w:rPr>
            </w:pPr>
          </w:p>
        </w:tc>
      </w:tr>
      <w:tr>
        <w:trPr>
          <w:trHeight w:val="124"/>
        </w:trPr>
        <w:tc>
          <w:tcPr>
            <w:tcW w:w="1760" w:type="dxa"/>
            <w:vAlign w:val="bottom"/>
          </w:tcPr>
          <w:p>
            <w:pPr>
              <w:spacing w:after="0" w:line="124" w:lineRule="exact"/>
              <w:rPr>
                <w:sz w:val="20"/>
                <w:szCs w:val="20"/>
                <w:color w:val="auto"/>
              </w:rPr>
            </w:pPr>
            <w:r>
              <w:rPr>
                <w:rFonts w:ascii="Arial" w:cs="Arial" w:eastAsia="Arial" w:hAnsi="Arial"/>
                <w:sz w:val="11"/>
                <w:szCs w:val="11"/>
                <w:color w:val="auto"/>
              </w:rPr>
              <w:t>investments</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Arial" w:cs="Arial" w:eastAsia="Arial" w:hAnsi="Arial"/>
                <w:sz w:val="11"/>
                <w:szCs w:val="11"/>
                <w:color w:val="auto"/>
              </w:rPr>
              <w:t>(27)</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Foreign currency translation</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Stock based compensation</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95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95</w:t>
            </w: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Net loss</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(18,348)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(18,348</w:t>
            </w:r>
          </w:p>
        </w:tc>
        <w:tc>
          <w:tcPr>
            <w:tcW w:w="0" w:type="dxa"/>
            <w:vAlign w:val="bottom"/>
          </w:tcPr>
          <w:p>
            <w:pPr>
              <w:spacing w:after="0"/>
              <w:rPr>
                <w:sz w:val="1"/>
                <w:szCs w:val="1"/>
                <w:color w:val="auto"/>
              </w:rPr>
            </w:pPr>
          </w:p>
        </w:tc>
      </w:tr>
      <w:tr>
        <w:trPr>
          <w:trHeight w:val="115"/>
        </w:trPr>
        <w:tc>
          <w:tcPr>
            <w:tcW w:w="1760" w:type="dxa"/>
            <w:vAlign w:val="bottom"/>
          </w:tcPr>
          <w:p>
            <w:pPr>
              <w:spacing w:after="0" w:line="115" w:lineRule="exact"/>
              <w:rPr>
                <w:sz w:val="20"/>
                <w:szCs w:val="20"/>
                <w:color w:val="auto"/>
              </w:rPr>
            </w:pPr>
            <w:r>
              <w:rPr>
                <w:rFonts w:ascii="Arial" w:cs="Arial" w:eastAsia="Arial" w:hAnsi="Arial"/>
                <w:sz w:val="11"/>
                <w:szCs w:val="11"/>
                <w:b w:val="1"/>
                <w:bCs w:val="1"/>
                <w:color w:val="auto"/>
              </w:rPr>
              <w:t>Balance, March 31, 2021</w:t>
            </w: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35,000,000</w:t>
            </w:r>
          </w:p>
        </w:tc>
        <w:tc>
          <w:tcPr>
            <w:tcW w:w="6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34,922</w:t>
            </w:r>
          </w:p>
        </w:tc>
        <w:tc>
          <w:tcPr>
            <w:tcW w:w="120" w:type="dxa"/>
            <w:vAlign w:val="bottom"/>
          </w:tcPr>
          <w:p>
            <w:pPr>
              <w:spacing w:after="0"/>
              <w:rPr>
                <w:sz w:val="9"/>
                <w:szCs w:val="9"/>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26,143,790</w:t>
            </w:r>
          </w:p>
        </w:tc>
        <w:tc>
          <w:tcPr>
            <w:tcW w:w="6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144,839</w:t>
            </w:r>
          </w:p>
        </w:tc>
        <w:tc>
          <w:tcPr>
            <w:tcW w:w="60" w:type="dxa"/>
            <w:vAlign w:val="bottom"/>
          </w:tcPr>
          <w:p>
            <w:pPr>
              <w:spacing w:after="0"/>
              <w:rPr>
                <w:sz w:val="9"/>
                <w:szCs w:val="9"/>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24,721,999</w:t>
            </w:r>
          </w:p>
        </w:tc>
        <w:tc>
          <w:tcPr>
            <w:tcW w:w="8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right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159,628</w:t>
            </w:r>
          </w:p>
        </w:tc>
        <w:tc>
          <w:tcPr>
            <w:tcW w:w="60" w:type="dxa"/>
            <w:vAlign w:val="bottom"/>
          </w:tcPr>
          <w:p>
            <w:pPr>
              <w:spacing w:after="0"/>
              <w:rPr>
                <w:sz w:val="9"/>
                <w:szCs w:val="9"/>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7,872,533</w:t>
            </w: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2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9"/>
                <w:szCs w:val="9"/>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9"/>
              </w:rPr>
              <w:t>$ 219,158</w:t>
            </w: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(310,690)</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(26)</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auto"/>
            </w:tcBorders>
          </w:tcPr>
          <w:p>
            <w:pPr>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(91,557</w:t>
            </w:r>
          </w:p>
        </w:tc>
        <w:tc>
          <w:tcPr>
            <w:tcW w:w="0" w:type="dxa"/>
            <w:vAlign w:val="bottom"/>
          </w:tcPr>
          <w:p>
            <w:pPr>
              <w:spacing w:after="0"/>
              <w:rPr>
                <w:sz w:val="1"/>
                <w:szCs w:val="1"/>
                <w:color w:val="auto"/>
              </w:rPr>
            </w:pPr>
          </w:p>
        </w:tc>
      </w:tr>
      <w:tr>
        <w:trPr>
          <w:trHeight w:val="118"/>
        </w:trPr>
        <w:tc>
          <w:tcPr>
            <w:tcW w:w="176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Issuance of common stock upon</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initial public offering, net of</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underwriting discounts and</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commissions and other issuance</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221,185</w:t>
            </w:r>
          </w:p>
        </w:tc>
        <w:tc>
          <w:tcPr>
            <w:tcW w:w="0" w:type="dxa"/>
            <w:vAlign w:val="bottom"/>
          </w:tcPr>
          <w:p>
            <w:pPr>
              <w:spacing w:after="0"/>
              <w:rPr>
                <w:sz w:val="1"/>
                <w:szCs w:val="1"/>
                <w:color w:val="auto"/>
              </w:rPr>
            </w:pPr>
          </w:p>
        </w:tc>
      </w:tr>
      <w:tr>
        <w:trPr>
          <w:trHeight w:val="124"/>
        </w:trPr>
        <w:tc>
          <w:tcPr>
            <w:tcW w:w="17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costs</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4"/>
              </w:rPr>
              <w:t>12,132,500</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221,184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60" w:type="dxa"/>
            <w:vAlign w:val="bottom"/>
          </w:tcPr>
          <w:p>
            <w:pPr>
              <w:spacing w:after="0" w:line="118" w:lineRule="exact"/>
              <w:rPr>
                <w:sz w:val="20"/>
                <w:szCs w:val="20"/>
                <w:color w:val="auto"/>
              </w:rPr>
            </w:pPr>
            <w:r>
              <w:rPr>
                <w:rFonts w:ascii="Arial" w:cs="Arial" w:eastAsia="Arial" w:hAnsi="Arial"/>
                <w:sz w:val="11"/>
                <w:szCs w:val="11"/>
                <w:color w:val="auto"/>
              </w:rPr>
              <w:t>Conversion of convertible</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preferred stock upon initial public</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339,388</w:t>
            </w:r>
          </w:p>
        </w:tc>
        <w:tc>
          <w:tcPr>
            <w:tcW w:w="0" w:type="dxa"/>
            <w:vAlign w:val="bottom"/>
          </w:tcPr>
          <w:p>
            <w:pPr>
              <w:spacing w:after="0"/>
              <w:rPr>
                <w:sz w:val="1"/>
                <w:szCs w:val="1"/>
                <w:color w:val="auto"/>
              </w:rPr>
            </w:pPr>
          </w:p>
        </w:tc>
      </w:tr>
      <w:tr>
        <w:trPr>
          <w:trHeight w:val="124"/>
        </w:trPr>
        <w:tc>
          <w:tcPr>
            <w:tcW w:w="1760" w:type="dxa"/>
            <w:vAlign w:val="bottom"/>
          </w:tcPr>
          <w:p>
            <w:pPr>
              <w:spacing w:after="0" w:line="124" w:lineRule="exact"/>
              <w:rPr>
                <w:sz w:val="20"/>
                <w:szCs w:val="20"/>
                <w:color w:val="auto"/>
              </w:rPr>
            </w:pPr>
            <w:r>
              <w:rPr>
                <w:rFonts w:ascii="Arial" w:cs="Arial" w:eastAsia="Arial" w:hAnsi="Arial"/>
                <w:sz w:val="11"/>
                <w:szCs w:val="11"/>
                <w:color w:val="auto"/>
              </w:rPr>
              <w:t>offering</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w w:val="96"/>
              </w:rPr>
              <w:t>(35,000,000)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w w:val="97"/>
              </w:rPr>
              <w:t>(34,922)</w:t>
            </w:r>
          </w:p>
        </w:tc>
        <w:tc>
          <w:tcPr>
            <w:tcW w:w="12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w w:val="96"/>
              </w:rPr>
              <w:t>(26,143,790)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1"/>
                <w:szCs w:val="11"/>
                <w:color w:val="auto"/>
                <w:w w:val="97"/>
              </w:rPr>
              <w:t>(144,839)</w:t>
            </w:r>
          </w:p>
        </w:tc>
        <w:tc>
          <w:tcPr>
            <w:tcW w:w="6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w w:val="96"/>
              </w:rPr>
              <w:t>(24,721,999)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46"/>
              <w:spacing w:after="0" w:line="124" w:lineRule="exact"/>
              <w:rPr>
                <w:sz w:val="20"/>
                <w:szCs w:val="20"/>
                <w:color w:val="auto"/>
              </w:rPr>
            </w:pPr>
            <w:r>
              <w:rPr>
                <w:rFonts w:ascii="Arial" w:cs="Arial" w:eastAsia="Arial" w:hAnsi="Arial"/>
                <w:sz w:val="11"/>
                <w:szCs w:val="11"/>
                <w:color w:val="auto"/>
                <w:w w:val="93"/>
              </w:rPr>
              <w:t>(159,628)</w:t>
            </w:r>
          </w:p>
        </w:tc>
        <w:tc>
          <w:tcPr>
            <w:tcW w:w="6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auto"/>
                <w:w w:val="94"/>
              </w:rPr>
              <w:t>34,126,528</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3</w:t>
            </w:r>
          </w:p>
        </w:tc>
        <w:tc>
          <w:tcPr>
            <w:tcW w:w="5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339,385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6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Issuance of common stock upon</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74</w:t>
            </w:r>
          </w:p>
        </w:tc>
        <w:tc>
          <w:tcPr>
            <w:tcW w:w="0" w:type="dxa"/>
            <w:vAlign w:val="bottom"/>
          </w:tcPr>
          <w:p>
            <w:pPr>
              <w:spacing w:after="0"/>
              <w:rPr>
                <w:sz w:val="1"/>
                <w:szCs w:val="1"/>
                <w:color w:val="auto"/>
              </w:rPr>
            </w:pPr>
          </w:p>
        </w:tc>
      </w:tr>
      <w:tr>
        <w:trPr>
          <w:trHeight w:val="124"/>
        </w:trPr>
        <w:tc>
          <w:tcPr>
            <w:tcW w:w="17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the exercise of stock options</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79,796</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74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Vesting of restricted stock</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130,463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18"/>
        </w:trPr>
        <w:tc>
          <w:tcPr>
            <w:tcW w:w="1760" w:type="dxa"/>
            <w:vAlign w:val="bottom"/>
            <w:shd w:val="clear" w:color="auto" w:fill="CCEEFF"/>
          </w:tcPr>
          <w:p>
            <w:pPr>
              <w:spacing w:after="0" w:line="118" w:lineRule="exact"/>
              <w:rPr>
                <w:sz w:val="20"/>
                <w:szCs w:val="20"/>
                <w:color w:val="auto"/>
              </w:rPr>
            </w:pPr>
            <w:r>
              <w:rPr>
                <w:rFonts w:ascii="Arial" w:cs="Arial" w:eastAsia="Arial" w:hAnsi="Arial"/>
                <w:sz w:val="11"/>
                <w:szCs w:val="11"/>
                <w:color w:val="auto"/>
              </w:rPr>
              <w:t>Vesting of early exercise stock</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46</w:t>
            </w:r>
          </w:p>
        </w:tc>
        <w:tc>
          <w:tcPr>
            <w:tcW w:w="0" w:type="dxa"/>
            <w:vAlign w:val="bottom"/>
          </w:tcPr>
          <w:p>
            <w:pPr>
              <w:spacing w:after="0"/>
              <w:rPr>
                <w:sz w:val="1"/>
                <w:szCs w:val="1"/>
                <w:color w:val="auto"/>
              </w:rPr>
            </w:pPr>
          </w:p>
        </w:tc>
      </w:tr>
      <w:tr>
        <w:trPr>
          <w:trHeight w:val="124"/>
        </w:trPr>
        <w:tc>
          <w:tcPr>
            <w:tcW w:w="17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options</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62,271</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46</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60" w:type="dxa"/>
            <w:vAlign w:val="bottom"/>
          </w:tcPr>
          <w:p>
            <w:pPr>
              <w:spacing w:after="0" w:line="118" w:lineRule="exact"/>
              <w:rPr>
                <w:sz w:val="20"/>
                <w:szCs w:val="20"/>
                <w:color w:val="auto"/>
              </w:rPr>
            </w:pPr>
            <w:r>
              <w:rPr>
                <w:rFonts w:ascii="Arial" w:cs="Arial" w:eastAsia="Arial" w:hAnsi="Arial"/>
                <w:sz w:val="11"/>
                <w:szCs w:val="11"/>
                <w:color w:val="auto"/>
              </w:rPr>
              <w:t>Unrealized gain on short-term</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32</w:t>
            </w:r>
          </w:p>
        </w:tc>
        <w:tc>
          <w:tcPr>
            <w:tcW w:w="0" w:type="dxa"/>
            <w:vAlign w:val="bottom"/>
          </w:tcPr>
          <w:p>
            <w:pPr>
              <w:spacing w:after="0"/>
              <w:rPr>
                <w:sz w:val="1"/>
                <w:szCs w:val="1"/>
                <w:color w:val="auto"/>
              </w:rPr>
            </w:pPr>
          </w:p>
        </w:tc>
      </w:tr>
      <w:tr>
        <w:trPr>
          <w:trHeight w:val="124"/>
        </w:trPr>
        <w:tc>
          <w:tcPr>
            <w:tcW w:w="1760" w:type="dxa"/>
            <w:vAlign w:val="bottom"/>
          </w:tcPr>
          <w:p>
            <w:pPr>
              <w:spacing w:after="0" w:line="124" w:lineRule="exact"/>
              <w:rPr>
                <w:sz w:val="20"/>
                <w:szCs w:val="20"/>
                <w:color w:val="auto"/>
              </w:rPr>
            </w:pPr>
            <w:r>
              <w:rPr>
                <w:rFonts w:ascii="Arial" w:cs="Arial" w:eastAsia="Arial" w:hAnsi="Arial"/>
                <w:sz w:val="11"/>
                <w:szCs w:val="11"/>
                <w:color w:val="auto"/>
              </w:rPr>
              <w:t>investments</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Arial" w:cs="Arial" w:eastAsia="Arial" w:hAnsi="Arial"/>
                <w:sz w:val="11"/>
                <w:szCs w:val="11"/>
                <w:color w:val="auto"/>
              </w:rPr>
              <w:t>32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Foreign currency translation</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(9</w:t>
            </w: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1"/>
                <w:szCs w:val="11"/>
                <w:color w:val="auto"/>
              </w:rPr>
              <w:t>Stock based compensation</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1,711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1,711</w:t>
            </w: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Net loss</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6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(23,273)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(23,273</w:t>
            </w:r>
          </w:p>
        </w:tc>
        <w:tc>
          <w:tcPr>
            <w:tcW w:w="0" w:type="dxa"/>
            <w:vAlign w:val="bottom"/>
          </w:tcPr>
          <w:p>
            <w:pPr>
              <w:spacing w:after="0"/>
              <w:rPr>
                <w:sz w:val="1"/>
                <w:szCs w:val="1"/>
                <w:color w:val="auto"/>
              </w:rPr>
            </w:pPr>
          </w:p>
        </w:tc>
      </w:tr>
      <w:tr>
        <w:trPr>
          <w:trHeight w:val="115"/>
        </w:trPr>
        <w:tc>
          <w:tcPr>
            <w:tcW w:w="1760" w:type="dxa"/>
            <w:vAlign w:val="bottom"/>
          </w:tcPr>
          <w:p>
            <w:pPr>
              <w:spacing w:after="0" w:line="115" w:lineRule="exact"/>
              <w:rPr>
                <w:sz w:val="20"/>
                <w:szCs w:val="20"/>
                <w:color w:val="auto"/>
              </w:rPr>
            </w:pPr>
            <w:r>
              <w:rPr>
                <w:rFonts w:ascii="Arial" w:cs="Arial" w:eastAsia="Arial" w:hAnsi="Arial"/>
                <w:sz w:val="11"/>
                <w:szCs w:val="11"/>
                <w:b w:val="1"/>
                <w:bCs w:val="1"/>
                <w:color w:val="auto"/>
              </w:rPr>
              <w:t>Balance, June 30, 2021</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right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4"/>
              </w:rPr>
              <w:t>54,404,091</w:t>
            </w:r>
          </w:p>
        </w:tc>
        <w:tc>
          <w:tcPr>
            <w:tcW w:w="6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2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w:t>
            </w: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9"/>
              </w:rPr>
              <w:t>$ 781,558</w:t>
            </w:r>
          </w:p>
        </w:tc>
        <w:tc>
          <w:tcPr>
            <w:tcW w:w="8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(333,963)</w:t>
            </w: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1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447,597</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59880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88050" cy="25400"/>
                    </a:xfrm>
                    <a:prstGeom prst="rect">
                      <a:avLst/>
                    </a:prstGeom>
                    <a:noFill/>
                  </pic:spPr>
                </pic:pic>
              </a:graphicData>
            </a:graphic>
          </wp:anchor>
        </w:drawing>
      </w:r>
    </w:p>
    <w:p>
      <w:pPr>
        <w:sectPr>
          <w:pgSz w:w="11900" w:h="16838" w:orient="portrait"/>
          <w:cols w:equalWidth="0" w:num="1">
            <w:col w:w="10440"/>
          </w:cols>
          <w:pgMar w:left="1220" w:top="529"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Accumulated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tcPr>
          <w:p>
            <w:pPr>
              <w:jc w:val="right"/>
              <w:ind w:right="160"/>
              <w:spacing w:after="0" w:line="121" w:lineRule="exact"/>
              <w:rPr>
                <w:sz w:val="20"/>
                <w:szCs w:val="20"/>
                <w:color w:val="auto"/>
              </w:rPr>
            </w:pPr>
            <w:r>
              <w:rPr>
                <w:rFonts w:ascii="Arial" w:cs="Arial" w:eastAsia="Arial" w:hAnsi="Arial"/>
                <w:sz w:val="11"/>
                <w:szCs w:val="11"/>
                <w:color w:val="auto"/>
              </w:rPr>
              <w:t>Series A</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auto"/>
            </w:tcBorders>
          </w:tcPr>
          <w:p>
            <w:pPr>
              <w:jc w:val="right"/>
              <w:ind w:right="46"/>
              <w:spacing w:after="0" w:line="121" w:lineRule="exact"/>
              <w:rPr>
                <w:sz w:val="20"/>
                <w:szCs w:val="20"/>
                <w:color w:val="auto"/>
              </w:rPr>
            </w:pPr>
            <w:r>
              <w:rPr>
                <w:rFonts w:ascii="Arial" w:cs="Arial" w:eastAsia="Arial" w:hAnsi="Arial"/>
                <w:sz w:val="11"/>
                <w:szCs w:val="11"/>
                <w:color w:val="auto"/>
              </w:rPr>
              <w:t>Series B</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6"/>
              <w:spacing w:after="0" w:line="121" w:lineRule="exact"/>
              <w:rPr>
                <w:sz w:val="20"/>
                <w:szCs w:val="20"/>
                <w:color w:val="auto"/>
              </w:rPr>
            </w:pPr>
            <w:r>
              <w:rPr>
                <w:rFonts w:ascii="Arial" w:cs="Arial" w:eastAsia="Arial" w:hAnsi="Arial"/>
                <w:sz w:val="11"/>
                <w:szCs w:val="11"/>
                <w:color w:val="auto"/>
              </w:rPr>
              <w:t>Other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5"/>
          </w:tcPr>
          <w:p>
            <w:pPr>
              <w:jc w:val="right"/>
              <w:ind w:right="160"/>
              <w:spacing w:after="0" w:line="121" w:lineRule="exact"/>
              <w:rPr>
                <w:sz w:val="20"/>
                <w:szCs w:val="20"/>
                <w:color w:val="auto"/>
              </w:rPr>
            </w:pPr>
            <w:r>
              <w:rPr>
                <w:rFonts w:ascii="Arial" w:cs="Arial" w:eastAsia="Arial" w:hAnsi="Arial"/>
                <w:sz w:val="11"/>
                <w:szCs w:val="11"/>
                <w:color w:val="auto"/>
                <w:w w:val="96"/>
              </w:rPr>
              <w:t>Convertible</w:t>
            </w:r>
          </w:p>
        </w:tc>
        <w:tc>
          <w:tcPr>
            <w:tcW w:w="5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46"/>
              <w:spacing w:after="0" w:line="121" w:lineRule="exact"/>
              <w:rPr>
                <w:sz w:val="20"/>
                <w:szCs w:val="20"/>
                <w:color w:val="auto"/>
              </w:rPr>
            </w:pPr>
            <w:r>
              <w:rPr>
                <w:rFonts w:ascii="Arial" w:cs="Arial" w:eastAsia="Arial" w:hAnsi="Arial"/>
                <w:sz w:val="11"/>
                <w:szCs w:val="11"/>
                <w:color w:val="auto"/>
                <w:w w:val="93"/>
              </w:rPr>
              <w:t>Convertible</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w w:val="95"/>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w w:val="96"/>
              </w:rPr>
              <w:t>Comprehensive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280" w:type="dxa"/>
            <w:vAlign w:val="bottom"/>
            <w:gridSpan w:val="6"/>
          </w:tcPr>
          <w:p>
            <w:pPr>
              <w:jc w:val="right"/>
              <w:ind w:right="160"/>
              <w:spacing w:after="0" w:line="124" w:lineRule="exact"/>
              <w:rPr>
                <w:sz w:val="20"/>
                <w:szCs w:val="20"/>
                <w:color w:val="auto"/>
              </w:rPr>
            </w:pPr>
            <w:r>
              <w:rPr>
                <w:rFonts w:ascii="Arial" w:cs="Arial" w:eastAsia="Arial" w:hAnsi="Arial"/>
                <w:sz w:val="11"/>
                <w:szCs w:val="11"/>
                <w:color w:val="auto"/>
              </w:rPr>
              <w:t>Preferred Stock</w:t>
            </w:r>
          </w:p>
        </w:tc>
        <w:tc>
          <w:tcPr>
            <w:tcW w:w="1220" w:type="dxa"/>
            <w:vAlign w:val="bottom"/>
            <w:tcBorders>
              <w:right w:val="single" w:sz="8" w:color="auto"/>
            </w:tcBorders>
            <w:gridSpan w:val="3"/>
          </w:tcPr>
          <w:p>
            <w:pPr>
              <w:jc w:val="right"/>
              <w:ind w:right="46"/>
              <w:spacing w:after="0" w:line="124" w:lineRule="exact"/>
              <w:rPr>
                <w:sz w:val="20"/>
                <w:szCs w:val="20"/>
                <w:color w:val="auto"/>
              </w:rPr>
            </w:pPr>
            <w:r>
              <w:rPr>
                <w:rFonts w:ascii="Arial" w:cs="Arial" w:eastAsia="Arial" w:hAnsi="Arial"/>
                <w:sz w:val="11"/>
                <w:szCs w:val="11"/>
                <w:color w:val="auto"/>
              </w:rPr>
              <w:t>Preferred Stock</w:t>
            </w:r>
          </w:p>
        </w:tc>
        <w:tc>
          <w:tcPr>
            <w:tcW w:w="60" w:type="dxa"/>
            <w:vAlign w:val="bottom"/>
          </w:tcPr>
          <w:p>
            <w:pPr>
              <w:spacing w:after="0"/>
              <w:rPr>
                <w:sz w:val="10"/>
                <w:szCs w:val="10"/>
                <w:color w:val="auto"/>
              </w:rPr>
            </w:pPr>
          </w:p>
        </w:tc>
        <w:tc>
          <w:tcPr>
            <w:tcW w:w="1080" w:type="dxa"/>
            <w:vAlign w:val="bottom"/>
            <w:gridSpan w:val="4"/>
          </w:tcPr>
          <w:p>
            <w:pPr>
              <w:jc w:val="right"/>
              <w:ind w:right="126"/>
              <w:spacing w:after="0" w:line="124" w:lineRule="exact"/>
              <w:rPr>
                <w:sz w:val="20"/>
                <w:szCs w:val="20"/>
                <w:color w:val="auto"/>
              </w:rPr>
            </w:pPr>
            <w:r>
              <w:rPr>
                <w:rFonts w:ascii="Arial" w:cs="Arial" w:eastAsia="Arial" w:hAnsi="Arial"/>
                <w:sz w:val="11"/>
                <w:szCs w:val="11"/>
                <w:color w:val="auto"/>
              </w:rPr>
              <w:t>Common Stock</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rPr>
              <w:t>Paid-in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w w:val="92"/>
              </w:rPr>
              <w:t>Subscription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1"/>
                <w:szCs w:val="11"/>
                <w:color w:val="auto"/>
                <w:w w:val="94"/>
              </w:rPr>
              <w:t>Accumulated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6"/>
              <w:spacing w:after="0" w:line="124" w:lineRule="exact"/>
              <w:rPr>
                <w:sz w:val="20"/>
                <w:szCs w:val="20"/>
                <w:color w:val="auto"/>
              </w:rPr>
            </w:pPr>
            <w:r>
              <w:rPr>
                <w:rFonts w:ascii="Arial" w:cs="Arial" w:eastAsia="Arial" w:hAnsi="Arial"/>
                <w:sz w:val="11"/>
                <w:szCs w:val="11"/>
                <w:color w:val="auto"/>
              </w:rPr>
              <w:t>Income</w:t>
            </w:r>
          </w:p>
        </w:tc>
        <w:tc>
          <w:tcPr>
            <w:tcW w:w="800" w:type="dxa"/>
            <w:vAlign w:val="bottom"/>
            <w:gridSpan w:val="3"/>
          </w:tcPr>
          <w:p>
            <w:pPr>
              <w:ind w:left="120"/>
              <w:spacing w:after="0" w:line="124" w:lineRule="exact"/>
              <w:rPr>
                <w:sz w:val="20"/>
                <w:szCs w:val="20"/>
                <w:color w:val="auto"/>
              </w:rPr>
            </w:pPr>
            <w:r>
              <w:rPr>
                <w:rFonts w:ascii="Arial" w:cs="Arial" w:eastAsia="Arial" w:hAnsi="Arial"/>
                <w:sz w:val="11"/>
                <w:szCs w:val="11"/>
                <w:color w:val="auto"/>
                <w:w w:val="99"/>
              </w:rPr>
              <w:t>Stockholders’</w:t>
            </w:r>
          </w:p>
        </w:tc>
        <w:tc>
          <w:tcPr>
            <w:tcW w:w="0" w:type="dxa"/>
            <w:vAlign w:val="bottom"/>
          </w:tcPr>
          <w:p>
            <w:pPr>
              <w:spacing w:after="0"/>
              <w:rPr>
                <w:sz w:val="1"/>
                <w:szCs w:val="1"/>
                <w:color w:val="auto"/>
              </w:rPr>
            </w:pPr>
          </w:p>
        </w:tc>
      </w:tr>
      <w:tr>
        <w:trPr>
          <w:trHeight w:val="115"/>
        </w:trPr>
        <w:tc>
          <w:tcPr>
            <w:tcW w:w="1840" w:type="dxa"/>
            <w:vAlign w:val="bottom"/>
            <w:tcBorders>
              <w:bottom w:val="single" w:sz="8" w:color="CCEEFF"/>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2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120" w:type="dxa"/>
            <w:vAlign w:val="bottom"/>
            <w:tcBorders>
              <w:bottom w:val="single" w:sz="8" w:color="CCEEFF"/>
            </w:tcBorders>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80" w:type="dxa"/>
            <w:vAlign w:val="bottom"/>
            <w:tcBorders>
              <w:top w:val="single" w:sz="8" w:color="auto"/>
              <w:bottom w:val="single" w:sz="8" w:color="CCEEFF"/>
            </w:tcBorders>
          </w:tcPr>
          <w:p>
            <w:pPr>
              <w:spacing w:after="0"/>
              <w:rPr>
                <w:sz w:val="9"/>
                <w:szCs w:val="9"/>
                <w:color w:val="auto"/>
              </w:rPr>
            </w:pPr>
          </w:p>
        </w:tc>
        <w:tc>
          <w:tcPr>
            <w:tcW w:w="560" w:type="dxa"/>
            <w:vAlign w:val="bottom"/>
            <w:tcBorders>
              <w:top w:val="single" w:sz="8" w:color="auto"/>
              <w:bottom w:val="single" w:sz="8" w:color="auto"/>
              <w:right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Amount</w:t>
            </w:r>
          </w:p>
        </w:tc>
        <w:tc>
          <w:tcPr>
            <w:tcW w:w="60" w:type="dxa"/>
            <w:vAlign w:val="bottom"/>
            <w:tcBorders>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8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Capital</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Receivable</w:t>
            </w:r>
          </w:p>
        </w:tc>
        <w:tc>
          <w:tcPr>
            <w:tcW w:w="1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Deficit</w:t>
            </w:r>
          </w:p>
        </w:tc>
        <w:tc>
          <w:tcPr>
            <w:tcW w:w="1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(Loss)</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Deficit</w:t>
            </w:r>
          </w:p>
        </w:tc>
        <w:tc>
          <w:tcPr>
            <w:tcW w:w="0" w:type="dxa"/>
            <w:vAlign w:val="bottom"/>
          </w:tcPr>
          <w:p>
            <w:pPr>
              <w:spacing w:after="0"/>
              <w:rPr>
                <w:sz w:val="1"/>
                <w:szCs w:val="1"/>
                <w:color w:val="auto"/>
              </w:rPr>
            </w:pPr>
          </w:p>
        </w:tc>
      </w:tr>
      <w:tr>
        <w:trPr>
          <w:trHeight w:val="115"/>
        </w:trPr>
        <w:tc>
          <w:tcPr>
            <w:tcW w:w="184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2019</w:t>
            </w:r>
          </w:p>
        </w:tc>
        <w:tc>
          <w:tcPr>
            <w:tcW w:w="5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35,000,000</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34,992</w:t>
            </w: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26,143,790</w:t>
            </w:r>
          </w:p>
        </w:tc>
        <w:tc>
          <w:tcPr>
            <w:tcW w:w="8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b w:val="1"/>
                <w:bCs w:val="1"/>
                <w:color w:val="auto"/>
                <w:w w:val="89"/>
              </w:rPr>
              <w:t>$ 144,839</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3"/>
              </w:rPr>
              <w:t>7,481,861</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1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7"/>
              </w:rPr>
              <w:t>$</w:t>
            </w:r>
          </w:p>
        </w:tc>
        <w:tc>
          <w:tcPr>
            <w:tcW w:w="5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216,910</w:t>
            </w:r>
          </w:p>
        </w:tc>
        <w:tc>
          <w:tcPr>
            <w:tcW w:w="18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(70,000)</w:t>
            </w:r>
          </w:p>
        </w:tc>
        <w:tc>
          <w:tcPr>
            <w:tcW w:w="16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(238,767)</w:t>
            </w:r>
          </w:p>
        </w:tc>
        <w:tc>
          <w:tcPr>
            <w:tcW w:w="16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(91,859)</w:t>
            </w:r>
          </w:p>
        </w:tc>
        <w:tc>
          <w:tcPr>
            <w:tcW w:w="0" w:type="dxa"/>
            <w:vAlign w:val="bottom"/>
          </w:tcPr>
          <w:p>
            <w:pPr>
              <w:spacing w:after="0"/>
              <w:rPr>
                <w:sz w:val="1"/>
                <w:szCs w:val="1"/>
                <w:color w:val="auto"/>
              </w:rPr>
            </w:pPr>
          </w:p>
        </w:tc>
      </w:tr>
      <w:tr>
        <w:trPr>
          <w:trHeight w:val="118"/>
        </w:trPr>
        <w:tc>
          <w:tcPr>
            <w:tcW w:w="1840" w:type="dxa"/>
            <w:vAlign w:val="bottom"/>
          </w:tcPr>
          <w:p>
            <w:pPr>
              <w:spacing w:after="0" w:line="118" w:lineRule="exact"/>
              <w:rPr>
                <w:sz w:val="20"/>
                <w:szCs w:val="20"/>
                <w:color w:val="auto"/>
              </w:rPr>
            </w:pPr>
            <w:r>
              <w:rPr>
                <w:rFonts w:ascii="Arial" w:cs="Arial" w:eastAsia="Arial" w:hAnsi="Arial"/>
                <w:sz w:val="11"/>
                <w:szCs w:val="11"/>
                <w:color w:val="auto"/>
              </w:rPr>
              <w:t>Unrealized loss on short-term</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27</w:t>
            </w:r>
          </w:p>
        </w:tc>
        <w:tc>
          <w:tcPr>
            <w:tcW w:w="0" w:type="dxa"/>
            <w:vAlign w:val="bottom"/>
          </w:tcPr>
          <w:p>
            <w:pPr>
              <w:spacing w:after="0"/>
              <w:rPr>
                <w:sz w:val="1"/>
                <w:szCs w:val="1"/>
                <w:color w:val="auto"/>
              </w:rPr>
            </w:pPr>
          </w:p>
        </w:tc>
      </w:tr>
      <w:tr>
        <w:trPr>
          <w:trHeight w:val="124"/>
        </w:trPr>
        <w:tc>
          <w:tcPr>
            <w:tcW w:w="1840" w:type="dxa"/>
            <w:vAlign w:val="bottom"/>
          </w:tcPr>
          <w:p>
            <w:pPr>
              <w:spacing w:after="0" w:line="124" w:lineRule="exact"/>
              <w:rPr>
                <w:sz w:val="20"/>
                <w:szCs w:val="20"/>
                <w:color w:val="auto"/>
              </w:rPr>
            </w:pPr>
            <w:r>
              <w:rPr>
                <w:rFonts w:ascii="Arial" w:cs="Arial" w:eastAsia="Arial" w:hAnsi="Arial"/>
                <w:sz w:val="11"/>
                <w:szCs w:val="11"/>
                <w:color w:val="auto"/>
              </w:rPr>
              <w:t>investments</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tcBorders>
              <w:right w:val="single" w:sz="8" w:color="auto"/>
            </w:tcBorders>
          </w:tcPr>
          <w:p>
            <w:pPr>
              <w:jc w:val="right"/>
              <w:ind w:right="46"/>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4" w:lineRule="exact"/>
              <w:rPr>
                <w:sz w:val="20"/>
                <w:szCs w:val="20"/>
                <w:color w:val="auto"/>
              </w:rPr>
            </w:pPr>
            <w:r>
              <w:rPr>
                <w:rFonts w:ascii="Arial" w:cs="Arial" w:eastAsia="Arial" w:hAnsi="Arial"/>
                <w:sz w:val="11"/>
                <w:szCs w:val="11"/>
                <w:color w:val="auto"/>
              </w:rPr>
              <w:t>27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Stock based compensation</w:t>
            </w: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221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221</w:t>
            </w:r>
          </w:p>
        </w:tc>
        <w:tc>
          <w:tcPr>
            <w:tcW w:w="0" w:type="dxa"/>
            <w:vAlign w:val="bottom"/>
          </w:tcPr>
          <w:p>
            <w:pPr>
              <w:spacing w:after="0"/>
              <w:rPr>
                <w:sz w:val="1"/>
                <w:szCs w:val="1"/>
                <w:color w:val="auto"/>
              </w:rPr>
            </w:pPr>
          </w:p>
        </w:tc>
      </w:tr>
      <w:tr>
        <w:trPr>
          <w:trHeight w:val="121"/>
        </w:trPr>
        <w:tc>
          <w:tcPr>
            <w:tcW w:w="1840" w:type="dxa"/>
            <w:vAlign w:val="bottom"/>
          </w:tcPr>
          <w:p>
            <w:pPr>
              <w:spacing w:after="0" w:line="121" w:lineRule="exact"/>
              <w:rPr>
                <w:sz w:val="20"/>
                <w:szCs w:val="20"/>
                <w:color w:val="auto"/>
              </w:rPr>
            </w:pPr>
            <w:r>
              <w:rPr>
                <w:rFonts w:ascii="Arial" w:cs="Arial" w:eastAsia="Arial" w:hAnsi="Arial"/>
                <w:sz w:val="11"/>
                <w:szCs w:val="11"/>
                <w:color w:val="auto"/>
              </w:rPr>
              <w:t>Net loss</w:t>
            </w:r>
          </w:p>
        </w:tc>
        <w:tc>
          <w:tcPr>
            <w:tcW w:w="5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tcBorders>
              <w:right w:val="single" w:sz="8" w:color="auto"/>
            </w:tcBorders>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(9,673)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(9,673)</w:t>
            </w:r>
          </w:p>
        </w:tc>
        <w:tc>
          <w:tcPr>
            <w:tcW w:w="0" w:type="dxa"/>
            <w:vAlign w:val="bottom"/>
          </w:tcPr>
          <w:p>
            <w:pPr>
              <w:spacing w:after="0"/>
              <w:rPr>
                <w:sz w:val="1"/>
                <w:szCs w:val="1"/>
                <w:color w:val="auto"/>
              </w:rPr>
            </w:pPr>
          </w:p>
        </w:tc>
      </w:tr>
      <w:tr>
        <w:trPr>
          <w:trHeight w:val="115"/>
        </w:trPr>
        <w:tc>
          <w:tcPr>
            <w:tcW w:w="18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2020</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35,000,000</w:t>
            </w:r>
          </w:p>
        </w:tc>
        <w:tc>
          <w:tcPr>
            <w:tcW w:w="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34,992</w:t>
            </w: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26,143,790</w:t>
            </w: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right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b w:val="1"/>
                <w:bCs w:val="1"/>
                <w:color w:val="auto"/>
                <w:w w:val="89"/>
              </w:rPr>
              <w:t>$ 144,839</w:t>
            </w: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3"/>
              </w:rPr>
              <w:t>7,481,861</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217,131</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(70,000)</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(248,440)</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(101,284)</w:t>
            </w:r>
          </w:p>
        </w:tc>
        <w:tc>
          <w:tcPr>
            <w:tcW w:w="0" w:type="dxa"/>
            <w:vAlign w:val="bottom"/>
          </w:tcPr>
          <w:p>
            <w:pPr>
              <w:spacing w:after="0"/>
              <w:rPr>
                <w:sz w:val="1"/>
                <w:szCs w:val="1"/>
                <w:color w:val="auto"/>
              </w:rPr>
            </w:pPr>
          </w:p>
        </w:tc>
      </w:tr>
      <w:tr>
        <w:trPr>
          <w:trHeight w:val="118"/>
        </w:trPr>
        <w:tc>
          <w:tcPr>
            <w:tcW w:w="1840" w:type="dxa"/>
            <w:vAlign w:val="bottom"/>
          </w:tcPr>
          <w:p>
            <w:pPr>
              <w:spacing w:after="0" w:line="118" w:lineRule="exact"/>
              <w:rPr>
                <w:sz w:val="20"/>
                <w:szCs w:val="20"/>
                <w:color w:val="auto"/>
              </w:rPr>
            </w:pPr>
            <w:r>
              <w:rPr>
                <w:rFonts w:ascii="Arial" w:cs="Arial" w:eastAsia="Arial" w:hAnsi="Arial"/>
                <w:sz w:val="11"/>
                <w:szCs w:val="11"/>
                <w:color w:val="auto"/>
              </w:rPr>
              <w:t>Unrealized loss on short-term</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97</w:t>
            </w:r>
          </w:p>
        </w:tc>
        <w:tc>
          <w:tcPr>
            <w:tcW w:w="0" w:type="dxa"/>
            <w:vAlign w:val="bottom"/>
          </w:tcPr>
          <w:p>
            <w:pPr>
              <w:spacing w:after="0"/>
              <w:rPr>
                <w:sz w:val="1"/>
                <w:szCs w:val="1"/>
                <w:color w:val="auto"/>
              </w:rPr>
            </w:pPr>
          </w:p>
        </w:tc>
      </w:tr>
      <w:tr>
        <w:trPr>
          <w:trHeight w:val="124"/>
        </w:trPr>
        <w:tc>
          <w:tcPr>
            <w:tcW w:w="1840" w:type="dxa"/>
            <w:vAlign w:val="bottom"/>
          </w:tcPr>
          <w:p>
            <w:pPr>
              <w:spacing w:after="0" w:line="124" w:lineRule="exact"/>
              <w:rPr>
                <w:sz w:val="20"/>
                <w:szCs w:val="20"/>
                <w:color w:val="auto"/>
              </w:rPr>
            </w:pPr>
            <w:r>
              <w:rPr>
                <w:rFonts w:ascii="Arial" w:cs="Arial" w:eastAsia="Arial" w:hAnsi="Arial"/>
                <w:sz w:val="11"/>
                <w:szCs w:val="11"/>
                <w:color w:val="auto"/>
              </w:rPr>
              <w:t>investments</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tcBorders>
              <w:right w:val="single" w:sz="8" w:color="auto"/>
            </w:tcBorders>
          </w:tcPr>
          <w:p>
            <w:pPr>
              <w:jc w:val="right"/>
              <w:ind w:right="46"/>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4" w:lineRule="exact"/>
              <w:rPr>
                <w:sz w:val="20"/>
                <w:szCs w:val="20"/>
                <w:color w:val="auto"/>
              </w:rPr>
            </w:pPr>
            <w:r>
              <w:rPr>
                <w:rFonts w:ascii="Arial" w:cs="Arial" w:eastAsia="Arial" w:hAnsi="Arial"/>
                <w:sz w:val="11"/>
                <w:szCs w:val="11"/>
                <w:color w:val="auto"/>
              </w:rPr>
              <w:t>97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Stock based compensation</w:t>
            </w: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137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137</w:t>
            </w:r>
          </w:p>
        </w:tc>
        <w:tc>
          <w:tcPr>
            <w:tcW w:w="0" w:type="dxa"/>
            <w:vAlign w:val="bottom"/>
          </w:tcPr>
          <w:p>
            <w:pPr>
              <w:spacing w:after="0"/>
              <w:rPr>
                <w:sz w:val="1"/>
                <w:szCs w:val="1"/>
                <w:color w:val="auto"/>
              </w:rPr>
            </w:pPr>
          </w:p>
        </w:tc>
      </w:tr>
      <w:tr>
        <w:trPr>
          <w:trHeight w:val="121"/>
        </w:trPr>
        <w:tc>
          <w:tcPr>
            <w:tcW w:w="1840" w:type="dxa"/>
            <w:vAlign w:val="bottom"/>
          </w:tcPr>
          <w:p>
            <w:pPr>
              <w:spacing w:after="0" w:line="121" w:lineRule="exact"/>
              <w:rPr>
                <w:sz w:val="20"/>
                <w:szCs w:val="20"/>
                <w:color w:val="auto"/>
              </w:rPr>
            </w:pPr>
            <w:r>
              <w:rPr>
                <w:rFonts w:ascii="Arial" w:cs="Arial" w:eastAsia="Arial" w:hAnsi="Arial"/>
                <w:sz w:val="11"/>
                <w:szCs w:val="11"/>
                <w:color w:val="auto"/>
              </w:rPr>
              <w:t>Net loss</w:t>
            </w:r>
          </w:p>
        </w:tc>
        <w:tc>
          <w:tcPr>
            <w:tcW w:w="5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tcBorders>
              <w:right w:val="single" w:sz="8" w:color="auto"/>
            </w:tcBorders>
          </w:tcPr>
          <w:p>
            <w:pPr>
              <w:jc w:val="right"/>
              <w:ind w:right="46"/>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(15,301)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(15,301)</w:t>
            </w:r>
          </w:p>
        </w:tc>
        <w:tc>
          <w:tcPr>
            <w:tcW w:w="0" w:type="dxa"/>
            <w:vAlign w:val="bottom"/>
          </w:tcPr>
          <w:p>
            <w:pPr>
              <w:spacing w:after="0"/>
              <w:rPr>
                <w:sz w:val="1"/>
                <w:szCs w:val="1"/>
                <w:color w:val="auto"/>
              </w:rPr>
            </w:pPr>
          </w:p>
        </w:tc>
      </w:tr>
      <w:tr>
        <w:trPr>
          <w:trHeight w:val="115"/>
        </w:trPr>
        <w:tc>
          <w:tcPr>
            <w:tcW w:w="184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June 30, 2020</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35,000,000</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34,992</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26,143,790</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auto"/>
              <w:right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b w:val="1"/>
                <w:bCs w:val="1"/>
                <w:u w:val="single" w:color="auto"/>
                <w:color w:val="auto"/>
                <w:w w:val="89"/>
              </w:rPr>
              <w:t>$</w:t>
            </w:r>
            <w:r>
              <w:rPr>
                <w:rFonts w:ascii="Arial" w:cs="Arial" w:eastAsia="Arial" w:hAnsi="Arial"/>
                <w:sz w:val="11"/>
                <w:szCs w:val="11"/>
                <w:b w:val="1"/>
                <w:bCs w:val="1"/>
                <w:color w:val="auto"/>
                <w:w w:val="89"/>
              </w:rPr>
              <w:t xml:space="preserve"> 144,839</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3"/>
              </w:rPr>
              <w:t>7,481,861</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217,268</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(70,000)</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(263,741)</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121</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(116,351)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59880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88050" cy="17145"/>
                    </a:xfrm>
                    <a:prstGeom prst="rect">
                      <a:avLst/>
                    </a:prstGeom>
                    <a:noFill/>
                  </pic:spPr>
                </pic:pic>
              </a:graphicData>
            </a:graphic>
          </wp:anchor>
        </w:drawing>
      </w:r>
    </w:p>
    <w:p>
      <w:pPr>
        <w:sectPr>
          <w:pgSz w:w="11900" w:h="16838" w:orient="portrait"/>
          <w:cols w:equalWidth="0" w:num="1">
            <w:col w:w="9460"/>
          </w:cols>
          <w:pgMar w:left="1220" w:top="529" w:right="1219"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1500" w:right="2160"/>
        <w:spacing w:after="0" w:line="244" w:lineRule="auto"/>
        <w:rPr>
          <w:sz w:val="20"/>
          <w:szCs w:val="20"/>
          <w:color w:val="auto"/>
        </w:rPr>
      </w:pPr>
      <w:r>
        <w:rPr>
          <w:rFonts w:ascii="Arial" w:cs="Arial" w:eastAsia="Arial" w:hAnsi="Arial"/>
          <w:sz w:val="22"/>
          <w:szCs w:val="22"/>
          <w:b w:val="1"/>
          <w:bCs w:val="1"/>
          <w:color w:val="auto"/>
        </w:rPr>
        <w:t>CENTURY THERAPEUTICS, INC. CONDENSED STATEMENT OF CASH FLOWS (Unaudited)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color w:val="auto"/>
              </w:rPr>
              <w:t>Six Months Ended</w:t>
            </w:r>
          </w:p>
        </w:tc>
        <w:tc>
          <w:tcPr>
            <w:tcW w:w="1300" w:type="dxa"/>
            <w:vAlign w:val="bottom"/>
            <w:gridSpan w:val="3"/>
          </w:tcPr>
          <w:p>
            <w:pPr>
              <w:jc w:val="right"/>
              <w:ind w:right="100"/>
              <w:spacing w:after="0"/>
              <w:rPr>
                <w:sz w:val="20"/>
                <w:szCs w:val="20"/>
                <w:color w:val="auto"/>
              </w:rPr>
            </w:pPr>
            <w:r>
              <w:rPr>
                <w:rFonts w:ascii="Arial" w:cs="Arial" w:eastAsia="Arial" w:hAnsi="Arial"/>
                <w:sz w:val="14"/>
                <w:szCs w:val="14"/>
                <w:color w:val="auto"/>
              </w:rPr>
              <w:t>Six Months Ended</w:t>
            </w:r>
          </w:p>
        </w:tc>
      </w:tr>
      <w:tr>
        <w:trPr>
          <w:trHeight w:val="16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June 30, 2021</w:t>
            </w:r>
          </w:p>
        </w:tc>
        <w:tc>
          <w:tcPr>
            <w:tcW w:w="1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June 30, 2020</w:t>
            </w:r>
          </w:p>
        </w:tc>
      </w:tr>
      <w:tr>
        <w:trPr>
          <w:trHeight w:val="157"/>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3"/>
                <w:szCs w:val="13"/>
                <w:color w:val="auto"/>
              </w:rPr>
            </w:pPr>
          </w:p>
        </w:tc>
        <w:tc>
          <w:tcPr>
            <w:tcW w:w="11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(unaudited)</w:t>
            </w:r>
          </w:p>
        </w:tc>
      </w:tr>
      <w:tr>
        <w:trPr>
          <w:trHeight w:val="155"/>
        </w:trPr>
        <w:tc>
          <w:tcPr>
            <w:tcW w:w="62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161"/>
        </w:trPr>
        <w:tc>
          <w:tcPr>
            <w:tcW w:w="624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(41,621)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(24,974)</w:t>
            </w:r>
          </w:p>
        </w:tc>
      </w:tr>
      <w:tr>
        <w:trPr>
          <w:trHeight w:val="16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Adjustments to reconcile net loss to net cash used in operating activities:</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6240" w:type="dxa"/>
            <w:vAlign w:val="bottom"/>
          </w:tcPr>
          <w:p>
            <w:pPr>
              <w:ind w:left="220"/>
              <w:spacing w:after="0"/>
              <w:rPr>
                <w:sz w:val="20"/>
                <w:szCs w:val="20"/>
                <w:color w:val="auto"/>
              </w:rPr>
            </w:pPr>
            <w:r>
              <w:rPr>
                <w:rFonts w:ascii="Arial" w:cs="Arial" w:eastAsia="Arial" w:hAnsi="Arial"/>
                <w:sz w:val="14"/>
                <w:szCs w:val="14"/>
                <w:color w:val="auto"/>
              </w:rPr>
              <w:t>Write off of in-process research and development asset</w:t>
            </w:r>
          </w:p>
        </w:tc>
        <w:tc>
          <w:tcPr>
            <w:tcW w:w="18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4,722</w:t>
            </w:r>
          </w:p>
        </w:tc>
        <w:tc>
          <w:tcPr>
            <w:tcW w:w="60" w:type="dxa"/>
            <w:vAlign w:val="bottom"/>
          </w:tcPr>
          <w:p>
            <w:pPr>
              <w:spacing w:after="0"/>
              <w:rPr>
                <w:sz w:val="14"/>
                <w:szCs w:val="14"/>
                <w:color w:val="auto"/>
              </w:rPr>
            </w:pPr>
          </w:p>
        </w:tc>
      </w:tr>
      <w:tr>
        <w:trPr>
          <w:trHeight w:val="161"/>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60" w:type="dxa"/>
            <w:vAlign w:val="bottom"/>
            <w:shd w:val="clear" w:color="auto" w:fill="CCEEFF"/>
          </w:tcPr>
          <w:p>
            <w:pPr>
              <w:spacing w:after="0"/>
              <w:rPr>
                <w:sz w:val="14"/>
                <w:szCs w:val="14"/>
                <w:color w:val="auto"/>
              </w:rPr>
            </w:pPr>
          </w:p>
        </w:tc>
      </w:tr>
      <w:tr>
        <w:trPr>
          <w:trHeight w:val="161"/>
        </w:trPr>
        <w:tc>
          <w:tcPr>
            <w:tcW w:w="6240" w:type="dxa"/>
            <w:vAlign w:val="bottom"/>
          </w:tcPr>
          <w:p>
            <w:pPr>
              <w:ind w:left="220"/>
              <w:spacing w:after="0"/>
              <w:rPr>
                <w:sz w:val="20"/>
                <w:szCs w:val="20"/>
                <w:color w:val="auto"/>
              </w:rPr>
            </w:pPr>
            <w:r>
              <w:rPr>
                <w:rFonts w:ascii="Arial" w:cs="Arial" w:eastAsia="Arial" w:hAnsi="Arial"/>
                <w:sz w:val="14"/>
                <w:szCs w:val="14"/>
                <w:color w:val="auto"/>
              </w:rPr>
              <w:t>Amortization of deferred financing cost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1"/>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operating lease expense</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60" w:type="dxa"/>
            <w:vAlign w:val="bottom"/>
            <w:shd w:val="clear" w:color="auto" w:fill="CCEEFF"/>
          </w:tcPr>
          <w:p>
            <w:pPr>
              <w:spacing w:after="0"/>
              <w:rPr>
                <w:sz w:val="14"/>
                <w:szCs w:val="14"/>
                <w:color w:val="auto"/>
              </w:rPr>
            </w:pPr>
          </w:p>
        </w:tc>
      </w:tr>
      <w:tr>
        <w:trPr>
          <w:trHeight w:val="161"/>
        </w:trPr>
        <w:tc>
          <w:tcPr>
            <w:tcW w:w="6240" w:type="dxa"/>
            <w:vAlign w:val="bottom"/>
          </w:tcPr>
          <w:p>
            <w:pPr>
              <w:ind w:left="220"/>
              <w:spacing w:after="0"/>
              <w:rPr>
                <w:sz w:val="20"/>
                <w:szCs w:val="20"/>
                <w:color w:val="auto"/>
              </w:rPr>
            </w:pPr>
            <w:r>
              <w:rPr>
                <w:rFonts w:ascii="Arial" w:cs="Arial" w:eastAsia="Arial" w:hAnsi="Arial"/>
                <w:sz w:val="14"/>
                <w:szCs w:val="14"/>
                <w:color w:val="auto"/>
              </w:rPr>
              <w:t>Stock based compensation</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358</w:t>
            </w:r>
          </w:p>
        </w:tc>
        <w:tc>
          <w:tcPr>
            <w:tcW w:w="60" w:type="dxa"/>
            <w:vAlign w:val="bottom"/>
          </w:tcPr>
          <w:p>
            <w:pPr>
              <w:spacing w:after="0"/>
              <w:rPr>
                <w:sz w:val="14"/>
                <w:szCs w:val="14"/>
                <w:color w:val="auto"/>
              </w:rPr>
            </w:pPr>
          </w:p>
        </w:tc>
      </w:tr>
      <w:tr>
        <w:trPr>
          <w:trHeight w:val="16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Change in operating assets and liabilities:</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6240" w:type="dxa"/>
            <w:vAlign w:val="bottom"/>
          </w:tcPr>
          <w:p>
            <w:pPr>
              <w:ind w:left="240"/>
              <w:spacing w:after="0"/>
              <w:rPr>
                <w:sz w:val="20"/>
                <w:szCs w:val="20"/>
                <w:color w:val="auto"/>
              </w:rPr>
            </w:pPr>
            <w:r>
              <w:rPr>
                <w:rFonts w:ascii="Arial" w:cs="Arial" w:eastAsia="Arial" w:hAnsi="Arial"/>
                <w:sz w:val="14"/>
                <w:szCs w:val="14"/>
                <w:color w:val="auto"/>
              </w:rPr>
              <w:t>Escrow deposit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(1,506)</w:t>
            </w:r>
          </w:p>
        </w:tc>
      </w:tr>
      <w:tr>
        <w:trPr>
          <w:trHeight w:val="161"/>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(2,497)</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60" w:type="dxa"/>
            <w:vAlign w:val="bottom"/>
            <w:shd w:val="clear" w:color="auto" w:fill="CCEEFF"/>
          </w:tcPr>
          <w:p>
            <w:pPr>
              <w:spacing w:after="0"/>
              <w:rPr>
                <w:sz w:val="14"/>
                <w:szCs w:val="14"/>
                <w:color w:val="auto"/>
              </w:rPr>
            </w:pPr>
          </w:p>
        </w:tc>
      </w:tr>
      <w:tr>
        <w:trPr>
          <w:trHeight w:val="161"/>
        </w:trPr>
        <w:tc>
          <w:tcPr>
            <w:tcW w:w="6240" w:type="dxa"/>
            <w:vAlign w:val="bottom"/>
          </w:tcPr>
          <w:p>
            <w:pPr>
              <w:ind w:left="220"/>
              <w:spacing w:after="0"/>
              <w:rPr>
                <w:sz w:val="20"/>
                <w:szCs w:val="20"/>
                <w:color w:val="auto"/>
              </w:rPr>
            </w:pPr>
            <w:r>
              <w:rPr>
                <w:rFonts w:ascii="Arial" w:cs="Arial" w:eastAsia="Arial" w:hAnsi="Arial"/>
                <w:sz w:val="14"/>
                <w:szCs w:val="14"/>
                <w:color w:val="auto"/>
              </w:rPr>
              <w:t>Operating lease liability</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959</w:t>
            </w:r>
          </w:p>
        </w:tc>
        <w:tc>
          <w:tcPr>
            <w:tcW w:w="60" w:type="dxa"/>
            <w:vAlign w:val="bottom"/>
          </w:tcPr>
          <w:p>
            <w:pPr>
              <w:spacing w:after="0"/>
              <w:rPr>
                <w:sz w:val="14"/>
                <w:szCs w:val="14"/>
                <w:color w:val="auto"/>
              </w:rPr>
            </w:pPr>
          </w:p>
        </w:tc>
      </w:tr>
      <w:tr>
        <w:trPr>
          <w:trHeight w:val="161"/>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(3,562)</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60" w:type="dxa"/>
            <w:vAlign w:val="bottom"/>
            <w:shd w:val="clear" w:color="auto" w:fill="CCEEFF"/>
          </w:tcPr>
          <w:p>
            <w:pPr>
              <w:spacing w:after="0"/>
              <w:rPr>
                <w:sz w:val="14"/>
                <w:szCs w:val="14"/>
                <w:color w:val="auto"/>
              </w:rPr>
            </w:pPr>
          </w:p>
        </w:tc>
      </w:tr>
      <w:tr>
        <w:trPr>
          <w:trHeight w:val="161"/>
        </w:trPr>
        <w:tc>
          <w:tcPr>
            <w:tcW w:w="6240" w:type="dxa"/>
            <w:vAlign w:val="bottom"/>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2,295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(1,132)</w:t>
            </w:r>
          </w:p>
        </w:tc>
      </w:tr>
      <w:tr>
        <w:trPr>
          <w:trHeight w:val="155"/>
        </w:trPr>
        <w:tc>
          <w:tcPr>
            <w:tcW w:w="6240" w:type="dxa"/>
            <w:vAlign w:val="bottom"/>
            <w:tcBorders>
              <w:top w:val="single" w:sz="8" w:color="CCEEFF"/>
            </w:tcBorders>
            <w:shd w:val="clear" w:color="auto" w:fill="CCEEFF"/>
          </w:tcPr>
          <w:p>
            <w:pPr>
              <w:ind w:left="340"/>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(40,668)</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(18,824)</w:t>
            </w:r>
          </w:p>
        </w:tc>
        <w:tc>
          <w:tcPr>
            <w:tcW w:w="60" w:type="dxa"/>
            <w:vAlign w:val="bottom"/>
            <w:tcBorders>
              <w:top w:val="single" w:sz="8" w:color="CCEEFF"/>
            </w:tcBorders>
            <w:shd w:val="clear" w:color="auto" w:fill="CCEEFF"/>
          </w:tcPr>
          <w:p>
            <w:pPr>
              <w:spacing w:after="0"/>
              <w:rPr>
                <w:sz w:val="13"/>
                <w:szCs w:val="13"/>
                <w:color w:val="auto"/>
              </w:rPr>
            </w:pPr>
          </w:p>
        </w:tc>
      </w:tr>
      <w:tr>
        <w:trPr>
          <w:trHeight w:val="155"/>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1"/>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6240" w:type="dxa"/>
            <w:vAlign w:val="bottom"/>
          </w:tcPr>
          <w:p>
            <w:pPr>
              <w:ind w:left="120"/>
              <w:spacing w:after="0"/>
              <w:rPr>
                <w:sz w:val="20"/>
                <w:szCs w:val="20"/>
                <w:color w:val="auto"/>
              </w:rPr>
            </w:pPr>
            <w:r>
              <w:rPr>
                <w:rFonts w:ascii="Arial" w:cs="Arial" w:eastAsia="Arial" w:hAnsi="Arial"/>
                <w:sz w:val="14"/>
                <w:szCs w:val="14"/>
                <w:color w:val="auto"/>
              </w:rPr>
              <w:t>Acquisition of property and equipment</w:t>
            </w:r>
          </w:p>
        </w:tc>
        <w:tc>
          <w:tcPr>
            <w:tcW w:w="1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(12,513)</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(3,415)</w:t>
            </w:r>
          </w:p>
        </w:tc>
      </w:tr>
      <w:tr>
        <w:trPr>
          <w:trHeight w:val="16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fixed maturity securities, available for sale</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(142,069)</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(4,415)</w:t>
            </w:r>
          </w:p>
        </w:tc>
      </w:tr>
      <w:tr>
        <w:trPr>
          <w:trHeight w:val="161"/>
        </w:trPr>
        <w:tc>
          <w:tcPr>
            <w:tcW w:w="6240" w:type="dxa"/>
            <w:vAlign w:val="bottom"/>
          </w:tcPr>
          <w:p>
            <w:pPr>
              <w:ind w:left="120"/>
              <w:spacing w:after="0"/>
              <w:rPr>
                <w:sz w:val="20"/>
                <w:szCs w:val="20"/>
                <w:color w:val="auto"/>
              </w:rPr>
            </w:pPr>
            <w:r>
              <w:rPr>
                <w:rFonts w:ascii="Arial" w:cs="Arial" w:eastAsia="Arial" w:hAnsi="Arial"/>
                <w:sz w:val="14"/>
                <w:szCs w:val="14"/>
                <w:color w:val="auto"/>
              </w:rPr>
              <w:t>Asset acquisition, net of cash acquired</w:t>
            </w:r>
          </w:p>
        </w:tc>
        <w:tc>
          <w:tcPr>
            <w:tcW w:w="18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(4,722)</w:t>
            </w:r>
          </w:p>
        </w:tc>
      </w:tr>
      <w:tr>
        <w:trPr>
          <w:trHeight w:val="16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 of fixed maturity securities, available for sale</w:t>
            </w: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23,900</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10,100</w:t>
            </w:r>
          </w:p>
        </w:tc>
        <w:tc>
          <w:tcPr>
            <w:tcW w:w="60" w:type="dxa"/>
            <w:vAlign w:val="bottom"/>
            <w:shd w:val="clear" w:color="auto" w:fill="CCEEFF"/>
          </w:tcPr>
          <w:p>
            <w:pPr>
              <w:spacing w:after="0"/>
              <w:rPr>
                <w:sz w:val="14"/>
                <w:szCs w:val="14"/>
                <w:color w:val="auto"/>
              </w:rPr>
            </w:pPr>
          </w:p>
        </w:tc>
      </w:tr>
      <w:tr>
        <w:trPr>
          <w:trHeight w:val="155"/>
        </w:trPr>
        <w:tc>
          <w:tcPr>
            <w:tcW w:w="62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(130,682)</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(2,452)</w:t>
            </w:r>
          </w:p>
        </w:tc>
        <w:tc>
          <w:tcPr>
            <w:tcW w:w="60" w:type="dxa"/>
            <w:vAlign w:val="bottom"/>
            <w:tcBorders>
              <w:bottom w:val="single" w:sz="8" w:color="CCEEFF"/>
            </w:tcBorders>
          </w:tcPr>
          <w:p>
            <w:pPr>
              <w:spacing w:after="0"/>
              <w:rPr>
                <w:sz w:val="13"/>
                <w:szCs w:val="13"/>
                <w:color w:val="auto"/>
              </w:rPr>
            </w:pPr>
          </w:p>
        </w:tc>
      </w:tr>
      <w:tr>
        <w:trPr>
          <w:trHeight w:val="155"/>
        </w:trPr>
        <w:tc>
          <w:tcPr>
            <w:tcW w:w="6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1"/>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of deferred financing cost</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w:t>
            </w:r>
          </w:p>
        </w:tc>
      </w:tr>
      <w:tr>
        <w:trPr>
          <w:trHeight w:val="161"/>
        </w:trPr>
        <w:tc>
          <w:tcPr>
            <w:tcW w:w="6240" w:type="dxa"/>
            <w:vAlign w:val="bottom"/>
          </w:tcPr>
          <w:p>
            <w:pPr>
              <w:ind w:left="120"/>
              <w:spacing w:after="0"/>
              <w:rPr>
                <w:sz w:val="20"/>
                <w:szCs w:val="20"/>
                <w:color w:val="auto"/>
              </w:rPr>
            </w:pPr>
            <w:r>
              <w:rPr>
                <w:rFonts w:ascii="Arial" w:cs="Arial" w:eastAsia="Arial" w:hAnsi="Arial"/>
                <w:sz w:val="14"/>
                <w:szCs w:val="14"/>
                <w:color w:val="auto"/>
              </w:rPr>
              <w:t>Proceeds from initial public offering, net of underwriting discounts and commissions</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221,878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1"/>
        </w:trPr>
        <w:tc>
          <w:tcPr>
            <w:tcW w:w="6240" w:type="dxa"/>
            <w:vAlign w:val="bottom"/>
          </w:tcPr>
          <w:p>
            <w:pPr>
              <w:ind w:left="120"/>
              <w:spacing w:after="0"/>
              <w:rPr>
                <w:sz w:val="20"/>
                <w:szCs w:val="20"/>
                <w:color w:val="auto"/>
              </w:rPr>
            </w:pPr>
            <w:r>
              <w:rPr>
                <w:rFonts w:ascii="Arial" w:cs="Arial" w:eastAsia="Arial" w:hAnsi="Arial"/>
                <w:sz w:val="14"/>
                <w:szCs w:val="14"/>
                <w:color w:val="auto"/>
              </w:rPr>
              <w:t>Proceeds from early exercises of common stock options</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2,281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subscription receivable</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1"/>
        </w:trPr>
        <w:tc>
          <w:tcPr>
            <w:tcW w:w="6240" w:type="dxa"/>
            <w:vAlign w:val="bottom"/>
          </w:tcPr>
          <w:p>
            <w:pPr>
              <w:ind w:left="120"/>
              <w:spacing w:after="0"/>
              <w:rPr>
                <w:sz w:val="20"/>
                <w:szCs w:val="20"/>
                <w:color w:val="auto"/>
              </w:rPr>
            </w:pPr>
            <w:r>
              <w:rPr>
                <w:rFonts w:ascii="Arial" w:cs="Arial" w:eastAsia="Arial" w:hAnsi="Arial"/>
                <w:sz w:val="14"/>
                <w:szCs w:val="14"/>
                <w:color w:val="auto"/>
              </w:rPr>
              <w:t>Proceeds from issuance of Series C preferred stock, net of issuance costs</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159,628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contributed as a result of merger</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5"/>
        </w:trPr>
        <w:tc>
          <w:tcPr>
            <w:tcW w:w="62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418,134</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w:t>
            </w:r>
          </w:p>
        </w:tc>
        <w:tc>
          <w:tcPr>
            <w:tcW w:w="60" w:type="dxa"/>
            <w:vAlign w:val="bottom"/>
          </w:tcPr>
          <w:p>
            <w:pPr>
              <w:spacing w:after="0"/>
              <w:rPr>
                <w:sz w:val="13"/>
                <w:szCs w:val="13"/>
                <w:color w:val="auto"/>
              </w:rPr>
            </w:pPr>
          </w:p>
        </w:tc>
      </w:tr>
      <w:tr>
        <w:trPr>
          <w:trHeight w:val="161"/>
        </w:trPr>
        <w:tc>
          <w:tcPr>
            <w:tcW w:w="62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5"/>
        </w:trPr>
        <w:tc>
          <w:tcPr>
            <w:tcW w:w="624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1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246,784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(21,287)</w:t>
            </w:r>
          </w:p>
        </w:tc>
        <w:tc>
          <w:tcPr>
            <w:tcW w:w="60" w:type="dxa"/>
            <w:vAlign w:val="bottom"/>
          </w:tcPr>
          <w:p>
            <w:pPr>
              <w:spacing w:after="0"/>
              <w:rPr>
                <w:sz w:val="13"/>
                <w:szCs w:val="13"/>
                <w:color w:val="auto"/>
              </w:rPr>
            </w:pPr>
          </w:p>
        </w:tc>
      </w:tr>
      <w:tr>
        <w:trPr>
          <w:trHeight w:val="161"/>
        </w:trPr>
        <w:tc>
          <w:tcPr>
            <w:tcW w:w="6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27,728</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44,064</w:t>
            </w:r>
          </w:p>
        </w:tc>
        <w:tc>
          <w:tcPr>
            <w:tcW w:w="60" w:type="dxa"/>
            <w:vAlign w:val="bottom"/>
            <w:tcBorders>
              <w:bottom w:val="single" w:sz="8" w:color="CCEEFF"/>
            </w:tcBorders>
          </w:tcPr>
          <w:p>
            <w:pPr>
              <w:spacing w:after="0"/>
              <w:rPr>
                <w:sz w:val="14"/>
                <w:szCs w:val="14"/>
                <w:color w:val="auto"/>
              </w:rPr>
            </w:pPr>
          </w:p>
        </w:tc>
      </w:tr>
      <w:tr>
        <w:trPr>
          <w:trHeight w:val="155"/>
        </w:trPr>
        <w:tc>
          <w:tcPr>
            <w:tcW w:w="6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01"/>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274,512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22,777</w:t>
            </w:r>
          </w:p>
        </w:tc>
        <w:tc>
          <w:tcPr>
            <w:tcW w:w="60" w:type="dxa"/>
            <w:vAlign w:val="bottom"/>
            <w:tcBorders>
              <w:bottom w:val="single" w:sz="8" w:color="CCEEFF"/>
            </w:tcBorders>
          </w:tcPr>
          <w:p>
            <w:pPr>
              <w:spacing w:after="0"/>
              <w:rPr>
                <w:sz w:val="17"/>
                <w:szCs w:val="17"/>
                <w:color w:val="auto"/>
              </w:rPr>
            </w:pPr>
          </w:p>
        </w:tc>
      </w:tr>
      <w:tr>
        <w:trPr>
          <w:trHeight w:val="142"/>
        </w:trPr>
        <w:tc>
          <w:tcPr>
            <w:tcW w:w="6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1"/>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6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paid for interest</w:t>
            </w:r>
          </w:p>
        </w:tc>
        <w:tc>
          <w:tcPr>
            <w:tcW w:w="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42"/>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1"/>
        </w:trPr>
        <w:tc>
          <w:tcPr>
            <w:tcW w:w="6240" w:type="dxa"/>
            <w:vAlign w:val="bottom"/>
          </w:tcPr>
          <w:p>
            <w:pPr>
              <w:ind w:left="160"/>
              <w:spacing w:after="0"/>
              <w:rPr>
                <w:sz w:val="20"/>
                <w:szCs w:val="20"/>
                <w:color w:val="auto"/>
              </w:rPr>
            </w:pPr>
            <w:r>
              <w:rPr>
                <w:rFonts w:ascii="Arial" w:cs="Arial" w:eastAsia="Arial" w:hAnsi="Arial"/>
                <w:sz w:val="14"/>
                <w:szCs w:val="14"/>
                <w:color w:val="auto"/>
              </w:rPr>
              <w:t>Conversion of convertible preferred stock upon initial public offering</w:t>
            </w: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339,388</w:t>
            </w:r>
          </w:p>
        </w:tc>
        <w:tc>
          <w:tcPr>
            <w:tcW w:w="16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r>
      <w:tr>
        <w:trPr>
          <w:trHeight w:val="142"/>
        </w:trPr>
        <w:tc>
          <w:tcPr>
            <w:tcW w:w="624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Purchase of property and equipment, accrued and unpaid</w:t>
            </w: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8,214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42"/>
        </w:trPr>
        <w:tc>
          <w:tcPr>
            <w:tcW w:w="6240" w:type="dxa"/>
            <w:vAlign w:val="bottom"/>
          </w:tcPr>
          <w:p>
            <w:pPr>
              <w:ind w:left="120"/>
              <w:spacing w:after="0" w:line="142" w:lineRule="exact"/>
              <w:rPr>
                <w:sz w:val="20"/>
                <w:szCs w:val="20"/>
                <w:color w:val="auto"/>
              </w:rPr>
            </w:pPr>
            <w:r>
              <w:rPr>
                <w:rFonts w:ascii="Arial" w:cs="Arial" w:eastAsia="Arial" w:hAnsi="Arial"/>
                <w:sz w:val="14"/>
                <w:szCs w:val="14"/>
                <w:color w:val="auto"/>
              </w:rPr>
              <w:t>Deferred offering cost, accrued and unpaid</w:t>
            </w: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693</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1—Organization and description of the business</w:t>
      </w:r>
    </w:p>
    <w:p>
      <w:pPr>
        <w:spacing w:after="0" w:line="170" w:lineRule="exact"/>
        <w:rPr>
          <w:sz w:val="20"/>
          <w:szCs w:val="20"/>
          <w:color w:val="auto"/>
        </w:rPr>
      </w:pPr>
    </w:p>
    <w:p>
      <w:pPr>
        <w:ind w:left="60" w:right="139"/>
        <w:spacing w:after="0" w:line="227" w:lineRule="auto"/>
        <w:rPr>
          <w:sz w:val="20"/>
          <w:szCs w:val="20"/>
          <w:color w:val="auto"/>
        </w:rPr>
      </w:pPr>
      <w:r>
        <w:rPr>
          <w:rFonts w:ascii="Arial" w:cs="Arial" w:eastAsia="Arial" w:hAnsi="Arial"/>
          <w:sz w:val="18"/>
          <w:szCs w:val="18"/>
          <w:color w:val="auto"/>
        </w:rPr>
        <w:t>The Company (as defined below) is an innovative biotechnology company developing transformative allogeneic cell therapies to create products for the treatment of both solid tumor and hematological malignancies with significant unmet medical need. The Company’s vision is to become a premier cell therapy company by developing and ultimately commercializing allogeneic cell therapies that dramatically and positively transform the lives of patients suffering from life-threatening cancers. The Company has created a comprehensive allogeneic cell therapy platform that includes industry-leading induced pluripotent stem cell (“IPSC”) differentiation know-how to generate immune effector cells from iPSCs, clustered regularly interspaced short palindromic repeats (“CRISPR”) mediated precision gene editing that allows the Company to incorporate multiple transgenes and remove target genes intended to optimize cell product performance, sophisticated protein engineering capabilities to develop proprietary next generation chimeric antigen receptors,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to prevent rejection of its cell products by the host immune system, and cutting edge manufacturing capabilities intended to minimize product development and supply risk. To achieve the Company’s vision, the Company has assembled a world-class team whose members collectively have decades of experience in cell therapy and drug development, manufacturing, and commercialization.</w:t>
      </w:r>
    </w:p>
    <w:p>
      <w:pPr>
        <w:spacing w:after="0" w:line="14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Century Therapeutics, Inc. (“Prior Century”), was incorporated in the state of Delaware on March 5, 2018. Since inception, Prior Century has devoted substantially all of its time and efforts to performing research and development activities and raising capital.</w:t>
      </w:r>
    </w:p>
    <w:p>
      <w:pPr>
        <w:spacing w:after="0" w:line="122"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On June 5, 2019, Century Therapeutics, LLC (the “Company”)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had no significant operations and accounted for its interest in the Company under the equity method of accounting.</w:t>
      </w:r>
    </w:p>
    <w:p>
      <w:pPr>
        <w:spacing w:after="0" w:line="139" w:lineRule="exact"/>
        <w:rPr>
          <w:sz w:val="20"/>
          <w:szCs w:val="20"/>
          <w:color w:val="auto"/>
        </w:rPr>
      </w:pPr>
    </w:p>
    <w:p>
      <w:pPr>
        <w:ind w:left="60" w:right="379"/>
        <w:spacing w:after="0" w:line="244" w:lineRule="auto"/>
        <w:rPr>
          <w:sz w:val="20"/>
          <w:szCs w:val="20"/>
          <w:color w:val="auto"/>
        </w:rPr>
      </w:pPr>
      <w:r>
        <w:rPr>
          <w:rFonts w:ascii="Arial" w:cs="Arial" w:eastAsia="Arial" w:hAnsi="Arial"/>
          <w:sz w:val="18"/>
          <w:szCs w:val="18"/>
          <w:color w:val="auto"/>
        </w:rPr>
        <w:t>In June 2020, the Company formed Century Therapeutics Canada ULC (“Century Canada”), a wholly owned subsidiary, to acquire the assets of Empirica Therapeutics, Inc. (“Empirica”).</w:t>
      </w:r>
    </w:p>
    <w:p>
      <w:pPr>
        <w:spacing w:after="0" w:line="131"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121" w:lineRule="exact"/>
        <w:rPr>
          <w:sz w:val="20"/>
          <w:szCs w:val="20"/>
          <w:color w:val="auto"/>
        </w:rPr>
      </w:pPr>
    </w:p>
    <w:p>
      <w:pPr>
        <w:ind w:left="60" w:right="239"/>
        <w:spacing w:after="0" w:line="252" w:lineRule="auto"/>
        <w:rPr>
          <w:sz w:val="20"/>
          <w:szCs w:val="20"/>
          <w:color w:val="auto"/>
        </w:rPr>
      </w:pPr>
      <w:r>
        <w:rPr>
          <w:rFonts w:ascii="Arial" w:cs="Arial" w:eastAsia="Arial" w:hAnsi="Arial"/>
          <w:sz w:val="17"/>
          <w:szCs w:val="17"/>
          <w:color w:val="auto"/>
        </w:rPr>
        <w:t>On June 22, 2021, the Company completed its initial public offering (“IPO”) of 10,550,000 shares of Common Stock. On June 22, 2021, the Company sold an additional 1,582,500 shares of Common Stock from the exercise of the overallotment option granted to the underwriters in the IPO. The public offering price of the shares sold in the IPO was $20.00 per share. The Company raised a total of $242,650 in gross proceeds from the offering, or $221,185 in net proceeds after deducting underwriting discounts and commissions of $16,985 and other offering costs of approximately $4,480. Upon the closing of the offering, all shares of the Company’s redeemable convertible preferred stock automatically converted into 34,126,528 shares of common stock.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201" w:lineRule="exact"/>
        <w:rPr>
          <w:sz w:val="20"/>
          <w:szCs w:val="20"/>
          <w:color w:val="auto"/>
        </w:rPr>
      </w:pPr>
    </w:p>
    <w:p>
      <w:pPr>
        <w:ind w:left="60" w:right="439"/>
        <w:spacing w:after="0" w:line="239"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01"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7"/>
          <w:szCs w:val="17"/>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w:t>
      </w:r>
    </w:p>
    <w:p>
      <w:pPr>
        <w:spacing w:after="0" w:line="2" w:lineRule="exact"/>
        <w:rPr>
          <w:sz w:val="20"/>
          <w:szCs w:val="20"/>
          <w:color w:val="auto"/>
        </w:rPr>
      </w:pPr>
    </w:p>
    <w:p>
      <w:pPr>
        <w:ind w:left="60" w:right="919"/>
        <w:spacing w:after="0" w:line="244" w:lineRule="auto"/>
        <w:rPr>
          <w:sz w:val="20"/>
          <w:szCs w:val="20"/>
          <w:color w:val="auto"/>
        </w:rPr>
      </w:pPr>
      <w:r>
        <w:rPr>
          <w:rFonts w:ascii="Arial" w:cs="Arial" w:eastAsia="Arial" w:hAnsi="Arial"/>
          <w:sz w:val="18"/>
          <w:szCs w:val="18"/>
          <w:color w:val="auto"/>
        </w:rPr>
        <w:t>These risks include, but are not limited to, the uncertainty of availability of additional financing and the uncertainty of achieving future profitability.</w:t>
      </w:r>
    </w:p>
    <w:p>
      <w:pPr>
        <w:spacing w:after="0" w:line="11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Since inception, the Company has incurred net losses and negative cash flows from operations. During the three and six months ended June 30, 2021, the Company incurred a net loss of $23,273 and $41,621 respectively and for the six months ended June 30, 2021, used $ 40,668 of cash for operations. Cash and cash equivalents and short and long-term investments were $440,041 at June 30, 2021. Management expects to incur additional losses in the future to fund its operations and conduct product research and development and recognizes the need to raise additional capital to fully implement its business plan. The Company believes it has adequate cash and financial resources to operate for at-least the next 12 months from the date of issuance of these consolidated financial statements.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2—Summary of significant accounting policies and basis of presentation</w:t>
      </w:r>
    </w:p>
    <w:p>
      <w:pPr>
        <w:spacing w:after="0" w:line="17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2020, included in the Company’s final prospectus that forms part of the Company’s Registration Statement on Form S-1 (Reg. No. 333-256648) and filed with the SEC pursuant to Rule 424(b)(4) on June 21, 2021. Since the date of those financial statements, there have been no changes to its significant accounting policies.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188"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(“GAAP”) for interim financial information and with the interim period reporting requirements of Form 10-Q and Article 10 of Regulation S-X. The consolidated balance sheet as of June 30, 2021, the consolidated statements of operations and comprehensive loss, and consolidated statements of convertible preferred stock and stockholders’ equity (deficit) for the three and six months ended June 30, 2021 and 2020, and the consolidated statements of cash flows for the six months ended June 30, 2021 and 2020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2021 or for any other subsequent interim period. The consolidated balance sheet at December 31, 2020 has been derived from our audited consolidated financial statements.</w:t>
      </w: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and capital restructuring</w:t>
      </w:r>
    </w:p>
    <w:p>
      <w:pPr>
        <w:spacing w:after="0" w:line="201"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Upon the conversion of Century Therapeutics, LLC to a corporation and the merger of the newly converted corporation with Prior Century, the existing capital structure of Century Therapeutics, LLC was restructured with no consideration transferred. In accordance with ASC 505-10-S99-4, such a restructuring requires retroactive effect within the balance sheets presented. As such, the Company retroactively adjusted its consolidated balance sheets to cancel the existing LLC units and give effect to their conversion into capital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stock of the Company as if those effects happened as of January 1, 2020. See Note 10 for further information on the Company’s capital restructuring.</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Stock Split</w:t>
      </w:r>
    </w:p>
    <w:p>
      <w:pPr>
        <w:spacing w:after="0" w:line="18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June 2021, the Company’s Board of Directors approved an amendment to the Company’s amended and restated certificate of incorporation to effect a 2.5161-for-1 reverse stock split of the Company’s common stock, which was effected on June 11, 2021. Stockholders entitled to fractional shares as a result of the reverse stock split will receive a cash payment in lieu of receiving fractional shares. The par value of the common stock was not adjusted as a result of the reverse stock split.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the convertible preferred stock were proportionately reduced and the respective conversion prices were proportionately increased. All common share and per share data have been retrospectively revised to reflect the reverse stock split.</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201"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188" w:lineRule="exact"/>
        <w:rPr>
          <w:sz w:val="20"/>
          <w:szCs w:val="20"/>
          <w:color w:val="auto"/>
        </w:rPr>
      </w:pPr>
    </w:p>
    <w:p>
      <w:pPr>
        <w:ind w:left="60" w:right="319"/>
        <w:spacing w:after="0" w:line="236"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88"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June 30, 2021 and December 31, 2020, the Company has not experienced any losses on its deposits of cash and cash equivalents.</w:t>
      </w:r>
    </w:p>
    <w:p>
      <w:pPr>
        <w:spacing w:after="0" w:line="16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75" w:lineRule="exact"/>
        <w:rPr>
          <w:sz w:val="20"/>
          <w:szCs w:val="20"/>
          <w:color w:val="auto"/>
        </w:rPr>
      </w:pPr>
    </w:p>
    <w:p>
      <w:pPr>
        <w:ind w:left="60" w:right="199"/>
        <w:spacing w:after="0" w:line="256" w:lineRule="auto"/>
        <w:rPr>
          <w:sz w:val="20"/>
          <w:szCs w:val="20"/>
          <w:color w:val="auto"/>
        </w:rPr>
      </w:pPr>
      <w:r>
        <w:rPr>
          <w:rFonts w:ascii="Arial" w:cs="Arial" w:eastAsia="Arial" w:hAnsi="Arial"/>
          <w:sz w:val="17"/>
          <w:szCs w:val="17"/>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Vaccines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has not reached the level required for herd immunity. Certain variants of COVID-19, such as the delta variant, are proving to be more easily spread than earlier variants. The continued low vaccination rate, and the emergence of new variants which could prove resistant to existing vaccines could again result in major disruptions to businesses and markets worldwide. The Company continues to monitor the impact of the COVID-19 outbreak closely. The extent to which the COVID-19 outbreak will impact its operations or financial results is uncertain.</w:t>
      </w: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88" w:lineRule="exact"/>
        <w:rPr>
          <w:sz w:val="20"/>
          <w:szCs w:val="20"/>
          <w:color w:val="auto"/>
        </w:rPr>
      </w:pPr>
    </w:p>
    <w:p>
      <w:pPr>
        <w:ind w:left="60" w:right="259"/>
        <w:spacing w:after="0" w:line="252" w:lineRule="auto"/>
        <w:rPr>
          <w:sz w:val="20"/>
          <w:szCs w:val="20"/>
          <w:color w:val="auto"/>
        </w:rPr>
      </w:pPr>
      <w:r>
        <w:rPr>
          <w:rFonts w:ascii="Arial" w:cs="Arial" w:eastAsia="Arial" w:hAnsi="Arial"/>
          <w:sz w:val="17"/>
          <w:szCs w:val="17"/>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64" w:lineRule="exact"/>
        <w:rPr>
          <w:sz w:val="20"/>
          <w:szCs w:val="20"/>
          <w:color w:val="auto"/>
        </w:rPr>
      </w:pPr>
    </w:p>
    <w:p>
      <w:pPr>
        <w:ind w:left="700" w:right="379" w:hanging="645"/>
        <w:spacing w:after="0" w:line="244"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58" w:lineRule="exact"/>
        <w:rPr>
          <w:sz w:val="20"/>
          <w:szCs w:val="20"/>
          <w:color w:val="auto"/>
        </w:rPr>
      </w:pPr>
    </w:p>
    <w:p>
      <w:pPr>
        <w:ind w:left="700" w:right="319" w:hanging="645"/>
        <w:spacing w:after="0" w:line="244"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58" w:lineRule="exact"/>
        <w:rPr>
          <w:sz w:val="20"/>
          <w:szCs w:val="20"/>
          <w:color w:val="auto"/>
        </w:rPr>
      </w:pPr>
    </w:p>
    <w:p>
      <w:pPr>
        <w:ind w:left="700" w:right="259" w:hanging="645"/>
        <w:spacing w:after="0" w:line="244"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58"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188"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188"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As of June 30, 2021 and December 31, 2020, the Company had $2,235 and $517 in cash on deposit to secure certain lease commitments. Restricted cash is recorded separately in the Company’s consolidated balance sheets.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The following provides a reconciliation of the Company’s cash, cash equivalents, and restricted cash as reported in the consolidated balance sheets to the amounts reported in the consolidated statements of cash flows: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June 30, 2021   December 31, 2020</w:t>
            </w:r>
          </w:p>
        </w:tc>
      </w:tr>
      <w:tr>
        <w:trPr>
          <w:trHeight w:val="195"/>
        </w:trPr>
        <w:tc>
          <w:tcPr>
            <w:tcW w:w="624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272,277</w:t>
            </w:r>
          </w:p>
        </w:tc>
        <w:tc>
          <w:tcPr>
            <w:tcW w:w="1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30"/>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27,211</w:t>
            </w:r>
          </w:p>
        </w:tc>
      </w:tr>
      <w:tr>
        <w:trPr>
          <w:trHeight w:val="202"/>
        </w:trPr>
        <w:tc>
          <w:tcPr>
            <w:tcW w:w="624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2,235</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517</w:t>
            </w:r>
          </w:p>
        </w:tc>
      </w:tr>
      <w:tr>
        <w:trPr>
          <w:trHeight w:val="195"/>
        </w:trPr>
        <w:tc>
          <w:tcPr>
            <w:tcW w:w="624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Cash, cash equivalents, and restricted cash</w:t>
            </w:r>
          </w:p>
        </w:tc>
        <w:tc>
          <w:tcPr>
            <w:tcW w:w="1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274,512</w:t>
            </w: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30"/>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27,728</w:t>
            </w: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Fixed maturity securities</w:t>
      </w:r>
    </w:p>
    <w:p>
      <w:pPr>
        <w:spacing w:after="0" w:line="201"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8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74" w:lineRule="exact"/>
        <w:rPr>
          <w:sz w:val="20"/>
          <w:szCs w:val="20"/>
          <w:color w:val="auto"/>
        </w:rPr>
      </w:pPr>
    </w:p>
    <w:p>
      <w:pPr>
        <w:jc w:val="both"/>
        <w:ind w:left="60" w:right="279"/>
        <w:spacing w:after="0" w:line="260"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18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 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three and six months ended June 30, 2021 and 2020.</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exercised options</w:t>
      </w:r>
    </w:p>
    <w:p>
      <w:pPr>
        <w:spacing w:after="0" w:line="188"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The Company allowed certain of its employees and its consultants to exercise options granted under the 2018 Plan (Note 15) prior to vesting.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convertible preferred stock and stockholders’ equity (deficit) until the awards vest. The deposits received are initially recorded in deposit liability. The liabilities are reclassified to common stock and additional paid-in-capital as the repurchase right lapses. At June 30, 2021, $3,234 was recorded in deposit liability related to shares held by employees and nonemployees that were subject to repurchase. At December 31, 2020, there was no deposit liability as the initial deposit liability was recognized on February 25, 2021 when the merger discussed in Note 2 occurred.</w:t>
      </w:r>
    </w:p>
    <w:p>
      <w:pPr>
        <w:spacing w:after="0" w:line="179" w:lineRule="exact"/>
        <w:rPr>
          <w:sz w:val="20"/>
          <w:szCs w:val="20"/>
          <w:color w:val="auto"/>
        </w:rPr>
      </w:pPr>
    </w:p>
    <w:p>
      <w:pPr>
        <w:jc w:val="both"/>
        <w:ind w:left="60" w:right="199"/>
        <w:spacing w:after="0" w:line="239" w:lineRule="auto"/>
        <w:rPr>
          <w:sz w:val="20"/>
          <w:szCs w:val="20"/>
          <w:color w:val="auto"/>
        </w:rPr>
      </w:pPr>
      <w:r>
        <w:rPr>
          <w:rFonts w:ascii="Arial" w:cs="Arial" w:eastAsia="Arial" w:hAnsi="Arial"/>
          <w:sz w:val="18"/>
          <w:szCs w:val="18"/>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231F20"/>
              </w:rPr>
              <w:t>June 30, 2021</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December 31, 2020</w:t>
            </w:r>
          </w:p>
        </w:tc>
      </w:tr>
      <w:tr>
        <w:trPr>
          <w:trHeight w:val="195"/>
        </w:trPr>
        <w:tc>
          <w:tcPr>
            <w:tcW w:w="608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Total shares legally outstanding</w:t>
            </w:r>
          </w:p>
        </w:tc>
        <w:tc>
          <w:tcPr>
            <w:tcW w:w="1180" w:type="dxa"/>
            <w:vAlign w:val="bottom"/>
            <w:tcBorders>
              <w:top w:val="single" w:sz="8" w:color="231F20"/>
            </w:tcBorders>
            <w:shd w:val="clear" w:color="auto" w:fill="CCEEFF"/>
          </w:tcPr>
          <w:p>
            <w:pPr>
              <w:jc w:val="right"/>
              <w:spacing w:after="0" w:line="195" w:lineRule="exact"/>
              <w:rPr>
                <w:sz w:val="20"/>
                <w:szCs w:val="20"/>
                <w:color w:val="auto"/>
              </w:rPr>
            </w:pPr>
            <w:r>
              <w:rPr>
                <w:rFonts w:ascii="Arial" w:cs="Arial" w:eastAsia="Arial" w:hAnsi="Arial"/>
                <w:sz w:val="18"/>
                <w:szCs w:val="18"/>
                <w:color w:val="231F20"/>
              </w:rPr>
              <w:t>56,437,204</w:t>
            </w:r>
          </w:p>
        </w:tc>
        <w:tc>
          <w:tcPr>
            <w:tcW w:w="18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231F20"/>
            </w:tcBorders>
            <w:shd w:val="clear" w:color="auto" w:fill="CCEEFF"/>
          </w:tcPr>
          <w:p>
            <w:pPr>
              <w:jc w:val="right"/>
              <w:spacing w:after="0" w:line="195" w:lineRule="exact"/>
              <w:rPr>
                <w:sz w:val="20"/>
                <w:szCs w:val="20"/>
                <w:color w:val="auto"/>
              </w:rPr>
            </w:pPr>
            <w:r>
              <w:rPr>
                <w:rFonts w:ascii="Arial" w:cs="Arial" w:eastAsia="Arial" w:hAnsi="Arial"/>
                <w:sz w:val="18"/>
                <w:szCs w:val="18"/>
                <w:color w:val="231F20"/>
              </w:rPr>
              <w:t>8,865,992</w:t>
            </w:r>
          </w:p>
        </w:tc>
      </w:tr>
      <w:tr>
        <w:trPr>
          <w:trHeight w:val="202"/>
        </w:trPr>
        <w:tc>
          <w:tcPr>
            <w:tcW w:w="6080" w:type="dxa"/>
            <w:vAlign w:val="bottom"/>
          </w:tcPr>
          <w:p>
            <w:pPr>
              <w:ind w:left="20"/>
              <w:spacing w:after="0" w:line="201" w:lineRule="exact"/>
              <w:rPr>
                <w:sz w:val="20"/>
                <w:szCs w:val="20"/>
                <w:color w:val="auto"/>
              </w:rPr>
            </w:pPr>
            <w:r>
              <w:rPr>
                <w:rFonts w:ascii="Arial" w:cs="Arial" w:eastAsia="Arial" w:hAnsi="Arial"/>
                <w:sz w:val="18"/>
                <w:szCs w:val="18"/>
                <w:color w:val="auto"/>
              </w:rPr>
              <w:t>Less: unvested early exercised shares</w:t>
            </w:r>
          </w:p>
        </w:tc>
        <w:tc>
          <w:tcPr>
            <w:tcW w:w="13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231F20"/>
              </w:rPr>
              <w:t>(1,161,937)</w:t>
            </w:r>
          </w:p>
        </w:tc>
        <w:tc>
          <w:tcPr>
            <w:tcW w:w="1480" w:type="dxa"/>
            <w:vAlign w:val="bottom"/>
          </w:tcPr>
          <w:p>
            <w:pPr>
              <w:jc w:val="right"/>
              <w:spacing w:after="0" w:line="201" w:lineRule="exact"/>
              <w:rPr>
                <w:sz w:val="20"/>
                <w:szCs w:val="20"/>
                <w:color w:val="auto"/>
              </w:rPr>
            </w:pPr>
            <w:r>
              <w:rPr>
                <w:rFonts w:ascii="Arial" w:cs="Arial" w:eastAsia="Arial" w:hAnsi="Arial"/>
                <w:sz w:val="18"/>
                <w:szCs w:val="18"/>
                <w:color w:val="231F20"/>
              </w:rPr>
              <w:t>(330,629)</w:t>
            </w:r>
          </w:p>
        </w:tc>
      </w:tr>
      <w:tr>
        <w:trPr>
          <w:trHeight w:val="202"/>
        </w:trPr>
        <w:tc>
          <w:tcPr>
            <w:tcW w:w="6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Less: unvested restricted stock</w:t>
            </w:r>
          </w:p>
        </w:tc>
        <w:tc>
          <w:tcPr>
            <w:tcW w:w="13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231F20"/>
              </w:rPr>
              <w:t>(871,176)</w:t>
            </w:r>
          </w:p>
        </w:tc>
        <w:tc>
          <w:tcPr>
            <w:tcW w:w="1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231F20"/>
              </w:rPr>
              <w:t>(1,053,502)</w:t>
            </w:r>
          </w:p>
        </w:tc>
      </w:tr>
      <w:tr>
        <w:trPr>
          <w:trHeight w:val="195"/>
        </w:trPr>
        <w:tc>
          <w:tcPr>
            <w:tcW w:w="6080" w:type="dxa"/>
            <w:vAlign w:val="bottom"/>
          </w:tcPr>
          <w:p>
            <w:pPr>
              <w:ind w:left="20"/>
              <w:spacing w:after="0" w:line="195" w:lineRule="exact"/>
              <w:rPr>
                <w:sz w:val="20"/>
                <w:szCs w:val="20"/>
                <w:color w:val="auto"/>
              </w:rPr>
            </w:pPr>
            <w:r>
              <w:rPr>
                <w:rFonts w:ascii="Arial" w:cs="Arial" w:eastAsia="Arial" w:hAnsi="Arial"/>
                <w:sz w:val="18"/>
                <w:szCs w:val="18"/>
                <w:color w:val="auto"/>
              </w:rPr>
              <w:t>Total shares issued and outstanding</w:t>
            </w:r>
          </w:p>
        </w:tc>
        <w:tc>
          <w:tcPr>
            <w:tcW w:w="11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231F20"/>
              </w:rPr>
              <w:t>54,404,091</w:t>
            </w:r>
          </w:p>
        </w:tc>
        <w:tc>
          <w:tcPr>
            <w:tcW w:w="18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231F20"/>
              </w:rPr>
              <w:t>7,481,861</w:t>
            </w:r>
          </w:p>
        </w:tc>
      </w:tr>
      <w:tr>
        <w:trPr>
          <w:trHeight w:val="20"/>
        </w:trPr>
        <w:tc>
          <w:tcPr>
            <w:tcW w:w="6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18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2018, the Company issued 1,704,256 restricted stock awards at a purchase price of $0.03 per share. In 2019, the Company issued 850,312 restricted stock awards at a weighted average purchase price of $0.70 per share. In October 2019, the Company repurchased 298,080 shares at $ 1.03 per share. In 2021, the Company issued 98,936 restricted stock awards. As of June 30, 2021, the number of restricted stock awards vested were 1,484,246. For accounting purposes, unvested restricted stock awards are not considered issued and outstanding and therefore are not reflected as issued and outstanding in the accompanying consolidated balance sheets or the consolidated statements of changes in convertible preferred stock and stockholders’ equity (deficit) until the awards vest. The Company recorded stock-based compensation expense for these awards of $89 and $128, respectively, for the three and six months ended June 30, 2021, in the statements of operations and comprehensive loss. The Company recorded stock-based compensation expense for these awards of $39 and $78, respectively, for the three and six months ended June 30, 2020, in the statements of operations and comprehensive loss.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August 2020, the FASB issued ASU 2020-06, Debt—Debt with Conversion and Other Options (Subtopic 470-</w:t>
      </w:r>
    </w:p>
    <w:p>
      <w:pPr>
        <w:ind w:left="60" w:right="139" w:hanging="10"/>
        <w:spacing w:after="0" w:line="247" w:lineRule="auto"/>
        <w:tabs>
          <w:tab w:leader="none" w:pos="369" w:val="left"/>
        </w:tabs>
        <w:numPr>
          <w:ilvl w:val="0"/>
          <w:numId w:val="7"/>
        </w:numPr>
        <w:rPr>
          <w:rFonts w:ascii="Arial" w:cs="Arial" w:eastAsia="Arial" w:hAnsi="Arial"/>
          <w:sz w:val="17"/>
          <w:szCs w:val="17"/>
          <w:color w:val="auto"/>
        </w:rPr>
      </w:pPr>
      <w:r>
        <w:rPr>
          <w:rFonts w:ascii="Arial" w:cs="Arial" w:eastAsia="Arial" w:hAnsi="Arial"/>
          <w:sz w:val="17"/>
          <w:szCs w:val="17"/>
          <w:color w:val="auto"/>
        </w:rPr>
        <w:t>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 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w:t>
      </w:r>
    </w:p>
    <w:p>
      <w:pPr>
        <w:spacing w:after="0" w:line="4" w:lineRule="exact"/>
        <w:rPr>
          <w:rFonts w:ascii="Arial" w:cs="Arial" w:eastAsia="Arial" w:hAnsi="Arial"/>
          <w:sz w:val="17"/>
          <w:szCs w:val="17"/>
          <w:color w:val="auto"/>
        </w:rPr>
      </w:pPr>
    </w:p>
    <w:p>
      <w:pPr>
        <w:ind w:left="60" w:right="179"/>
        <w:spacing w:after="0" w:line="239" w:lineRule="auto"/>
        <w:rPr>
          <w:rFonts w:ascii="Arial" w:cs="Arial" w:eastAsia="Arial" w:hAnsi="Arial"/>
          <w:sz w:val="17"/>
          <w:szCs w:val="17"/>
          <w:color w:val="auto"/>
        </w:rPr>
      </w:pPr>
      <w:r>
        <w:rPr>
          <w:rFonts w:ascii="Arial" w:cs="Arial" w:eastAsia="Arial" w:hAnsi="Arial"/>
          <w:sz w:val="18"/>
          <w:szCs w:val="18"/>
          <w:color w:val="auto"/>
        </w:rPr>
        <w:t>fiscal years beginning after December 15, 2020. This update can be adopted on either a fully retrospective or a modified retrospective basis. The Company adopted ASU 2020-06, effective January 1, 2021, which did not have a material effect on the Company’s consolidated financial statements.</w:t>
      </w:r>
    </w:p>
    <w:p>
      <w:pPr>
        <w:spacing w:after="0" w:line="162" w:lineRule="exact"/>
        <w:rPr>
          <w:sz w:val="20"/>
          <w:szCs w:val="20"/>
          <w:color w:val="auto"/>
        </w:rPr>
      </w:pPr>
    </w:p>
    <w:p>
      <w:pPr>
        <w:jc w:val="both"/>
        <w:ind w:left="60" w:right="119"/>
        <w:spacing w:after="0" w:line="239" w:lineRule="auto"/>
        <w:rPr>
          <w:sz w:val="20"/>
          <w:szCs w:val="20"/>
          <w:color w:val="auto"/>
        </w:rPr>
      </w:pPr>
      <w:r>
        <w:rPr>
          <w:rFonts w:ascii="Arial" w:cs="Arial" w:eastAsia="Arial" w:hAnsi="Arial"/>
          <w:sz w:val="18"/>
          <w:szCs w:val="18"/>
          <w:color w:val="auto"/>
        </w:rPr>
        <w:t>In August 2018, the FASB issued ASU 2018-13, Fair Value Measurement (Topic 820): Disclosure Framework— Changes to the Disclosure Requirements for Fair Value Measurement (“ASU 2018-13”), which eliminates, adds, and modifies certain disclosure requirements for fair value measurements. ASU 2018-13 is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effective for the Company for fiscal years beginning after December 15, 2020, and earlier adoption is permitted. The Company adopted this standard on January 1, 2021 and adoption had no impact on its consolidated financial statements.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3—Initial capitalization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21, 2019, Prior Century and Bayer entered into a Commitment Agreement to initially capitalize the</w:t>
      </w:r>
    </w:p>
    <w:p>
      <w:pPr>
        <w:ind w:left="60"/>
        <w:spacing w:after="0"/>
        <w:rPr>
          <w:sz w:val="20"/>
          <w:szCs w:val="20"/>
          <w:color w:val="auto"/>
        </w:rPr>
      </w:pPr>
      <w:r>
        <w:rPr>
          <w:rFonts w:ascii="Arial" w:cs="Arial" w:eastAsia="Arial" w:hAnsi="Arial"/>
          <w:sz w:val="18"/>
          <w:szCs w:val="18"/>
          <w:color w:val="auto"/>
        </w:rPr>
        <w:t>Company. The Commitment Agreement called for capital contributions from Prior Century and Bayer as follows: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Century Capital Contributions</w:t>
      </w:r>
    </w:p>
    <w:p>
      <w:pPr>
        <w:spacing w:after="0" w:line="188"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color w:val="auto"/>
        </w:rPr>
        <w:t>In exchange for issuing 67,226,891 common units to Prior Century, the Company acquired substantially all of Prior Century’s assets, assumed all of its liabilities and assumed the operations of Prior Century.</w:t>
      </w:r>
    </w:p>
    <w:p>
      <w:pPr>
        <w:spacing w:after="0" w:line="171"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164"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38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As of June 21, 2019</w:t>
            </w:r>
          </w:p>
        </w:tc>
      </w:tr>
      <w:tr>
        <w:trPr>
          <w:trHeight w:val="195"/>
        </w:trPr>
        <w:tc>
          <w:tcPr>
            <w:tcW w:w="73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25,163</w:t>
            </w:r>
          </w:p>
        </w:tc>
      </w:tr>
      <w:tr>
        <w:trPr>
          <w:trHeight w:val="202"/>
        </w:trPr>
        <w:tc>
          <w:tcPr>
            <w:tcW w:w="7380" w:type="dxa"/>
            <w:vAlign w:val="bottom"/>
          </w:tcPr>
          <w:p>
            <w:pPr>
              <w:ind w:left="20"/>
              <w:spacing w:after="0" w:line="201" w:lineRule="exact"/>
              <w:rPr>
                <w:sz w:val="20"/>
                <w:szCs w:val="20"/>
                <w:color w:val="auto"/>
              </w:rPr>
            </w:pPr>
            <w:r>
              <w:rPr>
                <w:rFonts w:ascii="Arial" w:cs="Arial" w:eastAsia="Arial" w:hAnsi="Arial"/>
                <w:sz w:val="18"/>
                <w:szCs w:val="18"/>
                <w:color w:val="auto"/>
              </w:rPr>
              <w:t>IPR&amp;D</w:t>
            </w:r>
          </w:p>
        </w:tc>
        <w:tc>
          <w:tcPr>
            <w:tcW w:w="160" w:type="dxa"/>
            <w:vAlign w:val="bottom"/>
          </w:tcPr>
          <w:p>
            <w:pPr>
              <w:spacing w:after="0"/>
              <w:rPr>
                <w:sz w:val="17"/>
                <w:szCs w:val="17"/>
                <w:color w:val="auto"/>
              </w:rPr>
            </w:pPr>
          </w:p>
        </w:tc>
        <w:tc>
          <w:tcPr>
            <w:tcW w:w="1380" w:type="dxa"/>
            <w:vAlign w:val="bottom"/>
          </w:tcPr>
          <w:p>
            <w:pPr>
              <w:jc w:val="right"/>
              <w:spacing w:after="0" w:line="201" w:lineRule="exact"/>
              <w:rPr>
                <w:sz w:val="20"/>
                <w:szCs w:val="20"/>
                <w:color w:val="auto"/>
              </w:rPr>
            </w:pPr>
            <w:r>
              <w:rPr>
                <w:rFonts w:ascii="Arial" w:cs="Arial" w:eastAsia="Arial" w:hAnsi="Arial"/>
                <w:sz w:val="18"/>
                <w:szCs w:val="18"/>
                <w:color w:val="auto"/>
              </w:rPr>
              <w:t>225,946</w:t>
            </w:r>
          </w:p>
        </w:tc>
      </w:tr>
      <w:tr>
        <w:trPr>
          <w:trHeight w:val="202"/>
        </w:trPr>
        <w:tc>
          <w:tcPr>
            <w:tcW w:w="73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1,034</w:t>
            </w:r>
          </w:p>
        </w:tc>
      </w:tr>
      <w:tr>
        <w:trPr>
          <w:trHeight w:val="202"/>
        </w:trPr>
        <w:tc>
          <w:tcPr>
            <w:tcW w:w="7380" w:type="dxa"/>
            <w:vAlign w:val="bottom"/>
          </w:tcPr>
          <w:p>
            <w:pPr>
              <w:ind w:left="20"/>
              <w:spacing w:after="0" w:line="201" w:lineRule="exact"/>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7"/>
                <w:szCs w:val="17"/>
                <w:color w:val="auto"/>
              </w:rPr>
            </w:pPr>
          </w:p>
        </w:tc>
        <w:tc>
          <w:tcPr>
            <w:tcW w:w="1380" w:type="dxa"/>
            <w:vAlign w:val="bottom"/>
          </w:tcPr>
          <w:p>
            <w:pPr>
              <w:jc w:val="right"/>
              <w:spacing w:after="0" w:line="201" w:lineRule="exact"/>
              <w:rPr>
                <w:sz w:val="20"/>
                <w:szCs w:val="20"/>
                <w:color w:val="auto"/>
              </w:rPr>
            </w:pPr>
            <w:r>
              <w:rPr>
                <w:rFonts w:ascii="Arial" w:cs="Arial" w:eastAsia="Arial" w:hAnsi="Arial"/>
                <w:sz w:val="18"/>
                <w:szCs w:val="18"/>
                <w:color w:val="auto"/>
              </w:rPr>
              <w:t>578</w:t>
            </w:r>
          </w:p>
        </w:tc>
      </w:tr>
      <w:tr>
        <w:trPr>
          <w:trHeight w:val="202"/>
        </w:trPr>
        <w:tc>
          <w:tcPr>
            <w:tcW w:w="73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669</w:t>
            </w:r>
          </w:p>
        </w:tc>
      </w:tr>
      <w:tr>
        <w:trPr>
          <w:trHeight w:val="202"/>
        </w:trPr>
        <w:tc>
          <w:tcPr>
            <w:tcW w:w="73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(1,283)</w:t>
            </w:r>
          </w:p>
        </w:tc>
      </w:tr>
      <w:tr>
        <w:trPr>
          <w:trHeight w:val="195"/>
        </w:trPr>
        <w:tc>
          <w:tcPr>
            <w:tcW w:w="73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b w:val="1"/>
                <w:bCs w:val="1"/>
                <w:color w:val="auto"/>
              </w:rPr>
              <w:t>252,107</w:t>
            </w: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allogenic cell therapy platform. As the IPR&amp;D asset has no alternative future use to the Company, the Company charged $225,946 to expense within its consolidated statements of operations in 2019.</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Capital Contributions</w:t>
      </w:r>
    </w:p>
    <w:p>
      <w:pPr>
        <w:spacing w:after="0" w:line="20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accordance with the Commitment Agreement, Bayer agreed to provide an aggregate cash capital contribution of $215,000. The Bayer cash commitment was split into capital contributions of $ 145,000 (“Tranche 1”) and $70,000 (“Tranche 2”). Tranche 2 was eliminated in connection with the Series C preferred financing. See Note 10.</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Rights</w:t>
      </w:r>
    </w:p>
    <w:p>
      <w:pPr>
        <w:spacing w:after="0" w:line="188"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In connection with the Commitment Agreement, Bayer was granted approval and veto rights over certain decisions related to the operations of the Company through its manager representation on the Company’s Board of Managers. Prior Century holds similar rights.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859"/>
        <w:spacing w:after="0" w:line="244" w:lineRule="auto"/>
        <w:rPr>
          <w:sz w:val="20"/>
          <w:szCs w:val="20"/>
          <w:color w:val="auto"/>
        </w:rPr>
      </w:pPr>
      <w:r>
        <w:rPr>
          <w:rFonts w:ascii="Arial" w:cs="Arial" w:eastAsia="Arial" w:hAnsi="Arial"/>
          <w:sz w:val="18"/>
          <w:szCs w:val="18"/>
          <w:color w:val="auto"/>
        </w:rPr>
        <w:t>Tranche 1 was funded in exchange for 26,143,790 common units, with $75,000 paid at closing and the remaining $70,000 due upon the Company meeting certain development milestones or in 3 years.</w:t>
      </w:r>
    </w:p>
    <w:p>
      <w:pPr>
        <w:spacing w:after="0" w:line="171" w:lineRule="exact"/>
        <w:rPr>
          <w:sz w:val="20"/>
          <w:szCs w:val="20"/>
          <w:color w:val="auto"/>
        </w:rPr>
      </w:pPr>
    </w:p>
    <w:p>
      <w:pPr>
        <w:ind w:left="60" w:right="359"/>
        <w:spacing w:after="0" w:line="239" w:lineRule="auto"/>
        <w:rPr>
          <w:sz w:val="20"/>
          <w:szCs w:val="20"/>
          <w:color w:val="auto"/>
        </w:rPr>
      </w:pPr>
      <w:r>
        <w:rPr>
          <w:rFonts w:ascii="Arial" w:cs="Arial" w:eastAsia="Arial" w:hAnsi="Arial"/>
          <w:sz w:val="18"/>
          <w:szCs w:val="18"/>
          <w:color w:val="auto"/>
        </w:rPr>
        <w:t>During 2019, the Company received $74,839 from Tranche 1, net of equity issuance costs of $161. The Company accounts for the $70,000 as a subscription receivable, which is recorded as contra-equity within its consolidated statements of changes in convertible preferred stock and stockholders’ equity (deficit).</w:t>
      </w:r>
    </w:p>
    <w:p>
      <w:pPr>
        <w:spacing w:after="0" w:line="162"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$ 38,100 of the Tranche 1 subscription receivable. The remaining $31,900 was received in January 2021. The Commitment Agreement terminated in connection with the Series C Preferred financing, and Bayer has no obligation to invest any additional amounts.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201" w:lineRule="exact"/>
        <w:rPr>
          <w:sz w:val="20"/>
          <w:szCs w:val="20"/>
          <w:color w:val="auto"/>
        </w:rPr>
      </w:pPr>
    </w:p>
    <w:p>
      <w:pPr>
        <w:jc w:val="both"/>
        <w:ind w:left="60" w:right="899"/>
        <w:spacing w:after="0" w:line="239" w:lineRule="auto"/>
        <w:rPr>
          <w:sz w:val="20"/>
          <w:szCs w:val="20"/>
          <w:color w:val="auto"/>
        </w:rPr>
      </w:pPr>
      <w:r>
        <w:rPr>
          <w:rFonts w:ascii="Arial" w:cs="Arial" w:eastAsia="Arial" w:hAnsi="Arial"/>
          <w:sz w:val="18"/>
          <w:szCs w:val="18"/>
          <w:color w:val="auto"/>
        </w:rPr>
        <w:t>As a condition of the Tranche 1 closing, Bayer and Prior Century were required to enter into an Option Agreement, pursuant to which Bayer was provided the right of first refusal to acquire certain products researched and developed by the Company.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4—Asset purchase by Century Therapeutics Canada ULC</w:t>
      </w:r>
    </w:p>
    <w:p>
      <w:pPr>
        <w:spacing w:after="0" w:line="170"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On June 9, 2020, Century Canada and the Company entered into an agreement with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who are employed by the Company. As of June 30, 2021 and December 31, 2020, accrued compensation expense on the promissory note was $533 and $282, which is presented within accrued expenses and other liabilities on the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consideration of the asset acquisition was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82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June 9, 2020</w:t>
            </w:r>
          </w:p>
        </w:tc>
      </w:tr>
      <w:tr>
        <w:trPr>
          <w:trHeight w:val="195"/>
        </w:trPr>
        <w:tc>
          <w:tcPr>
            <w:tcW w:w="78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Cash paid to Sellers at close</w:t>
            </w:r>
          </w:p>
        </w:tc>
        <w:tc>
          <w:tcPr>
            <w:tcW w:w="1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4,516</w:t>
            </w:r>
          </w:p>
        </w:tc>
      </w:tr>
      <w:tr>
        <w:trPr>
          <w:trHeight w:val="202"/>
        </w:trPr>
        <w:tc>
          <w:tcPr>
            <w:tcW w:w="7820" w:type="dxa"/>
            <w:vAlign w:val="bottom"/>
          </w:tcPr>
          <w:p>
            <w:pPr>
              <w:ind w:left="20"/>
              <w:spacing w:after="0" w:line="201" w:lineRule="exact"/>
              <w:rPr>
                <w:sz w:val="20"/>
                <w:szCs w:val="20"/>
                <w:color w:val="auto"/>
              </w:rPr>
            </w:pPr>
            <w:r>
              <w:rPr>
                <w:rFonts w:ascii="Arial" w:cs="Arial" w:eastAsia="Arial" w:hAnsi="Arial"/>
                <w:sz w:val="18"/>
                <w:szCs w:val="18"/>
                <w:color w:val="auto"/>
              </w:rPr>
              <w:t>Seller expenses paid by the Company</w:t>
            </w:r>
          </w:p>
        </w:tc>
        <w:tc>
          <w:tcPr>
            <w:tcW w:w="1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3</w:t>
            </w:r>
          </w:p>
        </w:tc>
      </w:tr>
      <w:tr>
        <w:trPr>
          <w:trHeight w:val="202"/>
        </w:trPr>
        <w:tc>
          <w:tcPr>
            <w:tcW w:w="7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Buyer transaction expenses</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203</w:t>
            </w:r>
          </w:p>
        </w:tc>
      </w:tr>
      <w:tr>
        <w:trPr>
          <w:trHeight w:val="195"/>
        </w:trPr>
        <w:tc>
          <w:tcPr>
            <w:tcW w:w="7820" w:type="dxa"/>
            <w:vAlign w:val="bottom"/>
            <w:tcBorders>
              <w:bottom w:val="single" w:sz="8" w:color="CCEEFF"/>
            </w:tcBorders>
          </w:tcPr>
          <w:p>
            <w:pPr>
              <w:ind w:left="20"/>
              <w:spacing w:after="0" w:line="195" w:lineRule="exact"/>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4,722</w:t>
            </w:r>
          </w:p>
        </w:tc>
      </w:tr>
      <w:tr>
        <w:trPr>
          <w:trHeight w:val="195"/>
        </w:trPr>
        <w:tc>
          <w:tcPr>
            <w:tcW w:w="7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2"/>
        </w:trPr>
        <w:tc>
          <w:tcPr>
            <w:tcW w:w="7820" w:type="dxa"/>
            <w:vAlign w:val="bottom"/>
          </w:tcPr>
          <w:p>
            <w:pPr>
              <w:ind w:left="20"/>
              <w:spacing w:after="0" w:line="201" w:lineRule="exact"/>
              <w:rPr>
                <w:sz w:val="20"/>
                <w:szCs w:val="20"/>
                <w:color w:val="auto"/>
              </w:rPr>
            </w:pPr>
            <w:r>
              <w:rPr>
                <w:rFonts w:ascii="Arial" w:cs="Arial" w:eastAsia="Arial" w:hAnsi="Arial"/>
                <w:sz w:val="18"/>
                <w:szCs w:val="18"/>
                <w:color w:val="auto"/>
              </w:rPr>
              <w:t>IPR&amp;D</w:t>
            </w:r>
          </w:p>
        </w:tc>
        <w:tc>
          <w:tcPr>
            <w:tcW w:w="1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4,722</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174" w:lineRule="exact"/>
        <w:rPr>
          <w:sz w:val="20"/>
          <w:szCs w:val="20"/>
          <w:color w:val="auto"/>
        </w:rPr>
      </w:pPr>
    </w:p>
    <w:p>
      <w:pPr>
        <w:ind w:left="60" w:right="939"/>
        <w:spacing w:after="0" w:line="244" w:lineRule="auto"/>
        <w:rPr>
          <w:sz w:val="20"/>
          <w:szCs w:val="20"/>
          <w:color w:val="auto"/>
        </w:rPr>
      </w:pPr>
      <w:r>
        <w:rPr>
          <w:rFonts w:ascii="Arial" w:cs="Arial" w:eastAsia="Arial" w:hAnsi="Arial"/>
          <w:sz w:val="18"/>
          <w:szCs w:val="18"/>
          <w:color w:val="auto"/>
        </w:rPr>
        <w:t>As the IPR&amp;D asset has no alternative future use, the Company charged $4,722 to expense within its consolidated statements of operations for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5—Financial instruments and fair value measurements</w:t>
      </w:r>
    </w:p>
    <w:p>
      <w:pPr>
        <w:spacing w:after="0" w:line="183"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color w:val="auto"/>
        </w:rPr>
        <w:t>The following table sets forth the Company’s assets that were measured at fair value as of June 30, 2021, by level within the fair value hierarchy:</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240" w:type="dxa"/>
            <w:vAlign w:val="bottom"/>
            <w:tcBorders>
              <w:top w:val="single" w:sz="8" w:color="auto"/>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4"/>
                <w:szCs w:val="14"/>
                <w:color w:val="auto"/>
              </w:rPr>
              <w:t>Level 1</w:t>
            </w:r>
          </w:p>
        </w:tc>
        <w:tc>
          <w:tcPr>
            <w:tcW w:w="102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4"/>
                <w:szCs w:val="14"/>
                <w:color w:val="auto"/>
              </w:rPr>
              <w:t>Level 2</w:t>
            </w:r>
          </w:p>
        </w:tc>
        <w:tc>
          <w:tcPr>
            <w:tcW w:w="72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Level 3</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5"/>
        </w:trPr>
        <w:tc>
          <w:tcPr>
            <w:tcW w:w="5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Cash equivalents</w:t>
            </w:r>
          </w:p>
        </w:tc>
        <w:tc>
          <w:tcPr>
            <w:tcW w:w="8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$ 269,306</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00"/>
              <w:spacing w:after="0" w:line="19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$ 269,306</w:t>
            </w:r>
          </w:p>
        </w:tc>
      </w:tr>
      <w:tr>
        <w:trPr>
          <w:trHeight w:val="202"/>
        </w:trPr>
        <w:tc>
          <w:tcPr>
            <w:tcW w:w="5240" w:type="dxa"/>
            <w:vAlign w:val="bottom"/>
          </w:tcPr>
          <w:p>
            <w:pPr>
              <w:ind w:left="20"/>
              <w:spacing w:after="0" w:line="201" w:lineRule="exact"/>
              <w:rPr>
                <w:sz w:val="20"/>
                <w:szCs w:val="20"/>
                <w:color w:val="auto"/>
              </w:rPr>
            </w:pPr>
            <w:r>
              <w:rPr>
                <w:rFonts w:ascii="Arial" w:cs="Arial" w:eastAsia="Arial" w:hAnsi="Arial"/>
                <w:sz w:val="18"/>
                <w:szCs w:val="18"/>
                <w:color w:val="auto"/>
              </w:rPr>
              <w:t>U.S. Treasury</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11,997</w:t>
            </w:r>
          </w:p>
        </w:tc>
        <w:tc>
          <w:tcPr>
            <w:tcW w:w="160" w:type="dxa"/>
            <w:vAlign w:val="bottom"/>
          </w:tcPr>
          <w:p>
            <w:pPr>
              <w:spacing w:after="0"/>
              <w:rPr>
                <w:sz w:val="17"/>
                <w:szCs w:val="17"/>
                <w:color w:val="auto"/>
              </w:rPr>
            </w:pPr>
          </w:p>
        </w:tc>
        <w:tc>
          <w:tcPr>
            <w:tcW w:w="10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11,997</w:t>
            </w:r>
          </w:p>
        </w:tc>
      </w:tr>
      <w:tr>
        <w:trPr>
          <w:trHeight w:val="202"/>
        </w:trPr>
        <w:tc>
          <w:tcPr>
            <w:tcW w:w="5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Corporate bonds</w:t>
            </w:r>
          </w:p>
        </w:tc>
        <w:tc>
          <w:tcPr>
            <w:tcW w:w="10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155,767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155,767</w:t>
            </w:r>
          </w:p>
        </w:tc>
      </w:tr>
      <w:tr>
        <w:trPr>
          <w:trHeight w:val="195"/>
        </w:trPr>
        <w:tc>
          <w:tcPr>
            <w:tcW w:w="5240" w:type="dxa"/>
            <w:vAlign w:val="bottom"/>
          </w:tcPr>
          <w:p>
            <w:pPr>
              <w:ind w:left="20"/>
              <w:spacing w:after="0" w:line="195" w:lineRule="exact"/>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$ 281,303</w:t>
            </w:r>
          </w:p>
        </w:tc>
        <w:tc>
          <w:tcPr>
            <w:tcW w:w="1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$ 155,767</w:t>
            </w:r>
          </w:p>
        </w:tc>
        <w:tc>
          <w:tcPr>
            <w:tcW w:w="1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19"/>
              <w:spacing w:after="0" w:line="195"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$ 437,070</w:t>
            </w:r>
          </w:p>
        </w:tc>
      </w:tr>
      <w:tr>
        <w:trPr>
          <w:trHeight w:val="20"/>
        </w:trPr>
        <w:tc>
          <w:tcPr>
            <w:tcW w:w="5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2020, by level within the fair value hierarchy:</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38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Level 1</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Level 2</w:t>
            </w:r>
          </w:p>
        </w:tc>
        <w:tc>
          <w:tcPr>
            <w:tcW w:w="2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Level 3</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5"/>
        </w:trPr>
        <w:tc>
          <w:tcPr>
            <w:tcW w:w="53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Cash equivalents</w:t>
            </w:r>
          </w:p>
        </w:tc>
        <w:tc>
          <w:tcPr>
            <w:tcW w:w="840" w:type="dxa"/>
            <w:vAlign w:val="bottom"/>
            <w:shd w:val="clear" w:color="auto" w:fill="CCEEFF"/>
          </w:tcPr>
          <w:p>
            <w:pPr>
              <w:jc w:val="right"/>
              <w:ind w:right="34"/>
              <w:spacing w:after="0" w:line="195" w:lineRule="exact"/>
              <w:rPr>
                <w:sz w:val="20"/>
                <w:szCs w:val="20"/>
                <w:color w:val="auto"/>
              </w:rPr>
            </w:pPr>
            <w:r>
              <w:rPr>
                <w:rFonts w:ascii="Arial" w:cs="Arial" w:eastAsia="Arial" w:hAnsi="Arial"/>
                <w:sz w:val="18"/>
                <w:szCs w:val="18"/>
                <w:color w:val="auto"/>
                <w:w w:val="99"/>
              </w:rPr>
              <w:t>$ 24,284</w:t>
            </w:r>
          </w:p>
        </w:tc>
        <w:tc>
          <w:tcPr>
            <w:tcW w:w="940" w:type="dxa"/>
            <w:vAlign w:val="bottom"/>
            <w:shd w:val="clear" w:color="auto" w:fill="CCEEFF"/>
          </w:tcPr>
          <w:p>
            <w:pPr>
              <w:jc w:val="right"/>
              <w:ind w:right="34"/>
              <w:spacing w:after="0" w:line="195"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$ 24,284</w:t>
            </w:r>
          </w:p>
        </w:tc>
      </w:tr>
      <w:tr>
        <w:trPr>
          <w:trHeight w:val="202"/>
        </w:trPr>
        <w:tc>
          <w:tcPr>
            <w:tcW w:w="5380" w:type="dxa"/>
            <w:vAlign w:val="bottom"/>
          </w:tcPr>
          <w:p>
            <w:pPr>
              <w:ind w:left="20"/>
              <w:spacing w:after="0" w:line="201" w:lineRule="exact"/>
              <w:rPr>
                <w:sz w:val="20"/>
                <w:szCs w:val="20"/>
                <w:color w:val="auto"/>
              </w:rPr>
            </w:pPr>
            <w:r>
              <w:rPr>
                <w:rFonts w:ascii="Arial" w:cs="Arial" w:eastAsia="Arial" w:hAnsi="Arial"/>
                <w:sz w:val="18"/>
                <w:szCs w:val="18"/>
                <w:color w:val="auto"/>
              </w:rPr>
              <w:t>U.S. Treasury</w:t>
            </w:r>
          </w:p>
        </w:tc>
        <w:tc>
          <w:tcPr>
            <w:tcW w:w="840" w:type="dxa"/>
            <w:vAlign w:val="bottom"/>
          </w:tcPr>
          <w:p>
            <w:pPr>
              <w:jc w:val="right"/>
              <w:ind w:right="34"/>
              <w:spacing w:after="0" w:line="201" w:lineRule="exact"/>
              <w:rPr>
                <w:sz w:val="20"/>
                <w:szCs w:val="20"/>
                <w:color w:val="auto"/>
              </w:rPr>
            </w:pPr>
            <w:r>
              <w:rPr>
                <w:rFonts w:ascii="Arial" w:cs="Arial" w:eastAsia="Arial" w:hAnsi="Arial"/>
                <w:sz w:val="18"/>
                <w:szCs w:val="18"/>
                <w:color w:val="auto"/>
              </w:rPr>
              <w:t>9,525</w:t>
            </w:r>
          </w:p>
        </w:tc>
        <w:tc>
          <w:tcPr>
            <w:tcW w:w="940" w:type="dxa"/>
            <w:vAlign w:val="bottom"/>
          </w:tcPr>
          <w:p>
            <w:pPr>
              <w:jc w:val="right"/>
              <w:ind w:right="34"/>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9,525</w:t>
            </w:r>
          </w:p>
        </w:tc>
      </w:tr>
      <w:tr>
        <w:trPr>
          <w:trHeight w:val="202"/>
        </w:trPr>
        <w:tc>
          <w:tcPr>
            <w:tcW w:w="53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Corporate bonds</w:t>
            </w:r>
          </w:p>
        </w:tc>
        <w:tc>
          <w:tcPr>
            <w:tcW w:w="840" w:type="dxa"/>
            <w:vAlign w:val="bottom"/>
            <w:tcBorders>
              <w:bottom w:val="single" w:sz="8" w:color="auto"/>
            </w:tcBorders>
            <w:shd w:val="clear" w:color="auto" w:fill="CCEEFF"/>
          </w:tcPr>
          <w:p>
            <w:pPr>
              <w:jc w:val="right"/>
              <w:ind w:right="34"/>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4"/>
              <w:spacing w:after="0" w:line="201" w:lineRule="exact"/>
              <w:rPr>
                <w:sz w:val="20"/>
                <w:szCs w:val="20"/>
                <w:color w:val="auto"/>
              </w:rPr>
            </w:pPr>
            <w:r>
              <w:rPr>
                <w:rFonts w:ascii="Arial" w:cs="Arial" w:eastAsia="Arial" w:hAnsi="Arial"/>
                <w:sz w:val="18"/>
                <w:szCs w:val="18"/>
                <w:color w:val="auto"/>
              </w:rPr>
              <w:t>40,070</w:t>
            </w: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40,070</w:t>
            </w:r>
          </w:p>
        </w:tc>
      </w:tr>
      <w:tr>
        <w:trPr>
          <w:trHeight w:val="235"/>
        </w:trPr>
        <w:tc>
          <w:tcPr>
            <w:tcW w:w="5380" w:type="dxa"/>
            <w:vAlign w:val="bottom"/>
            <w:tcBorders>
              <w:bottom w:val="single" w:sz="8" w:color="auto"/>
            </w:tcBorders>
          </w:tcPr>
          <w:p>
            <w:pPr>
              <w:ind w:left="20"/>
              <w:spacing w:after="0" w:line="195" w:lineRule="exact"/>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34"/>
              <w:spacing w:after="0" w:line="195" w:lineRule="exact"/>
              <w:rPr>
                <w:sz w:val="20"/>
                <w:szCs w:val="20"/>
                <w:color w:val="auto"/>
              </w:rPr>
            </w:pPr>
            <w:r>
              <w:rPr>
                <w:rFonts w:ascii="Arial" w:cs="Arial" w:eastAsia="Arial" w:hAnsi="Arial"/>
                <w:sz w:val="18"/>
                <w:szCs w:val="18"/>
                <w:color w:val="auto"/>
                <w:w w:val="99"/>
              </w:rPr>
              <w:t>$ 33,809</w:t>
            </w:r>
          </w:p>
        </w:tc>
        <w:tc>
          <w:tcPr>
            <w:tcW w:w="940" w:type="dxa"/>
            <w:vAlign w:val="bottom"/>
            <w:tcBorders>
              <w:bottom w:val="single" w:sz="8" w:color="auto"/>
            </w:tcBorders>
          </w:tcPr>
          <w:p>
            <w:pPr>
              <w:jc w:val="right"/>
              <w:ind w:right="34"/>
              <w:spacing w:after="0" w:line="195" w:lineRule="exact"/>
              <w:rPr>
                <w:sz w:val="20"/>
                <w:szCs w:val="20"/>
                <w:color w:val="auto"/>
              </w:rPr>
            </w:pPr>
            <w:r>
              <w:rPr>
                <w:rFonts w:ascii="Arial" w:cs="Arial" w:eastAsia="Arial" w:hAnsi="Arial"/>
                <w:sz w:val="18"/>
                <w:szCs w:val="18"/>
                <w:color w:val="auto"/>
              </w:rPr>
              <w:t>$ 40,070</w:t>
            </w:r>
          </w:p>
        </w:tc>
        <w:tc>
          <w:tcPr>
            <w:tcW w:w="2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320"/>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$ 73,879</w:t>
            </w:r>
          </w:p>
        </w:tc>
      </w:tr>
    </w:tbl>
    <w:p>
      <w:pPr>
        <w:spacing w:after="0" w:line="201" w:lineRule="exact"/>
        <w:rPr>
          <w:sz w:val="20"/>
          <w:szCs w:val="20"/>
          <w:color w:val="auto"/>
        </w:rPr>
      </w:pPr>
    </w:p>
    <w:p>
      <w:pPr>
        <w:ind w:left="60" w:right="339"/>
        <w:spacing w:after="0" w:line="239" w:lineRule="auto"/>
        <w:rPr>
          <w:sz w:val="20"/>
          <w:szCs w:val="20"/>
          <w:color w:val="auto"/>
        </w:rPr>
      </w:pPr>
      <w:r>
        <w:rPr>
          <w:rFonts w:ascii="Arial" w:cs="Arial" w:eastAsia="Arial" w:hAnsi="Arial"/>
          <w:sz w:val="18"/>
          <w:szCs w:val="18"/>
          <w:color w:val="auto"/>
        </w:rPr>
        <w:t>There were no transfers between levels during the period ended June 30, 2021. The Company uses the services of its investment manager, which uses widely accepted models for assumptions in valuing securities with inputs from major third-party data providers.</w:t>
      </w:r>
    </w:p>
    <w:p>
      <w:pPr>
        <w:spacing w:after="0" w:line="162" w:lineRule="exact"/>
        <w:rPr>
          <w:sz w:val="20"/>
          <w:szCs w:val="20"/>
          <w:color w:val="auto"/>
        </w:rPr>
      </w:pPr>
    </w:p>
    <w:p>
      <w:pPr>
        <w:ind w:left="60" w:right="839"/>
        <w:spacing w:after="0" w:line="244"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58"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June 30, 2021:</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Gross</w:t>
            </w: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161"/>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980" w:type="dxa"/>
            <w:vAlign w:val="bottom"/>
            <w:gridSpan w:val="3"/>
          </w:tcPr>
          <w:p>
            <w:pPr>
              <w:jc w:val="right"/>
              <w:ind w:right="24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7"/>
        </w:trPr>
        <w:tc>
          <w:tcPr>
            <w:tcW w:w="4940" w:type="dxa"/>
            <w:vAlign w:val="bottom"/>
          </w:tcPr>
          <w:p>
            <w:pPr>
              <w:spacing w:after="0"/>
              <w:rPr>
                <w:sz w:val="13"/>
                <w:szCs w:val="13"/>
                <w:color w:val="auto"/>
              </w:rPr>
            </w:pPr>
          </w:p>
        </w:tc>
        <w:tc>
          <w:tcPr>
            <w:tcW w:w="12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3"/>
                <w:szCs w:val="13"/>
                <w:color w:val="auto"/>
              </w:rPr>
            </w:pPr>
          </w:p>
        </w:tc>
        <w:tc>
          <w:tcPr>
            <w:tcW w:w="70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Gains</w:t>
            </w:r>
          </w:p>
        </w:tc>
        <w:tc>
          <w:tcPr>
            <w:tcW w:w="220" w:type="dxa"/>
            <w:vAlign w:val="bottom"/>
          </w:tcPr>
          <w:p>
            <w:pPr>
              <w:spacing w:after="0"/>
              <w:rPr>
                <w:sz w:val="13"/>
                <w:szCs w:val="13"/>
                <w:color w:val="auto"/>
              </w:rPr>
            </w:pPr>
          </w:p>
        </w:tc>
        <w:tc>
          <w:tcPr>
            <w:tcW w:w="7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Fair Value</w:t>
            </w:r>
          </w:p>
        </w:tc>
      </w:tr>
      <w:tr>
        <w:trPr>
          <w:trHeight w:val="195"/>
        </w:trPr>
        <w:tc>
          <w:tcPr>
            <w:tcW w:w="494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 Treasury</w:t>
            </w:r>
          </w:p>
        </w:tc>
        <w:tc>
          <w:tcPr>
            <w:tcW w:w="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11,997</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6"/>
              <w:spacing w:after="0" w:line="195"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11,997</w:t>
            </w:r>
          </w:p>
        </w:tc>
      </w:tr>
      <w:tr>
        <w:trPr>
          <w:trHeight w:val="202"/>
        </w:trPr>
        <w:tc>
          <w:tcPr>
            <w:tcW w:w="4940" w:type="dxa"/>
            <w:vAlign w:val="bottom"/>
          </w:tcPr>
          <w:p>
            <w:pPr>
              <w:ind w:left="20"/>
              <w:spacing w:after="0" w:line="201"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155,754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155,767</w:t>
            </w:r>
          </w:p>
        </w:tc>
      </w:tr>
      <w:tr>
        <w:trPr>
          <w:trHeight w:val="195"/>
        </w:trPr>
        <w:tc>
          <w:tcPr>
            <w:tcW w:w="4940" w:type="dxa"/>
            <w:vAlign w:val="bottom"/>
            <w:tcBorders>
              <w:top w:val="single" w:sz="8" w:color="CCEEFF"/>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167,751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36"/>
              <w:spacing w:after="0" w:line="195"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167,764</w:t>
            </w: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2020:</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94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Gross</w:t>
            </w: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1"/>
        </w:trPr>
        <w:tc>
          <w:tcPr>
            <w:tcW w:w="2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color w:val="auto"/>
              </w:rPr>
              <w:t>Unrealized</w:t>
            </w:r>
          </w:p>
        </w:tc>
        <w:tc>
          <w:tcPr>
            <w:tcW w:w="900" w:type="dxa"/>
            <w:vAlign w:val="bottom"/>
            <w:gridSpan w:val="4"/>
          </w:tcPr>
          <w:p>
            <w:pPr>
              <w:jc w:val="right"/>
              <w:ind w:right="200"/>
              <w:spacing w:after="0"/>
              <w:rPr>
                <w:sz w:val="20"/>
                <w:szCs w:val="20"/>
                <w:color w:val="auto"/>
              </w:rPr>
            </w:pPr>
            <w:r>
              <w:rPr>
                <w:rFonts w:ascii="Arial" w:cs="Arial" w:eastAsia="Arial" w:hAnsi="Arial"/>
                <w:sz w:val="14"/>
                <w:szCs w:val="14"/>
                <w:color w:val="auto"/>
              </w:rPr>
              <w:t>Unrealized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9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Amortized Cost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Gains</w:t>
            </w:r>
          </w:p>
        </w:tc>
        <w:tc>
          <w:tcPr>
            <w:tcW w:w="160" w:type="dxa"/>
            <w:vAlign w:val="bottom"/>
          </w:tcPr>
          <w:p>
            <w:pPr>
              <w:spacing w:after="0"/>
              <w:rPr>
                <w:sz w:val="13"/>
                <w:szCs w:val="13"/>
                <w:color w:val="auto"/>
              </w:rPr>
            </w:pPr>
          </w:p>
        </w:tc>
        <w:tc>
          <w:tcPr>
            <w:tcW w:w="74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3"/>
                <w:szCs w:val="13"/>
                <w:color w:val="auto"/>
              </w:rPr>
            </w:pPr>
          </w:p>
        </w:tc>
        <w:tc>
          <w:tcPr>
            <w:tcW w:w="700" w:type="dxa"/>
            <w:vAlign w:val="bottom"/>
            <w:gridSpan w:val="2"/>
          </w:tcPr>
          <w:p>
            <w:pPr>
              <w:spacing w:after="0" w:line="157" w:lineRule="exact"/>
              <w:rPr>
                <w:sz w:val="20"/>
                <w:szCs w:val="20"/>
                <w:color w:val="auto"/>
              </w:rPr>
            </w:pPr>
            <w:r>
              <w:rPr>
                <w:rFonts w:ascii="Arial" w:cs="Arial" w:eastAsia="Arial" w:hAnsi="Arial"/>
                <w:sz w:val="14"/>
                <w:szCs w:val="14"/>
                <w:color w:val="auto"/>
              </w:rPr>
              <w:t>Fair Value</w:t>
            </w:r>
          </w:p>
        </w:tc>
      </w:tr>
      <w:tr>
        <w:trPr>
          <w:trHeight w:val="195"/>
        </w:trPr>
        <w:tc>
          <w:tcPr>
            <w:tcW w:w="294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 Treasury</w:t>
            </w:r>
          </w:p>
        </w:tc>
        <w:tc>
          <w:tcPr>
            <w:tcW w:w="2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9,518</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9,525</w:t>
            </w:r>
          </w:p>
        </w:tc>
        <w:tc>
          <w:tcPr>
            <w:tcW w:w="20" w:type="dxa"/>
            <w:vAlign w:val="bottom"/>
          </w:tcPr>
          <w:p>
            <w:pPr>
              <w:spacing w:after="0"/>
              <w:rPr>
                <w:sz w:val="16"/>
                <w:szCs w:val="16"/>
                <w:color w:val="auto"/>
              </w:rPr>
            </w:pPr>
          </w:p>
        </w:tc>
      </w:tr>
      <w:tr>
        <w:trPr>
          <w:trHeight w:val="202"/>
        </w:trPr>
        <w:tc>
          <w:tcPr>
            <w:tcW w:w="2940" w:type="dxa"/>
            <w:vAlign w:val="bottom"/>
          </w:tcPr>
          <w:p>
            <w:pPr>
              <w:ind w:left="20"/>
              <w:spacing w:after="0" w:line="201" w:lineRule="exact"/>
              <w:rPr>
                <w:sz w:val="20"/>
                <w:szCs w:val="20"/>
                <w:color w:val="auto"/>
              </w:rPr>
            </w:pPr>
            <w:r>
              <w:rPr>
                <w:rFonts w:ascii="Arial" w:cs="Arial" w:eastAsia="Arial" w:hAnsi="Arial"/>
                <w:sz w:val="18"/>
                <w:szCs w:val="18"/>
                <w:color w:val="auto"/>
              </w:rPr>
              <w:t>Corporate bonds</w:t>
            </w: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40,069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40,070</w:t>
            </w:r>
          </w:p>
        </w:tc>
        <w:tc>
          <w:tcPr>
            <w:tcW w:w="20" w:type="dxa"/>
            <w:vAlign w:val="bottom"/>
          </w:tcPr>
          <w:p>
            <w:pPr>
              <w:spacing w:after="0"/>
              <w:rPr>
                <w:sz w:val="17"/>
                <w:szCs w:val="17"/>
                <w:color w:val="auto"/>
              </w:rPr>
            </w:pPr>
          </w:p>
        </w:tc>
      </w:tr>
      <w:tr>
        <w:trPr>
          <w:trHeight w:val="195"/>
        </w:trPr>
        <w:tc>
          <w:tcPr>
            <w:tcW w:w="2940" w:type="dxa"/>
            <w:vAlign w:val="bottom"/>
            <w:tcBorders>
              <w:top w:val="single" w:sz="8" w:color="CCEEFF"/>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Total</w:t>
            </w:r>
          </w:p>
        </w:tc>
        <w:tc>
          <w:tcPr>
            <w:tcW w:w="2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49,587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49,595</w:t>
            </w:r>
          </w:p>
        </w:tc>
        <w:tc>
          <w:tcPr>
            <w:tcW w:w="20" w:type="dxa"/>
            <w:vAlign w:val="bottom"/>
          </w:tcPr>
          <w:p>
            <w:pPr>
              <w:spacing w:after="0"/>
              <w:rPr>
                <w:sz w:val="16"/>
                <w:szCs w:val="16"/>
                <w:color w:val="auto"/>
              </w:rPr>
            </w:pPr>
          </w:p>
        </w:tc>
      </w:tr>
      <w:tr>
        <w:trPr>
          <w:trHeight w:val="20"/>
        </w:trPr>
        <w:tc>
          <w:tcPr>
            <w:tcW w:w="51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7360" w:type="dxa"/>
            <w:vAlign w:val="bottom"/>
            <w:gridSpan w:val="10"/>
          </w:tcPr>
          <w:p>
            <w:pPr>
              <w:ind w:left="20"/>
              <w:spacing w:after="0"/>
              <w:rPr>
                <w:sz w:val="20"/>
                <w:szCs w:val="20"/>
                <w:color w:val="auto"/>
              </w:rPr>
            </w:pPr>
            <w:r>
              <w:rPr>
                <w:rFonts w:ascii="Arial" w:cs="Arial" w:eastAsia="Arial" w:hAnsi="Arial"/>
                <w:sz w:val="18"/>
                <w:szCs w:val="18"/>
                <w:color w:val="auto"/>
              </w:rPr>
              <w:t>The following table provides the maturities of our fixed maturity available-for-sale securities: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9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10"/>
          </w:tcPr>
          <w:p>
            <w:pPr>
              <w:spacing w:after="0"/>
              <w:rPr>
                <w:sz w:val="17"/>
                <w:szCs w:val="17"/>
                <w:color w:val="auto"/>
              </w:rPr>
            </w:pPr>
          </w:p>
        </w:tc>
      </w:tr>
      <w:tr>
        <w:trPr>
          <w:trHeight w:val="155"/>
        </w:trPr>
        <w:tc>
          <w:tcPr>
            <w:tcW w:w="29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10"/>
          </w:tcPr>
          <w:p>
            <w:pPr>
              <w:ind w:left="20"/>
              <w:spacing w:after="0" w:line="155" w:lineRule="exact"/>
              <w:rPr>
                <w:sz w:val="20"/>
                <w:szCs w:val="20"/>
                <w:color w:val="auto"/>
              </w:rPr>
            </w:pPr>
            <w:r>
              <w:rPr>
                <w:rFonts w:ascii="Arial" w:cs="Arial" w:eastAsia="Arial" w:hAnsi="Arial"/>
                <w:sz w:val="14"/>
                <w:szCs w:val="14"/>
                <w:color w:val="auto"/>
              </w:rPr>
              <w:t>June 30, 2021December 31, 2020</w:t>
            </w:r>
          </w:p>
        </w:tc>
      </w:tr>
      <w:tr>
        <w:trPr>
          <w:trHeight w:val="195"/>
        </w:trPr>
        <w:tc>
          <w:tcPr>
            <w:tcW w:w="294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Less than one year</w:t>
            </w:r>
          </w:p>
        </w:tc>
        <w:tc>
          <w:tcPr>
            <w:tcW w:w="2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3"/>
            <w:shd w:val="clear" w:color="auto" w:fill="CCEEFF"/>
          </w:tcPr>
          <w:p>
            <w:pPr>
              <w:jc w:val="right"/>
              <w:spacing w:after="0" w:line="195" w:lineRule="exact"/>
              <w:rPr>
                <w:sz w:val="20"/>
                <w:szCs w:val="20"/>
                <w:color w:val="auto"/>
              </w:rPr>
            </w:pPr>
            <w:r>
              <w:rPr>
                <w:rFonts w:ascii="Arial" w:cs="Arial" w:eastAsia="Arial" w:hAnsi="Arial"/>
                <w:sz w:val="18"/>
                <w:szCs w:val="18"/>
                <w:color w:val="auto"/>
              </w:rPr>
              <w:t>125,290</w:t>
            </w:r>
          </w:p>
        </w:tc>
        <w:tc>
          <w:tcPr>
            <w:tcW w:w="2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170"/>
              <w:spacing w:after="0" w:line="195"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48,542</w:t>
            </w:r>
          </w:p>
        </w:tc>
        <w:tc>
          <w:tcPr>
            <w:tcW w:w="20" w:type="dxa"/>
            <w:vAlign w:val="bottom"/>
            <w:tcBorders>
              <w:top w:val="single" w:sz="8" w:color="auto"/>
            </w:tcBorders>
            <w:shd w:val="clear" w:color="auto" w:fill="CCEEFF"/>
          </w:tcPr>
          <w:p>
            <w:pPr>
              <w:spacing w:after="0"/>
              <w:rPr>
                <w:sz w:val="16"/>
                <w:szCs w:val="16"/>
                <w:color w:val="auto"/>
              </w:rPr>
            </w:pPr>
          </w:p>
        </w:tc>
      </w:tr>
      <w:tr>
        <w:trPr>
          <w:trHeight w:val="202"/>
        </w:trPr>
        <w:tc>
          <w:tcPr>
            <w:tcW w:w="294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One to five years</w:t>
            </w:r>
          </w:p>
        </w:tc>
        <w:tc>
          <w:tcPr>
            <w:tcW w:w="21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rPr>
              <w:t>42,474</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1,053</w:t>
            </w:r>
          </w:p>
        </w:tc>
        <w:tc>
          <w:tcPr>
            <w:tcW w:w="20" w:type="dxa"/>
            <w:vAlign w:val="bottom"/>
            <w:tcBorders>
              <w:bottom w:val="single" w:sz="8" w:color="auto"/>
            </w:tcBorders>
          </w:tcPr>
          <w:p>
            <w:pPr>
              <w:spacing w:after="0"/>
              <w:rPr>
                <w:sz w:val="17"/>
                <w:szCs w:val="17"/>
                <w:color w:val="auto"/>
              </w:rPr>
            </w:pPr>
          </w:p>
        </w:tc>
      </w:tr>
      <w:tr>
        <w:trPr>
          <w:trHeight w:val="195"/>
        </w:trPr>
        <w:tc>
          <w:tcPr>
            <w:tcW w:w="294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3"/>
            <w:shd w:val="clear" w:color="auto" w:fill="CCEEFF"/>
          </w:tcPr>
          <w:p>
            <w:pPr>
              <w:jc w:val="right"/>
              <w:spacing w:after="0" w:line="195" w:lineRule="exact"/>
              <w:rPr>
                <w:sz w:val="20"/>
                <w:szCs w:val="20"/>
                <w:color w:val="auto"/>
              </w:rPr>
            </w:pPr>
            <w:r>
              <w:rPr>
                <w:rFonts w:ascii="Arial" w:cs="Arial" w:eastAsia="Arial" w:hAnsi="Arial"/>
                <w:sz w:val="18"/>
                <w:szCs w:val="18"/>
                <w:color w:val="auto"/>
              </w:rPr>
              <w:t>167,764</w:t>
            </w:r>
          </w:p>
        </w:tc>
        <w:tc>
          <w:tcPr>
            <w:tcW w:w="2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170"/>
              <w:spacing w:after="0" w:line="195"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49,595</w:t>
            </w:r>
          </w:p>
        </w:tc>
        <w:tc>
          <w:tcPr>
            <w:tcW w:w="20" w:type="dxa"/>
            <w:vAlign w:val="bottom"/>
            <w:tcBorders>
              <w:bottom w:val="single" w:sz="8" w:color="auto"/>
            </w:tcBorders>
            <w:shd w:val="clear" w:color="auto" w:fill="CCEEFF"/>
          </w:tcPr>
          <w:p>
            <w:pPr>
              <w:spacing w:after="0"/>
              <w:rPr>
                <w:sz w:val="16"/>
                <w:szCs w:val="16"/>
                <w:color w:val="auto"/>
              </w:rPr>
            </w:pPr>
          </w:p>
        </w:tc>
      </w:tr>
      <w:tr>
        <w:trPr>
          <w:trHeight w:val="841"/>
        </w:trPr>
        <w:tc>
          <w:tcPr>
            <w:tcW w:w="2940" w:type="dxa"/>
            <w:vAlign w:val="bottom"/>
          </w:tcPr>
          <w:p>
            <w:pPr>
              <w:spacing w:after="0"/>
              <w:rPr>
                <w:sz w:val="24"/>
                <w:szCs w:val="24"/>
                <w:color w:val="auto"/>
              </w:rPr>
            </w:pPr>
          </w:p>
        </w:tc>
        <w:tc>
          <w:tcPr>
            <w:tcW w:w="2160" w:type="dxa"/>
            <w:vAlign w:val="bottom"/>
          </w:tcPr>
          <w:p>
            <w:pPr>
              <w:jc w:val="right"/>
              <w:ind w:right="45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5"/>
        </w:trPr>
        <w:tc>
          <w:tcPr>
            <w:tcW w:w="29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9"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6—Prepaid expenses and other current assets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prepaid expenses and other current assets: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June 30,</w:t>
            </w:r>
          </w:p>
        </w:tc>
        <w:tc>
          <w:tcPr>
            <w:tcW w:w="10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December 31,</w:t>
            </w:r>
          </w:p>
        </w:tc>
      </w:tr>
      <w:tr>
        <w:trPr>
          <w:trHeight w:val="157"/>
        </w:trPr>
        <w:tc>
          <w:tcPr>
            <w:tcW w:w="67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97</w:t>
            </w:r>
          </w:p>
        </w:tc>
      </w:tr>
      <w:tr>
        <w:trPr>
          <w:trHeight w:val="202"/>
        </w:trPr>
        <w:tc>
          <w:tcPr>
            <w:tcW w:w="6780" w:type="dxa"/>
            <w:vAlign w:val="bottom"/>
          </w:tcPr>
          <w:p>
            <w:pPr>
              <w:ind w:left="20"/>
              <w:spacing w:after="0" w:line="201" w:lineRule="exact"/>
              <w:rPr>
                <w:sz w:val="20"/>
                <w:szCs w:val="20"/>
                <w:color w:val="auto"/>
              </w:rPr>
            </w:pPr>
            <w:r>
              <w:rPr>
                <w:rFonts w:ascii="Arial" w:cs="Arial" w:eastAsia="Arial" w:hAnsi="Arial"/>
                <w:sz w:val="18"/>
                <w:szCs w:val="18"/>
                <w:color w:val="auto"/>
              </w:rPr>
              <w:t>Insurance</w:t>
            </w:r>
          </w:p>
        </w:tc>
        <w:tc>
          <w:tcPr>
            <w:tcW w:w="2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2,989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r>
      <w:tr>
        <w:trPr>
          <w:trHeight w:val="202"/>
        </w:trPr>
        <w:tc>
          <w:tcPr>
            <w:tcW w:w="6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Software licenses and other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760</w:t>
            </w:r>
          </w:p>
        </w:tc>
      </w:tr>
      <w:tr>
        <w:trPr>
          <w:trHeight w:val="202"/>
        </w:trPr>
        <w:tc>
          <w:tcPr>
            <w:tcW w:w="6780" w:type="dxa"/>
            <w:vAlign w:val="bottom"/>
          </w:tcPr>
          <w:p>
            <w:pPr>
              <w:ind w:left="20"/>
              <w:spacing w:after="0" w:line="201" w:lineRule="exact"/>
              <w:rPr>
                <w:sz w:val="20"/>
                <w:szCs w:val="20"/>
                <w:color w:val="auto"/>
              </w:rPr>
            </w:pPr>
            <w:r>
              <w:rPr>
                <w:rFonts w:ascii="Arial" w:cs="Arial" w:eastAsia="Arial" w:hAnsi="Arial"/>
                <w:sz w:val="18"/>
                <w:szCs w:val="18"/>
                <w:color w:val="auto"/>
              </w:rPr>
              <w:t>Reimbursement receivable</w:t>
            </w:r>
          </w:p>
        </w:tc>
        <w:tc>
          <w:tcPr>
            <w:tcW w:w="2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137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908</w:t>
            </w:r>
          </w:p>
        </w:tc>
      </w:tr>
      <w:tr>
        <w:trPr>
          <w:trHeight w:val="202"/>
        </w:trPr>
        <w:tc>
          <w:tcPr>
            <w:tcW w:w="6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Warranties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522</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240</w:t>
            </w:r>
          </w:p>
        </w:tc>
      </w:tr>
      <w:tr>
        <w:trPr>
          <w:trHeight w:val="202"/>
        </w:trPr>
        <w:tc>
          <w:tcPr>
            <w:tcW w:w="6780" w:type="dxa"/>
            <w:vAlign w:val="bottom"/>
          </w:tcPr>
          <w:p>
            <w:pPr>
              <w:ind w:left="20"/>
              <w:spacing w:after="0" w:line="201" w:lineRule="exact"/>
              <w:rPr>
                <w:sz w:val="20"/>
                <w:szCs w:val="20"/>
                <w:color w:val="auto"/>
              </w:rPr>
            </w:pPr>
            <w:r>
              <w:rPr>
                <w:rFonts w:ascii="Arial" w:cs="Arial" w:eastAsia="Arial" w:hAnsi="Arial"/>
                <w:sz w:val="18"/>
                <w:szCs w:val="18"/>
                <w:color w:val="auto"/>
              </w:rPr>
              <w:t>Other</w:t>
            </w:r>
          </w:p>
        </w:tc>
        <w:tc>
          <w:tcPr>
            <w:tcW w:w="200" w:type="dxa"/>
            <w:vAlign w:val="bottom"/>
          </w:tcPr>
          <w:p>
            <w:pPr>
              <w:spacing w:after="0"/>
              <w:rPr>
                <w:sz w:val="17"/>
                <w:szCs w:val="17"/>
                <w:color w:val="auto"/>
              </w:rPr>
            </w:pPr>
          </w:p>
        </w:tc>
        <w:tc>
          <w:tcPr>
            <w:tcW w:w="9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256</w:t>
            </w:r>
          </w:p>
        </w:tc>
      </w:tr>
      <w:tr>
        <w:trPr>
          <w:trHeight w:val="195"/>
        </w:trPr>
        <w:tc>
          <w:tcPr>
            <w:tcW w:w="6780" w:type="dxa"/>
            <w:vAlign w:val="bottom"/>
            <w:tcBorders>
              <w:top w:val="single" w:sz="8" w:color="CCEEFF"/>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top w:val="single" w:sz="8" w:color="auto"/>
              <w:bottom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4,625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2,261</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7—Property and equipment, net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following is a summary of property and equipment, net:</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June 30,</w:t>
            </w:r>
          </w:p>
        </w:tc>
        <w:tc>
          <w:tcPr>
            <w:tcW w:w="10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December 31,</w:t>
            </w:r>
          </w:p>
        </w:tc>
      </w:tr>
      <w:tr>
        <w:trPr>
          <w:trHeight w:val="157"/>
        </w:trPr>
        <w:tc>
          <w:tcPr>
            <w:tcW w:w="68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r>
      <w:tr>
        <w:trPr>
          <w:trHeight w:val="195"/>
        </w:trPr>
        <w:tc>
          <w:tcPr>
            <w:tcW w:w="68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Lab equipment</w:t>
            </w:r>
          </w:p>
        </w:tc>
        <w:tc>
          <w:tcPr>
            <w:tcW w:w="200" w:type="dxa"/>
            <w:vAlign w:val="bottom"/>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15,294</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8,941</w:t>
            </w:r>
          </w:p>
        </w:tc>
      </w:tr>
      <w:tr>
        <w:trPr>
          <w:trHeight w:val="202"/>
        </w:trPr>
        <w:tc>
          <w:tcPr>
            <w:tcW w:w="6800" w:type="dxa"/>
            <w:vAlign w:val="bottom"/>
          </w:tcPr>
          <w:p>
            <w:pPr>
              <w:ind w:left="20"/>
              <w:spacing w:after="0" w:line="201" w:lineRule="exact"/>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8,148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1,964</w:t>
            </w:r>
          </w:p>
        </w:tc>
      </w:tr>
      <w:tr>
        <w:trPr>
          <w:trHeight w:val="202"/>
        </w:trPr>
        <w:tc>
          <w:tcPr>
            <w:tcW w:w="68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13,353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5,771</w:t>
            </w:r>
          </w:p>
        </w:tc>
      </w:tr>
      <w:tr>
        <w:trPr>
          <w:trHeight w:val="202"/>
        </w:trPr>
        <w:tc>
          <w:tcPr>
            <w:tcW w:w="6800" w:type="dxa"/>
            <w:vAlign w:val="bottom"/>
          </w:tcPr>
          <w:p>
            <w:pPr>
              <w:ind w:left="20"/>
              <w:spacing w:after="0" w:line="201" w:lineRule="exact"/>
              <w:rPr>
                <w:sz w:val="20"/>
                <w:szCs w:val="20"/>
                <w:color w:val="auto"/>
              </w:rPr>
            </w:pPr>
            <w:r>
              <w:rPr>
                <w:rFonts w:ascii="Arial" w:cs="Arial" w:eastAsia="Arial" w:hAnsi="Arial"/>
                <w:sz w:val="18"/>
                <w:szCs w:val="18"/>
                <w:color w:val="auto"/>
              </w:rPr>
              <w:t>Computer software and equipment</w:t>
            </w:r>
          </w:p>
        </w:tc>
        <w:tc>
          <w:tcPr>
            <w:tcW w:w="2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601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214</w:t>
            </w:r>
          </w:p>
        </w:tc>
      </w:tr>
      <w:tr>
        <w:trPr>
          <w:trHeight w:val="202"/>
        </w:trPr>
        <w:tc>
          <w:tcPr>
            <w:tcW w:w="68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76</w:t>
            </w:r>
          </w:p>
        </w:tc>
      </w:tr>
      <w:tr>
        <w:trPr>
          <w:trHeight w:val="195"/>
        </w:trPr>
        <w:tc>
          <w:tcPr>
            <w:tcW w:w="6800" w:type="dxa"/>
            <w:vAlign w:val="bottom"/>
          </w:tcPr>
          <w:p>
            <w:pPr>
              <w:ind w:left="20"/>
              <w:spacing w:after="0" w:line="195" w:lineRule="exact"/>
              <w:rPr>
                <w:sz w:val="20"/>
                <w:szCs w:val="20"/>
                <w:color w:val="auto"/>
              </w:rPr>
            </w:pPr>
            <w:r>
              <w:rPr>
                <w:rFonts w:ascii="Arial" w:cs="Arial" w:eastAsia="Arial" w:hAnsi="Arial"/>
                <w:sz w:val="18"/>
                <w:szCs w:val="18"/>
                <w:color w:val="auto"/>
              </w:rPr>
              <w:t>Total</w:t>
            </w:r>
          </w:p>
        </w:tc>
        <w:tc>
          <w:tcPr>
            <w:tcW w:w="20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37,693</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16,966</w:t>
            </w:r>
          </w:p>
        </w:tc>
      </w:tr>
      <w:tr>
        <w:trPr>
          <w:trHeight w:val="202"/>
        </w:trPr>
        <w:tc>
          <w:tcPr>
            <w:tcW w:w="68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(3,231)</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(1,581)</w:t>
            </w:r>
          </w:p>
        </w:tc>
      </w:tr>
      <w:tr>
        <w:trPr>
          <w:trHeight w:val="195"/>
        </w:trPr>
        <w:tc>
          <w:tcPr>
            <w:tcW w:w="6800" w:type="dxa"/>
            <w:vAlign w:val="bottom"/>
          </w:tcPr>
          <w:p>
            <w:pPr>
              <w:ind w:left="20"/>
              <w:spacing w:after="0" w:line="195" w:lineRule="exact"/>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34,462</w:t>
            </w:r>
          </w:p>
        </w:tc>
        <w:tc>
          <w:tcPr>
            <w:tcW w:w="1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15,385</w:t>
            </w: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expense was $935 and $282 for the three months ended June 30, 2021 and 2020, respectively.</w:t>
      </w:r>
    </w:p>
    <w:p>
      <w:pPr>
        <w:ind w:left="60"/>
        <w:spacing w:after="0"/>
        <w:rPr>
          <w:sz w:val="20"/>
          <w:szCs w:val="20"/>
          <w:color w:val="auto"/>
        </w:rPr>
      </w:pPr>
      <w:r>
        <w:rPr>
          <w:rFonts w:ascii="Arial" w:cs="Arial" w:eastAsia="Arial" w:hAnsi="Arial"/>
          <w:sz w:val="18"/>
          <w:szCs w:val="18"/>
          <w:color w:val="auto"/>
        </w:rPr>
        <w:t>Depreciation expense was $1,653 and $482 for the six months ended June 30, 2021 and 2020, respectively.</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8—Accrued expenses and other liabilities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90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June 30,</w:t>
            </w:r>
          </w:p>
        </w:tc>
        <w:tc>
          <w:tcPr>
            <w:tcW w:w="10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7"/>
        </w:trPr>
        <w:tc>
          <w:tcPr>
            <w:tcW w:w="3900" w:type="dxa"/>
            <w:vAlign w:val="bottom"/>
            <w:tcBorders>
              <w:bottom w:val="single" w:sz="8" w:color="CCEEFF"/>
            </w:tcBorders>
          </w:tcPr>
          <w:p>
            <w:pPr>
              <w:spacing w:after="0"/>
              <w:rPr>
                <w:sz w:val="13"/>
                <w:szCs w:val="13"/>
                <w:color w:val="auto"/>
              </w:rPr>
            </w:pPr>
          </w:p>
        </w:tc>
        <w:tc>
          <w:tcPr>
            <w:tcW w:w="28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5"/>
        </w:trPr>
        <w:tc>
          <w:tcPr>
            <w:tcW w:w="39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Payroll and bonuses</w:t>
            </w:r>
          </w:p>
        </w:tc>
        <w:tc>
          <w:tcPr>
            <w:tcW w:w="28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2,034</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line="201" w:lineRule="exact"/>
              <w:rPr>
                <w:sz w:val="20"/>
                <w:szCs w:val="20"/>
                <w:color w:val="auto"/>
              </w:rPr>
            </w:pPr>
            <w:r>
              <w:rPr>
                <w:rFonts w:ascii="Arial" w:cs="Arial" w:eastAsia="Arial" w:hAnsi="Arial"/>
                <w:sz w:val="18"/>
                <w:szCs w:val="18"/>
                <w:color w:val="auto"/>
              </w:rPr>
              <w:t>Interest</w:t>
            </w: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80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Professional and legal fees</w:t>
            </w:r>
          </w:p>
        </w:tc>
        <w:tc>
          <w:tcPr>
            <w:tcW w:w="2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4,056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line="201" w:lineRule="exact"/>
              <w:rPr>
                <w:sz w:val="20"/>
                <w:szCs w:val="20"/>
                <w:color w:val="auto"/>
              </w:rPr>
            </w:pPr>
            <w:r>
              <w:rPr>
                <w:rFonts w:ascii="Arial" w:cs="Arial" w:eastAsia="Arial" w:hAnsi="Arial"/>
                <w:sz w:val="18"/>
                <w:szCs w:val="18"/>
                <w:color w:val="auto"/>
              </w:rPr>
              <w:t>Operating lease liability, current</w:t>
            </w: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594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Other</w:t>
            </w:r>
          </w:p>
        </w:tc>
        <w:tc>
          <w:tcPr>
            <w:tcW w:w="28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5"/>
        </w:trPr>
        <w:tc>
          <w:tcPr>
            <w:tcW w:w="3900" w:type="dxa"/>
            <w:vAlign w:val="bottom"/>
          </w:tcPr>
          <w:p>
            <w:pPr>
              <w:ind w:left="20"/>
              <w:spacing w:after="0" w:line="195" w:lineRule="exact"/>
              <w:rPr>
                <w:sz w:val="20"/>
                <w:szCs w:val="20"/>
                <w:color w:val="auto"/>
              </w:rPr>
            </w:pPr>
            <w:r>
              <w:rPr>
                <w:rFonts w:ascii="Arial" w:cs="Arial" w:eastAsia="Arial" w:hAnsi="Arial"/>
                <w:sz w:val="18"/>
                <w:szCs w:val="18"/>
                <w:color w:val="auto"/>
              </w:rPr>
              <w:t>Total accrued expenses and other liabilities</w:t>
            </w:r>
          </w:p>
        </w:tc>
        <w:tc>
          <w:tcPr>
            <w:tcW w:w="2880" w:type="dxa"/>
            <w:vAlign w:val="bottom"/>
          </w:tcPr>
          <w:p>
            <w:pPr>
              <w:spacing w:after="0"/>
              <w:rPr>
                <w:sz w:val="16"/>
                <w:szCs w:val="16"/>
                <w:color w:val="auto"/>
              </w:rPr>
            </w:pPr>
          </w:p>
        </w:tc>
        <w:tc>
          <w:tcPr>
            <w:tcW w:w="2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6,832</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80" w:type="dxa"/>
            <w:vAlign w:val="bottom"/>
            <w:vMerge w:val="restart"/>
          </w:tcPr>
          <w:p>
            <w:pPr>
              <w:jc w:val="right"/>
              <w:ind w:right="213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5"/>
        </w:trPr>
        <w:tc>
          <w:tcPr>
            <w:tcW w:w="39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39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9"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9—Long-term debt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the Company’s indebtedness: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5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June 30, 2021   December 31, 2020</w:t>
            </w:r>
          </w:p>
        </w:tc>
      </w:tr>
      <w:tr>
        <w:trPr>
          <w:trHeight w:val="195"/>
        </w:trPr>
        <w:tc>
          <w:tcPr>
            <w:tcW w:w="55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Principal</w:t>
            </w:r>
          </w:p>
        </w:tc>
        <w:tc>
          <w:tcPr>
            <w:tcW w:w="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10,000</w:t>
            </w:r>
          </w:p>
        </w:tc>
      </w:tr>
      <w:tr>
        <w:trPr>
          <w:trHeight w:val="202"/>
        </w:trPr>
        <w:tc>
          <w:tcPr>
            <w:tcW w:w="5540" w:type="dxa"/>
            <w:vAlign w:val="bottom"/>
          </w:tcPr>
          <w:p>
            <w:pPr>
              <w:spacing w:after="0" w:line="201" w:lineRule="exact"/>
              <w:rPr>
                <w:sz w:val="20"/>
                <w:szCs w:val="20"/>
                <w:color w:val="auto"/>
              </w:rPr>
            </w:pPr>
            <w:r>
              <w:rPr>
                <w:rFonts w:ascii="Arial" w:cs="Arial" w:eastAsia="Arial" w:hAnsi="Arial"/>
                <w:sz w:val="18"/>
                <w:szCs w:val="18"/>
                <w:color w:val="auto"/>
              </w:rPr>
              <w:t>Less: Debt discount attributable to warrants, net of accretion</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(43)</w:t>
            </w: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Unamortized deferred financing cost, net of accretion</w:t>
            </w:r>
          </w:p>
        </w:tc>
        <w:tc>
          <w:tcPr>
            <w:tcW w:w="8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(321)</w:t>
            </w:r>
          </w:p>
        </w:tc>
      </w:tr>
      <w:tr>
        <w:trPr>
          <w:trHeight w:val="195"/>
        </w:trPr>
        <w:tc>
          <w:tcPr>
            <w:tcW w:w="5540" w:type="dxa"/>
            <w:vAlign w:val="bottom"/>
          </w:tcPr>
          <w:p>
            <w:pPr>
              <w:spacing w:after="0" w:line="195" w:lineRule="exact"/>
              <w:rPr>
                <w:sz w:val="20"/>
                <w:szCs w:val="20"/>
                <w:color w:val="auto"/>
              </w:rPr>
            </w:pPr>
            <w:r>
              <w:rPr>
                <w:rFonts w:ascii="Arial" w:cs="Arial" w:eastAsia="Arial" w:hAnsi="Arial"/>
                <w:sz w:val="18"/>
                <w:szCs w:val="18"/>
                <w:color w:val="auto"/>
              </w:rPr>
              <w:t>Long-term debt, net</w:t>
            </w:r>
          </w:p>
        </w:tc>
        <w:tc>
          <w:tcPr>
            <w:tcW w:w="8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9,788</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9,636</w:t>
            </w:r>
          </w:p>
        </w:tc>
      </w:tr>
      <w:tr>
        <w:trPr>
          <w:trHeight w:val="20"/>
        </w:trPr>
        <w:tc>
          <w:tcPr>
            <w:tcW w:w="5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$ 10.0 million (the “Tranche 2 Advance”). The remaining $10.0 million tranche (“Tranche 3 Advance”) is subject to Hercules’ investment committee’s sole discretion.</w:t>
      </w:r>
    </w:p>
    <w:p>
      <w:pPr>
        <w:spacing w:after="0" w:line="164" w:lineRule="exact"/>
        <w:rPr>
          <w:sz w:val="20"/>
          <w:szCs w:val="20"/>
          <w:color w:val="auto"/>
        </w:rPr>
      </w:pPr>
    </w:p>
    <w:p>
      <w:pPr>
        <w:ind w:left="60" w:right="239"/>
        <w:spacing w:after="0" w:line="247" w:lineRule="auto"/>
        <w:rPr>
          <w:sz w:val="20"/>
          <w:szCs w:val="20"/>
          <w:color w:val="auto"/>
        </w:rPr>
      </w:pPr>
      <w:r>
        <w:rPr>
          <w:rFonts w:ascii="Arial" w:cs="Arial" w:eastAsia="Arial" w:hAnsi="Arial"/>
          <w:sz w:val="17"/>
          <w:szCs w:val="17"/>
          <w:color w:val="auto"/>
        </w:rPr>
        <w:t>The Loan Agreement has a four-year term, has a minimum cash covenant and an interest-only period of up to 24 months. If the Tranche 2 Advance is not drawn or the Company has achieved certain development milestones by September 30, 2021, then there is no minimum cash requirement. The Company was in compliance with all provisions of the Loan Agreement as of June 30, 2021. Amounts borrowed under the Loan Agreement accrue interest at a floating rate per annum (based on a year of 360 days) equal to (i) the sum of</w:t>
      </w:r>
    </w:p>
    <w:p>
      <w:pPr>
        <w:spacing w:after="0" w:line="3" w:lineRule="exact"/>
        <w:rPr>
          <w:sz w:val="20"/>
          <w:szCs w:val="20"/>
          <w:color w:val="auto"/>
        </w:rPr>
      </w:pPr>
    </w:p>
    <w:p>
      <w:pPr>
        <w:ind w:left="60" w:right="239" w:hanging="10"/>
        <w:spacing w:after="0" w:line="239" w:lineRule="auto"/>
        <w:tabs>
          <w:tab w:leader="none" w:pos="329"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greater of 6.30% plus (b)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last business day of the month that immediately precedes the month in which the interest will accrue or (ii) 9.55%. The interest rate as of June 30, 2021 was 9.55%.</w:t>
      </w:r>
    </w:p>
    <w:p>
      <w:pPr>
        <w:spacing w:after="0" w:line="16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incurred $ 410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178" w:lineRule="exact"/>
        <w:rPr>
          <w:sz w:val="20"/>
          <w:szCs w:val="20"/>
          <w:color w:val="auto"/>
        </w:rPr>
      </w:pPr>
    </w:p>
    <w:p>
      <w:pPr>
        <w:ind w:left="60" w:right="679"/>
        <w:spacing w:after="0" w:line="244" w:lineRule="auto"/>
        <w:rPr>
          <w:sz w:val="20"/>
          <w:szCs w:val="20"/>
          <w:color w:val="auto"/>
        </w:rPr>
      </w:pPr>
      <w:r>
        <w:rPr>
          <w:rFonts w:ascii="Arial" w:cs="Arial" w:eastAsia="Arial" w:hAnsi="Arial"/>
          <w:sz w:val="18"/>
          <w:szCs w:val="18"/>
          <w:color w:val="auto"/>
        </w:rPr>
        <w:t>The Company granted Hercules a lien on substantially all of the Company’s assets, excluding intellectual property.</w:t>
      </w:r>
    </w:p>
    <w:p>
      <w:pPr>
        <w:spacing w:after="0" w:line="158"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 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of the Loan Agreement is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color w:val="auto"/>
              </w:rPr>
              <w:t>For the Three</w:t>
            </w:r>
          </w:p>
        </w:tc>
        <w:tc>
          <w:tcPr>
            <w:tcW w:w="11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For the Three</w:t>
            </w: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For the Six</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 Six</w:t>
            </w:r>
          </w:p>
        </w:tc>
        <w:tc>
          <w:tcPr>
            <w:tcW w:w="20" w:type="dxa"/>
            <w:vAlign w:val="bottom"/>
          </w:tcPr>
          <w:p>
            <w:pPr>
              <w:spacing w:after="0"/>
              <w:rPr>
                <w:sz w:val="15"/>
                <w:szCs w:val="15"/>
                <w:color w:val="auto"/>
              </w:rPr>
            </w:pPr>
          </w:p>
        </w:tc>
      </w:tr>
      <w:tr>
        <w:trPr>
          <w:trHeight w:val="16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Months Ended</w:t>
            </w: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Months Ended</w:t>
            </w:r>
          </w:p>
        </w:tc>
        <w:tc>
          <w:tcPr>
            <w:tcW w:w="1180" w:type="dxa"/>
            <w:vAlign w:val="bottom"/>
            <w:gridSpan w:val="3"/>
          </w:tcPr>
          <w:p>
            <w:pPr>
              <w:jc w:val="right"/>
              <w:ind w:right="200"/>
              <w:spacing w:after="0"/>
              <w:rPr>
                <w:sz w:val="20"/>
                <w:szCs w:val="20"/>
                <w:color w:val="auto"/>
              </w:rPr>
            </w:pPr>
            <w:r>
              <w:rPr>
                <w:rFonts w:ascii="Arial" w:cs="Arial" w:eastAsia="Arial" w:hAnsi="Arial"/>
                <w:sz w:val="14"/>
                <w:szCs w:val="14"/>
                <w:color w:val="auto"/>
              </w:rPr>
              <w:t>Months Ended</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Months Ended</w:t>
            </w:r>
          </w:p>
        </w:tc>
        <w:tc>
          <w:tcPr>
            <w:tcW w:w="20" w:type="dxa"/>
            <w:vAlign w:val="bottom"/>
          </w:tcPr>
          <w:p>
            <w:pPr>
              <w:spacing w:after="0"/>
              <w:rPr>
                <w:sz w:val="14"/>
                <w:szCs w:val="14"/>
                <w:color w:val="auto"/>
              </w:rPr>
            </w:pPr>
          </w:p>
        </w:tc>
      </w:tr>
      <w:tr>
        <w:trPr>
          <w:trHeight w:val="157"/>
        </w:trPr>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June 30, 2021</w:t>
            </w:r>
          </w:p>
        </w:tc>
        <w:tc>
          <w:tcPr>
            <w:tcW w:w="116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June 30, 2020</w:t>
            </w:r>
          </w:p>
        </w:tc>
        <w:tc>
          <w:tcPr>
            <w:tcW w:w="1180" w:type="dxa"/>
            <w:vAlign w:val="bottom"/>
            <w:gridSpan w:val="3"/>
          </w:tcPr>
          <w:p>
            <w:pPr>
              <w:jc w:val="right"/>
              <w:ind w:right="200"/>
              <w:spacing w:after="0" w:line="157" w:lineRule="exact"/>
              <w:rPr>
                <w:sz w:val="20"/>
                <w:szCs w:val="20"/>
                <w:color w:val="auto"/>
              </w:rPr>
            </w:pPr>
            <w:r>
              <w:rPr>
                <w:rFonts w:ascii="Arial" w:cs="Arial" w:eastAsia="Arial" w:hAnsi="Arial"/>
                <w:sz w:val="14"/>
                <w:szCs w:val="14"/>
                <w:color w:val="auto"/>
              </w:rPr>
              <w:t>June 30, 2021</w:t>
            </w:r>
          </w:p>
        </w:tc>
        <w:tc>
          <w:tcPr>
            <w:tcW w:w="10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June 30, 2020</w:t>
            </w:r>
          </w:p>
        </w:tc>
        <w:tc>
          <w:tcPr>
            <w:tcW w:w="20" w:type="dxa"/>
            <w:vAlign w:val="bottom"/>
          </w:tcPr>
          <w:p>
            <w:pPr>
              <w:spacing w:after="0"/>
              <w:rPr>
                <w:sz w:val="13"/>
                <w:szCs w:val="13"/>
                <w:color w:val="auto"/>
              </w:rPr>
            </w:pPr>
          </w:p>
        </w:tc>
      </w:tr>
      <w:tr>
        <w:trPr>
          <w:trHeight w:val="195"/>
        </w:trPr>
        <w:tc>
          <w:tcPr>
            <w:tcW w:w="428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242</w:t>
            </w: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41"/>
              <w:spacing w:after="0" w:line="195"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9"/>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480</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6"/>
                <w:szCs w:val="16"/>
                <w:color w:val="auto"/>
              </w:rPr>
            </w:pPr>
          </w:p>
        </w:tc>
      </w:tr>
      <w:tr>
        <w:trPr>
          <w:trHeight w:val="201"/>
        </w:trPr>
        <w:tc>
          <w:tcPr>
            <w:tcW w:w="4280" w:type="dxa"/>
            <w:vAlign w:val="bottom"/>
          </w:tcPr>
          <w:p>
            <w:pPr>
              <w:ind w:left="20"/>
              <w:spacing w:after="0" w:line="201" w:lineRule="exact"/>
              <w:rPr>
                <w:sz w:val="20"/>
                <w:szCs w:val="20"/>
                <w:color w:val="auto"/>
              </w:rPr>
            </w:pPr>
            <w:r>
              <w:rPr>
                <w:rFonts w:ascii="Arial" w:cs="Arial" w:eastAsia="Arial" w:hAnsi="Arial"/>
                <w:sz w:val="18"/>
                <w:szCs w:val="18"/>
                <w:color w:val="auto"/>
              </w:rPr>
              <w:t>Amortization of debt issuance costs, including end of</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term fee accretion</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5"/>
        </w:trPr>
        <w:tc>
          <w:tcPr>
            <w:tcW w:w="4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318</w:t>
            </w: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41"/>
              <w:spacing w:after="0" w:line="195"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19"/>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632</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6"/>
                <w:szCs w:val="16"/>
                <w:color w:val="auto"/>
              </w:rPr>
            </w:pPr>
          </w:p>
        </w:tc>
      </w:tr>
      <w:tr>
        <w:trPr>
          <w:trHeight w:val="841"/>
        </w:trPr>
        <w:tc>
          <w:tcPr>
            <w:tcW w:w="4280" w:type="dxa"/>
            <w:vAlign w:val="bottom"/>
          </w:tcPr>
          <w:p>
            <w:pPr>
              <w:spacing w:after="0"/>
              <w:rPr>
                <w:sz w:val="24"/>
                <w:szCs w:val="24"/>
                <w:color w:val="auto"/>
              </w:rPr>
            </w:pPr>
          </w:p>
        </w:tc>
        <w:tc>
          <w:tcPr>
            <w:tcW w:w="540" w:type="dxa"/>
            <w:vAlign w:val="bottom"/>
            <w:gridSpan w:val="2"/>
          </w:tcPr>
          <w:p>
            <w:pPr>
              <w:jc w:val="right"/>
              <w:ind w:right="181"/>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5"/>
        </w:trPr>
        <w:tc>
          <w:tcPr>
            <w:tcW w:w="4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29"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619"/>
        <w:spacing w:after="0" w:line="244" w:lineRule="auto"/>
        <w:rPr>
          <w:sz w:val="20"/>
          <w:szCs w:val="20"/>
          <w:color w:val="auto"/>
        </w:rPr>
      </w:pPr>
      <w:r>
        <w:rPr>
          <w:rFonts w:ascii="Arial" w:cs="Arial" w:eastAsia="Arial" w:hAnsi="Arial"/>
          <w:sz w:val="18"/>
          <w:szCs w:val="18"/>
          <w:color w:val="auto"/>
        </w:rPr>
        <w:t>Included in accrued expenses in the accompanying consolidated balance sheets as of June 30, 2021 and December 31, 2020 were $80 and $82 of accrued interest.</w:t>
      </w:r>
    </w:p>
    <w:p>
      <w:pPr>
        <w:spacing w:after="0" w:line="171" w:lineRule="exact"/>
        <w:rPr>
          <w:sz w:val="20"/>
          <w:szCs w:val="20"/>
          <w:color w:val="auto"/>
        </w:rPr>
      </w:pPr>
    </w:p>
    <w:p>
      <w:pPr>
        <w:ind w:left="60" w:right="539"/>
        <w:spacing w:after="0" w:line="244" w:lineRule="auto"/>
        <w:rPr>
          <w:sz w:val="20"/>
          <w:szCs w:val="20"/>
          <w:color w:val="auto"/>
        </w:rPr>
      </w:pPr>
      <w:r>
        <w:rPr>
          <w:rFonts w:ascii="Arial" w:cs="Arial" w:eastAsia="Arial" w:hAnsi="Arial"/>
          <w:sz w:val="18"/>
          <w:szCs w:val="18"/>
          <w:color w:val="auto"/>
        </w:rPr>
        <w:t>Future principal payments due (including the end of term fee) under the Loan Agreement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126365</wp:posOffset>
            </wp:positionV>
            <wp:extent cx="56546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4675" cy="8255"/>
                    </a:xfrm>
                    <a:prstGeom prst="rect">
                      <a:avLst/>
                    </a:prstGeom>
                    <a:noFill/>
                  </pic:spPr>
                </pic:pic>
              </a:graphicData>
            </a:graphic>
          </wp:anchor>
        </w:drawing>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Principal Payments</w:t>
            </w:r>
          </w:p>
        </w:tc>
      </w:tr>
      <w:tr>
        <w:trPr>
          <w:trHeight w:val="195"/>
        </w:trPr>
        <w:tc>
          <w:tcPr>
            <w:tcW w:w="7500" w:type="dxa"/>
            <w:vAlign w:val="bottom"/>
            <w:shd w:val="clear" w:color="auto" w:fill="CCEEFF"/>
          </w:tcPr>
          <w:p>
            <w:pPr>
              <w:jc w:val="right"/>
              <w:ind w:right="7010"/>
              <w:spacing w:after="0" w:line="195" w:lineRule="exact"/>
              <w:rPr>
                <w:sz w:val="20"/>
                <w:szCs w:val="20"/>
                <w:color w:val="auto"/>
              </w:rPr>
            </w:pPr>
            <w:r>
              <w:rPr>
                <w:rFonts w:ascii="Arial" w:cs="Arial" w:eastAsia="Arial" w:hAnsi="Arial"/>
                <w:sz w:val="18"/>
                <w:szCs w:val="18"/>
                <w:color w:val="231F20"/>
                <w:w w:val="94"/>
              </w:rPr>
              <w:t>2021</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231F20"/>
                <w:w w:val="79"/>
              </w:rPr>
              <w:t>$</w:t>
            </w:r>
          </w:p>
        </w:tc>
        <w:tc>
          <w:tcPr>
            <w:tcW w:w="13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231F20"/>
              </w:rPr>
              <w:t>—</w:t>
            </w:r>
          </w:p>
        </w:tc>
      </w:tr>
      <w:tr>
        <w:trPr>
          <w:trHeight w:val="202"/>
        </w:trPr>
        <w:tc>
          <w:tcPr>
            <w:tcW w:w="7500" w:type="dxa"/>
            <w:vAlign w:val="bottom"/>
          </w:tcPr>
          <w:p>
            <w:pPr>
              <w:jc w:val="right"/>
              <w:ind w:right="7010"/>
              <w:spacing w:after="0" w:line="201" w:lineRule="exact"/>
              <w:rPr>
                <w:sz w:val="20"/>
                <w:szCs w:val="20"/>
                <w:color w:val="auto"/>
              </w:rPr>
            </w:pPr>
            <w:r>
              <w:rPr>
                <w:rFonts w:ascii="Arial" w:cs="Arial" w:eastAsia="Arial" w:hAnsi="Arial"/>
                <w:sz w:val="18"/>
                <w:szCs w:val="18"/>
                <w:color w:val="231F20"/>
                <w:w w:val="94"/>
              </w:rPr>
              <w:t>2022</w:t>
            </w:r>
          </w:p>
        </w:tc>
        <w:tc>
          <w:tcPr>
            <w:tcW w:w="12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231F20"/>
              </w:rPr>
              <w:t>1,039</w:t>
            </w:r>
          </w:p>
        </w:tc>
      </w:tr>
      <w:tr>
        <w:trPr>
          <w:trHeight w:val="202"/>
        </w:trPr>
        <w:tc>
          <w:tcPr>
            <w:tcW w:w="7500" w:type="dxa"/>
            <w:vAlign w:val="bottom"/>
            <w:shd w:val="clear" w:color="auto" w:fill="CCEEFF"/>
          </w:tcPr>
          <w:p>
            <w:pPr>
              <w:jc w:val="right"/>
              <w:ind w:right="7010"/>
              <w:spacing w:after="0" w:line="201" w:lineRule="exact"/>
              <w:rPr>
                <w:sz w:val="20"/>
                <w:szCs w:val="20"/>
                <w:color w:val="auto"/>
              </w:rPr>
            </w:pPr>
            <w:r>
              <w:rPr>
                <w:rFonts w:ascii="Arial" w:cs="Arial" w:eastAsia="Arial" w:hAnsi="Arial"/>
                <w:sz w:val="18"/>
                <w:szCs w:val="18"/>
                <w:color w:val="231F20"/>
                <w:w w:val="94"/>
              </w:rPr>
              <w:t>2023</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231F20"/>
              </w:rPr>
              <w:t>6,603</w:t>
            </w:r>
          </w:p>
        </w:tc>
      </w:tr>
      <w:tr>
        <w:trPr>
          <w:trHeight w:val="202"/>
        </w:trPr>
        <w:tc>
          <w:tcPr>
            <w:tcW w:w="7500" w:type="dxa"/>
            <w:vAlign w:val="bottom"/>
          </w:tcPr>
          <w:p>
            <w:pPr>
              <w:jc w:val="right"/>
              <w:ind w:right="7010"/>
              <w:spacing w:after="0" w:line="201" w:lineRule="exact"/>
              <w:rPr>
                <w:sz w:val="20"/>
                <w:szCs w:val="20"/>
                <w:color w:val="auto"/>
              </w:rPr>
            </w:pPr>
            <w:r>
              <w:rPr>
                <w:rFonts w:ascii="Arial" w:cs="Arial" w:eastAsia="Arial" w:hAnsi="Arial"/>
                <w:sz w:val="18"/>
                <w:szCs w:val="18"/>
                <w:color w:val="231F20"/>
                <w:w w:val="94"/>
              </w:rPr>
              <w:t>2024</w:t>
            </w:r>
          </w:p>
        </w:tc>
        <w:tc>
          <w:tcPr>
            <w:tcW w:w="12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231F20"/>
              </w:rPr>
              <w:t>2,753</w:t>
            </w:r>
          </w:p>
        </w:tc>
      </w:tr>
      <w:tr>
        <w:trPr>
          <w:trHeight w:val="202"/>
        </w:trPr>
        <w:tc>
          <w:tcPr>
            <w:tcW w:w="7500" w:type="dxa"/>
            <w:vAlign w:val="bottom"/>
            <w:shd w:val="clear" w:color="auto" w:fill="CCEEFF"/>
          </w:tcPr>
          <w:p>
            <w:pPr>
              <w:jc w:val="right"/>
              <w:ind w:right="7010"/>
              <w:spacing w:after="0" w:line="201" w:lineRule="exact"/>
              <w:rPr>
                <w:sz w:val="20"/>
                <w:szCs w:val="20"/>
                <w:color w:val="auto"/>
              </w:rPr>
            </w:pPr>
            <w:r>
              <w:rPr>
                <w:rFonts w:ascii="Arial" w:cs="Arial" w:eastAsia="Arial" w:hAnsi="Arial"/>
                <w:sz w:val="18"/>
                <w:szCs w:val="18"/>
                <w:color w:val="231F20"/>
                <w:w w:val="94"/>
              </w:rPr>
              <w:t>2025</w:t>
            </w: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231F20"/>
              </w:rPr>
              <w:t>—</w:t>
            </w:r>
          </w:p>
        </w:tc>
      </w:tr>
      <w:tr>
        <w:trPr>
          <w:trHeight w:val="195"/>
        </w:trPr>
        <w:tc>
          <w:tcPr>
            <w:tcW w:w="7500" w:type="dxa"/>
            <w:vAlign w:val="bottom"/>
          </w:tcPr>
          <w:p>
            <w:pPr>
              <w:jc w:val="right"/>
              <w:ind w:right="5570"/>
              <w:spacing w:after="0" w:line="195" w:lineRule="exact"/>
              <w:rPr>
                <w:sz w:val="20"/>
                <w:szCs w:val="20"/>
                <w:color w:val="auto"/>
              </w:rPr>
            </w:pPr>
            <w:r>
              <w:rPr>
                <w:rFonts w:ascii="Arial" w:cs="Arial" w:eastAsia="Arial" w:hAnsi="Arial"/>
                <w:sz w:val="18"/>
                <w:szCs w:val="18"/>
                <w:color w:val="231F20"/>
              </w:rPr>
              <w:t>Total future payments</w:t>
            </w:r>
          </w:p>
        </w:tc>
        <w:tc>
          <w:tcPr>
            <w:tcW w:w="1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231F20"/>
                <w:w w:val="79"/>
              </w:rPr>
              <w:t>$</w:t>
            </w:r>
          </w:p>
        </w:tc>
        <w:tc>
          <w:tcPr>
            <w:tcW w:w="13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231F20"/>
              </w:rPr>
              <w:t>10,395</w:t>
            </w: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10—Stockholders’ Equity (Deficit)</w:t>
      </w:r>
    </w:p>
    <w:p>
      <w:pPr>
        <w:spacing w:after="0" w:line="17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 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16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 per shares for gross proceeds of $160,000.</w:t>
      </w:r>
    </w:p>
    <w:p>
      <w:pPr>
        <w:spacing w:after="0" w:line="174"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Pursuant to its Amended Articles of Incorporation filed on February 25, 2021, the Company was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6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On June 22, 2021 when the Company closed its IPO, all outstanding shares of the Series A Preferred Stock, Series B Preferred Stock, and Series C Preferred Stock were converted into an aggregate of 34,126,528 shares of Common Stock automatically and without any action on the part of the holder thereof. The per share conversion price of each of the Series A Preferred Stock, Series B Preferred Stock, and Series C Preferred Stock was equal to $1.00, $5.55 and $6.472, respectively. The Company is authorized to issue up to 300,000,000 shares of common stock with a par value of $0.0001 per share and 10,000,000 shares of undesignated preferred stock with a par value of $0.0001 per share.</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11—Commitments and contingencies</w:t>
      </w:r>
    </w:p>
    <w:p>
      <w:pPr>
        <w:spacing w:after="0" w:line="17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Distributed Bio Master Service Agreement</w:t>
      </w:r>
    </w:p>
    <w:p>
      <w:pPr>
        <w:spacing w:after="0" w:line="188" w:lineRule="exact"/>
        <w:rPr>
          <w:sz w:val="20"/>
          <w:szCs w:val="20"/>
          <w:color w:val="auto"/>
        </w:rPr>
      </w:pPr>
    </w:p>
    <w:p>
      <w:pPr>
        <w:ind w:left="60" w:right="439"/>
        <w:spacing w:after="0" w:line="273" w:lineRule="auto"/>
        <w:rPr>
          <w:sz w:val="20"/>
          <w:szCs w:val="20"/>
          <w:color w:val="auto"/>
        </w:rPr>
      </w:pPr>
      <w:r>
        <w:rPr>
          <w:rFonts w:ascii="Arial" w:cs="Arial" w:eastAsia="Arial" w:hAnsi="Arial"/>
          <w:sz w:val="17"/>
          <w:szCs w:val="17"/>
          <w:color w:val="auto"/>
        </w:rPr>
        <w:t>On July 24, 2019, the Company entered into a Master Service Agreement with Distributed Bio, Inc (“DBio”), whereby DBio will screen for protein binders that bind to specific therapeutic targets. The Company pays for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w:t>
      </w:r>
    </w:p>
    <w:p>
      <w:pPr>
        <w:spacing w:after="0" w:line="175" w:lineRule="exact"/>
        <w:rPr>
          <w:sz w:val="20"/>
          <w:szCs w:val="20"/>
          <w:color w:val="auto"/>
        </w:rPr>
      </w:pPr>
    </w:p>
    <w:p>
      <w:pPr>
        <w:jc w:val="both"/>
        <w:ind w:left="60" w:right="119"/>
        <w:spacing w:after="0" w:line="239" w:lineRule="auto"/>
        <w:rPr>
          <w:sz w:val="20"/>
          <w:szCs w:val="20"/>
          <w:color w:val="auto"/>
        </w:rPr>
      </w:pPr>
      <w:r>
        <w:rPr>
          <w:rFonts w:ascii="Arial" w:cs="Arial" w:eastAsia="Arial" w:hAnsi="Arial"/>
          <w:sz w:val="18"/>
          <w:szCs w:val="18"/>
          <w:color w:val="auto"/>
        </w:rPr>
        <w:t>The Company had accrued expenses of $186 and $244 within accrued expenses and other liabilities as of June 30, 2021 and December 31, 2020, respectively, in its consolidated balance sheets related to the Master Service Agreement.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iCELL Inc. Sublicense Agreement</w:t>
      </w:r>
    </w:p>
    <w:p>
      <w:pPr>
        <w:spacing w:after="0" w:line="188"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one- time sales milestones for the first time sales of the licensed product exceeding thresholds in a single calendar year, to a maximum of $70,000. iCELL will receive payments of up to $4,250 in development and regulatory approval milestone payments.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12—Leases</w:t>
      </w:r>
    </w:p>
    <w:p>
      <w:pPr>
        <w:spacing w:after="0" w:line="183" w:lineRule="exact"/>
        <w:rPr>
          <w:sz w:val="20"/>
          <w:szCs w:val="20"/>
          <w:color w:val="auto"/>
        </w:rPr>
      </w:pPr>
    </w:p>
    <w:p>
      <w:pPr>
        <w:ind w:left="60" w:right="599"/>
        <w:spacing w:after="0" w:line="237"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$1,042 and $909 within security deposits in its consolidated balance sheets at June 30, 2021 and December 31, 2020, respectively. The Company’s leases have initial lease terms ranging from 5 to 16 years. Certain lease agreements contain provisions for future rent increases.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7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For the</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 w:type="dxa"/>
            <w:vAlign w:val="bottom"/>
          </w:tcPr>
          <w:p>
            <w:pPr>
              <w:spacing w:after="0"/>
              <w:rPr>
                <w:sz w:val="15"/>
                <w:szCs w:val="15"/>
                <w:color w:val="auto"/>
              </w:rPr>
            </w:pPr>
          </w:p>
        </w:tc>
      </w:t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color w:val="auto"/>
              </w:rPr>
              <w:t>Six Months Ended</w:t>
            </w:r>
          </w:p>
        </w:tc>
        <w:tc>
          <w:tcPr>
            <w:tcW w:w="60" w:type="dxa"/>
            <w:vAlign w:val="bottom"/>
          </w:tcPr>
          <w:p>
            <w:pPr>
              <w:spacing w:after="0"/>
              <w:rPr>
                <w:sz w:val="14"/>
                <w:szCs w:val="14"/>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4"/>
                <w:szCs w:val="14"/>
                <w:color w:val="auto"/>
              </w:rPr>
              <w:t>Six Months Ended</w:t>
            </w:r>
          </w:p>
        </w:tc>
      </w:tr>
      <w:tr>
        <w:trPr>
          <w:trHeight w:val="157"/>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June 30, 2021</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June 30, 2020</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June 30, 2021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June 30, 2020</w:t>
            </w:r>
          </w:p>
        </w:tc>
      </w:tr>
      <w:tr>
        <w:trPr>
          <w:trHeight w:val="195"/>
        </w:trPr>
        <w:tc>
          <w:tcPr>
            <w:tcW w:w="20" w:type="dxa"/>
            <w:vAlign w:val="bottom"/>
          </w:tcPr>
          <w:p>
            <w:pPr>
              <w:spacing w:after="0"/>
              <w:rPr>
                <w:sz w:val="16"/>
                <w:szCs w:val="16"/>
                <w:color w:val="auto"/>
              </w:rPr>
            </w:pPr>
          </w:p>
        </w:tc>
        <w:tc>
          <w:tcPr>
            <w:tcW w:w="27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Operating lease expense:</w:t>
            </w: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100"/>
              <w:spacing w:after="0" w:line="201" w:lineRule="exact"/>
              <w:rPr>
                <w:sz w:val="20"/>
                <w:szCs w:val="20"/>
                <w:color w:val="auto"/>
              </w:rPr>
            </w:pPr>
            <w:r>
              <w:rPr>
                <w:rFonts w:ascii="Arial" w:cs="Arial" w:eastAsia="Arial" w:hAnsi="Arial"/>
                <w:sz w:val="18"/>
                <w:szCs w:val="18"/>
                <w:color w:val="auto"/>
              </w:rPr>
              <w:t>Fixed lease cost</w:t>
            </w:r>
          </w:p>
        </w:tc>
        <w:tc>
          <w:tcPr>
            <w:tcW w:w="600" w:type="dxa"/>
            <w:vAlign w:val="bottom"/>
            <w:gridSpan w:val="2"/>
          </w:tcPr>
          <w:p>
            <w:pPr>
              <w:jc w:val="right"/>
              <w:ind w:right="99"/>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514</w:t>
            </w:r>
          </w:p>
        </w:tc>
        <w:tc>
          <w:tcPr>
            <w:tcW w:w="480" w:type="dxa"/>
            <w:vAlign w:val="bottom"/>
            <w:gridSpan w:val="2"/>
          </w:tcPr>
          <w:p>
            <w:pPr>
              <w:jc w:val="right"/>
              <w:ind w:right="102"/>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126</w:t>
            </w:r>
          </w:p>
        </w:tc>
        <w:tc>
          <w:tcPr>
            <w:tcW w:w="480" w:type="dxa"/>
            <w:vAlign w:val="bottom"/>
            <w:gridSpan w:val="2"/>
          </w:tcPr>
          <w:p>
            <w:pPr>
              <w:jc w:val="right"/>
              <w:ind w:right="99"/>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1,062</w:t>
            </w:r>
          </w:p>
        </w:tc>
        <w:tc>
          <w:tcPr>
            <w:tcW w:w="140" w:type="dxa"/>
            <w:vAlign w:val="bottom"/>
          </w:tcPr>
          <w:p>
            <w:pPr>
              <w:spacing w:after="0"/>
              <w:rPr>
                <w:sz w:val="17"/>
                <w:szCs w:val="17"/>
                <w:color w:val="auto"/>
              </w:rPr>
            </w:pPr>
          </w:p>
        </w:tc>
        <w:tc>
          <w:tcPr>
            <w:tcW w:w="24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252</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Variable lease cost</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700" w:type="dxa"/>
            <w:vAlign w:val="bottom"/>
            <w:tcBorders>
              <w:bottom w:val="single" w:sz="8" w:color="CCEEFF"/>
            </w:tcBorders>
          </w:tcPr>
          <w:p>
            <w:pPr>
              <w:ind w:left="100"/>
              <w:spacing w:after="0" w:line="201" w:lineRule="exact"/>
              <w:rPr>
                <w:sz w:val="20"/>
                <w:szCs w:val="20"/>
                <w:color w:val="auto"/>
              </w:rPr>
            </w:pPr>
            <w:r>
              <w:rPr>
                <w:rFonts w:ascii="Arial" w:cs="Arial" w:eastAsia="Arial" w:hAnsi="Arial"/>
                <w:sz w:val="18"/>
                <w:szCs w:val="18"/>
                <w:color w:val="auto"/>
              </w:rPr>
              <w:t>Short term lease expense</w:t>
            </w:r>
          </w:p>
        </w:tc>
        <w:tc>
          <w:tcPr>
            <w:tcW w:w="3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642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613</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1,310</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1,110</w:t>
            </w:r>
          </w:p>
        </w:tc>
        <w:tc>
          <w:tcPr>
            <w:tcW w:w="20" w:type="dxa"/>
            <w:vAlign w:val="bottom"/>
            <w:tcBorders>
              <w:bottom w:val="single" w:sz="8" w:color="CCEEFF"/>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270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Total operating lease expense</w:t>
            </w: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99"/>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1,322</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2"/>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765</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99"/>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2,810</w:t>
            </w: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80"/>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1,388</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7620" w:type="dxa"/>
            <w:vAlign w:val="bottom"/>
            <w:gridSpan w:val="11"/>
          </w:tcPr>
          <w:p>
            <w:pPr>
              <w:ind w:left="2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As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As of</w:t>
            </w:r>
          </w:p>
        </w:tc>
      </w:t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December 31,</w:t>
            </w:r>
          </w:p>
        </w:tc>
      </w:tr>
      <w:tr>
        <w:trPr>
          <w:trHeight w:val="157"/>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4"/>
          </w:tcPr>
          <w:p>
            <w:pPr>
              <w:jc w:val="right"/>
              <w:ind w:right="119"/>
              <w:spacing w:after="0" w:line="157" w:lineRule="exact"/>
              <w:rPr>
                <w:sz w:val="20"/>
                <w:szCs w:val="20"/>
                <w:color w:val="auto"/>
              </w:rPr>
            </w:pPr>
            <w:r>
              <w:rPr>
                <w:rFonts w:ascii="Arial" w:cs="Arial" w:eastAsia="Arial" w:hAnsi="Arial"/>
                <w:sz w:val="14"/>
                <w:szCs w:val="14"/>
                <w:color w:val="auto"/>
              </w:rPr>
              <w:t>Location in Balance Sheet</w:t>
            </w:r>
          </w:p>
        </w:tc>
        <w:tc>
          <w:tcPr>
            <w:tcW w:w="110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color w:val="auto"/>
              </w:rPr>
              <w:t>2021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c>
          <w:tcPr>
            <w:tcW w:w="20" w:type="dxa"/>
            <w:vAlign w:val="bottom"/>
          </w:tcPr>
          <w:p>
            <w:pPr>
              <w:spacing w:after="0"/>
              <w:rPr>
                <w:sz w:val="13"/>
                <w:szCs w:val="13"/>
                <w:color w:val="auto"/>
              </w:rPr>
            </w:pPr>
          </w:p>
        </w:tc>
      </w:tr>
    </w:tbl>
    <w:p>
      <w:pPr>
        <w:spacing w:after="0" w:line="155" w:lineRule="exact"/>
        <w:rPr>
          <w:sz w:val="20"/>
          <w:szCs w:val="20"/>
          <w:color w:val="auto"/>
        </w:rPr>
      </w:pPr>
    </w:p>
    <w:p>
      <w:pPr>
        <w:sectPr>
          <w:pgSz w:w="11900" w:h="16838" w:orient="portrait"/>
          <w:cols w:equalWidth="0" w:num="1">
            <w:col w:w="9019"/>
          </w:cols>
          <w:pgMar w:left="1440" w:top="529" w:right="1440" w:bottom="1440" w:gutter="0" w:footer="0" w:header="0"/>
        </w:sectPr>
      </w:pPr>
    </w:p>
    <w:p>
      <w:pPr>
        <w:spacing w:after="0" w:line="6"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Operating lease right-of-use asset,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12,251</w:t>
            </w:r>
          </w:p>
        </w:tc>
        <w:tc>
          <w:tcPr>
            <w:tcW w:w="1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9,392</w:t>
            </w: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jc w:val="right"/>
              <w:ind w:right="90"/>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594</w:t>
            </w:r>
          </w:p>
        </w:tc>
        <w:tc>
          <w:tcPr>
            <w:tcW w:w="160" w:type="dxa"/>
            <w:vAlign w:val="bottom"/>
          </w:tcPr>
          <w:p>
            <w:pPr>
              <w:spacing w:after="0"/>
              <w:rPr>
                <w:sz w:val="17"/>
                <w:szCs w:val="17"/>
                <w:color w:val="auto"/>
              </w:rPr>
            </w:pPr>
          </w:p>
        </w:tc>
        <w:tc>
          <w:tcPr>
            <w:tcW w:w="32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240</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Operating lease liability, long-term</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14,752</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11,679</w:t>
            </w:r>
          </w:p>
        </w:tc>
      </w:tr>
      <w:tr>
        <w:trPr>
          <w:trHeight w:val="195"/>
        </w:trPr>
        <w:tc>
          <w:tcPr>
            <w:tcW w:w="3260" w:type="dxa"/>
            <w:vAlign w:val="bottom"/>
          </w:tcPr>
          <w:p>
            <w:pPr>
              <w:spacing w:after="0"/>
              <w:rPr>
                <w:sz w:val="16"/>
                <w:szCs w:val="16"/>
                <w:color w:val="auto"/>
              </w:rPr>
            </w:pPr>
          </w:p>
        </w:tc>
        <w:tc>
          <w:tcPr>
            <w:tcW w:w="300" w:type="dxa"/>
            <w:vAlign w:val="bottom"/>
            <w:tcBorders>
              <w:bottom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15,346</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11,919</w:t>
            </w: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-546100</wp:posOffset>
            </wp:positionV>
            <wp:extent cx="5671820"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1820" cy="128270"/>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-289560</wp:posOffset>
            </wp:positionV>
            <wp:extent cx="567182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182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200"/>
            <w:col w:w="5719"/>
          </w:cols>
          <w:pgMar w:left="1440" w:top="529" w:right="1440" w:bottom="1440" w:gutter="0" w:footer="0" w:header="0"/>
          <w:type w:val="continuous"/>
        </w:sectPr>
      </w:pP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As of June 30, 2021</w:t>
            </w:r>
          </w:p>
        </w:tc>
        <w:tc>
          <w:tcPr>
            <w:tcW w:w="17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As of December 31, 2020</w:t>
            </w:r>
          </w:p>
        </w:tc>
        <w:tc>
          <w:tcPr>
            <w:tcW w:w="180" w:type="dxa"/>
            <w:vAlign w:val="bottom"/>
          </w:tcPr>
          <w:p>
            <w:pPr>
              <w:spacing w:after="0"/>
              <w:rPr>
                <w:sz w:val="15"/>
                <w:szCs w:val="15"/>
                <w:color w:val="auto"/>
              </w:rPr>
            </w:pPr>
          </w:p>
        </w:tc>
      </w:tr>
      <w:tr>
        <w:trPr>
          <w:trHeight w:val="195"/>
        </w:trPr>
        <w:tc>
          <w:tcPr>
            <w:tcW w:w="548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Weighted-average remaining lease terms - operating leases</w:t>
            </w:r>
          </w:p>
        </w:tc>
        <w:tc>
          <w:tcPr>
            <w:tcW w:w="13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8.49 years</w:t>
            </w:r>
          </w:p>
        </w:tc>
        <w:tc>
          <w:tcPr>
            <w:tcW w:w="2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ind w:left="820"/>
              <w:spacing w:after="0" w:line="195" w:lineRule="exact"/>
              <w:rPr>
                <w:sz w:val="20"/>
                <w:szCs w:val="20"/>
                <w:color w:val="auto"/>
              </w:rPr>
            </w:pPr>
            <w:r>
              <w:rPr>
                <w:rFonts w:ascii="Arial" w:cs="Arial" w:eastAsia="Arial" w:hAnsi="Arial"/>
                <w:sz w:val="18"/>
                <w:szCs w:val="18"/>
                <w:color w:val="auto"/>
              </w:rPr>
              <w:t>10.2 years</w:t>
            </w:r>
          </w:p>
        </w:tc>
        <w:tc>
          <w:tcPr>
            <w:tcW w:w="180" w:type="dxa"/>
            <w:vAlign w:val="bottom"/>
            <w:tcBorders>
              <w:top w:val="single" w:sz="8" w:color="CCEEFF"/>
            </w:tcBorders>
            <w:shd w:val="clear" w:color="auto" w:fill="CCEEFF"/>
          </w:tcPr>
          <w:p>
            <w:pPr>
              <w:spacing w:after="0"/>
              <w:rPr>
                <w:sz w:val="16"/>
                <w:szCs w:val="16"/>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9.0 %</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9.0 %</w:t>
            </w:r>
          </w:p>
        </w:tc>
      </w:tr>
      <w:tr>
        <w:trPr>
          <w:trHeight w:val="833"/>
        </w:trPr>
        <w:tc>
          <w:tcPr>
            <w:tcW w:w="5480" w:type="dxa"/>
            <w:vAlign w:val="bottom"/>
          </w:tcPr>
          <w:p>
            <w:pPr>
              <w:jc w:val="right"/>
              <w:ind w:right="830"/>
              <w:spacing w:after="0"/>
              <w:rPr>
                <w:sz w:val="20"/>
                <w:szCs w:val="20"/>
                <w:color w:val="auto"/>
              </w:rPr>
            </w:pPr>
            <w:r>
              <w:rPr>
                <w:rFonts w:ascii="Arial" w:cs="Arial" w:eastAsia="Arial" w:hAnsi="Arial"/>
                <w:sz w:val="18"/>
                <w:szCs w:val="18"/>
                <w:color w:val="auto"/>
              </w:rPr>
              <w:t>24</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5"/>
        </w:trPr>
        <w:tc>
          <w:tcPr>
            <w:tcW w:w="5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9"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5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For the Six</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 Six</w:t>
            </w:r>
          </w:p>
        </w:tc>
      </w:tr>
      <w:tr>
        <w:trPr>
          <w:trHeight w:val="161"/>
        </w:trPr>
        <w:tc>
          <w:tcPr>
            <w:tcW w:w="6520" w:type="dxa"/>
            <w:vAlign w:val="bottom"/>
          </w:tcPr>
          <w:p>
            <w:pPr>
              <w:spacing w:after="0"/>
              <w:rPr>
                <w:sz w:val="14"/>
                <w:szCs w:val="14"/>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Months Ended</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Months Ended</w:t>
            </w:r>
          </w:p>
        </w:tc>
      </w:tr>
      <w:tr>
        <w:trPr>
          <w:trHeight w:val="157"/>
        </w:trPr>
        <w:tc>
          <w:tcPr>
            <w:tcW w:w="6520" w:type="dxa"/>
            <w:vAlign w:val="bottom"/>
          </w:tcPr>
          <w:p>
            <w:pPr>
              <w:spacing w:after="0"/>
              <w:rPr>
                <w:sz w:val="13"/>
                <w:szCs w:val="13"/>
                <w:color w:val="auto"/>
              </w:rPr>
            </w:pPr>
          </w:p>
        </w:tc>
        <w:tc>
          <w:tcPr>
            <w:tcW w:w="1260" w:type="dxa"/>
            <w:vAlign w:val="bottom"/>
            <w:gridSpan w:val="3"/>
          </w:tcPr>
          <w:p>
            <w:pPr>
              <w:jc w:val="right"/>
              <w:ind w:right="240"/>
              <w:spacing w:after="0" w:line="157" w:lineRule="exact"/>
              <w:rPr>
                <w:sz w:val="20"/>
                <w:szCs w:val="20"/>
                <w:color w:val="auto"/>
              </w:rPr>
            </w:pPr>
            <w:r>
              <w:rPr>
                <w:rFonts w:ascii="Arial" w:cs="Arial" w:eastAsia="Arial" w:hAnsi="Arial"/>
                <w:sz w:val="14"/>
                <w:szCs w:val="14"/>
                <w:color w:val="auto"/>
              </w:rPr>
              <w:t>June 30, 2021</w:t>
            </w:r>
          </w:p>
        </w:tc>
        <w:tc>
          <w:tcPr>
            <w:tcW w:w="14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June 30, 2020</w:t>
            </w:r>
          </w:p>
        </w:tc>
      </w:tr>
      <w:tr>
        <w:trPr>
          <w:trHeight w:val="195"/>
        </w:trPr>
        <w:tc>
          <w:tcPr>
            <w:tcW w:w="652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202"/>
        </w:trPr>
        <w:tc>
          <w:tcPr>
            <w:tcW w:w="6520" w:type="dxa"/>
            <w:vAlign w:val="bottom"/>
          </w:tcPr>
          <w:p>
            <w:pPr>
              <w:ind w:left="20"/>
              <w:spacing w:after="0" w:line="201" w:lineRule="exact"/>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jc w:val="right"/>
              <w:ind w:right="19"/>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132</w:t>
            </w:r>
          </w:p>
        </w:tc>
        <w:tc>
          <w:tcPr>
            <w:tcW w:w="20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959</w:t>
            </w:r>
          </w:p>
        </w:tc>
      </w:tr>
      <w:tr>
        <w:trPr>
          <w:trHeight w:val="202"/>
        </w:trPr>
        <w:tc>
          <w:tcPr>
            <w:tcW w:w="65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Right-of-use assets obtained in exchange for lease obligations:</w:t>
            </w:r>
          </w:p>
        </w:tc>
        <w:tc>
          <w:tcPr>
            <w:tcW w:w="220" w:type="dxa"/>
            <w:vAlign w:val="bottom"/>
            <w:shd w:val="clear" w:color="auto" w:fill="CCEEFF"/>
          </w:tcPr>
          <w:p>
            <w:pPr>
              <w:jc w:val="right"/>
              <w:ind w:right="19"/>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3,295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2,998</w:t>
            </w:r>
          </w:p>
        </w:tc>
      </w:tr>
    </w:tbl>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future minimum lease payments under noncancelable leases as of June 30, 2021:</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68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5"/>
        </w:trPr>
        <w:tc>
          <w:tcPr>
            <w:tcW w:w="76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jc w:val="right"/>
              <w:ind w:right="156"/>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2,178</w:t>
            </w:r>
          </w:p>
        </w:tc>
      </w:tr>
      <w:tr>
        <w:trPr>
          <w:trHeight w:val="202"/>
        </w:trPr>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2022</w:t>
            </w:r>
          </w:p>
        </w:tc>
        <w:tc>
          <w:tcPr>
            <w:tcW w:w="3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2,811</w:t>
            </w:r>
          </w:p>
        </w:tc>
      </w:tr>
      <w:tr>
        <w:trPr>
          <w:trHeight w:val="202"/>
        </w:trPr>
        <w:tc>
          <w:tcPr>
            <w:tcW w:w="7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2,655</w:t>
            </w:r>
          </w:p>
        </w:tc>
      </w:tr>
      <w:tr>
        <w:trPr>
          <w:trHeight w:val="202"/>
        </w:trPr>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2024</w:t>
            </w:r>
          </w:p>
        </w:tc>
        <w:tc>
          <w:tcPr>
            <w:tcW w:w="3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2,726</w:t>
            </w:r>
          </w:p>
        </w:tc>
      </w:tr>
      <w:tr>
        <w:trPr>
          <w:trHeight w:val="202"/>
        </w:trPr>
        <w:tc>
          <w:tcPr>
            <w:tcW w:w="7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2,747</w:t>
            </w:r>
          </w:p>
        </w:tc>
      </w:tr>
      <w:tr>
        <w:trPr>
          <w:trHeight w:val="202"/>
        </w:trPr>
        <w:tc>
          <w:tcPr>
            <w:tcW w:w="76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17,613</w:t>
            </w:r>
          </w:p>
        </w:tc>
      </w:tr>
      <w:tr>
        <w:trPr>
          <w:trHeight w:val="195"/>
        </w:trPr>
        <w:tc>
          <w:tcPr>
            <w:tcW w:w="76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30,730</w:t>
            </w:r>
          </w:p>
        </w:tc>
      </w:tr>
      <w:tr>
        <w:trPr>
          <w:trHeight w:val="202"/>
        </w:trPr>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Less: Imputed interest</w:t>
            </w:r>
          </w:p>
        </w:tc>
        <w:tc>
          <w:tcPr>
            <w:tcW w:w="3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(11,678)</w:t>
            </w:r>
          </w:p>
        </w:tc>
      </w:tr>
      <w:tr>
        <w:trPr>
          <w:trHeight w:val="202"/>
        </w:trPr>
        <w:tc>
          <w:tcPr>
            <w:tcW w:w="7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Less: Tenant incentive receivable</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(3,706)</w:t>
            </w:r>
          </w:p>
        </w:tc>
      </w:tr>
      <w:tr>
        <w:trPr>
          <w:trHeight w:val="195"/>
        </w:trPr>
        <w:tc>
          <w:tcPr>
            <w:tcW w:w="7680" w:type="dxa"/>
            <w:vAlign w:val="bottom"/>
          </w:tcPr>
          <w:p>
            <w:pPr>
              <w:ind w:left="20"/>
              <w:spacing w:after="0" w:line="195"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6"/>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15,346</w:t>
            </w: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The Company entered into one lease that had not commenced at June 30, 2021. As a result, future lease payments of approximately $17.3 million are not recorded on the Company’s consolidated balance sheets. The lease commences in January 2022 with a non-cancelable term of 10 years.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13—Basic and diluted net loss per common share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Basic and diluted net loss per common share is calculated as follows: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Three Months Ended</w:t>
            </w:r>
          </w:p>
        </w:tc>
        <w:tc>
          <w:tcPr>
            <w:tcW w:w="3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Six Months Ended</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8"/>
              <w:spacing w:after="0"/>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3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ind w:left="80"/>
              <w:spacing w:after="0" w:line="201" w:lineRule="exact"/>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88"/>
              <w:spacing w:after="0" w:line="201"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(23,273)</w:t>
            </w:r>
          </w:p>
        </w:tc>
        <w:tc>
          <w:tcPr>
            <w:tcW w:w="640" w:type="dxa"/>
            <w:vAlign w:val="bottom"/>
            <w:gridSpan w:val="2"/>
          </w:tcPr>
          <w:p>
            <w:pPr>
              <w:jc w:val="right"/>
              <w:ind w:right="168"/>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(15,301)</w:t>
            </w:r>
          </w:p>
        </w:tc>
        <w:tc>
          <w:tcPr>
            <w:tcW w:w="400" w:type="dxa"/>
            <w:vAlign w:val="bottom"/>
            <w:gridSpan w:val="2"/>
          </w:tcPr>
          <w:p>
            <w:pPr>
              <w:jc w:val="right"/>
              <w:ind w:right="68"/>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(41,621)</w:t>
            </w:r>
          </w:p>
        </w:tc>
        <w:tc>
          <w:tcPr>
            <w:tcW w:w="400" w:type="dxa"/>
            <w:vAlign w:val="bottom"/>
            <w:gridSpan w:val="2"/>
          </w:tcPr>
          <w:p>
            <w:pPr>
              <w:jc w:val="right"/>
              <w:ind w:right="68"/>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(24,974)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Weighted-average common</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shares for basic and diluted net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loss per share</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12,044,610</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7,481,861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9,775,840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7,481,861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6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Basic and diluted net loss per</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share</w:t>
            </w:r>
          </w:p>
        </w:tc>
        <w:tc>
          <w:tcPr>
            <w:tcW w:w="44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6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40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w:t>
            </w:r>
          </w:p>
        </w:tc>
        <w:tc>
          <w:tcPr>
            <w:tcW w:w="40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The Company’s potentially dilutive securities, which include the convertible preferred stock, restricted stock, warrants, early exercised stock options and stock options to purchase shares of the Company’s common stock, have been excluded from the computation of dilutive net loss per share as the effect would be antidilutive. Therefore, the weighted- 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six months ended June 30, 2021 and 2020 because including them would have had an anti-dilutive effect.</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3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Six Months Ended</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Six Months Ended</w:t>
            </w:r>
          </w:p>
        </w:tc>
      </w:tr>
      <w:tr>
        <w:trPr>
          <w:trHeight w:val="161"/>
        </w:trPr>
        <w:tc>
          <w:tcPr>
            <w:tcW w:w="6300" w:type="dxa"/>
            <w:vAlign w:val="bottom"/>
          </w:tcPr>
          <w:p>
            <w:pPr>
              <w:spacing w:after="0"/>
              <w:rPr>
                <w:sz w:val="14"/>
                <w:szCs w:val="14"/>
                <w:color w:val="auto"/>
              </w:rPr>
            </w:pPr>
          </w:p>
        </w:tc>
        <w:tc>
          <w:tcPr>
            <w:tcW w:w="1380" w:type="dxa"/>
            <w:vAlign w:val="bottom"/>
            <w:gridSpan w:val="2"/>
          </w:tcPr>
          <w:p>
            <w:pPr>
              <w:ind w:left="580"/>
              <w:spacing w:after="0"/>
              <w:rPr>
                <w:sz w:val="20"/>
                <w:szCs w:val="20"/>
                <w:color w:val="auto"/>
              </w:rPr>
            </w:pPr>
            <w:r>
              <w:rPr>
                <w:rFonts w:ascii="Arial" w:cs="Arial" w:eastAsia="Arial" w:hAnsi="Arial"/>
                <w:sz w:val="14"/>
                <w:szCs w:val="14"/>
                <w:color w:val="auto"/>
              </w:rPr>
              <w:t>June 30,</w:t>
            </w:r>
          </w:p>
        </w:tc>
        <w:tc>
          <w:tcPr>
            <w:tcW w:w="1240" w:type="dxa"/>
            <w:vAlign w:val="bottom"/>
          </w:tcPr>
          <w:p>
            <w:pPr>
              <w:jc w:val="right"/>
              <w:spacing w:after="0"/>
              <w:rPr>
                <w:sz w:val="20"/>
                <w:szCs w:val="20"/>
                <w:color w:val="auto"/>
              </w:rPr>
            </w:pPr>
            <w:r>
              <w:rPr>
                <w:rFonts w:ascii="Arial" w:cs="Arial" w:eastAsia="Arial" w:hAnsi="Arial"/>
                <w:sz w:val="14"/>
                <w:szCs w:val="14"/>
                <w:color w:val="auto"/>
              </w:rPr>
              <w:t>June 30,</w:t>
            </w:r>
          </w:p>
        </w:tc>
      </w:tr>
      <w:tr>
        <w:trPr>
          <w:trHeight w:val="157"/>
        </w:trPr>
        <w:tc>
          <w:tcPr>
            <w:tcW w:w="63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r>
      <w:tr>
        <w:trPr>
          <w:trHeight w:val="195"/>
        </w:trPr>
        <w:tc>
          <w:tcPr>
            <w:tcW w:w="6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Stock options to purchase common stock</w:t>
            </w:r>
          </w:p>
        </w:tc>
        <w:tc>
          <w:tcPr>
            <w:tcW w:w="12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5,505,511</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2,853,392</w:t>
            </w:r>
          </w:p>
        </w:tc>
      </w:tr>
      <w:tr>
        <w:trPr>
          <w:trHeight w:val="202"/>
        </w:trPr>
        <w:tc>
          <w:tcPr>
            <w:tcW w:w="6300" w:type="dxa"/>
            <w:vAlign w:val="bottom"/>
          </w:tcPr>
          <w:p>
            <w:pPr>
              <w:spacing w:after="0" w:line="201" w:lineRule="exact"/>
              <w:rPr>
                <w:sz w:val="20"/>
                <w:szCs w:val="20"/>
                <w:color w:val="auto"/>
              </w:rPr>
            </w:pPr>
            <w:r>
              <w:rPr>
                <w:rFonts w:ascii="Arial" w:cs="Arial" w:eastAsia="Arial" w:hAnsi="Arial"/>
                <w:sz w:val="18"/>
                <w:szCs w:val="18"/>
                <w:color w:val="auto"/>
              </w:rPr>
              <w:t>Early exercised stock options subject to future vesting</w:t>
            </w:r>
          </w:p>
        </w:tc>
        <w:tc>
          <w:tcPr>
            <w:tcW w:w="1220" w:type="dxa"/>
            <w:vAlign w:val="bottom"/>
          </w:tcPr>
          <w:p>
            <w:pPr>
              <w:jc w:val="right"/>
              <w:spacing w:after="0" w:line="201" w:lineRule="exact"/>
              <w:rPr>
                <w:sz w:val="20"/>
                <w:szCs w:val="20"/>
                <w:color w:val="auto"/>
              </w:rPr>
            </w:pPr>
            <w:r>
              <w:rPr>
                <w:rFonts w:ascii="Arial" w:cs="Arial" w:eastAsia="Arial" w:hAnsi="Arial"/>
                <w:sz w:val="18"/>
                <w:szCs w:val="18"/>
                <w:color w:val="auto"/>
              </w:rPr>
              <w:t>1,161,937</w:t>
            </w:r>
          </w:p>
        </w:tc>
        <w:tc>
          <w:tcPr>
            <w:tcW w:w="16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2,246</w:t>
            </w:r>
          </w:p>
        </w:tc>
      </w:tr>
      <w:tr>
        <w:trPr>
          <w:trHeight w:val="202"/>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Restricted stock award subject to future vesting</w:t>
            </w:r>
          </w:p>
        </w:tc>
        <w:tc>
          <w:tcPr>
            <w:tcW w:w="1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871,176</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1,439,406</w:t>
            </w:r>
          </w:p>
        </w:tc>
      </w:tr>
      <w:tr>
        <w:trPr>
          <w:trHeight w:val="202"/>
        </w:trPr>
        <w:tc>
          <w:tcPr>
            <w:tcW w:w="6300" w:type="dxa"/>
            <w:vAlign w:val="bottom"/>
          </w:tcPr>
          <w:p>
            <w:pPr>
              <w:spacing w:after="0" w:line="201" w:lineRule="exact"/>
              <w:rPr>
                <w:sz w:val="20"/>
                <w:szCs w:val="20"/>
                <w:color w:val="auto"/>
              </w:rPr>
            </w:pPr>
            <w:r>
              <w:rPr>
                <w:rFonts w:ascii="Arial" w:cs="Arial" w:eastAsia="Arial" w:hAnsi="Arial"/>
                <w:sz w:val="18"/>
                <w:szCs w:val="18"/>
                <w:color w:val="auto"/>
              </w:rPr>
              <w:t>Warrants on long term debt</w:t>
            </w:r>
          </w:p>
        </w:tc>
        <w:tc>
          <w:tcPr>
            <w:tcW w:w="1220" w:type="dxa"/>
            <w:vAlign w:val="bottom"/>
          </w:tcPr>
          <w:p>
            <w:pPr>
              <w:jc w:val="right"/>
              <w:spacing w:after="0" w:line="201" w:lineRule="exact"/>
              <w:rPr>
                <w:sz w:val="20"/>
                <w:szCs w:val="20"/>
                <w:color w:val="auto"/>
              </w:rPr>
            </w:pPr>
            <w:r>
              <w:rPr>
                <w:rFonts w:ascii="Arial" w:cs="Arial" w:eastAsia="Arial" w:hAnsi="Arial"/>
                <w:sz w:val="18"/>
                <w:szCs w:val="18"/>
                <w:color w:val="auto"/>
              </w:rPr>
              <w:t>32,009</w:t>
            </w:r>
          </w:p>
        </w:tc>
        <w:tc>
          <w:tcPr>
            <w:tcW w:w="16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r>
      <w:tr>
        <w:trPr>
          <w:trHeight w:val="202"/>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w:t>
            </w:r>
          </w:p>
        </w:tc>
        <w:tc>
          <w:tcPr>
            <w:tcW w:w="13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61,143,790</w:t>
            </w:r>
          </w:p>
        </w:tc>
      </w:tr>
      <w:tr>
        <w:trPr>
          <w:trHeight w:val="195"/>
        </w:trPr>
        <w:tc>
          <w:tcPr>
            <w:tcW w:w="6300" w:type="dxa"/>
            <w:vAlign w:val="bottom"/>
          </w:tcPr>
          <w:p>
            <w:pPr>
              <w:spacing w:after="0" w:line="195" w:lineRule="exact"/>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7,570,633</w:t>
            </w:r>
          </w:p>
        </w:tc>
        <w:tc>
          <w:tcPr>
            <w:tcW w:w="16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65,438,834</w:t>
            </w:r>
          </w:p>
        </w:tc>
      </w:tr>
      <w:tr>
        <w:trPr>
          <w:trHeight w:val="20"/>
        </w:trPr>
        <w:tc>
          <w:tcPr>
            <w:tcW w:w="6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14—Defined contribution plan</w:t>
      </w:r>
    </w:p>
    <w:p>
      <w:pPr>
        <w:spacing w:after="0" w:line="18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Company has a 401(k) Employee Savings Plan (“401(k) Plan”) that is available to all employees of the Company. The Company has elected a Safe-Harbor provision for the 401(k) Plan in which participants are always fully vested in their employer contributions. Prior Century matches 100% of the first 3% of participating employee contributions and 50% of the next 2% of participating employee contributions. Contributions are made in cash. Contributions were approximately $149 and $72 for the three months ended June 30, 2021 and 2020, respectively, and $361 and $135 for the six months ended June 30, 2021 and 2020 respectively. Such contribution expense has been recognized in the consolidated statement of operations for each period.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15—Stock-based compensation</w:t>
      </w:r>
    </w:p>
    <w:p>
      <w:pPr>
        <w:spacing w:after="0" w:line="170"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As part of the merger discussed in Note 2 above, the Company adopted from Prior Century, the 2018 Stock Option and Grant Plan (the “Plan”). The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Plan, options may be granted at an exercise price not less than fair market value. the Company generally grants stock-based awards with service conditions only. Stock awards granted typically vest over a four-year period but may be granted with different vesting terms. On June 17, 2021, this plan was replaced by the Century Therapeutics, Inc. 2021 Equity Incentive Plan (the “2021 Incentive Plan”) and future issuances of incentive awards will be governed by that plan.</w:t>
      </w:r>
    </w:p>
    <w:p>
      <w:pPr>
        <w:spacing w:after="0" w:line="16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w:t>
      </w:r>
    </w:p>
    <w:p>
      <w:pPr>
        <w:spacing w:after="0" w:line="174" w:lineRule="exact"/>
        <w:rPr>
          <w:sz w:val="20"/>
          <w:szCs w:val="20"/>
          <w:color w:val="auto"/>
        </w:rPr>
      </w:pPr>
    </w:p>
    <w:p>
      <w:pPr>
        <w:jc w:val="both"/>
        <w:ind w:left="60" w:right="339"/>
        <w:spacing w:after="0" w:line="239" w:lineRule="auto"/>
        <w:rPr>
          <w:sz w:val="20"/>
          <w:szCs w:val="20"/>
          <w:color w:val="auto"/>
        </w:rPr>
      </w:pPr>
      <w:r>
        <w:rPr>
          <w:rFonts w:ascii="Arial" w:cs="Arial" w:eastAsia="Arial" w:hAnsi="Arial"/>
          <w:sz w:val="18"/>
          <w:szCs w:val="18"/>
          <w:color w:val="auto"/>
        </w:rPr>
        <w:t>The 2021 Employee Stock Purchase Plan (the “2021 ESPP”) was approved by the board of directors on May 27, 2021. A total of 548,246 shares of common stock were initially reserved for issuance under this plan. No shares are issued or outstanding under the 2021 ESPP.</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The Company recognizes the costs of the stock-based payments as the employees vest in the awards. For the three and six months ended June 30, 2021, the Company recognized $1,711 and $1,806 of stock-based compensation expense within the consolidated statement of operations. For the three and six months ended June 30, 2020, the Company recognized $137 and $358 of stock-based compensation expense within the consolidated statement of operations.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period ended June 30, 2021:</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8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Weighted Average</w:t>
            </w:r>
          </w:p>
        </w:tc>
      </w:tr>
      <w:tr>
        <w:trPr>
          <w:trHeight w:val="160"/>
        </w:trPr>
        <w:tc>
          <w:tcPr>
            <w:tcW w:w="5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Remaining</w:t>
            </w:r>
          </w:p>
        </w:tc>
      </w:tr>
      <w:tr>
        <w:trPr>
          <w:trHeight w:val="161"/>
        </w:trPr>
        <w:tc>
          <w:tcPr>
            <w:tcW w:w="5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Contractual</w:t>
            </w:r>
          </w:p>
        </w:tc>
      </w:tr>
      <w:tr>
        <w:trPr>
          <w:trHeight w:val="161"/>
        </w:trPr>
        <w:tc>
          <w:tcPr>
            <w:tcW w:w="5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Term</w:t>
            </w:r>
          </w:p>
        </w:tc>
      </w:tr>
      <w:tr>
        <w:trPr>
          <w:trHeight w:val="157"/>
        </w:trPr>
        <w:tc>
          <w:tcPr>
            <w:tcW w:w="5820" w:type="dxa"/>
            <w:vAlign w:val="bottom"/>
          </w:tcPr>
          <w:p>
            <w:pPr>
              <w:spacing w:after="0"/>
              <w:rPr>
                <w:sz w:val="13"/>
                <w:szCs w:val="13"/>
                <w:color w:val="auto"/>
              </w:rPr>
            </w:pPr>
          </w:p>
        </w:tc>
        <w:tc>
          <w:tcPr>
            <w:tcW w:w="11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Shares</w:t>
            </w:r>
          </w:p>
        </w:tc>
        <w:tc>
          <w:tcPr>
            <w:tcW w:w="112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Exercise Price</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(years)</w:t>
            </w:r>
          </w:p>
        </w:tc>
      </w:tr>
      <w:tr>
        <w:trPr>
          <w:trHeight w:val="195"/>
        </w:trPr>
        <w:tc>
          <w:tcPr>
            <w:tcW w:w="582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Outstanding January 1, 2021</w:t>
            </w:r>
          </w:p>
        </w:tc>
        <w:tc>
          <w:tcPr>
            <w:tcW w:w="9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3,882,328</w:t>
            </w: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1.06</w:t>
            </w: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9.11</w:t>
            </w:r>
          </w:p>
        </w:tc>
      </w:tr>
      <w:tr>
        <w:trPr>
          <w:trHeight w:val="202"/>
        </w:trPr>
        <w:tc>
          <w:tcPr>
            <w:tcW w:w="5820" w:type="dxa"/>
            <w:vAlign w:val="bottom"/>
          </w:tcPr>
          <w:p>
            <w:pPr>
              <w:ind w:left="20"/>
              <w:spacing w:after="0" w:line="201" w:lineRule="exact"/>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3,020,759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7.94</w:t>
            </w:r>
          </w:p>
        </w:tc>
        <w:tc>
          <w:tcPr>
            <w:tcW w:w="1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r>
      <w:tr>
        <w:trPr>
          <w:trHeight w:val="202"/>
        </w:trPr>
        <w:tc>
          <w:tcPr>
            <w:tcW w:w="5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Exercised - vested</w:t>
            </w:r>
          </w:p>
        </w:tc>
        <w:tc>
          <w:tcPr>
            <w:tcW w:w="11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(120,586)</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r>
      <w:tr>
        <w:trPr>
          <w:trHeight w:val="202"/>
        </w:trPr>
        <w:tc>
          <w:tcPr>
            <w:tcW w:w="5820" w:type="dxa"/>
            <w:vAlign w:val="bottom"/>
          </w:tcPr>
          <w:p>
            <w:pPr>
              <w:ind w:left="20"/>
              <w:spacing w:after="0" w:line="201" w:lineRule="exact"/>
              <w:rPr>
                <w:sz w:val="20"/>
                <w:szCs w:val="20"/>
                <w:color w:val="auto"/>
              </w:rPr>
            </w:pPr>
            <w:r>
              <w:rPr>
                <w:rFonts w:ascii="Arial" w:cs="Arial" w:eastAsia="Arial" w:hAnsi="Arial"/>
                <w:sz w:val="18"/>
                <w:szCs w:val="18"/>
                <w:color w:val="auto"/>
              </w:rPr>
              <w:t>Exercised - unvested</w:t>
            </w:r>
          </w:p>
        </w:tc>
        <w:tc>
          <w:tcPr>
            <w:tcW w:w="11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(1,092,668)</w:t>
            </w:r>
          </w:p>
        </w:tc>
        <w:tc>
          <w:tcPr>
            <w:tcW w:w="3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2.83</w:t>
            </w:r>
          </w:p>
        </w:tc>
        <w:tc>
          <w:tcPr>
            <w:tcW w:w="1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r>
      <w:tr>
        <w:trPr>
          <w:trHeight w:val="202"/>
        </w:trPr>
        <w:tc>
          <w:tcPr>
            <w:tcW w:w="5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(35,098)</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r>
      <w:tr>
        <w:trPr>
          <w:trHeight w:val="202"/>
        </w:trPr>
        <w:tc>
          <w:tcPr>
            <w:tcW w:w="5820" w:type="dxa"/>
            <w:vAlign w:val="bottom"/>
          </w:tcPr>
          <w:p>
            <w:pPr>
              <w:ind w:left="20"/>
              <w:spacing w:after="0" w:line="201" w:lineRule="exact"/>
              <w:rPr>
                <w:sz w:val="20"/>
                <w:szCs w:val="20"/>
                <w:color w:val="auto"/>
              </w:rPr>
            </w:pPr>
            <w:r>
              <w:rPr>
                <w:rFonts w:ascii="Arial" w:cs="Arial" w:eastAsia="Arial" w:hAnsi="Arial"/>
                <w:sz w:val="18"/>
                <w:szCs w:val="18"/>
                <w:color w:val="auto"/>
              </w:rPr>
              <w:t>Cancelled</w:t>
            </w:r>
          </w:p>
        </w:tc>
        <w:tc>
          <w:tcPr>
            <w:tcW w:w="11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(149,224)</w:t>
            </w:r>
          </w:p>
        </w:tc>
        <w:tc>
          <w:tcPr>
            <w:tcW w:w="3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7.27</w:t>
            </w:r>
          </w:p>
        </w:tc>
        <w:tc>
          <w:tcPr>
            <w:tcW w:w="1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r>
      <w:tr>
        <w:trPr>
          <w:trHeight w:val="195"/>
        </w:trPr>
        <w:tc>
          <w:tcPr>
            <w:tcW w:w="5820" w:type="dxa"/>
            <w:vAlign w:val="bottom"/>
            <w:tcBorders>
              <w:top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Outstanding, June 30, 2021</w:t>
            </w:r>
          </w:p>
        </w:tc>
        <w:tc>
          <w:tcPr>
            <w:tcW w:w="98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5,505,511</w:t>
            </w: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4.52</w:t>
            </w: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8.82</w:t>
            </w:r>
          </w:p>
        </w:tc>
      </w:tr>
      <w:tr>
        <w:trPr>
          <w:trHeight w:val="195"/>
        </w:trPr>
        <w:tc>
          <w:tcPr>
            <w:tcW w:w="582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Exercisable at June 30, 2021</w:t>
            </w:r>
          </w:p>
        </w:tc>
        <w:tc>
          <w:tcPr>
            <w:tcW w:w="9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3,362,197</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4.03</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9.00</w:t>
            </w:r>
          </w:p>
        </w:tc>
      </w:tr>
      <w:tr>
        <w:trPr>
          <w:trHeight w:val="20"/>
        </w:trPr>
        <w:tc>
          <w:tcPr>
            <w:tcW w:w="5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The weighted average grant date fair value of awards for options granted during the period ended June 30, 2021 was $4.22. As of June 30, 2021, there was $ 13,993 of total unrecognized compensation expense related to unvested stock options with time-based vesting terms, which is expected to be recognized over a weighted average period of 3.24 years.</w:t>
      </w:r>
    </w:p>
    <w:p>
      <w:pPr>
        <w:spacing w:after="0" w:line="161"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During 2020, the Company issued 213,624 performance-based awards, respectively, that vest upon contingent events. The performance condition for these awards were achieved as of June 30, 2021. As a result, the Company recorded compensation expense related to the performance-based awards of $227 during the three months ended June 30, 2021.</w:t>
      </w:r>
    </w:p>
    <w:p>
      <w:pPr>
        <w:spacing w:after="0" w:line="174"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When selecting these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will continue to apply this process until a sufficient amount of historical information regarding the volatility of its own stock price becomes available.</w:t>
      </w:r>
    </w:p>
    <w:p>
      <w:pPr>
        <w:spacing w:after="0" w:line="166"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340" w:type="dxa"/>
            <w:vAlign w:val="bottom"/>
            <w:tcBorders>
              <w:top w:val="single" w:sz="8" w:color="auto"/>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June 30, 2021</w:t>
            </w:r>
          </w:p>
        </w:tc>
        <w:tc>
          <w:tcPr>
            <w:tcW w:w="280" w:type="dxa"/>
            <w:vAlign w:val="bottom"/>
            <w:tcBorders>
              <w:bottom w:val="single" w:sz="8" w:color="CCEEFF"/>
            </w:tcBorders>
          </w:tcPr>
          <w:p>
            <w:pPr>
              <w:spacing w:after="0"/>
              <w:rPr>
                <w:sz w:val="15"/>
                <w:szCs w:val="15"/>
                <w:color w:val="auto"/>
              </w:rPr>
            </w:pPr>
          </w:p>
        </w:tc>
      </w:tr>
      <w:tr>
        <w:trPr>
          <w:trHeight w:val="195"/>
        </w:trPr>
        <w:tc>
          <w:tcPr>
            <w:tcW w:w="73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Expected dividend rate</w:t>
            </w:r>
          </w:p>
        </w:tc>
        <w:tc>
          <w:tcPr>
            <w:tcW w:w="13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r>
      <w:tr>
        <w:trPr>
          <w:trHeight w:val="202"/>
        </w:trPr>
        <w:tc>
          <w:tcPr>
            <w:tcW w:w="7340" w:type="dxa"/>
            <w:vAlign w:val="bottom"/>
          </w:tcPr>
          <w:p>
            <w:pPr>
              <w:ind w:left="20"/>
              <w:spacing w:after="0" w:line="201" w:lineRule="exact"/>
              <w:rPr>
                <w:sz w:val="20"/>
                <w:szCs w:val="20"/>
                <w:color w:val="auto"/>
              </w:rPr>
            </w:pPr>
            <w:r>
              <w:rPr>
                <w:rFonts w:ascii="Arial" w:cs="Arial" w:eastAsia="Arial" w:hAnsi="Arial"/>
                <w:sz w:val="18"/>
                <w:szCs w:val="18"/>
                <w:color w:val="auto"/>
              </w:rPr>
              <w:t>Expected option term (years)</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6.09</w:t>
            </w:r>
          </w:p>
        </w:tc>
        <w:tc>
          <w:tcPr>
            <w:tcW w:w="280" w:type="dxa"/>
            <w:vAlign w:val="bottom"/>
          </w:tcPr>
          <w:p>
            <w:pPr>
              <w:spacing w:after="0"/>
              <w:rPr>
                <w:sz w:val="17"/>
                <w:szCs w:val="17"/>
                <w:color w:val="auto"/>
              </w:rPr>
            </w:pPr>
          </w:p>
        </w:tc>
      </w:tr>
      <w:tr>
        <w:trPr>
          <w:trHeight w:val="202"/>
        </w:trPr>
        <w:tc>
          <w:tcPr>
            <w:tcW w:w="73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Expected volatility</w:t>
            </w:r>
          </w:p>
        </w:tc>
        <w:tc>
          <w:tcPr>
            <w:tcW w:w="1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69.71</w:t>
            </w:r>
          </w:p>
        </w:tc>
        <w:tc>
          <w:tcPr>
            <w:tcW w:w="28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87"/>
              </w:rPr>
              <w:t>%</w:t>
            </w:r>
          </w:p>
        </w:tc>
      </w:tr>
      <w:tr>
        <w:trPr>
          <w:trHeight w:val="216"/>
        </w:trPr>
        <w:tc>
          <w:tcPr>
            <w:tcW w:w="73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0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r>
    </w:tbl>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June 30, 2021 and December 31, 2020:</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6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r>
      <w:tr>
        <w:trPr>
          <w:trHeight w:val="157"/>
        </w:trPr>
        <w:tc>
          <w:tcPr>
            <w:tcW w:w="6260" w:type="dxa"/>
            <w:vAlign w:val="bottom"/>
          </w:tcPr>
          <w:p>
            <w:pPr>
              <w:spacing w:after="0"/>
              <w:rPr>
                <w:sz w:val="13"/>
                <w:szCs w:val="13"/>
                <w:color w:val="auto"/>
              </w:rPr>
            </w:pPr>
          </w:p>
        </w:tc>
        <w:tc>
          <w:tcPr>
            <w:tcW w:w="1180" w:type="dxa"/>
            <w:vAlign w:val="bottom"/>
            <w:gridSpan w:val="2"/>
          </w:tcPr>
          <w:p>
            <w:pPr>
              <w:ind w:left="520"/>
              <w:spacing w:after="0" w:line="157" w:lineRule="exact"/>
              <w:rPr>
                <w:sz w:val="20"/>
                <w:szCs w:val="20"/>
                <w:color w:val="auto"/>
              </w:rPr>
            </w:pPr>
            <w:r>
              <w:rPr>
                <w:rFonts w:ascii="Arial" w:cs="Arial" w:eastAsia="Arial" w:hAnsi="Arial"/>
                <w:sz w:val="14"/>
                <w:szCs w:val="14"/>
                <w:color w:val="auto"/>
              </w:rPr>
              <w:t>Shares</w:t>
            </w:r>
          </w:p>
        </w:tc>
        <w:tc>
          <w:tcPr>
            <w:tcW w:w="20" w:type="dxa"/>
            <w:vAlign w:val="bottom"/>
          </w:tcPr>
          <w:p>
            <w:pPr>
              <w:spacing w:after="0"/>
              <w:rPr>
                <w:sz w:val="13"/>
                <w:szCs w:val="13"/>
                <w:color w:val="auto"/>
              </w:rPr>
            </w:pPr>
          </w:p>
        </w:tc>
        <w:tc>
          <w:tcPr>
            <w:tcW w:w="1440" w:type="dxa"/>
            <w:vAlign w:val="bottom"/>
            <w:gridSpan w:val="2"/>
          </w:tcPr>
          <w:p>
            <w:pPr>
              <w:spacing w:after="0" w:line="157" w:lineRule="exact"/>
              <w:rPr>
                <w:sz w:val="20"/>
                <w:szCs w:val="20"/>
                <w:color w:val="auto"/>
              </w:rPr>
            </w:pPr>
            <w:r>
              <w:rPr>
                <w:rFonts w:ascii="Arial" w:cs="Arial" w:eastAsia="Arial" w:hAnsi="Arial"/>
                <w:sz w:val="14"/>
                <w:szCs w:val="14"/>
                <w:color w:val="auto"/>
              </w:rPr>
              <w:t>Grant Date Fair Value</w:t>
            </w:r>
          </w:p>
        </w:tc>
      </w:tr>
      <w:tr>
        <w:trPr>
          <w:trHeight w:val="195"/>
        </w:trPr>
        <w:tc>
          <w:tcPr>
            <w:tcW w:w="62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Total Unvested December 31, 2020</w:t>
            </w:r>
          </w:p>
        </w:tc>
        <w:tc>
          <w:tcPr>
            <w:tcW w:w="10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1,053,502</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0.35</w:t>
            </w:r>
          </w:p>
        </w:tc>
      </w:tr>
      <w:tr>
        <w:trPr>
          <w:trHeight w:val="202"/>
        </w:trPr>
        <w:tc>
          <w:tcPr>
            <w:tcW w:w="6260" w:type="dxa"/>
            <w:vAlign w:val="bottom"/>
          </w:tcPr>
          <w:p>
            <w:pPr>
              <w:spacing w:after="0" w:line="201" w:lineRule="exact"/>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98,936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7.27</w:t>
            </w:r>
          </w:p>
        </w:tc>
      </w:tr>
      <w:tr>
        <w:trPr>
          <w:trHeight w:val="202"/>
        </w:trPr>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Vested</w:t>
            </w:r>
          </w:p>
        </w:tc>
        <w:tc>
          <w:tcPr>
            <w:tcW w:w="102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(281,262)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0.28</w:t>
            </w:r>
          </w:p>
        </w:tc>
      </w:tr>
      <w:tr>
        <w:trPr>
          <w:trHeight w:val="195"/>
        </w:trPr>
        <w:tc>
          <w:tcPr>
            <w:tcW w:w="6260" w:type="dxa"/>
            <w:vAlign w:val="bottom"/>
          </w:tcPr>
          <w:p>
            <w:pPr>
              <w:spacing w:after="0" w:line="195" w:lineRule="exact"/>
              <w:rPr>
                <w:sz w:val="20"/>
                <w:szCs w:val="20"/>
                <w:color w:val="auto"/>
              </w:rPr>
            </w:pPr>
            <w:r>
              <w:rPr>
                <w:rFonts w:ascii="Arial" w:cs="Arial" w:eastAsia="Arial" w:hAnsi="Arial"/>
                <w:sz w:val="18"/>
                <w:szCs w:val="18"/>
                <w:color w:val="auto"/>
              </w:rPr>
              <w:t>Total Unvested June 30, 2021</w:t>
            </w:r>
          </w:p>
        </w:tc>
        <w:tc>
          <w:tcPr>
            <w:tcW w:w="10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871,176</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1.16</w:t>
            </w:r>
          </w:p>
        </w:tc>
      </w:tr>
      <w:tr>
        <w:trPr>
          <w:trHeight w:val="20"/>
        </w:trPr>
        <w:tc>
          <w:tcPr>
            <w:tcW w:w="6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Pursuant to certain stock purchase agreements containing vesting and other provisions, the Company has the right to repurchase unvested shares.</w:t>
      </w:r>
    </w:p>
    <w:p>
      <w:pPr>
        <w:spacing w:after="0" w:line="158" w:lineRule="exact"/>
        <w:rPr>
          <w:sz w:val="20"/>
          <w:szCs w:val="20"/>
          <w:color w:val="auto"/>
        </w:rPr>
      </w:pPr>
    </w:p>
    <w:p>
      <w:pPr>
        <w:jc w:val="both"/>
        <w:ind w:left="60" w:right="419"/>
        <w:spacing w:after="0" w:line="239" w:lineRule="auto"/>
        <w:rPr>
          <w:sz w:val="20"/>
          <w:szCs w:val="20"/>
          <w:color w:val="auto"/>
        </w:rPr>
      </w:pPr>
      <w:r>
        <w:rPr>
          <w:rFonts w:ascii="Arial" w:cs="Arial" w:eastAsia="Arial" w:hAnsi="Arial"/>
          <w:sz w:val="18"/>
          <w:szCs w:val="18"/>
          <w:color w:val="auto"/>
        </w:rPr>
        <w:t>As of June 30, 2021, there was $1,013 of total unrecognized compensation expense related to the unvested restricted stock with time-based vesting terms, which is expected to be recognized over a weighted average period of 1.73 years. All restricted stock vests over a four-year period.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20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As part of the merger, the Company assumed a deposit liability from Prior Century. Certain equity award holders early exercised unvested equity awards. The cash received upon early exercise of options of $3,234 was recorded as a deposit liability on the Company’s balance sheet as of June 30,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16—Related party transactions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Agreements and Collaborative Agreements with Shareholder of Equity Method Investor</w:t>
      </w:r>
    </w:p>
    <w:p>
      <w:pPr>
        <w:spacing w:after="0" w:line="188"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As part of the Commitment Agreement, the Company acquired licenses and other contracts from Prior Century that were originally entered into by Prior Century and FUJIFILM Cellular Dynamics, Inc. (“FCDI”). FCDI is a shareholder of Century. The acquired licenses and other contracts with FCDI are as follows: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Licenses</w:t>
      </w:r>
    </w:p>
    <w:p>
      <w:pPr>
        <w:spacing w:after="0" w:line="18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6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Company also acquired from Prior Century an exclusive license agreement with FCDI. The license provides the Company with patents and know-how related to human iPSC exclusively manufactured by FCDI.</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potential development and regulatory milestone payments to be paid by the Company to FCDI are $6,000.</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Collaboration Agreement</w:t>
      </w:r>
    </w:p>
    <w:p>
      <w:pPr>
        <w:spacing w:after="0" w:line="201"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October 2019, the Company entered into the Master Collaboration Agreement with FCDI, whereby FCDI will provide certain services to the Company to develop and manufacture iPSCs and immune cells derived therefrom. FCDI will provide services in accordance with the approved research plan and related research budget. The initial research plan covers the period from October 2019 through March 31, 2022, with the related research budget totaling $30,400.</w:t>
      </w:r>
    </w:p>
    <w:p>
      <w:pPr>
        <w:spacing w:after="0" w:line="16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During the three and six months ended June 30, 2021, the Company made payments of $4,561 and $7,784 and incurred research and development expenses of $5,071 and $ 7,852, and legal fees of $ 35 and $56, recorded within general and administrative expenses in its consolidated statements of operations and comprehensive loss. As of June 30, 2021, there was $1,962 in accounts payable related to this agreement on the consolidated balance sheets.</w:t>
      </w:r>
    </w:p>
    <w:p>
      <w:pPr>
        <w:spacing w:after="0" w:line="162" w:lineRule="exact"/>
        <w:rPr>
          <w:sz w:val="20"/>
          <w:szCs w:val="20"/>
          <w:color w:val="auto"/>
        </w:rPr>
      </w:pPr>
    </w:p>
    <w:p>
      <w:pPr>
        <w:ind w:left="60" w:right="399"/>
        <w:spacing w:after="0" w:line="238" w:lineRule="auto"/>
        <w:rPr>
          <w:sz w:val="20"/>
          <w:szCs w:val="20"/>
          <w:color w:val="auto"/>
        </w:rPr>
      </w:pPr>
      <w:r>
        <w:rPr>
          <w:rFonts w:ascii="Arial" w:cs="Arial" w:eastAsia="Arial" w:hAnsi="Arial"/>
          <w:sz w:val="18"/>
          <w:szCs w:val="18"/>
          <w:color w:val="auto"/>
        </w:rPr>
        <w:t>During the three and six months ended June 30, 2020, the Company made payments of $2,155 and $2,190, and incurred research and development expenses of $1,782 and $4,659, and legal fees of $24 and $27, recorded within general and administrative expenses in its consolidated statements of operations and comprehensive loss.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Consulting Arrangements with Shareholders of Equity Method Investor</w:t>
      </w:r>
    </w:p>
    <w:p>
      <w:pPr>
        <w:spacing w:after="0" w:line="188"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In 2019, the Company entered into arrangements with two shareholders of the Company,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$18 and $ 56 related to these consulting arrangements that were included in research and development expenses in the consolidated statements of operations and comprehensive loss for the three and six months ended June 30, 2021, respectively. The Company paid $31 and $44 related to these consulting arrangements that were included in research and development expenses in the consolidated statements of operations and comprehensive loss for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7"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10-Q and our audited consolidated financial statements and the related notes and the discussion under the heading “Management’s Discussion and Analysis of Financial Condition and Results of Operations” for the fiscal year ended December 31, 2020 included in our final prospectus, or the Final Prospectus, that forms a part of the Registration Statement on Form S-1 (File No. 333-256648) for our initial public offering, or our IPO, dated as of June 17, 2021, and filed with the Securities and Exchange Commission, or the SEC, pursuant to Rule 424(b)(4) under the Securities Act on June 21, 2021.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Note Regarding Forward-Looking Statements” and “Risk Factors”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92" w:lineRule="exact"/>
        <w:rPr>
          <w:sz w:val="20"/>
          <w:szCs w:val="20"/>
          <w:color w:val="auto"/>
        </w:rPr>
      </w:pPr>
    </w:p>
    <w:p>
      <w:pPr>
        <w:ind w:left="60" w:right="99"/>
        <w:spacing w:after="0" w:line="241" w:lineRule="auto"/>
        <w:rPr>
          <w:sz w:val="20"/>
          <w:szCs w:val="20"/>
          <w:color w:val="auto"/>
        </w:rPr>
      </w:pPr>
      <w:r>
        <w:rPr>
          <w:rFonts w:ascii="Arial" w:cs="Arial" w:eastAsia="Arial" w:hAnsi="Arial"/>
          <w:sz w:val="17"/>
          <w:szCs w:val="17"/>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 or iPSC,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Allo-Evasion</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technology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184" w:lineRule="exact"/>
        <w:rPr>
          <w:sz w:val="20"/>
          <w:szCs w:val="20"/>
          <w:color w:val="auto"/>
        </w:rPr>
      </w:pPr>
    </w:p>
    <w:p>
      <w:pPr>
        <w:ind w:left="60" w:right="239"/>
        <w:spacing w:after="0" w:line="236" w:lineRule="auto"/>
        <w:rPr>
          <w:sz w:val="20"/>
          <w:szCs w:val="20"/>
          <w:color w:val="auto"/>
        </w:rPr>
      </w:pPr>
      <w:r>
        <w:rPr>
          <w:rFonts w:ascii="Arial" w:cs="Arial" w:eastAsia="Arial" w:hAnsi="Arial"/>
          <w:sz w:val="18"/>
          <w:szCs w:val="18"/>
          <w:color w:val="auto"/>
        </w:rPr>
        <w:t>We were formed in 2018 as Century Therapeutics, Inc., or Prior Century. In 2019, in connection with our investment from Bayer Healthcare LLC, or Bayer, Prior Century contributed substantially all of its operating assets and cash to a newly formed entity, Century Therapeutics, LLC, or the LLC Entity. We refer to this transaction as the 2019 Reorganization. The 2019 Reorganization was accounted for as an asset acquisition under US Generally Accepted Accounting Principles, and as a result we recorded a one-time non-cash charge in the amount of $225.9 million which represented the fair value of the contributed in-process research and development, or IPR&amp;D, of Prior Century. The IPR&amp;D asset acquired was Prior Century’s comprehensive allogeneic cell therapy platform.</w:t>
      </w:r>
    </w:p>
    <w:p>
      <w:pPr>
        <w:spacing w:after="0" w:line="16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Until February 2021, our business was operated through the LLC Entity. In February 2021, in connection with the sale of 24,721,999 shares of our Series C preferred stock, or the Series C Financing, the LLC Entity converted from a Delaware limited liability company to a Delaware C corporation. Upon completion of this conversion, Prior Century, whose only significant asset was its equity investment in LLC, merged with the C corporation, and in connection therewith the C corporation changed its name to “Century Therapeutics, Inc.” We refer to these transactions as the 2021 Reorganization.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219"/>
        <w:spacing w:after="0" w:line="235"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 approved for sale. Since our inception, we have incurred net losses each year. We had an accumulated deficit of $334.0 million as of June 30, 2021. Substantially all of our losses have resulted from expenses incurred in connection with our research and development programs, the acquisition of in-process research and development and from general and administrative costs associated with our operations. Included in our accumulated deficit, as noted above, is a non-cash expense of $225.9 million related to the fair value of the in-process research and development of Prior Century.</w:t>
      </w:r>
    </w:p>
    <w:p>
      <w:pPr>
        <w:spacing w:after="0" w:line="179" w:lineRule="exact"/>
        <w:rPr>
          <w:sz w:val="20"/>
          <w:szCs w:val="20"/>
          <w:color w:val="auto"/>
        </w:rPr>
      </w:pPr>
    </w:p>
    <w:p>
      <w:pPr>
        <w:ind w:left="60" w:right="59"/>
        <w:spacing w:after="0" w:line="233" w:lineRule="auto"/>
        <w:rPr>
          <w:sz w:val="20"/>
          <w:szCs w:val="20"/>
          <w:color w:val="auto"/>
        </w:rPr>
      </w:pPr>
      <w:r>
        <w:rPr>
          <w:rFonts w:ascii="Arial" w:cs="Arial" w:eastAsia="Arial" w:hAnsi="Arial"/>
          <w:sz w:val="18"/>
          <w:szCs w:val="18"/>
          <w:color w:val="auto"/>
        </w:rPr>
        <w:t>In June 2021, we completed our initial public offering, or IPO, in which we issued and sold 12,132,500 shares of our common stock, at a public offering price of $20.00 per share. We received net proceeds of $221.2 million after deducting underwriting discounts, commissions, and other offering cost of $21.5 million in the aggregate. To date, we have funded our operations from the issuance and sale of our equity securities and have not generated any revenues. Since our inception, we have raised approximately $564 million in net proceeds from sales of our equity securities. As of June 30, 2021, we had cash and cash equivalents of $272.3 million and marketable securities of $167.8 million. Based on our current business plans, we believe, together with our existing cash, cash equivalents and marketable securities, will be sufficient for us to fund our operating expenses and capital expenditures requirements through 2024. We have based this estimate on assumptions that may prove to be wrong, and we could exhaust our available capital resources sooner than we expect. We anticipate that our expenses and operating losses will increase substantially over the foreseeable future.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expected increase in expenses will be driven in large part by our ongoing activities, if and as we:</w:t>
      </w:r>
    </w:p>
    <w:p>
      <w:pPr>
        <w:spacing w:after="0" w:line="170"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advance our iPSC cell therapy platforms;</w:t>
      </w:r>
    </w:p>
    <w:p>
      <w:pPr>
        <w:spacing w:after="0" w:line="183" w:lineRule="exact"/>
        <w:rPr>
          <w:rFonts w:ascii="Arial" w:cs="Arial" w:eastAsia="Arial" w:hAnsi="Arial"/>
          <w:sz w:val="18"/>
          <w:szCs w:val="18"/>
          <w:color w:val="auto"/>
        </w:rPr>
      </w:pPr>
    </w:p>
    <w:p>
      <w:pPr>
        <w:ind w:left="380" w:right="379" w:hanging="330"/>
        <w:spacing w:after="0" w:line="24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preclinical development of, and initiate clinical development of CNTY-101 and our other product candidates;</w:t>
      </w:r>
    </w:p>
    <w:p>
      <w:pPr>
        <w:spacing w:after="0" w:line="171" w:lineRule="exact"/>
        <w:rPr>
          <w:rFonts w:ascii="Arial" w:cs="Arial" w:eastAsia="Arial" w:hAnsi="Arial"/>
          <w:sz w:val="18"/>
          <w:szCs w:val="18"/>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validate our own clinical-scale current good manufacturing practices, or cGMP, facilities;</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for any of our other product candidates that successfully complete clinical trials;</w:t>
      </w:r>
    </w:p>
    <w:p>
      <w:pPr>
        <w:spacing w:after="0" w:line="196" w:lineRule="exact"/>
        <w:rPr>
          <w:rFonts w:ascii="Arial" w:cs="Arial" w:eastAsia="Arial" w:hAnsi="Arial"/>
          <w:sz w:val="18"/>
          <w:szCs w:val="18"/>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83" w:lineRule="exact"/>
        <w:rPr>
          <w:rFonts w:ascii="Arial" w:cs="Arial" w:eastAsia="Arial" w:hAnsi="Arial"/>
          <w:sz w:val="18"/>
          <w:szCs w:val="18"/>
          <w:color w:val="auto"/>
        </w:rPr>
      </w:pPr>
    </w:p>
    <w:p>
      <w:pPr>
        <w:ind w:left="380" w:right="239" w:hanging="330"/>
        <w:spacing w:after="0" w:line="260"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158" w:lineRule="exact"/>
        <w:rPr>
          <w:rFonts w:ascii="Arial" w:cs="Arial" w:eastAsia="Arial" w:hAnsi="Arial"/>
          <w:sz w:val="17"/>
          <w:szCs w:val="17"/>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83"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We are also investing early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62" w:lineRule="exact"/>
        <w:rPr>
          <w:sz w:val="20"/>
          <w:szCs w:val="20"/>
          <w:color w:val="auto"/>
        </w:rPr>
      </w:pPr>
    </w:p>
    <w:p>
      <w:pPr>
        <w:ind w:left="60" w:right="499"/>
        <w:spacing w:after="0" w:line="273" w:lineRule="auto"/>
        <w:rPr>
          <w:sz w:val="20"/>
          <w:szCs w:val="20"/>
          <w:color w:val="auto"/>
        </w:rPr>
      </w:pPr>
      <w:r>
        <w:rPr>
          <w:rFonts w:ascii="Arial" w:cs="Arial" w:eastAsia="Arial" w:hAnsi="Arial"/>
          <w:sz w:val="17"/>
          <w:szCs w:val="17"/>
          <w:color w:val="auto"/>
        </w:rPr>
        <w:t>We anticipate that we will need to raise additional financing in the future to fund our operations, including funding for preclinical studies, clinical trials and the commercialization of any approved product candidates.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We intend to use the proceeds from such financings to, among other uses, fund research and development of our product candidates and development programs, including our pre-clinical and clinical development of CNTY-101, CNTY-103, CNTY-102, and CNTY-104. Until such time, if ever, as we can generate significant product revenue, we expect to finance our operations with our existing cash and cash equivalents, marketable securities,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79"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The global COVID-19 pandemic continues to evolve rapidly, and we will continue to monitor it closely. The extent of the impact of the COVID-19 pandemic on our business, operations, and clinical development timelines and plans remains uncertain and will depend on certain developments, including the duration and spread of the outbreak, including as a result of the emergence of new variants of COVID-19, such as the delta variant, and its impact on our clinical trial enrollment, trial sites, CROs, contract manufacturing organizations, and other third parties with whom we do business, as well as its impact on regulatory authorities and our key scientific and management personnel. We have experienced modest delays in our discovery and development activities as a result of the COVID-19 pandemic, primarily due to temporary and partial shutdowns at certain of our CROs and academic institutions that have since resumed operations, and due to the Pennsylvania, and Washington stay-at-home orders where our operations are located. However, to the extent possible, we are conducting business as usual, with necessary or advisable modifications to employee travel and most of our non- laboratory employees working remotely. Vaccines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has not reached the level required for herd immunity. Certain variants of COVID-19, such as the delta variant, are proving to be more easily spread than earlier variants. The continued low vaccination rate, and the emergence of new variants which could prove resistant to existing vaccines could again result in major disruptions to businesses and markets worldwide. We will continue to actively monitor the situation related to COVID-19 and may take further actions that alter our operations, including those that may be required by federal, state, or local authorities, or that we determine are in the best interests of our employees and other third parties with whom we do business. The extent to which the outbreak may affect our preclinical studies, clinical trials, business, financial condition, and results of operations will depend on future developments, which are highly uncertain and cannot be predicted at this time.</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Prior Century issued 2,980,803 shares of common stock to FCDI, which were exchanged for 2,980,803 shares of common stock in connection with the Reorganization. Prior Century recorded acquired research and development expense of $75 thousand in 2018 based on the fair market value of Prior Century common stock of $0.03 per share.</w:t>
      </w:r>
    </w:p>
    <w:p>
      <w:pPr>
        <w:spacing w:after="0" w:line="16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Also on September 18, 2018, we entered into the non-exclusive license, or the Reprogramming License, with FCDI. The Reprogramming License, as amended, provides us with a non-exclusive license under certain patents and know- 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are approximately $6 million per licensed product. In connection with the Reprogramming License, we entered into a collaboration agreement, or the Master Collaboration Agreement, with FCDI pursuant to which we agreed to fund research and development work at FCDI pursuant to a research plan.</w:t>
      </w:r>
    </w:p>
    <w:p>
      <w:pPr>
        <w:spacing w:after="0" w:line="175"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On October 21, 2019, we entered into a collaboration agreement, or the Collaboration Agreement, with FCDI, whereby FCDI provides certain services to us to develop and manufacture iPSCs and immune cells derived therefrom. Under the terms of the Collaboration Agreement, as amended, FCDI will provide services in accordance with the approved research plan and related research budget. The research plan covers the period from the date of execution of the Collaboration Agreement through March 31, 2022, with the related research budget of approximately $30.4 million.</w:t>
      </w:r>
    </w:p>
    <w:p>
      <w:pPr>
        <w:spacing w:after="0" w:line="164"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During the three and six months ended June 30, 2021, the Company made payments of $4.6 million and $ 7.8 million and incurred research and development expenses of $5.1 million and $7.9 million, and legal fees of $35 thousand and $56 thousand, recorded within general and administrative expenses in its consolidated statements of operations and comprehensive loss. As of June 30, 2021, there was $2.0 million in accounts payable related to this agreement on the consolidated balance sheets.</w:t>
      </w:r>
    </w:p>
    <w:p>
      <w:pPr>
        <w:spacing w:after="0" w:line="162"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During the three and six months ended June 30, 2020, the Company made payments of $2.2 million, and incurred research and development expenses of $1.8 million and $4.7 million, and legal fees of $24 thousand and $27 thousand, recorded within general and administrative expenses in its consolidated statements of operations and comprehensive loss.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2021, we incurred $22.2 million of the $30.4 million budget under the Collaboration Agreement.</w:t>
      </w:r>
    </w:p>
    <w:p>
      <w:pPr>
        <w:spacing w:after="0" w:line="170" w:lineRule="exact"/>
        <w:rPr>
          <w:sz w:val="20"/>
          <w:szCs w:val="20"/>
          <w:color w:val="auto"/>
        </w:rPr>
      </w:pPr>
    </w:p>
    <w:p>
      <w:pPr>
        <w:ind w:left="60" w:right="619"/>
        <w:spacing w:after="0" w:line="244" w:lineRule="auto"/>
        <w:rPr>
          <w:sz w:val="20"/>
          <w:szCs w:val="20"/>
          <w:color w:val="auto"/>
        </w:rPr>
      </w:pPr>
      <w:r>
        <w:rPr>
          <w:rFonts w:ascii="Arial" w:cs="Arial" w:eastAsia="Arial" w:hAnsi="Arial"/>
          <w:sz w:val="18"/>
          <w:szCs w:val="18"/>
          <w:color w:val="auto"/>
        </w:rPr>
        <w:t>We also have entered into a sublicense agreement with iCELL Inc. and a master services agreement with Distributed Bio, Inc. See Note 11 to our unaudited consolidated financial statements.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Empirica acquisition</w:t>
      </w:r>
    </w:p>
    <w:p>
      <w:pPr>
        <w:spacing w:after="0" w:line="205" w:lineRule="exact"/>
        <w:rPr>
          <w:sz w:val="20"/>
          <w:szCs w:val="20"/>
          <w:color w:val="auto"/>
        </w:rPr>
      </w:pPr>
    </w:p>
    <w:p>
      <w:pPr>
        <w:jc w:val="both"/>
        <w:ind w:left="60" w:right="139"/>
        <w:spacing w:after="0" w:line="238" w:lineRule="auto"/>
        <w:rPr>
          <w:sz w:val="20"/>
          <w:szCs w:val="20"/>
          <w:color w:val="auto"/>
        </w:rPr>
      </w:pPr>
      <w:r>
        <w:rPr>
          <w:rFonts w:ascii="Arial" w:cs="Arial" w:eastAsia="Arial" w:hAnsi="Arial"/>
          <w:sz w:val="18"/>
          <w:szCs w:val="18"/>
          <w:color w:val="auto"/>
        </w:rPr>
        <w:t>On June 9, 2020, we acquired certain assets of Empirica Therapeutics, or Empirica, a privately-held early-stage biotechnology company focused on the development of adoptive immunotherapies against the most aggressive and treatment-resistant forms of cancers, including glioblastoma and brain metastasis for a total purchase price of $4.7 million.</w:t>
      </w:r>
    </w:p>
    <w:p>
      <w:pPr>
        <w:spacing w:after="0" w:line="16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The transaction was accounted for as an asset acquisition of IPR&amp;D. Total consideration in the acquisition was $4.7 million, consisting of cash consideration of $ 4.5 million and transaction expenses of $0.2 million. In addition to the purchase price, $1.5 million was deposited in escrow, or the Escrow Deposit, whereby release of the Escrow Deposit is subject to the terms of a promissory note, which provides for the funds to be released in equal installments over a three-year period related to continuing services by former Empirica shareholders who are employed by the Company. The Escrow Deposit is recognized as an asset and the promissory note is post-acquisition compensation expense, which will be accrued over the term of the promissory note. We recorded $0.5 million and $0.3 million compensation in research and development expense for the six months ended June 30, 2021 and the year ended December 31, 2020, respectively. For further details regarding this acquisition, see Note 4 to our unaudited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188"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receipt of goods or services to be used in research and development are recorded as prepaid expenses until the goods or services are received.</w:t>
      </w:r>
    </w:p>
    <w:p>
      <w:pPr>
        <w:spacing w:after="0" w:line="171" w:lineRule="exact"/>
        <w:rPr>
          <w:sz w:val="20"/>
          <w:szCs w:val="20"/>
          <w:color w:val="auto"/>
        </w:rPr>
      </w:pPr>
    </w:p>
    <w:p>
      <w:pPr>
        <w:ind w:left="60" w:right="159"/>
        <w:spacing w:after="0" w:line="256"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48" w:lineRule="exact"/>
        <w:rPr>
          <w:sz w:val="20"/>
          <w:szCs w:val="20"/>
          <w:color w:val="auto"/>
        </w:rPr>
      </w:pPr>
    </w:p>
    <w:p>
      <w:pPr>
        <w:ind w:left="60" w:right="219"/>
        <w:spacing w:after="0" w:line="254"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4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completing preclinical studies and commencing clinical trials,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88"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62" w:lineRule="exact"/>
        <w:rPr>
          <w:sz w:val="20"/>
          <w:szCs w:val="20"/>
          <w:color w:val="auto"/>
        </w:rPr>
      </w:pPr>
    </w:p>
    <w:p>
      <w:pPr>
        <w:ind w:left="60" w:right="199"/>
        <w:spacing w:after="0" w:line="260" w:lineRule="auto"/>
        <w:rPr>
          <w:sz w:val="20"/>
          <w:szCs w:val="20"/>
          <w:color w:val="auto"/>
        </w:rPr>
      </w:pPr>
      <w:r>
        <w:rPr>
          <w:rFonts w:ascii="Arial" w:cs="Arial" w:eastAsia="Arial" w:hAnsi="Arial"/>
          <w:sz w:val="17"/>
          <w:szCs w:val="17"/>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Write-off of in-process research and development</w:t>
      </w:r>
    </w:p>
    <w:p>
      <w:pPr>
        <w:spacing w:after="0" w:line="188" w:lineRule="exact"/>
        <w:rPr>
          <w:sz w:val="20"/>
          <w:szCs w:val="20"/>
          <w:color w:val="auto"/>
        </w:rPr>
      </w:pPr>
    </w:p>
    <w:p>
      <w:pPr>
        <w:ind w:left="60" w:right="479"/>
        <w:spacing w:after="0" w:line="239" w:lineRule="auto"/>
        <w:rPr>
          <w:sz w:val="20"/>
          <w:szCs w:val="20"/>
          <w:color w:val="auto"/>
        </w:rPr>
      </w:pPr>
      <w:r>
        <w:rPr>
          <w:rFonts w:ascii="Arial" w:cs="Arial" w:eastAsia="Arial" w:hAnsi="Arial"/>
          <w:sz w:val="18"/>
          <w:szCs w:val="18"/>
          <w:color w:val="auto"/>
        </w:rPr>
        <w:t>Acquired in-process research and development assets are charged to expense at the acquisition date. In-process research and development charges for the three and six months ended June 30, 2020 relate to the acquisition of Prior Century’s and Empirica’s assets, respectively.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Interest expense relates to interest incurred on the Loan Agreement we entered into with Hercules Capital, Inc., or Hercules, in September 2020, as well as amortization of the related deferred financing cost. See Note 9 to our unaudited consolidated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net consists of interest earned on our cash, cash equivalents and investment balances.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Until February 25, 2021, we were organized as a limited liability company, which is considered a passthrough entity for federal and state income tax purposes. As such, any taxable income or loss realized by the Company for the year ended December 31, 2020 was allocated to the members in accordance with their respective membership interest and reported on their individual tax returns. Subsequent to the conversion of the LLC Entity to a C-Corp on February 25, 2021, we have incurred losses and recorded a full valuation allowance on all of our net deferred tax assets. Therefore, no provisions or benefit for income taxes is necessary in the accompanying consolidated financial statements.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June 30, 2021 and 2020</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1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June 30, 2021</w:t>
            </w:r>
          </w:p>
        </w:tc>
        <w:tc>
          <w:tcPr>
            <w:tcW w:w="28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June 30, 2020</w:t>
            </w:r>
          </w:p>
        </w:tc>
        <w:tc>
          <w:tcPr>
            <w:tcW w:w="140" w:type="dxa"/>
            <w:vAlign w:val="bottom"/>
          </w:tcPr>
          <w:p>
            <w:pPr>
              <w:spacing w:after="0"/>
              <w:rPr>
                <w:sz w:val="13"/>
                <w:szCs w:val="13"/>
                <w:color w:val="auto"/>
              </w:rPr>
            </w:pPr>
          </w:p>
        </w:tc>
        <w:tc>
          <w:tcPr>
            <w:tcW w:w="66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Change</w:t>
            </w:r>
          </w:p>
        </w:tc>
      </w:tr>
      <w:tr>
        <w:trPr>
          <w:trHeight w:val="155"/>
        </w:trPr>
        <w:tc>
          <w:tcPr>
            <w:tcW w:w="51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02"/>
        </w:trPr>
        <w:tc>
          <w:tcPr>
            <w:tcW w:w="5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5180" w:type="dxa"/>
            <w:vAlign w:val="bottom"/>
          </w:tcPr>
          <w:p>
            <w:pPr>
              <w:ind w:left="120"/>
              <w:spacing w:after="0" w:line="201"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18,933</w:t>
            </w:r>
          </w:p>
        </w:tc>
        <w:tc>
          <w:tcPr>
            <w:tcW w:w="180" w:type="dxa"/>
            <w:vAlign w:val="bottom"/>
          </w:tcPr>
          <w:p>
            <w:pPr>
              <w:spacing w:after="0"/>
              <w:rPr>
                <w:sz w:val="17"/>
                <w:szCs w:val="17"/>
                <w:color w:val="auto"/>
              </w:rPr>
            </w:pPr>
          </w:p>
        </w:tc>
        <w:tc>
          <w:tcPr>
            <w:tcW w:w="280" w:type="dxa"/>
            <w:vAlign w:val="bottom"/>
          </w:tcPr>
          <w:p>
            <w:pPr>
              <w:jc w:val="right"/>
              <w:ind w:right="96"/>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8,484</w:t>
            </w: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10,449</w:t>
            </w:r>
          </w:p>
        </w:tc>
        <w:tc>
          <w:tcPr>
            <w:tcW w:w="20" w:type="dxa"/>
            <w:vAlign w:val="bottom"/>
          </w:tcPr>
          <w:p>
            <w:pPr>
              <w:spacing w:after="0"/>
              <w:rPr>
                <w:sz w:val="17"/>
                <w:szCs w:val="17"/>
                <w:color w:val="auto"/>
              </w:rPr>
            </w:pPr>
          </w:p>
        </w:tc>
      </w:tr>
      <w:tr>
        <w:trPr>
          <w:trHeight w:val="202"/>
        </w:trPr>
        <w:tc>
          <w:tcPr>
            <w:tcW w:w="51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4,088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2,310</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1,778</w:t>
            </w:r>
          </w:p>
        </w:tc>
        <w:tc>
          <w:tcPr>
            <w:tcW w:w="20" w:type="dxa"/>
            <w:vAlign w:val="bottom"/>
          </w:tcPr>
          <w:p>
            <w:pPr>
              <w:spacing w:after="0"/>
              <w:rPr>
                <w:sz w:val="17"/>
                <w:szCs w:val="17"/>
                <w:color w:val="auto"/>
              </w:rPr>
            </w:pPr>
          </w:p>
        </w:tc>
      </w:tr>
      <w:tr>
        <w:trPr>
          <w:trHeight w:val="202"/>
        </w:trPr>
        <w:tc>
          <w:tcPr>
            <w:tcW w:w="5180" w:type="dxa"/>
            <w:vAlign w:val="bottom"/>
          </w:tcPr>
          <w:p>
            <w:pPr>
              <w:ind w:left="120"/>
              <w:spacing w:after="0" w:line="201" w:lineRule="exact"/>
              <w:rPr>
                <w:sz w:val="20"/>
                <w:szCs w:val="20"/>
                <w:color w:val="auto"/>
              </w:rPr>
            </w:pPr>
            <w:r>
              <w:rPr>
                <w:rFonts w:ascii="Arial" w:cs="Arial" w:eastAsia="Arial" w:hAnsi="Arial"/>
                <w:sz w:val="18"/>
                <w:szCs w:val="18"/>
                <w:color w:val="auto"/>
              </w:rPr>
              <w:t>Write off of in-process research and development asset</w:t>
            </w:r>
          </w:p>
        </w:tc>
        <w:tc>
          <w:tcPr>
            <w:tcW w:w="260" w:type="dxa"/>
            <w:vAlign w:val="bottom"/>
          </w:tcPr>
          <w:p>
            <w:pPr>
              <w:spacing w:after="0"/>
              <w:rPr>
                <w:sz w:val="17"/>
                <w:szCs w:val="17"/>
                <w:color w:val="auto"/>
              </w:rPr>
            </w:pPr>
          </w:p>
        </w:tc>
        <w:tc>
          <w:tcPr>
            <w:tcW w:w="13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4,722</w:t>
            </w:r>
          </w:p>
        </w:tc>
        <w:tc>
          <w:tcPr>
            <w:tcW w:w="14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(4,722)</w:t>
            </w:r>
          </w:p>
        </w:tc>
        <w:tc>
          <w:tcPr>
            <w:tcW w:w="20" w:type="dxa"/>
            <w:vAlign w:val="bottom"/>
          </w:tcPr>
          <w:p>
            <w:pPr>
              <w:spacing w:after="0"/>
              <w:rPr>
                <w:sz w:val="17"/>
                <w:szCs w:val="17"/>
                <w:color w:val="auto"/>
              </w:rPr>
            </w:pPr>
          </w:p>
        </w:tc>
      </w:tr>
      <w:tr>
        <w:trPr>
          <w:trHeight w:val="195"/>
        </w:trPr>
        <w:tc>
          <w:tcPr>
            <w:tcW w:w="5180" w:type="dxa"/>
            <w:vAlign w:val="bottom"/>
            <w:tcBorders>
              <w:top w:val="single" w:sz="8" w:color="CCEEFF"/>
            </w:tcBorders>
            <w:shd w:val="clear" w:color="auto" w:fill="CCEEFF"/>
          </w:tcPr>
          <w:p>
            <w:pPr>
              <w:ind w:left="220"/>
              <w:spacing w:after="0" w:line="195"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23,021</w:t>
            </w: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15,516</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7,505</w:t>
            </w:r>
          </w:p>
        </w:tc>
        <w:tc>
          <w:tcPr>
            <w:tcW w:w="20" w:type="dxa"/>
            <w:vAlign w:val="bottom"/>
          </w:tcPr>
          <w:p>
            <w:pPr>
              <w:spacing w:after="0"/>
              <w:rPr>
                <w:sz w:val="16"/>
                <w:szCs w:val="16"/>
                <w:color w:val="auto"/>
              </w:rPr>
            </w:pPr>
          </w:p>
        </w:tc>
      </w:tr>
      <w:tr>
        <w:trPr>
          <w:trHeight w:val="195"/>
        </w:trPr>
        <w:tc>
          <w:tcPr>
            <w:tcW w:w="5180" w:type="dxa"/>
            <w:vAlign w:val="bottom"/>
            <w:tcBorders>
              <w:bottom w:val="single" w:sz="8" w:color="CCEEFF"/>
            </w:tcBorders>
          </w:tcPr>
          <w:p>
            <w:pPr>
              <w:ind w:left="20"/>
              <w:spacing w:after="0" w:line="195" w:lineRule="exact"/>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(23,021)</w:t>
            </w: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(15,516)</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(7,505)</w:t>
            </w:r>
          </w:p>
        </w:tc>
        <w:tc>
          <w:tcPr>
            <w:tcW w:w="20" w:type="dxa"/>
            <w:vAlign w:val="bottom"/>
          </w:tcPr>
          <w:p>
            <w:pPr>
              <w:spacing w:after="0"/>
              <w:rPr>
                <w:sz w:val="16"/>
                <w:szCs w:val="16"/>
                <w:color w:val="auto"/>
              </w:rPr>
            </w:pPr>
          </w:p>
        </w:tc>
      </w:tr>
      <w:tr>
        <w:trPr>
          <w:trHeight w:val="195"/>
        </w:trPr>
        <w:tc>
          <w:tcPr>
            <w:tcW w:w="51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(318)</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(318)</w:t>
            </w:r>
          </w:p>
        </w:tc>
        <w:tc>
          <w:tcPr>
            <w:tcW w:w="20" w:type="dxa"/>
            <w:vAlign w:val="bottom"/>
          </w:tcPr>
          <w:p>
            <w:pPr>
              <w:spacing w:after="0"/>
              <w:rPr>
                <w:sz w:val="16"/>
                <w:szCs w:val="16"/>
                <w:color w:val="auto"/>
              </w:rPr>
            </w:pPr>
          </w:p>
        </w:tc>
      </w:tr>
      <w:tr>
        <w:trPr>
          <w:trHeight w:val="202"/>
        </w:trPr>
        <w:tc>
          <w:tcPr>
            <w:tcW w:w="51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215</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17"/>
                <w:szCs w:val="17"/>
                <w:color w:val="auto"/>
              </w:rPr>
            </w:pPr>
          </w:p>
        </w:tc>
      </w:tr>
      <w:tr>
        <w:trPr>
          <w:trHeight w:val="195"/>
        </w:trPr>
        <w:tc>
          <w:tcPr>
            <w:tcW w:w="51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(23,273)</w:t>
            </w: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96"/>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(15,301)$</w:t>
            </w:r>
          </w:p>
        </w:tc>
        <w:tc>
          <w:tcPr>
            <w:tcW w:w="6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(7,972)</w:t>
            </w:r>
          </w:p>
        </w:tc>
        <w:tc>
          <w:tcPr>
            <w:tcW w:w="20" w:type="dxa"/>
            <w:vAlign w:val="bottom"/>
          </w:tcPr>
          <w:p>
            <w:pPr>
              <w:spacing w:after="0"/>
              <w:rPr>
                <w:sz w:val="16"/>
                <w:szCs w:val="16"/>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8"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8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Three Months Ended</w:t>
            </w:r>
          </w:p>
        </w:tc>
        <w:tc>
          <w:tcPr>
            <w:tcW w:w="16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Three Months Ended</w:t>
            </w: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157"/>
        </w:trPr>
        <w:tc>
          <w:tcPr>
            <w:tcW w:w="4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June 30, 2021</w:t>
            </w:r>
          </w:p>
        </w:tc>
        <w:tc>
          <w:tcPr>
            <w:tcW w:w="280" w:type="dxa"/>
            <w:vAlign w:val="bottom"/>
          </w:tcPr>
          <w:p>
            <w:pPr>
              <w:spacing w:after="0"/>
              <w:rPr>
                <w:sz w:val="13"/>
                <w:szCs w:val="13"/>
                <w:color w:val="auto"/>
              </w:rPr>
            </w:pPr>
          </w:p>
        </w:tc>
        <w:tc>
          <w:tcPr>
            <w:tcW w:w="13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June 30, 2020</w:t>
            </w:r>
          </w:p>
        </w:tc>
        <w:tc>
          <w:tcPr>
            <w:tcW w:w="14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Change</w:t>
            </w:r>
          </w:p>
        </w:tc>
      </w:tr>
      <w:tr>
        <w:trPr>
          <w:trHeight w:val="141"/>
        </w:trPr>
        <w:tc>
          <w:tcPr>
            <w:tcW w:w="48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202"/>
        </w:trPr>
        <w:tc>
          <w:tcPr>
            <w:tcW w:w="48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Personnel and related costs</w:t>
            </w:r>
          </w:p>
        </w:tc>
        <w:tc>
          <w:tcPr>
            <w:tcW w:w="300" w:type="dxa"/>
            <w:vAlign w:val="bottom"/>
            <w:shd w:val="clear" w:color="auto" w:fill="CCEEFF"/>
          </w:tcPr>
          <w:p>
            <w:pPr>
              <w:jc w:val="right"/>
              <w:ind w:right="96"/>
              <w:spacing w:after="0" w:line="201"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6,146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3,485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2,661</w:t>
            </w:r>
          </w:p>
        </w:tc>
      </w:tr>
      <w:tr>
        <w:trPr>
          <w:trHeight w:val="202"/>
        </w:trPr>
        <w:tc>
          <w:tcPr>
            <w:tcW w:w="4880" w:type="dxa"/>
            <w:vAlign w:val="bottom"/>
          </w:tcPr>
          <w:p>
            <w:pPr>
              <w:ind w:left="20"/>
              <w:spacing w:after="0" w:line="201" w:lineRule="exact"/>
              <w:rPr>
                <w:sz w:val="20"/>
                <w:szCs w:val="20"/>
                <w:color w:val="auto"/>
              </w:rPr>
            </w:pPr>
            <w:r>
              <w:rPr>
                <w:rFonts w:ascii="Arial" w:cs="Arial" w:eastAsia="Arial" w:hAnsi="Arial"/>
                <w:sz w:val="18"/>
                <w:szCs w:val="18"/>
                <w:color w:val="auto"/>
              </w:rPr>
              <w:t>Facility and other allocated costs</w:t>
            </w:r>
          </w:p>
        </w:tc>
        <w:tc>
          <w:tcPr>
            <w:tcW w:w="30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2,089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686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1,403</w:t>
            </w:r>
          </w:p>
        </w:tc>
      </w:tr>
      <w:tr>
        <w:trPr>
          <w:trHeight w:val="202"/>
        </w:trPr>
        <w:tc>
          <w:tcPr>
            <w:tcW w:w="48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Research and laboratory</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4,628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2,190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2,438</w:t>
            </w:r>
          </w:p>
        </w:tc>
      </w:tr>
      <w:tr>
        <w:trPr>
          <w:trHeight w:val="202"/>
        </w:trPr>
        <w:tc>
          <w:tcPr>
            <w:tcW w:w="4880" w:type="dxa"/>
            <w:vAlign w:val="bottom"/>
          </w:tcPr>
          <w:p>
            <w:pPr>
              <w:ind w:left="20"/>
              <w:spacing w:after="0" w:line="201" w:lineRule="exact"/>
              <w:rPr>
                <w:sz w:val="20"/>
                <w:szCs w:val="20"/>
                <w:color w:val="auto"/>
              </w:rPr>
            </w:pPr>
            <w:r>
              <w:rPr>
                <w:rFonts w:ascii="Arial" w:cs="Arial" w:eastAsia="Arial" w:hAnsi="Arial"/>
                <w:sz w:val="18"/>
                <w:szCs w:val="18"/>
                <w:color w:val="auto"/>
              </w:rPr>
              <w:t>Collaborations</w:t>
            </w:r>
          </w:p>
        </w:tc>
        <w:tc>
          <w:tcPr>
            <w:tcW w:w="30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5,071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1,782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3,289</w:t>
            </w:r>
          </w:p>
        </w:tc>
      </w:tr>
      <w:tr>
        <w:trPr>
          <w:trHeight w:val="202"/>
        </w:trPr>
        <w:tc>
          <w:tcPr>
            <w:tcW w:w="48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Consulting</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440</w:t>
            </w:r>
          </w:p>
        </w:tc>
      </w:tr>
      <w:tr>
        <w:trPr>
          <w:trHeight w:val="202"/>
        </w:trPr>
        <w:tc>
          <w:tcPr>
            <w:tcW w:w="48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469</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218</w:t>
            </w:r>
          </w:p>
        </w:tc>
      </w:tr>
      <w:tr>
        <w:trPr>
          <w:trHeight w:val="195"/>
        </w:trPr>
        <w:tc>
          <w:tcPr>
            <w:tcW w:w="4880" w:type="dxa"/>
            <w:vAlign w:val="bottom"/>
            <w:tcBorders>
              <w:bottom w:val="single" w:sz="8" w:color="CCEEFF"/>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Total research and development expense</w:t>
            </w:r>
          </w:p>
        </w:tc>
        <w:tc>
          <w:tcPr>
            <w:tcW w:w="300" w:type="dxa"/>
            <w:vAlign w:val="bottom"/>
            <w:tcBorders>
              <w:bottom w:val="single" w:sz="8" w:color="auto"/>
            </w:tcBorders>
            <w:shd w:val="clear" w:color="auto" w:fill="CCEEFF"/>
          </w:tcPr>
          <w:p>
            <w:pPr>
              <w:jc w:val="right"/>
              <w:ind w:right="96"/>
              <w:spacing w:after="0" w:line="195"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18,933</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8,484</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10,449</w:t>
            </w: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Research and development expenses were $ 18.9 million and $8.5 million for the three months ended June 30, 2021 and 2020. The increase of $10.4 million was primarily due to:</w:t>
      </w:r>
    </w:p>
    <w:p>
      <w:pPr>
        <w:spacing w:after="0" w:line="158" w:lineRule="exact"/>
        <w:rPr>
          <w:sz w:val="20"/>
          <w:szCs w:val="20"/>
          <w:color w:val="auto"/>
        </w:rPr>
      </w:pPr>
    </w:p>
    <w:p>
      <w:pPr>
        <w:ind w:left="380" w:right="159" w:hanging="330"/>
        <w:spacing w:after="0" w:line="244"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personnel-related expenses of $2.7 million, which was primarily attributable to an increase in headcount to expand our research and development capabilities;</w:t>
      </w:r>
    </w:p>
    <w:p>
      <w:pPr>
        <w:spacing w:after="0" w:line="171" w:lineRule="exact"/>
        <w:rPr>
          <w:rFonts w:ascii="Arial" w:cs="Arial" w:eastAsia="Arial" w:hAnsi="Arial"/>
          <w:sz w:val="18"/>
          <w:szCs w:val="18"/>
          <w:color w:val="auto"/>
        </w:rPr>
      </w:pPr>
    </w:p>
    <w:p>
      <w:pPr>
        <w:ind w:left="380" w:right="219" w:hanging="330"/>
        <w:spacing w:after="0" w:line="244"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$1.4 million of facility and other allocated costs, including rent and allocated overhead costs as a result of an expansion of our geographic footprint for office and lab space;</w:t>
      </w:r>
    </w:p>
    <w:p>
      <w:pPr>
        <w:spacing w:after="0" w:line="157" w:lineRule="exact"/>
        <w:rPr>
          <w:rFonts w:ascii="Arial" w:cs="Arial" w:eastAsia="Arial" w:hAnsi="Arial"/>
          <w:sz w:val="18"/>
          <w:szCs w:val="18"/>
          <w:color w:val="auto"/>
        </w:rPr>
      </w:pPr>
    </w:p>
    <w:p>
      <w:pPr>
        <w:ind w:left="380" w:right="699" w:hanging="330"/>
        <w:spacing w:after="0" w:line="244"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$2.4 million in research and laboratory costs, including laboratory supplies, preclinical studies, and other external research expenses;</w:t>
      </w:r>
    </w:p>
    <w:p>
      <w:pPr>
        <w:sectPr>
          <w:pgSz w:w="11900" w:h="16838" w:orient="portrait"/>
          <w:cols w:equalWidth="0" w:num="1">
            <w:col w:w="9019"/>
          </w:cols>
          <w:pgMar w:left="1440" w:top="529"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346075</wp:posOffset>
            </wp:positionV>
            <wp:extent cx="56635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$3.3 million for collaborative arrangements with FCDI;</w:t>
      </w:r>
    </w:p>
    <w:p>
      <w:pPr>
        <w:spacing w:after="0" w:line="196" w:lineRule="exact"/>
        <w:rPr>
          <w:rFonts w:ascii="Arial" w:cs="Arial" w:eastAsia="Arial" w:hAnsi="Arial"/>
          <w:sz w:val="18"/>
          <w:szCs w:val="18"/>
          <w:color w:val="auto"/>
        </w:rPr>
      </w:pPr>
    </w:p>
    <w:p>
      <w:pPr>
        <w:ind w:left="380" w:right="99" w:hanging="330"/>
        <w:spacing w:after="0" w:line="244"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$0.4 million of consulting costs primarily for temporary personnel to assist in the expansion of our research and development capabilities; and</w:t>
      </w:r>
    </w:p>
    <w:p>
      <w:pPr>
        <w:spacing w:after="0" w:line="157"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$0.2 million of other expenses.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General and administrative expenses were $4.1 million and $2.3 million for the three months ended June 30, 2021 and 2020, respectively. The increase of $1.8 million was primarily due to increased personnel- related expenses of $0.7 million primarily attributable to an increase in headcount to build our infrastructure, increased stock-based compensation expense of $0.7 due to an increase in newly granted stock options during the period, increased consulting and legal fees of $0.1 million, increased marketing and professional development cost of $0.1 million and increased information technology and facility costs, including rent, of $0.2 million.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Write-off of in-process research and development</w:t>
      </w:r>
    </w:p>
    <w:p>
      <w:pPr>
        <w:spacing w:after="0" w:line="19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The write off of in-process research and development of $4.7 million for the three months ended June 30, 2020 relates to the acquisition of the assets of Empirica.</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2" w:lineRule="exact"/>
        <w:rPr>
          <w:sz w:val="20"/>
          <w:szCs w:val="20"/>
          <w:color w:val="auto"/>
        </w:rPr>
      </w:pPr>
    </w:p>
    <w:p>
      <w:pPr>
        <w:ind w:left="60" w:right="819"/>
        <w:spacing w:after="0" w:line="244" w:lineRule="auto"/>
        <w:rPr>
          <w:sz w:val="20"/>
          <w:szCs w:val="20"/>
          <w:color w:val="auto"/>
        </w:rPr>
      </w:pPr>
      <w:r>
        <w:rPr>
          <w:rFonts w:ascii="Arial" w:cs="Arial" w:eastAsia="Arial" w:hAnsi="Arial"/>
          <w:sz w:val="18"/>
          <w:szCs w:val="18"/>
          <w:color w:val="auto"/>
        </w:rPr>
        <w:t>Interest expense was $0.3 million for the three months ended June 30, 2021, which related to our Loan Agreement with Hercules.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Interest income was $66 thousand for the three months ended June 30, 2021 and $215 thousand for the three months ended June 30, 2020, which included interest earned on our cash, cash equivalents, and short-term and long-term investment balances.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six months ended June 30, 2021 and 2020</w:t>
      </w:r>
    </w:p>
    <w:p>
      <w:pPr>
        <w:spacing w:after="0" w:line="188"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Six Months Ended</w:t>
            </w:r>
          </w:p>
        </w:tc>
        <w:tc>
          <w:tcPr>
            <w:tcW w:w="13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Six Months Ended</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June 30, 2021</w:t>
            </w:r>
          </w:p>
        </w:tc>
        <w:tc>
          <w:tcPr>
            <w:tcW w:w="120" w:type="dxa"/>
            <w:vAlign w:val="bottom"/>
          </w:tcPr>
          <w:p>
            <w:pPr>
              <w:spacing w:after="0"/>
              <w:rPr>
                <w:sz w:val="13"/>
                <w:szCs w:val="13"/>
                <w:color w:val="auto"/>
              </w:rPr>
            </w:pPr>
          </w:p>
        </w:tc>
        <w:tc>
          <w:tcPr>
            <w:tcW w:w="12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June 30, 2020</w:t>
            </w:r>
          </w:p>
        </w:tc>
        <w:tc>
          <w:tcPr>
            <w:tcW w:w="200" w:type="dxa"/>
            <w:vAlign w:val="bottom"/>
          </w:tcPr>
          <w:p>
            <w:pPr>
              <w:spacing w:after="0"/>
              <w:rPr>
                <w:sz w:val="13"/>
                <w:szCs w:val="13"/>
                <w:color w:val="auto"/>
              </w:rPr>
            </w:pPr>
          </w:p>
        </w:tc>
        <w:tc>
          <w:tcPr>
            <w:tcW w:w="78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34,307</w:t>
            </w:r>
          </w:p>
        </w:tc>
        <w:tc>
          <w:tcPr>
            <w:tcW w:w="160" w:type="dxa"/>
            <w:vAlign w:val="bottom"/>
          </w:tcPr>
          <w:p>
            <w:pPr>
              <w:spacing w:after="0"/>
              <w:rPr>
                <w:sz w:val="17"/>
                <w:szCs w:val="17"/>
                <w:color w:val="auto"/>
              </w:rPr>
            </w:pP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16,427</w:t>
            </w:r>
          </w:p>
        </w:tc>
        <w:tc>
          <w:tcPr>
            <w:tcW w:w="160" w:type="dxa"/>
            <w:vAlign w:val="bottom"/>
          </w:tcPr>
          <w:p>
            <w:pPr>
              <w:spacing w:after="0"/>
              <w:rPr>
                <w:sz w:val="17"/>
                <w:szCs w:val="17"/>
                <w:color w:val="auto"/>
              </w:rPr>
            </w:pPr>
          </w:p>
        </w:tc>
        <w:tc>
          <w:tcPr>
            <w:tcW w:w="200" w:type="dxa"/>
            <w:vAlign w:val="bottom"/>
          </w:tcPr>
          <w:p>
            <w:pPr>
              <w:jc w:val="right"/>
              <w:spacing w:after="0" w:line="201"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17,880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6,776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4,360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80" w:type="dxa"/>
            <w:vAlign w:val="bottom"/>
          </w:tcPr>
          <w:p>
            <w:pPr>
              <w:ind w:left="120"/>
              <w:spacing w:after="0" w:line="201" w:lineRule="exact"/>
              <w:rPr>
                <w:sz w:val="20"/>
                <w:szCs w:val="20"/>
                <w:color w:val="auto"/>
              </w:rPr>
            </w:pPr>
            <w:r>
              <w:rPr>
                <w:rFonts w:ascii="Arial" w:cs="Arial" w:eastAsia="Arial" w:hAnsi="Arial"/>
                <w:sz w:val="18"/>
                <w:szCs w:val="18"/>
                <w:color w:val="auto"/>
              </w:rPr>
              <w:t>Write off of in-process research and development asset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4,722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(4,722)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80" w:type="dxa"/>
            <w:vAlign w:val="bottom"/>
            <w:tcBorders>
              <w:top w:val="single" w:sz="8" w:color="CCEEFF"/>
            </w:tcBorders>
            <w:shd w:val="clear" w:color="auto" w:fill="CCEEFF"/>
          </w:tcPr>
          <w:p>
            <w:pPr>
              <w:ind w:left="220"/>
              <w:spacing w:after="0" w:line="195"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41,083</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25,509</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15,574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80" w:type="dxa"/>
            <w:vAlign w:val="bottom"/>
            <w:tcBorders>
              <w:bottom w:val="single" w:sz="8" w:color="CCEEFF"/>
            </w:tcBorders>
          </w:tcPr>
          <w:p>
            <w:pPr>
              <w:ind w:left="20"/>
              <w:spacing w:after="0" w:line="195" w:lineRule="exact"/>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(41,083)</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(25,509)</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(15,574)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(632)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(632)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2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535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(41,621)</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(24,974)</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(16,647)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36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5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5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9"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5"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Six Months Ended</w:t>
            </w: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Six Months Ended</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r>
      <w:tr>
        <w:trPr>
          <w:trHeight w:val="157"/>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3"/>
              <w:spacing w:after="0" w:line="157" w:lineRule="exact"/>
              <w:rPr>
                <w:sz w:val="20"/>
                <w:szCs w:val="20"/>
                <w:color w:val="auto"/>
              </w:rPr>
            </w:pPr>
            <w:r>
              <w:rPr>
                <w:rFonts w:ascii="Arial" w:cs="Arial" w:eastAsia="Arial" w:hAnsi="Arial"/>
                <w:sz w:val="14"/>
                <w:szCs w:val="14"/>
                <w:color w:val="auto"/>
              </w:rPr>
              <w:t>June 30, 2021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June 30, 2020</w:t>
            </w:r>
          </w:p>
        </w:tc>
        <w:tc>
          <w:tcPr>
            <w:tcW w:w="16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Change</w:t>
            </w:r>
          </w:p>
        </w:tc>
      </w:tr>
      <w:tr>
        <w:trPr>
          <w:trHeight w:val="141"/>
        </w:trPr>
        <w:tc>
          <w:tcPr>
            <w:tcW w:w="5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r>
      <w:tr>
        <w:trPr>
          <w:trHeight w:val="202"/>
        </w:trPr>
        <w:tc>
          <w:tcPr>
            <w:tcW w:w="53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Personnel and related costs</w:t>
            </w:r>
          </w:p>
        </w:tc>
        <w:tc>
          <w:tcPr>
            <w:tcW w:w="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10,935</w:t>
            </w:r>
          </w:p>
        </w:tc>
        <w:tc>
          <w:tcPr>
            <w:tcW w:w="3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6,073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4,862</w:t>
            </w:r>
          </w:p>
        </w:tc>
      </w:tr>
      <w:tr>
        <w:trPr>
          <w:trHeight w:val="202"/>
        </w:trPr>
        <w:tc>
          <w:tcPr>
            <w:tcW w:w="5340" w:type="dxa"/>
            <w:vAlign w:val="bottom"/>
          </w:tcPr>
          <w:p>
            <w:pPr>
              <w:ind w:left="20"/>
              <w:spacing w:after="0" w:line="201" w:lineRule="exact"/>
              <w:rPr>
                <w:sz w:val="20"/>
                <w:szCs w:val="20"/>
                <w:color w:val="auto"/>
              </w:rPr>
            </w:pPr>
            <w:r>
              <w:rPr>
                <w:rFonts w:ascii="Arial" w:cs="Arial" w:eastAsia="Arial" w:hAnsi="Arial"/>
                <w:sz w:val="18"/>
                <w:szCs w:val="18"/>
                <w:color w:val="auto"/>
              </w:rPr>
              <w:t>Facility and other allocated costs</w:t>
            </w:r>
          </w:p>
        </w:tc>
        <w:tc>
          <w:tcPr>
            <w:tcW w:w="12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4,117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1,345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2,772</w:t>
            </w:r>
          </w:p>
        </w:tc>
      </w:tr>
      <w:tr>
        <w:trPr>
          <w:trHeight w:val="202"/>
        </w:trPr>
        <w:tc>
          <w:tcPr>
            <w:tcW w:w="53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Research and laboratory</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9,070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3,820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5,250</w:t>
            </w:r>
          </w:p>
        </w:tc>
      </w:tr>
      <w:tr>
        <w:trPr>
          <w:trHeight w:val="202"/>
        </w:trPr>
        <w:tc>
          <w:tcPr>
            <w:tcW w:w="5340" w:type="dxa"/>
            <w:vAlign w:val="bottom"/>
          </w:tcPr>
          <w:p>
            <w:pPr>
              <w:ind w:left="20"/>
              <w:spacing w:after="0" w:line="201" w:lineRule="exact"/>
              <w:rPr>
                <w:sz w:val="20"/>
                <w:szCs w:val="20"/>
                <w:color w:val="auto"/>
              </w:rPr>
            </w:pPr>
            <w:r>
              <w:rPr>
                <w:rFonts w:ascii="Arial" w:cs="Arial" w:eastAsia="Arial" w:hAnsi="Arial"/>
                <w:sz w:val="18"/>
                <w:szCs w:val="18"/>
                <w:color w:val="auto"/>
              </w:rPr>
              <w:t>Collaborations</w:t>
            </w:r>
          </w:p>
        </w:tc>
        <w:tc>
          <w:tcPr>
            <w:tcW w:w="12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7,852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4,659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3,193</w:t>
            </w:r>
          </w:p>
        </w:tc>
      </w:tr>
      <w:tr>
        <w:trPr>
          <w:trHeight w:val="202"/>
        </w:trPr>
        <w:tc>
          <w:tcPr>
            <w:tcW w:w="53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Consulting</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1,220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1,073</w:t>
            </w:r>
          </w:p>
        </w:tc>
      </w:tr>
      <w:tr>
        <w:trPr>
          <w:trHeight w:val="202"/>
        </w:trPr>
        <w:tc>
          <w:tcPr>
            <w:tcW w:w="534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1,113</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383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730</w:t>
            </w:r>
          </w:p>
        </w:tc>
      </w:tr>
      <w:tr>
        <w:trPr>
          <w:trHeight w:val="195"/>
        </w:trPr>
        <w:tc>
          <w:tcPr>
            <w:tcW w:w="5340" w:type="dxa"/>
            <w:vAlign w:val="bottom"/>
            <w:tcBorders>
              <w:bottom w:val="single" w:sz="8" w:color="CCEEFF"/>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Total research and development expense</w:t>
            </w:r>
          </w:p>
        </w:tc>
        <w:tc>
          <w:tcPr>
            <w:tcW w:w="120" w:type="dxa"/>
            <w:vAlign w:val="bottom"/>
            <w:tcBorders>
              <w:bottom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34,307</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16,427</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17,880</w:t>
            </w: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Research and development expenses were $ 34.3 million and $ 16.4 million for the six months ended June 30, 2021 and 2020, respectively. The increase of $17.9 million was primarily due to:</w:t>
      </w:r>
    </w:p>
    <w:p>
      <w:pPr>
        <w:spacing w:after="0" w:line="158" w:lineRule="exact"/>
        <w:rPr>
          <w:sz w:val="20"/>
          <w:szCs w:val="20"/>
          <w:color w:val="auto"/>
        </w:rPr>
      </w:pPr>
    </w:p>
    <w:p>
      <w:pPr>
        <w:ind w:left="380" w:right="159" w:hanging="330"/>
        <w:spacing w:after="0" w:line="244"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personnel-related expenses of $4.9 million, which was primarily attributable to an increase in headcount to expand our research and development capabilities;</w:t>
      </w:r>
    </w:p>
    <w:p>
      <w:pPr>
        <w:spacing w:after="0" w:line="157" w:lineRule="exact"/>
        <w:rPr>
          <w:rFonts w:ascii="Arial" w:cs="Arial" w:eastAsia="Arial" w:hAnsi="Arial"/>
          <w:sz w:val="18"/>
          <w:szCs w:val="18"/>
          <w:color w:val="auto"/>
        </w:rPr>
      </w:pPr>
    </w:p>
    <w:p>
      <w:pPr>
        <w:ind w:left="380" w:right="219" w:hanging="330"/>
        <w:spacing w:after="0" w:line="244"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$2.8 million of facility and other allocated costs, including rent and allocated overhead costs as a result of an expansion of our geographic footprint for office and lab space;</w:t>
      </w:r>
    </w:p>
    <w:p>
      <w:pPr>
        <w:spacing w:after="0" w:line="171" w:lineRule="exact"/>
        <w:rPr>
          <w:rFonts w:ascii="Arial" w:cs="Arial" w:eastAsia="Arial" w:hAnsi="Arial"/>
          <w:sz w:val="18"/>
          <w:szCs w:val="18"/>
          <w:color w:val="auto"/>
        </w:rPr>
      </w:pPr>
    </w:p>
    <w:p>
      <w:pPr>
        <w:ind w:left="380" w:right="699" w:hanging="330"/>
        <w:spacing w:after="0" w:line="244"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$5.3 million in research and laboratory costs, including laboratory supplies, preclinical studies, and other external research expenses;</w:t>
      </w:r>
    </w:p>
    <w:p>
      <w:pPr>
        <w:spacing w:after="0" w:line="157" w:lineRule="exact"/>
        <w:rPr>
          <w:rFonts w:ascii="Arial" w:cs="Arial" w:eastAsia="Arial" w:hAnsi="Arial"/>
          <w:sz w:val="18"/>
          <w:szCs w:val="18"/>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$3.2 million for collaborative arrangements with FCDI;</w:t>
      </w:r>
    </w:p>
    <w:p>
      <w:pPr>
        <w:spacing w:after="0" w:line="183" w:lineRule="exact"/>
        <w:rPr>
          <w:rFonts w:ascii="Arial" w:cs="Arial" w:eastAsia="Arial" w:hAnsi="Arial"/>
          <w:sz w:val="18"/>
          <w:szCs w:val="18"/>
          <w:color w:val="auto"/>
        </w:rPr>
      </w:pPr>
    </w:p>
    <w:p>
      <w:pPr>
        <w:ind w:left="380" w:right="99" w:hanging="330"/>
        <w:spacing w:after="0" w:line="244"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$1.1 million of consulting costs primarily for temporary personnel to assist in the expansion of our research and development capabilities; and</w:t>
      </w:r>
    </w:p>
    <w:p>
      <w:pPr>
        <w:spacing w:after="0" w:line="171" w:lineRule="exact"/>
        <w:rPr>
          <w:rFonts w:ascii="Arial" w:cs="Arial" w:eastAsia="Arial" w:hAnsi="Arial"/>
          <w:sz w:val="18"/>
          <w:szCs w:val="18"/>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$0.7 million of other expenses.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General and administrative expenses were $ 6.8 million and $4.4 million for the six months ended June 30, 2021 and 2020, respectively. The increase of $ 2.4 million was primarily due to increased personnel- related expenses of $1.3 million primarily attributable to an increase in headcount to build our infrastructure, increased stock-based compensation expense of $0.5 due to an increase in newly granted options during the period, increased consulting and legal fees of $0.1 million, increased marketing and professional development cost of $0.1 million and increased information technology and facility costs, including rent, of $0.4 million.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Write-off of in-process research and development</w:t>
      </w:r>
    </w:p>
    <w:p>
      <w:pPr>
        <w:spacing w:after="0" w:line="192" w:lineRule="exact"/>
        <w:rPr>
          <w:sz w:val="20"/>
          <w:szCs w:val="20"/>
          <w:color w:val="auto"/>
        </w:rPr>
      </w:pPr>
    </w:p>
    <w:p>
      <w:pPr>
        <w:ind w:left="60" w:right="379"/>
        <w:spacing w:after="0" w:line="244" w:lineRule="auto"/>
        <w:rPr>
          <w:sz w:val="20"/>
          <w:szCs w:val="20"/>
          <w:color w:val="auto"/>
        </w:rPr>
      </w:pPr>
      <w:r>
        <w:rPr>
          <w:rFonts w:ascii="Arial" w:cs="Arial" w:eastAsia="Arial" w:hAnsi="Arial"/>
          <w:sz w:val="18"/>
          <w:szCs w:val="18"/>
          <w:color w:val="auto"/>
        </w:rPr>
        <w:t>The write off of in-process research and development of $4.7 million for the six months ended June 30, 2020 relates to the acquisition of the assets of Empirica.</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Interest expense was $0.6 million for the six months ended June 30, 2021, which related to our Loan Agreement with Hercules.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5" w:lineRule="exact"/>
        <w:rPr>
          <w:sz w:val="20"/>
          <w:szCs w:val="20"/>
          <w:color w:val="auto"/>
        </w:rPr>
      </w:pPr>
    </w:p>
    <w:p>
      <w:pPr>
        <w:jc w:val="both"/>
        <w:ind w:left="60" w:right="599"/>
        <w:spacing w:after="0" w:line="239" w:lineRule="auto"/>
        <w:rPr>
          <w:sz w:val="20"/>
          <w:szCs w:val="20"/>
          <w:color w:val="auto"/>
        </w:rPr>
      </w:pPr>
      <w:r>
        <w:rPr>
          <w:rFonts w:ascii="Arial" w:cs="Arial" w:eastAsia="Arial" w:hAnsi="Arial"/>
          <w:sz w:val="18"/>
          <w:szCs w:val="18"/>
          <w:color w:val="auto"/>
        </w:rPr>
        <w:t>Interest income was $94 thousand and $535 thousand for the six months ended June 30, 2021 and 2020, respectively, which included interest earned on our cash, cash equivalents, and short-term and long-term investment balances.</w:t>
      </w:r>
    </w:p>
    <w:p>
      <w:pPr>
        <w:spacing w:after="0" w:line="140" w:lineRule="exact"/>
        <w:rPr>
          <w:sz w:val="20"/>
          <w:szCs w:val="20"/>
          <w:color w:val="auto"/>
        </w:rPr>
      </w:pPr>
    </w:p>
    <w:p>
      <w:pPr>
        <w:ind w:left="60" w:right="4439"/>
        <w:spacing w:after="0" w:line="457"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spacing w:after="0" w:line="1"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To date, we have funded our operations from the issuance and sale of our equity securities and debt financing and have not generated any revenues. Since our inception, we have raised approximately $564 million in net proceeds from the sales of our equity securities. As of June 30, 2021, we had cash, and cash equivalents of $272.3 million and marketable securities of $167.8 million. On June 22, 2021, we completed our IPO, in which we issued and sold 12,132,500 shares of our common stock, at a public offering price of $20.00 per share. We received net proceeds of $221.2 million after deducting underwriting discounts, commissions, and other offering cost of $ 21.5 million. Based on our research and development plans, we believe that the net proceeds from the offering, together with our existing cash, cash equivalents and marketable securities, will be sufficient to fund our operating expenses and capital expenditures requirements through 2024. Since our inception, we have not generated any revenue from product sales or any other sources, and we have incurred significant operating losses. We have not yet commercialized any products and we do not expect to generate revenue from sales of any product candidates for a number of years, if ever. We had an accumulated deficit of $334.0 million as of June 30, 2021. As further described in Note 3 of our unaudited consolidated financial statements, we obtained a cash capital commitment from Bayer totaling $215 million, from which net proceeds of $74.8 million were received in June 2019, $38.1 million were received in November 2020 and $31.9 million were received in January 2021. The commitment agreement terminated in connection with the Series C Financing, and Bayer has no continuing obligation to invest any additional amounts thereunder. As further described in Note 9 of our unaudited consolidated financial statements, we entered into a Loan Agreement with Hercules, pursuant to which net proceeds of $ 9.6 million were received by us in September 2020. We intend to use the proceeds of the Loan Agreement for working capital and general corporate purposes. As further described in Note 10 of our unaudited consolidated financial statements, in February 2021, we sold 24,721,999 shares of our Series C preferred stock to certain institutional investors for gross proceeds of approximately $160 million. Upon the closing of the offering, the Series C preferred stock automatically converted into 9,825,513 shares of common stock.</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92"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Based on our current business plans, we believe that the net proceeds received from the IPO, together with our existing cash and cash equivalents, will be sufficient for us to fund our operating expenses and capital expenditure requirements for at least the next 12 months after this filing. We have based this estimate on assumptions that may prove to be wrong, and we could exhaust our available capital resources sooner than we expect. However,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70" w:lineRule="exact"/>
        <w:rPr>
          <w:sz w:val="20"/>
          <w:szCs w:val="20"/>
          <w:color w:val="auto"/>
        </w:rPr>
      </w:pPr>
    </w:p>
    <w:p>
      <w:pPr>
        <w:ind w:left="380" w:right="359" w:hanging="330"/>
        <w:spacing w:after="0" w:line="244"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57" w:lineRule="exact"/>
        <w:rPr>
          <w:rFonts w:ascii="Arial" w:cs="Arial" w:eastAsia="Arial" w:hAnsi="Arial"/>
          <w:sz w:val="18"/>
          <w:szCs w:val="18"/>
          <w:color w:val="auto"/>
        </w:rPr>
      </w:pPr>
    </w:p>
    <w:p>
      <w:pPr>
        <w:ind w:left="380" w:hanging="330"/>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196"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83" w:lineRule="exact"/>
        <w:rPr>
          <w:rFonts w:ascii="Arial" w:cs="Arial" w:eastAsia="Arial" w:hAnsi="Arial"/>
          <w:sz w:val="18"/>
          <w:szCs w:val="18"/>
          <w:color w:val="auto"/>
        </w:rPr>
      </w:pPr>
    </w:p>
    <w:p>
      <w:pPr>
        <w:ind w:left="380" w:right="319" w:hanging="330"/>
        <w:spacing w:after="0" w:line="244"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57" w:lineRule="exact"/>
        <w:rPr>
          <w:rFonts w:ascii="Arial" w:cs="Arial" w:eastAsia="Arial" w:hAnsi="Arial"/>
          <w:sz w:val="18"/>
          <w:szCs w:val="18"/>
          <w:color w:val="auto"/>
        </w:rPr>
      </w:pPr>
    </w:p>
    <w:p>
      <w:pPr>
        <w:ind w:left="380" w:right="479" w:hanging="330"/>
        <w:spacing w:after="0" w:line="239"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w:t>
      </w:r>
    </w:p>
    <w:p>
      <w:pPr>
        <w:spacing w:after="0" w:line="175" w:lineRule="exact"/>
        <w:rPr>
          <w:rFonts w:ascii="Arial" w:cs="Arial" w:eastAsia="Arial" w:hAnsi="Arial"/>
          <w:sz w:val="18"/>
          <w:szCs w:val="18"/>
          <w:color w:val="auto"/>
        </w:rPr>
      </w:pPr>
    </w:p>
    <w:p>
      <w:pPr>
        <w:ind w:left="380" w:right="859" w:hanging="330"/>
        <w:spacing w:after="0" w:line="244"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including any claims by third parties that we are infringing upon, misappropriating, or violating their intellectual property rights;</w:t>
      </w:r>
    </w:p>
    <w:p>
      <w:pPr>
        <w:spacing w:after="0" w:line="157" w:lineRule="exact"/>
        <w:rPr>
          <w:rFonts w:ascii="Arial" w:cs="Arial" w:eastAsia="Arial" w:hAnsi="Arial"/>
          <w:sz w:val="18"/>
          <w:szCs w:val="18"/>
          <w:color w:val="auto"/>
        </w:rPr>
      </w:pPr>
    </w:p>
    <w:p>
      <w:pPr>
        <w:ind w:left="380" w:right="159" w:hanging="330"/>
        <w:spacing w:after="0" w:line="239"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61" w:lineRule="exact"/>
        <w:rPr>
          <w:rFonts w:ascii="Arial" w:cs="Arial" w:eastAsia="Arial" w:hAnsi="Arial"/>
          <w:sz w:val="18"/>
          <w:szCs w:val="18"/>
          <w:color w:val="auto"/>
        </w:rPr>
      </w:pPr>
    </w:p>
    <w:p>
      <w:pPr>
        <w:ind w:left="380" w:right="819" w:hanging="330"/>
        <w:spacing w:after="0" w:line="244"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71"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83" w:lineRule="exact"/>
        <w:rPr>
          <w:rFonts w:ascii="Arial" w:cs="Arial" w:eastAsia="Arial" w:hAnsi="Arial"/>
          <w:sz w:val="18"/>
          <w:szCs w:val="18"/>
          <w:color w:val="auto"/>
        </w:rPr>
      </w:pPr>
    </w:p>
    <w:p>
      <w:pPr>
        <w:ind w:left="380" w:right="819" w:hanging="330"/>
        <w:spacing w:after="0" w:line="244"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71" w:lineRule="exact"/>
        <w:rPr>
          <w:rFonts w:ascii="Arial" w:cs="Arial" w:eastAsia="Arial" w:hAnsi="Arial"/>
          <w:sz w:val="18"/>
          <w:szCs w:val="18"/>
          <w:color w:val="auto"/>
        </w:rPr>
      </w:pPr>
    </w:p>
    <w:p>
      <w:pPr>
        <w:ind w:left="380" w:right="319" w:hanging="330"/>
        <w:spacing w:after="0" w:line="244"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any potential interruptions or delays resulting from factors related to the COVID-19 pandemic, including the emergence of new variants of COVID-19, such as the delta variant;</w:t>
      </w:r>
    </w:p>
    <w:p>
      <w:pPr>
        <w:spacing w:after="0" w:line="157"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97"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the IPO,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133985</wp:posOffset>
            </wp:positionV>
            <wp:extent cx="56635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3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Six months ended</w:t>
            </w:r>
          </w:p>
        </w:tc>
        <w:tc>
          <w:tcPr>
            <w:tcW w:w="120" w:type="dxa"/>
            <w:vAlign w:val="bottom"/>
          </w:tcPr>
          <w:p>
            <w:pPr>
              <w:spacing w:after="0"/>
              <w:rPr>
                <w:sz w:val="14"/>
                <w:szCs w:val="14"/>
                <w:color w:val="auto"/>
              </w:rPr>
            </w:pPr>
          </w:p>
        </w:tc>
        <w:tc>
          <w:tcPr>
            <w:tcW w:w="1460" w:type="dxa"/>
            <w:vAlign w:val="bottom"/>
          </w:tcPr>
          <w:p>
            <w:pPr>
              <w:jc w:val="right"/>
              <w:ind w:right="216"/>
              <w:spacing w:after="0"/>
              <w:rPr>
                <w:sz w:val="20"/>
                <w:szCs w:val="20"/>
                <w:color w:val="auto"/>
              </w:rPr>
            </w:pPr>
            <w:r>
              <w:rPr>
                <w:rFonts w:ascii="Arial" w:cs="Arial" w:eastAsia="Arial" w:hAnsi="Arial"/>
                <w:sz w:val="14"/>
                <w:szCs w:val="14"/>
                <w:color w:val="auto"/>
              </w:rPr>
              <w:t>Six months ended</w:t>
            </w:r>
          </w:p>
        </w:tc>
      </w:tr>
      <w:tr>
        <w:trPr>
          <w:trHeight w:val="157"/>
        </w:trPr>
        <w:tc>
          <w:tcPr>
            <w:tcW w:w="5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38"/>
              <w:spacing w:after="0" w:line="157" w:lineRule="exact"/>
              <w:rPr>
                <w:sz w:val="20"/>
                <w:szCs w:val="20"/>
                <w:color w:val="auto"/>
              </w:rPr>
            </w:pPr>
            <w:r>
              <w:rPr>
                <w:rFonts w:ascii="Arial" w:cs="Arial" w:eastAsia="Arial" w:hAnsi="Arial"/>
                <w:sz w:val="14"/>
                <w:szCs w:val="14"/>
                <w:color w:val="auto"/>
              </w:rPr>
              <w:t>June 30, 2021</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36"/>
              <w:spacing w:after="0" w:line="157" w:lineRule="exact"/>
              <w:rPr>
                <w:sz w:val="20"/>
                <w:szCs w:val="20"/>
                <w:color w:val="auto"/>
              </w:rPr>
            </w:pPr>
            <w:r>
              <w:rPr>
                <w:rFonts w:ascii="Arial" w:cs="Arial" w:eastAsia="Arial" w:hAnsi="Arial"/>
                <w:sz w:val="14"/>
                <w:szCs w:val="14"/>
                <w:color w:val="auto"/>
              </w:rPr>
              <w:t>June 30, 2020</w:t>
            </w:r>
          </w:p>
        </w:tc>
      </w:tr>
      <w:tr>
        <w:trPr>
          <w:trHeight w:val="141"/>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gridSpan w:val="4"/>
          </w:tcPr>
          <w:p>
            <w:pPr>
              <w:jc w:val="right"/>
              <w:ind w:right="1016"/>
              <w:spacing w:after="0" w:line="141" w:lineRule="exact"/>
              <w:rPr>
                <w:sz w:val="20"/>
                <w:szCs w:val="20"/>
                <w:color w:val="auto"/>
              </w:rPr>
            </w:pPr>
            <w:r>
              <w:rPr>
                <w:rFonts w:ascii="Arial" w:cs="Arial" w:eastAsia="Arial" w:hAnsi="Arial"/>
                <w:sz w:val="14"/>
                <w:szCs w:val="14"/>
                <w:color w:val="auto"/>
              </w:rPr>
              <w:t>(in thousands)</w:t>
            </w:r>
          </w:p>
        </w:tc>
      </w:tr>
      <w:tr>
        <w:trPr>
          <w:trHeight w:val="202"/>
        </w:trPr>
        <w:tc>
          <w:tcPr>
            <w:tcW w:w="5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cash provided by (used in):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2"/>
        </w:trPr>
        <w:tc>
          <w:tcPr>
            <w:tcW w:w="5780" w:type="dxa"/>
            <w:vAlign w:val="bottom"/>
          </w:tcPr>
          <w:p>
            <w:pPr>
              <w:ind w:left="20"/>
              <w:spacing w:after="0" w:line="201" w:lineRule="exact"/>
              <w:rPr>
                <w:sz w:val="20"/>
                <w:szCs w:val="20"/>
                <w:color w:val="auto"/>
              </w:rPr>
            </w:pPr>
            <w:r>
              <w:rPr>
                <w:rFonts w:ascii="Arial" w:cs="Arial" w:eastAsia="Arial" w:hAnsi="Arial"/>
                <w:sz w:val="18"/>
                <w:szCs w:val="18"/>
                <w:color w:val="auto"/>
              </w:rPr>
              <w:t>Operating activities</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(40,668)</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6"/>
              <w:spacing w:after="0" w:line="201" w:lineRule="exact"/>
              <w:rPr>
                <w:sz w:val="20"/>
                <w:szCs w:val="20"/>
                <w:color w:val="auto"/>
              </w:rPr>
            </w:pPr>
            <w:r>
              <w:rPr>
                <w:rFonts w:ascii="Arial" w:cs="Arial" w:eastAsia="Arial" w:hAnsi="Arial"/>
                <w:sz w:val="18"/>
                <w:szCs w:val="18"/>
                <w:color w:val="auto"/>
              </w:rPr>
              <w:t>(18,824)</w:t>
            </w:r>
          </w:p>
        </w:tc>
      </w:tr>
      <w:tr>
        <w:trPr>
          <w:trHeight w:val="202"/>
        </w:trPr>
        <w:tc>
          <w:tcPr>
            <w:tcW w:w="5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(130,682)</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16"/>
              <w:spacing w:after="0" w:line="201" w:lineRule="exact"/>
              <w:rPr>
                <w:sz w:val="20"/>
                <w:szCs w:val="20"/>
                <w:color w:val="auto"/>
              </w:rPr>
            </w:pPr>
            <w:r>
              <w:rPr>
                <w:rFonts w:ascii="Arial" w:cs="Arial" w:eastAsia="Arial" w:hAnsi="Arial"/>
                <w:sz w:val="18"/>
                <w:szCs w:val="18"/>
                <w:color w:val="auto"/>
              </w:rPr>
              <w:t>(2,452)</w:t>
            </w:r>
          </w:p>
        </w:tc>
      </w:tr>
      <w:tr>
        <w:trPr>
          <w:trHeight w:val="202"/>
        </w:trPr>
        <w:tc>
          <w:tcPr>
            <w:tcW w:w="57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418,134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6"/>
              <w:spacing w:after="0" w:line="201" w:lineRule="exact"/>
              <w:rPr>
                <w:sz w:val="20"/>
                <w:szCs w:val="20"/>
                <w:color w:val="auto"/>
              </w:rPr>
            </w:pPr>
            <w:r>
              <w:rPr>
                <w:rFonts w:ascii="Arial" w:cs="Arial" w:eastAsia="Arial" w:hAnsi="Arial"/>
                <w:sz w:val="18"/>
                <w:szCs w:val="18"/>
                <w:color w:val="auto"/>
              </w:rPr>
              <w:t>(11)</w:t>
            </w:r>
          </w:p>
        </w:tc>
      </w:tr>
      <w:tr>
        <w:trPr>
          <w:trHeight w:val="195"/>
        </w:trPr>
        <w:tc>
          <w:tcPr>
            <w:tcW w:w="5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increase (decrease) in cash, cash equivalents, and restricted cash</w:t>
            </w:r>
          </w:p>
        </w:tc>
        <w:tc>
          <w:tcPr>
            <w:tcW w:w="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246,784</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6"/>
              <w:spacing w:after="0" w:line="195" w:lineRule="exact"/>
              <w:rPr>
                <w:sz w:val="20"/>
                <w:szCs w:val="20"/>
                <w:color w:val="auto"/>
              </w:rPr>
            </w:pPr>
            <w:r>
              <w:rPr>
                <w:rFonts w:ascii="Arial" w:cs="Arial" w:eastAsia="Arial" w:hAnsi="Arial"/>
                <w:sz w:val="18"/>
                <w:szCs w:val="18"/>
                <w:color w:val="auto"/>
              </w:rPr>
              <w:t>(21,287)</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8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Net cash used in operating activities was $40.7 million, and $18.8 million for the six months ended June 30, 2021 and 2020, respectively. Net cash used in operating activities during the six months ended June 30, 2021 consisted primarily of our net loss of $41.6 million and net cash outflows from decreases in our accounts payable of $ 3.6 million, increases in our prepaid expenses and other assets of $2.5 million, partially offset by increases in our accrued expenses and other liabilities of $2.3 million, and non-cash charges of $4.1 million. The non-cash charges of $4.1 million consisted primarily of $1.7 million for depreciation expense, non-cash stock-based compensation expense of $1.8 million, and non-cash operating lease expense of $0.4 million.</w:t>
      </w:r>
    </w:p>
    <w:p>
      <w:pPr>
        <w:spacing w:after="0" w:line="16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Net cash used in operating activities for the six months ended June 30, 2020 consisted primarily of our net loss of $25.0 million and funding of an escrow deposit of $1.5 million partially offset by non-cash charges of $5.7 million. The non-cash charges of $5.7 million consisted primarily of $0.5 million for depreciation expense, non-cash stock-based compensation expense of $0.4 million, non-cash operating lease expense of $0.1 million, and write off of in-process research and development asset of $4.7 million from an asset acquisition.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188"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Cash used in investing activities was $130.7 million, and $2.5 million for the six months ended June 30, 2021 and 2020, respectively. Cash used in investing activities for the six months ended June 30, 2021 consisted primarily of net purchases of fixed maturity securities of $118.2 million, and purchases of property and equipment of $12.5 million.</w:t>
      </w:r>
    </w:p>
    <w:p>
      <w:pPr>
        <w:spacing w:after="0" w:line="161"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Cash used in investing activities for the six months ended June 30, 2020 consisted primarily of net cash used for an asset acquisition of $4.7 million and purchases of property and equipment of $3.4 million, partially offset by net sales of fixed maturity securities of $5.7 million.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4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Cash provided by financing activities was $418.1 million for the six months ended June 30, 2021 and consisted primarily of net proceeds from initial public offering of $221.9 million, net proceeds from collection of subscription receivable of $31.9 million and from sale of our Series C preferred shares of $159.6 million which upon initial public offering were converted to common stock, and cash of $2.3 million resulting from Prior Century merging with and into us.</w:t>
      </w:r>
    </w:p>
    <w:p>
      <w:pPr>
        <w:spacing w:after="0" w:line="135" w:lineRule="exact"/>
        <w:rPr>
          <w:sz w:val="20"/>
          <w:szCs w:val="20"/>
          <w:color w:val="auto"/>
        </w:rPr>
      </w:pPr>
    </w:p>
    <w:p>
      <w:pPr>
        <w:ind w:left="60" w:right="419"/>
        <w:spacing w:after="0" w:line="244" w:lineRule="auto"/>
        <w:rPr>
          <w:sz w:val="20"/>
          <w:szCs w:val="20"/>
          <w:color w:val="auto"/>
        </w:rPr>
      </w:pPr>
      <w:r>
        <w:rPr>
          <w:rFonts w:ascii="Arial" w:cs="Arial" w:eastAsia="Arial" w:hAnsi="Arial"/>
          <w:sz w:val="18"/>
          <w:szCs w:val="18"/>
          <w:color w:val="auto"/>
        </w:rPr>
        <w:t>Cash used in financing activities was $11 thousand for the six months ended June 30, 2020 for payments of deferred financing cost related to the Loan Agreement with Hercules.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significant contractual obligations and commitments as of June 30, 2021:</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4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Payments Due by Period</w:t>
            </w:r>
          </w:p>
        </w:tc>
      </w:tr>
      <w:tr>
        <w:trPr>
          <w:trHeight w:val="155"/>
        </w:trPr>
        <w:tc>
          <w:tcPr>
            <w:tcW w:w="3740" w:type="dxa"/>
            <w:vAlign w:val="bottom"/>
          </w:tcPr>
          <w:p>
            <w:pPr>
              <w:spacing w:after="0"/>
              <w:rPr>
                <w:sz w:val="13"/>
                <w:szCs w:val="13"/>
                <w:color w:val="auto"/>
              </w:rPr>
            </w:pPr>
          </w:p>
        </w:tc>
        <w:tc>
          <w:tcPr>
            <w:tcW w:w="86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color w:val="auto"/>
              </w:rPr>
              <w:t>1 Year</w:t>
            </w:r>
          </w:p>
        </w:tc>
        <w:tc>
          <w:tcPr>
            <w:tcW w:w="102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1 to 3 Years</w:t>
            </w:r>
          </w:p>
        </w:tc>
        <w:tc>
          <w:tcPr>
            <w:tcW w:w="104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3 to 5 Years</w:t>
            </w:r>
          </w:p>
        </w:tc>
        <w:tc>
          <w:tcPr>
            <w:tcW w:w="12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More than 5 Years</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37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195"/>
        </w:trPr>
        <w:tc>
          <w:tcPr>
            <w:tcW w:w="37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Operating leases</w:t>
            </w:r>
          </w:p>
        </w:tc>
        <w:tc>
          <w:tcPr>
            <w:tcW w:w="6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6"/>
              </w:rPr>
              <w:t>$ 2,178</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  5,466</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  5,473</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79"/>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17,613</w:t>
            </w:r>
          </w:p>
        </w:tc>
        <w:tc>
          <w:tcPr>
            <w:tcW w:w="100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$ 30,730</w:t>
            </w:r>
          </w:p>
        </w:tc>
      </w:tr>
      <w:tr>
        <w:trPr>
          <w:trHeight w:val="215"/>
        </w:trPr>
        <w:tc>
          <w:tcPr>
            <w:tcW w:w="37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7,642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10,395</w:t>
            </w:r>
          </w:p>
        </w:tc>
      </w:tr>
      <w:tr>
        <w:trPr>
          <w:trHeight w:val="215"/>
        </w:trPr>
        <w:tc>
          <w:tcPr>
            <w:tcW w:w="37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Interest on long-term debt </w:t>
            </w:r>
            <w:r>
              <w:rPr>
                <w:rFonts w:ascii="Arial" w:cs="Arial" w:eastAsia="Arial" w:hAnsi="Arial"/>
                <w:sz w:val="24"/>
                <w:szCs w:val="24"/>
                <w:color w:val="auto"/>
                <w:vertAlign w:val="superscript"/>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59" w:hanging="10"/>
        <w:spacing w:after="0"/>
        <w:tabs>
          <w:tab w:leader="none" w:pos="373"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Reflects minimum interest payable under the Loan Agreement. Payment herein subject to variable rate debt have been estimated.</w:t>
      </w:r>
    </w:p>
    <w:p>
      <w:pPr>
        <w:spacing w:after="0" w:line="155"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agreements as of June 30, 2021 are contingent upon future events such as our achievement of pre-specified development, regulatory, and commercial milestones, or royalties on net product sales. As of June 30, 2021, the timing and likelihood of achieving the milestones and success payments and generating future product sales are uncertain and therefore, any related payments are not included in the table above. The Company has commitments under operating leases for certain facilities used in its operations. The Company’s leases have initial lease terms ranging from 5 to 16 years. The Company entered into one lease that had not commenced at June 30, 2021. As a result, future lease payments of approximately $0.4 million in 1 year, $3.1 million in 1 to 3 years, $3.3 million in 3 to 5 years and $10.5 million in more than 5 years are not included within the table above.</w:t>
      </w:r>
    </w:p>
    <w:p>
      <w:pPr>
        <w:spacing w:after="0" w:line="17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11 to our unaudited consolidated financial statements for additional information.</w:t>
      </w:r>
    </w:p>
    <w:p>
      <w:pPr>
        <w:spacing w:after="0" w:line="161" w:lineRule="exact"/>
        <w:rPr>
          <w:sz w:val="20"/>
          <w:szCs w:val="20"/>
          <w:color w:val="auto"/>
        </w:rPr>
      </w:pPr>
    </w:p>
    <w:p>
      <w:pPr>
        <w:jc w:val="both"/>
        <w:ind w:left="60" w:right="259"/>
        <w:spacing w:after="0" w:line="239" w:lineRule="auto"/>
        <w:rPr>
          <w:sz w:val="20"/>
          <w:szCs w:val="20"/>
          <w:color w:val="auto"/>
        </w:rPr>
      </w:pPr>
      <w:r>
        <w:rPr>
          <w:rFonts w:ascii="Arial" w:cs="Arial" w:eastAsia="Arial" w:hAnsi="Arial"/>
          <w:sz w:val="18"/>
          <w:szCs w:val="18"/>
          <w:color w:val="auto"/>
        </w:rPr>
        <w:t>We have entered into a $10.0 million Term Loan Agreement with Hercules. Amounts borrowed under the Loan Agreement have an interest-only period of up to 24 months and a maturity date of April 1, 2024. See Note 9 to our unaudited consolidated financial statements for additional information.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05" w:lineRule="exact"/>
        <w:rPr>
          <w:sz w:val="20"/>
          <w:szCs w:val="20"/>
          <w:color w:val="auto"/>
        </w:rPr>
      </w:pPr>
    </w:p>
    <w:p>
      <w:pPr>
        <w:ind w:left="60" w:right="399"/>
        <w:spacing w:after="0" w:line="244" w:lineRule="auto"/>
        <w:rPr>
          <w:sz w:val="20"/>
          <w:szCs w:val="20"/>
          <w:color w:val="auto"/>
        </w:rPr>
      </w:pPr>
      <w:r>
        <w:rPr>
          <w:rFonts w:ascii="Arial" w:cs="Arial" w:eastAsia="Arial" w:hAnsi="Arial"/>
          <w:sz w:val="18"/>
          <w:szCs w:val="18"/>
          <w:color w:val="auto"/>
        </w:rPr>
        <w:t>Since our inception, we have not engaged in any off-balance sheet arrangements as defined under the rules and regulations of the SEC.</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9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75" w:lineRule="exact"/>
        <w:rPr>
          <w:sz w:val="20"/>
          <w:szCs w:val="20"/>
          <w:color w:val="auto"/>
        </w:rPr>
      </w:pPr>
    </w:p>
    <w:p>
      <w:pPr>
        <w:ind w:left="380" w:right="679" w:hanging="330"/>
        <w:spacing w:after="0" w:line="24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57" w:lineRule="exact"/>
        <w:rPr>
          <w:rFonts w:ascii="Arial" w:cs="Arial" w:eastAsia="Arial" w:hAnsi="Arial"/>
          <w:sz w:val="18"/>
          <w:szCs w:val="18"/>
          <w:color w:val="auto"/>
        </w:rPr>
      </w:pPr>
    </w:p>
    <w:p>
      <w:pPr>
        <w:ind w:left="380" w:hanging="330"/>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presenting reduced disclosure about our executive compensation arrangements;</w:t>
      </w:r>
    </w:p>
    <w:p>
      <w:pPr>
        <w:spacing w:after="0" w:line="183" w:lineRule="exact"/>
        <w:rPr>
          <w:rFonts w:ascii="Arial" w:cs="Arial" w:eastAsia="Arial" w:hAnsi="Arial"/>
          <w:sz w:val="18"/>
          <w:szCs w:val="18"/>
          <w:color w:val="auto"/>
        </w:rPr>
      </w:pPr>
    </w:p>
    <w:p>
      <w:pPr>
        <w:ind w:left="380" w:right="199" w:hanging="330"/>
        <w:spacing w:after="0" w:line="239"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559" w:hanging="330"/>
        <w:spacing w:after="0" w:line="244"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71" w:lineRule="exact"/>
        <w:rPr>
          <w:rFonts w:ascii="Arial" w:cs="Arial" w:eastAsia="Arial" w:hAnsi="Arial"/>
          <w:sz w:val="18"/>
          <w:szCs w:val="18"/>
          <w:color w:val="auto"/>
        </w:rPr>
      </w:pPr>
    </w:p>
    <w:p>
      <w:pPr>
        <w:ind w:left="380" w:hanging="33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83"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61" w:lineRule="exact"/>
        <w:rPr>
          <w:sz w:val="20"/>
          <w:szCs w:val="20"/>
          <w:color w:val="auto"/>
        </w:rPr>
      </w:pPr>
    </w:p>
    <w:p>
      <w:pPr>
        <w:ind w:left="60" w:right="59"/>
        <w:spacing w:after="0" w:line="247" w:lineRule="auto"/>
        <w:rPr>
          <w:sz w:val="20"/>
          <w:szCs w:val="20"/>
          <w:color w:val="auto"/>
        </w:rPr>
      </w:pPr>
      <w:r>
        <w:rPr>
          <w:rFonts w:ascii="Arial" w:cs="Arial" w:eastAsia="Arial" w:hAnsi="Arial"/>
          <w:sz w:val="17"/>
          <w:szCs w:val="17"/>
          <w:color w:val="auto"/>
        </w:rPr>
        <w:t>We will remain an emerging growth company until the earliest of (i) December 31, 2026,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w:t>
      </w:r>
    </w:p>
    <w:p>
      <w:pPr>
        <w:spacing w:after="0" w:line="3" w:lineRule="exact"/>
        <w:rPr>
          <w:sz w:val="20"/>
          <w:szCs w:val="20"/>
          <w:color w:val="auto"/>
        </w:rPr>
      </w:pPr>
    </w:p>
    <w:p>
      <w:pPr>
        <w:ind w:left="60" w:right="279" w:hanging="10"/>
        <w:spacing w:after="0" w:line="244" w:lineRule="auto"/>
        <w:tabs>
          <w:tab w:leader="none" w:pos="3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securities during the prior three-year period.</w:t>
      </w:r>
    </w:p>
    <w:p>
      <w:pPr>
        <w:spacing w:after="0" w:line="171"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92"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Refer to Note 2, Summary of Significant Accounting Policies, included in Part I, Item 1 of this Quarterly Report on Form 10-Q for a discussion of our critical accounting policies.</w:t>
      </w:r>
    </w:p>
    <w:p>
      <w:pPr>
        <w:spacing w:after="0" w:line="171" w:lineRule="exact"/>
        <w:rPr>
          <w:sz w:val="20"/>
          <w:szCs w:val="20"/>
          <w:color w:val="auto"/>
        </w:rPr>
      </w:pPr>
    </w:p>
    <w:p>
      <w:pPr>
        <w:ind w:left="60" w:right="379"/>
        <w:spacing w:after="0" w:line="244" w:lineRule="auto"/>
        <w:rPr>
          <w:sz w:val="20"/>
          <w:szCs w:val="20"/>
          <w:color w:val="auto"/>
        </w:rPr>
      </w:pPr>
      <w:r>
        <w:rPr>
          <w:rFonts w:ascii="Arial" w:cs="Arial" w:eastAsia="Arial" w:hAnsi="Arial"/>
          <w:sz w:val="18"/>
          <w:szCs w:val="18"/>
          <w:color w:val="auto"/>
        </w:rPr>
        <w:t>There have been no material changes to our critical policies and accounting estimates as compared to those disclosed in the Final Prospectus.</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2" w:lineRule="exact"/>
        <w:rPr>
          <w:sz w:val="20"/>
          <w:szCs w:val="20"/>
          <w:color w:val="auto"/>
        </w:rPr>
      </w:pPr>
    </w:p>
    <w:p>
      <w:pPr>
        <w:jc w:val="both"/>
        <w:ind w:left="60" w:right="399"/>
        <w:spacing w:after="0" w:line="239"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2" w:lineRule="exact"/>
        <w:rPr>
          <w:sz w:val="20"/>
          <w:szCs w:val="20"/>
          <w:color w:val="auto"/>
        </w:rPr>
      </w:pPr>
    </w:p>
    <w:p>
      <w:pPr>
        <w:ind w:left="60" w:right="339"/>
        <w:spacing w:after="0" w:line="260" w:lineRule="auto"/>
        <w:rPr>
          <w:sz w:val="20"/>
          <w:szCs w:val="20"/>
          <w:color w:val="auto"/>
        </w:rPr>
      </w:pPr>
      <w:r>
        <w:rPr>
          <w:rFonts w:ascii="Arial" w:cs="Arial" w:eastAsia="Arial" w:hAnsi="Arial"/>
          <w:sz w:val="17"/>
          <w:szCs w:val="17"/>
          <w:color w:val="auto"/>
        </w:rPr>
        <w:t>We had cash, cash equivalents, and restricted cash of $274.5 million as of June 30, 2021, which consisted of bank deposits and money market funds. We also had marketable securities of $ 167.8 million as of June 30, 2021. The primary objective of our investment activities is to preserve capital to fund our operations while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19"/>
        <w:spacing w:after="0" w:line="224" w:lineRule="auto"/>
        <w:rPr>
          <w:sz w:val="20"/>
          <w:szCs w:val="20"/>
          <w:color w:val="auto"/>
        </w:rPr>
      </w:pPr>
      <w:r>
        <w:rPr>
          <w:rFonts w:ascii="Arial" w:cs="Arial" w:eastAsia="Arial" w:hAnsi="Arial"/>
          <w:sz w:val="18"/>
          <w:szCs w:val="18"/>
          <w:color w:val="auto"/>
        </w:rPr>
        <w:t>earning a low risk return. Because our marketable securities are primarily short-term in duration, we believe that our exposure to interest rate risk is not significant, and a hypothetical 1.0% change in market interest rates during any of the periods presented would not have had a significant impact on the total value of our portfolio. Additionally, we had the $10.0 million borrowing related to the Loan Agreement</w:t>
      </w:r>
      <w:r>
        <w:rPr>
          <w:rFonts w:ascii="Arial" w:cs="Arial" w:eastAsia="Arial" w:hAnsi="Arial"/>
          <w:sz w:val="26"/>
          <w:szCs w:val="26"/>
          <w:color w:val="auto"/>
          <w:vertAlign w:val="superscript"/>
        </w:rPr>
        <w:t>7</w:t>
      </w:r>
      <w:r>
        <w:rPr>
          <w:rFonts w:ascii="Arial" w:cs="Arial" w:eastAsia="Arial" w:hAnsi="Arial"/>
          <w:sz w:val="18"/>
          <w:szCs w:val="18"/>
          <w:color w:val="auto"/>
        </w:rPr>
        <w:t xml:space="preserve"> in September 2020 with a floating interest rate per annum (based on a year of 360 days) equal to (i) the sum of (a) the greater of 6.30% plus (b) the prime rate as reported in The Wall Street Journal on the last business day of the month that immediately precedes the month in which the interest will accrue, or (ii) 9.55%. We are therefore exposed to changes in variable United States interest rates on borrowings under our Loan Agreement. A hypothetical 1% increase in interest rates would not result in a material impact to our business.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92"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disclosures controls and procedures, as defined in Rules 13a-15(e) and 15d-15(e) under the Exchange Act, as of June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2021, our principal executive officer and principal financial officer concluded that, as of such date, our disclosure controls and procedures were effective at a reasonable assurance level.</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05"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Management determined that, as of June 30, 2021,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9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7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i w:val="1"/>
          <w:iCs w:val="1"/>
          <w:color w:val="auto"/>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70" w:lineRule="exact"/>
        <w:rPr>
          <w:sz w:val="20"/>
          <w:szCs w:val="20"/>
          <w:color w:val="auto"/>
        </w:rPr>
      </w:pPr>
    </w:p>
    <w:p>
      <w:pPr>
        <w:ind w:left="60" w:right="419"/>
        <w:spacing w:after="0" w:line="270"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35"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We are a preclinical stage biopharmaceutical company with a limited operating history on which to base your investment decision. 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in-licensing intellectual property, and establishing manufacturing processes and arrangements with third parties for the manufacture of initial quantities of our product candidates and component materials. All of our product candidates are still in the discovery and preclinical testing phase. We do not expect to submit an Investigational New Drug Application, or IND, for any of our product candidates until mid 2022. We have not yet demonstrated our ability to successfully commence or complete a clinical trial, submit an IND, or submit a biologics license application, or BLA, for a product candidate, obtain regulatory approval for any product candidate, manufacture a product at a commercial-scale or arrange for a third party to do so on our behalf, or conduct sales, marketing, and distribution activities necessary for successful product commercialization. Consequently, any assumptions you make about our future success or viability may not be as informed as they could be if we had a longer operating history.</w:t>
      </w:r>
    </w:p>
    <w:p>
      <w:pPr>
        <w:spacing w:after="0" w:line="154" w:lineRule="exact"/>
        <w:rPr>
          <w:sz w:val="20"/>
          <w:szCs w:val="20"/>
          <w:color w:val="auto"/>
        </w:rPr>
      </w:pPr>
    </w:p>
    <w:p>
      <w:pPr>
        <w:ind w:left="60" w:right="119"/>
        <w:spacing w:after="0" w:line="270"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expect to incur significant losses for the foreseeable future.</w:t>
      </w:r>
    </w:p>
    <w:p>
      <w:pPr>
        <w:spacing w:after="0" w:line="13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have incurred significant operating losses since our inception. If our product candidates are not successfully developed and approved, we may never generate any revenue. Our net losses were $6.0 million, $238.8 million, $53.6 million, and $41.6 million for the period from January 1, 2019 through June 30, 2019 (our predecessor, Century Therapeutics, Inc., or Prior Century), the period from June 21, 2019 through December 31, 2019 (our successor after the completion of the 2019 Reorganization (as defined herein), or the Successor), the year ended December 31, 2020 (Successor) and the six months ended June 30, 2021 (Successor), respectively. We had an accumulated deficit of $333.4 million as of June 30, 2021. Our net loss for the period from June 21, 2019 through December 31, 2019 (Successor) and our members’ deficit as of December 31, 2020 (Successor) included a charge to expense of $225.9 million related to in-process research and development assets, or IPR&amp;D, acquired from Prior Century. Substantially all of our losses have resulted from expenses incurred in connection with our research and development programs, the acquisition of IPR&amp;D from Prior Century and from general and administrative costs associated with our operations. All of our product candidates will require the expenditure of substantial additional development time and resources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before we would be able to apply for or receive regulatory approvals and begin realizing product sales. We expect to continue to incur losses for the foreseeable future, and we anticipate these losses will increase as we continue our development of, seek regulatory approval for, and potentially commercialize any of our product candidates and seek to identify, assess, acquire, in-license, or develop additional product candidates. Our prior losses, combined with expected future losses, have had and will continue to have a negative effect on our stockholders’ deficit and working capital.</w:t>
      </w:r>
    </w:p>
    <w:p>
      <w:pPr>
        <w:spacing w:after="0" w:line="178"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We expect that it will be several years, if ever, before we have a commercialized product. We anticipate that our expenses will increase substantially if, and as, we:</w:t>
      </w:r>
    </w:p>
    <w:p>
      <w:pPr>
        <w:spacing w:after="0" w:line="158" w:lineRule="exact"/>
        <w:rPr>
          <w:sz w:val="20"/>
          <w:szCs w:val="20"/>
          <w:color w:val="auto"/>
        </w:rPr>
      </w:pPr>
    </w:p>
    <w:p>
      <w:pPr>
        <w:ind w:left="720" w:right="739" w:hanging="320"/>
        <w:spacing w:after="0" w:line="24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advance our induced pluripotent stem cells, or iPSC-derived allogeneic, cell therapy platforms;</w:t>
      </w:r>
    </w:p>
    <w:p>
      <w:pPr>
        <w:spacing w:after="0" w:line="157" w:lineRule="exact"/>
        <w:rPr>
          <w:rFonts w:ascii="Arial" w:cs="Arial" w:eastAsia="Arial" w:hAnsi="Arial"/>
          <w:sz w:val="18"/>
          <w:szCs w:val="18"/>
          <w:color w:val="auto"/>
        </w:rPr>
      </w:pPr>
    </w:p>
    <w:p>
      <w:pPr>
        <w:ind w:left="720" w:right="659" w:hanging="320"/>
        <w:spacing w:after="0" w:line="24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preclinical development of, and initiate clinical development of CNTY-101 and our other product candidates;</w:t>
      </w:r>
    </w:p>
    <w:p>
      <w:pPr>
        <w:spacing w:after="0" w:line="171"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and validate our own clinical-scale current good manufacturing practices, or cGMP, facilities;</w:t>
      </w:r>
    </w:p>
    <w:p>
      <w:pPr>
        <w:spacing w:after="0" w:line="183" w:lineRule="exact"/>
        <w:rPr>
          <w:rFonts w:ascii="Arial" w:cs="Arial" w:eastAsia="Arial" w:hAnsi="Arial"/>
          <w:sz w:val="18"/>
          <w:szCs w:val="18"/>
          <w:color w:val="auto"/>
        </w:rPr>
      </w:pPr>
    </w:p>
    <w:p>
      <w:pPr>
        <w:ind w:left="720" w:right="379" w:hanging="320"/>
        <w:spacing w:after="0" w:line="24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regulatory approvals for any of our other product candidates that successfully complete clinical trials;</w:t>
      </w:r>
    </w:p>
    <w:p>
      <w:pPr>
        <w:spacing w:after="0" w:line="171"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83" w:lineRule="exact"/>
        <w:rPr>
          <w:rFonts w:ascii="Arial" w:cs="Arial" w:eastAsia="Arial" w:hAnsi="Arial"/>
          <w:sz w:val="18"/>
          <w:szCs w:val="18"/>
          <w:color w:val="auto"/>
        </w:rPr>
      </w:pPr>
    </w:p>
    <w:p>
      <w:pPr>
        <w:ind w:left="720" w:right="479" w:hanging="320"/>
        <w:spacing w:after="0" w:line="238"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174" w:lineRule="exact"/>
        <w:rPr>
          <w:rFonts w:ascii="Arial" w:cs="Arial" w:eastAsia="Arial" w:hAnsi="Arial"/>
          <w:sz w:val="18"/>
          <w:szCs w:val="18"/>
          <w:color w:val="auto"/>
        </w:rPr>
      </w:pPr>
    </w:p>
    <w:p>
      <w:pPr>
        <w:ind w:left="720" w:hanging="32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may never succeed in any or all of these activities and, even if we do, we may never generate revenue.</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20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have no product candidates in clinical development or approved for commercial sale and have not generated any revenue. To become and remain profitable, we must develop and eventually commercialize product candidates with significant market potential, which will require us to be successful in a range of challenging activities. These activities can include completing preclinical studies and initiating and completing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sufficient revenues to achieve profitability. Because of the numerous risks and uncertainties associated with biologics product development, we are unable to accurately predict the timing or amount of increased expenses or when, or if, we will be able to achieve profitability.</w:t>
      </w:r>
    </w:p>
    <w:p>
      <w:pPr>
        <w:spacing w:after="0" w:line="166"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Even if we do achieve profitability, we may not be able to sustain or increase profitability. Our failure to become and remain profitable would decrease the value of our company and could impair our ability to raise capital, maintain our research and development efforts, expand our business, or continue our operations.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259"/>
        <w:spacing w:after="0" w:line="252" w:lineRule="auto"/>
        <w:rPr>
          <w:sz w:val="20"/>
          <w:szCs w:val="20"/>
          <w:color w:val="auto"/>
        </w:rPr>
      </w:pPr>
      <w:r>
        <w:rPr>
          <w:rFonts w:ascii="Arial" w:cs="Arial" w:eastAsia="Arial" w:hAnsi="Arial"/>
          <w:sz w:val="18"/>
          <w:szCs w:val="18"/>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64" w:lineRule="exact"/>
        <w:rPr>
          <w:sz w:val="20"/>
          <w:szCs w:val="20"/>
          <w:color w:val="auto"/>
        </w:rPr>
      </w:pPr>
    </w:p>
    <w:p>
      <w:pPr>
        <w:ind w:left="60" w:right="79"/>
        <w:spacing w:after="0" w:line="247" w:lineRule="auto"/>
        <w:rPr>
          <w:sz w:val="20"/>
          <w:szCs w:val="20"/>
          <w:color w:val="auto"/>
        </w:rPr>
      </w:pPr>
      <w:r>
        <w:rPr>
          <w:rFonts w:ascii="Arial" w:cs="Arial" w:eastAsia="Arial" w:hAnsi="Arial"/>
          <w:sz w:val="17"/>
          <w:szCs w:val="17"/>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preclinical and clinical trials of, and seek regulatory and marketing approval for, our product candidates. Even if one or more of our product candidates is approved for commercial sale, we anticipate incurring significant costs associated with commercializing any approved product candidate. We have financed our operations primarily through private placements of our securities and our initial public offering of common stock, or IPO, which closed in June 2021. We intend to use the proceeds from our IPO to, among other uses, fund research and development of our product candidates and development programs, including our preclinical and clinical development of CNTY-101, CNTY-103, CNTY-102, and CNTY-</w:t>
      </w:r>
    </w:p>
    <w:p>
      <w:pPr>
        <w:spacing w:after="0" w:line="6" w:lineRule="exact"/>
        <w:rPr>
          <w:sz w:val="20"/>
          <w:szCs w:val="20"/>
          <w:color w:val="auto"/>
        </w:rPr>
      </w:pPr>
    </w:p>
    <w:p>
      <w:pPr>
        <w:ind w:left="60" w:right="179" w:hanging="10"/>
        <w:spacing w:after="0" w:line="236" w:lineRule="auto"/>
        <w:tabs>
          <w:tab w:leader="none" w:pos="4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research and development expenses increased from $14.3 million for the year ended December 31, 2019 to $39.7 million for the year ended December 31, 2020 and from $16.4 million for the six months ended June 30, 2020 to $34.3 million for the six months ended June 30, 2021. As of June 30, 2021, we had cash, and cash equivalents of $272.3 million and marketable securities of $167.8 million. Based on our current business plans, we believe that our existing cash and cash equivalents will be sufficient for us to fund our operating expenses and capital expenditures requirements through 2024.</w:t>
      </w:r>
    </w:p>
    <w:p>
      <w:pPr>
        <w:spacing w:after="0" w:line="16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Attempting to secure additional financing will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141" w:lineRule="exact"/>
        <w:rPr>
          <w:sz w:val="20"/>
          <w:szCs w:val="20"/>
          <w:color w:val="auto"/>
        </w:rPr>
      </w:pPr>
    </w:p>
    <w:p>
      <w:pPr>
        <w:ind w:left="60" w:right="259"/>
        <w:spacing w:after="0" w:line="270"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48" w:lineRule="exact"/>
        <w:rPr>
          <w:sz w:val="20"/>
          <w:szCs w:val="20"/>
          <w:color w:val="auto"/>
        </w:rPr>
      </w:pPr>
    </w:p>
    <w:p>
      <w:pPr>
        <w:ind w:left="60" w:right="179"/>
        <w:spacing w:after="0" w:line="235"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and impede our ability to conduct our business. Furthermore, the issuance of additional securities, whether equity or debt, by us, or the possibility of such issuance, may cause the market price of our common stock to decline.</w:t>
      </w:r>
    </w:p>
    <w:p>
      <w:pPr>
        <w:spacing w:after="0" w:line="162" w:lineRule="exact"/>
        <w:rPr>
          <w:sz w:val="20"/>
          <w:szCs w:val="20"/>
          <w:color w:val="auto"/>
        </w:rPr>
      </w:pPr>
    </w:p>
    <w:p>
      <w:pPr>
        <w:jc w:val="both"/>
        <w:ind w:left="60" w:right="299"/>
        <w:spacing w:after="0" w:line="247" w:lineRule="auto"/>
        <w:rPr>
          <w:sz w:val="20"/>
          <w:szCs w:val="20"/>
          <w:color w:val="auto"/>
        </w:rPr>
      </w:pPr>
      <w:r>
        <w:rPr>
          <w:rFonts w:ascii="Arial" w:cs="Arial" w:eastAsia="Arial" w:hAnsi="Arial"/>
          <w:sz w:val="17"/>
          <w:szCs w:val="17"/>
          <w:color w:val="auto"/>
        </w:rPr>
        <w:t>If we raise additional funds through licensing or collaboration arrangements with third parties, we may have to relinquish valuable rights to our product candidates or grant licenses under our intellectual property on terms that are not favorable to us. In addition, we may seek additional capital due to favorable market conditions or strategic considerations even if we believe we have sufficient funds for our current or future operating plans.</w:t>
      </w:r>
    </w:p>
    <w:p>
      <w:pPr>
        <w:spacing w:after="0" w:line="2"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Because of the numerous risks and uncertainties associated with product development, we are unable to predict the timing or amount of increased expenses or when or if we will be able to achieve or maintain profitability.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17"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The net operating losses of Prior Century carried over to us as a result of the merger of Prior Century with and into us on February 25, 2021 in the amount of approximately $5.0 million of federal net operating loss carryforwards, and approximately $9.5 million of state and local net operating loss carryforwards. To the extent that we continue to generate taxable losses, subject to certain limitations, unused losses will carryforward to offset future taxable income, if any, until such unused losses expire. Under Section 382 of the Internal Revenue Code of 1986, as amended, or the Code, if a corporation undergoes an ownership change (generally defined as a greater than 50 percentage points change (by value) in its equity ownership over a rolling three-year period), the corporation’s ability to use its pre-change net operating losses and other pre-change tax attributes to offset its post-change income may be limited. We believe that Prior Century or we may have experienced an ownership change in the past, which may affect our ability to utilize our net operating loss carryforwards. In addition, we may experience ownership changes in the future as a result of shifts in our stock ownership, some of which are outside our control. Similar limitations will apply to our ability to carry forward any unused tax credits to offset future taxable income.</w:t>
      </w:r>
    </w:p>
    <w:p>
      <w:pPr>
        <w:spacing w:after="0" w:line="141" w:lineRule="exact"/>
        <w:rPr>
          <w:sz w:val="20"/>
          <w:szCs w:val="20"/>
          <w:color w:val="auto"/>
        </w:rPr>
      </w:pPr>
    </w:p>
    <w:p>
      <w:pPr>
        <w:ind w:left="60" w:right="879"/>
        <w:spacing w:after="0" w:line="300" w:lineRule="auto"/>
        <w:rPr>
          <w:sz w:val="20"/>
          <w:szCs w:val="20"/>
          <w:color w:val="auto"/>
        </w:rPr>
      </w:pPr>
      <w:r>
        <w:rPr>
          <w:rFonts w:ascii="Arial" w:cs="Arial" w:eastAsia="Arial" w:hAnsi="Arial"/>
          <w:sz w:val="17"/>
          <w:szCs w:val="17"/>
          <w:b w:val="1"/>
          <w:bCs w:val="1"/>
          <w:i w:val="1"/>
          <w:iCs w:val="1"/>
          <w:color w:val="auto"/>
        </w:rPr>
        <w:t>Our Option Agreement with Bayer HealthCare LLC may require us to sell certain of our product candidates, which may limit the value we could generate from our product candidates.</w:t>
      </w:r>
    </w:p>
    <w:p>
      <w:pPr>
        <w:spacing w:after="0" w:line="112"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We are party to an option agreement, or the Option Agreement, with Bayer HealthCare LLC, or Bayer,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 may exercise its ROFR for up to four of the first ten Research Products for which an IND is submitted, subject to certain limitations.</w:t>
      </w:r>
    </w:p>
    <w:p>
      <w:pPr>
        <w:spacing w:after="0" w:line="180"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If Bayer exercises its ROFR for one of our Research Products, we may be required to transfer such Research Product (by sale, license, or other structure to be negotiated) to Bayer for a market value as determined by our board of directors, and such determination of market value may ultimately prove to be lower than the actual realizable value of applicable Research Product. There can be no guarantee that we will utilize the proceeds received in connection with the exercise of Bayer’s ROFR in a manner which will provide us with greater value than if we had retained the Research Product or sold such Research Product to another party. Any failure to realize or utilize the full value of our Research Products due to the Option Agreement could have a material adverse effect on our business, financial condition, and results of operation.</w:t>
      </w:r>
    </w:p>
    <w:p>
      <w:pPr>
        <w:spacing w:after="0" w:line="139" w:lineRule="exact"/>
        <w:rPr>
          <w:sz w:val="20"/>
          <w:szCs w:val="20"/>
          <w:color w:val="auto"/>
        </w:rPr>
      </w:pPr>
    </w:p>
    <w:p>
      <w:pPr>
        <w:ind w:left="60" w:right="299"/>
        <w:spacing w:after="0" w:line="270"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135"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Global financial markets have experienced, as a result of the COVID-19 pandemic, and have in the past experienced, extreme volatility and disruptions,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and ability to raise capital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including very recently in connection with the ongoing COVID-19 pandemic, which has resulted in decreased stock prices for many companies notwithstanding the lack of a fundamental change in their underlying business models or prospects. These fluctuations have often been unrelated or disproportionate to the operating performance of those companies. Broad market and industry factors, including potentially worsening economic conditions and other adverse effects, or developments relating to the ongoing COVID-19 pandemic, political, regulatory, and other market conditions, may negatively affect the market price of shares of our common stock, regardless of our actual operating performance.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0" w:lineRule="exact"/>
        <w:rPr>
          <w:sz w:val="20"/>
          <w:szCs w:val="20"/>
          <w:color w:val="auto"/>
        </w:rPr>
      </w:pPr>
    </w:p>
    <w:p>
      <w:pPr>
        <w:jc w:val="both"/>
        <w:ind w:left="60" w:right="279"/>
        <w:spacing w:after="0" w:line="252" w:lineRule="auto"/>
        <w:rPr>
          <w:sz w:val="20"/>
          <w:szCs w:val="20"/>
          <w:color w:val="auto"/>
        </w:rPr>
      </w:pPr>
      <w:r>
        <w:rPr>
          <w:rFonts w:ascii="Arial" w:cs="Arial" w:eastAsia="Arial" w:hAnsi="Arial"/>
          <w:sz w:val="18"/>
          <w:szCs w:val="18"/>
          <w:b w:val="1"/>
          <w:bCs w:val="1"/>
          <w:i w:val="1"/>
          <w:iCs w:val="1"/>
          <w:color w:val="auto"/>
        </w:rPr>
        <w:t>We are very early in our development efforts. Our business is dependent on our ability to advance our current and future product candidates through preclinical studies and clinical trials, obtain marketing approval, and ultimately commercialize them.</w:t>
      </w:r>
    </w:p>
    <w:p>
      <w:pPr>
        <w:spacing w:after="0" w:line="15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are very early in our development efforts and all of our product candidates are still in preclinical development. We expect to file an IND for our lead product candidate CNTY-101, in mid 2022 and we expect to file an IND for CNTY-103 in the first half of 2023. Additionally, we are actively engaged in a number of earlier stage discovery programs that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product sales and we may never be able to develop or commercialize a marketable product.</w:t>
      </w:r>
    </w:p>
    <w:p>
      <w:pPr>
        <w:spacing w:after="0" w:line="174"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Each of our product candidates will require additional preclinical and/or clinical development, regulatory approval in multiple jurisdictions, obtaining manufacturing supply, capacity and expertise, building a commercial organization, or successfully outsourcing commercialization, substantial investment, and significant marketing efforts before we generate any revenue from product sales. Our product candidates must be authorized for marketing by the U.S. Food and Drug Administration, or the FDA, or certain other foreign regulatory agencies before we may commercialize our product candidates.</w:t>
      </w:r>
    </w:p>
    <w:p>
      <w:pPr>
        <w:spacing w:after="0" w:line="164"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The clinical and commercial success of our product candidates will depend on several factors, including the following:</w:t>
      </w:r>
    </w:p>
    <w:p>
      <w:pPr>
        <w:spacing w:after="0" w:line="158" w:lineRule="exact"/>
        <w:rPr>
          <w:sz w:val="20"/>
          <w:szCs w:val="20"/>
          <w:color w:val="auto"/>
        </w:rPr>
      </w:pPr>
    </w:p>
    <w:p>
      <w:pPr>
        <w:ind w:left="720" w:right="539" w:hanging="320"/>
        <w:spacing w:after="0" w:line="24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w:t>
      </w:r>
    </w:p>
    <w:p>
      <w:pPr>
        <w:spacing w:after="0" w:line="171" w:lineRule="exact"/>
        <w:rPr>
          <w:rFonts w:ascii="Arial" w:cs="Arial" w:eastAsia="Arial" w:hAnsi="Arial"/>
          <w:sz w:val="18"/>
          <w:szCs w:val="18"/>
          <w:color w:val="auto"/>
        </w:rPr>
      </w:pPr>
    </w:p>
    <w:p>
      <w:pPr>
        <w:ind w:left="720" w:right="479" w:hanging="320"/>
        <w:spacing w:after="0" w:line="24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INDs or comparable foreign applications that allow commencement of our planned clinical trials or future clinical trials for our product candidates;</w:t>
      </w:r>
    </w:p>
    <w:p>
      <w:pPr>
        <w:spacing w:after="0" w:line="157" w:lineRule="exact"/>
        <w:rPr>
          <w:rFonts w:ascii="Arial" w:cs="Arial" w:eastAsia="Arial" w:hAnsi="Arial"/>
          <w:sz w:val="18"/>
          <w:szCs w:val="18"/>
          <w:color w:val="auto"/>
        </w:rPr>
      </w:pPr>
    </w:p>
    <w:p>
      <w:pPr>
        <w:ind w:left="720" w:right="239" w:hanging="320"/>
        <w:spacing w:after="0" w:line="24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cGCPs, and current Good Laboratory Practices, or GLPs;</w:t>
      </w:r>
    </w:p>
    <w:p>
      <w:pPr>
        <w:spacing w:after="0" w:line="157" w:lineRule="exact"/>
        <w:rPr>
          <w:rFonts w:ascii="Arial" w:cs="Arial" w:eastAsia="Arial" w:hAnsi="Arial"/>
          <w:sz w:val="18"/>
          <w:szCs w:val="18"/>
          <w:color w:val="auto"/>
        </w:rPr>
      </w:pPr>
    </w:p>
    <w:p>
      <w:pPr>
        <w:ind w:left="720" w:right="239" w:hanging="320"/>
        <w:spacing w:after="0" w:line="24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positive results from our future clinical programs that support a finding of safety and effectiveness and an acceptable risk-benefit profile of our product candidates in the intended populations;</w:t>
      </w:r>
    </w:p>
    <w:p>
      <w:pPr>
        <w:spacing w:after="0" w:line="171" w:lineRule="exact"/>
        <w:rPr>
          <w:rFonts w:ascii="Arial" w:cs="Arial" w:eastAsia="Arial" w:hAnsi="Arial"/>
          <w:sz w:val="18"/>
          <w:szCs w:val="18"/>
          <w:color w:val="auto"/>
        </w:rPr>
      </w:pPr>
    </w:p>
    <w:p>
      <w:pPr>
        <w:ind w:left="720" w:hanging="32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83" w:lineRule="exact"/>
        <w:rPr>
          <w:rFonts w:ascii="Arial" w:cs="Arial" w:eastAsia="Arial" w:hAnsi="Arial"/>
          <w:sz w:val="18"/>
          <w:szCs w:val="18"/>
          <w:color w:val="auto"/>
        </w:rPr>
      </w:pPr>
    </w:p>
    <w:p>
      <w:pPr>
        <w:ind w:left="720" w:right="679" w:hanging="320"/>
        <w:spacing w:after="0" w:line="24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of arrangements with CMOs for clinical supply and, where applicable, commercial manufacturing capabilities;</w:t>
      </w:r>
    </w:p>
    <w:p>
      <w:pPr>
        <w:spacing w:after="0" w:line="157" w:lineRule="exact"/>
        <w:rPr>
          <w:rFonts w:ascii="Arial" w:cs="Arial" w:eastAsia="Arial" w:hAnsi="Arial"/>
          <w:sz w:val="18"/>
          <w:szCs w:val="18"/>
          <w:color w:val="auto"/>
        </w:rPr>
      </w:pPr>
    </w:p>
    <w:p>
      <w:pPr>
        <w:ind w:left="720" w:right="259" w:hanging="320"/>
        <w:spacing w:after="0" w:line="24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and/or regulatory exclusivity for our product candidates;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hanging="320"/>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commercial launch of our product candidates, if approved, whether alone or in collaboration with others;</w:t>
      </w:r>
    </w:p>
    <w:p>
      <w:pPr>
        <w:spacing w:after="0" w:line="208" w:lineRule="exact"/>
        <w:rPr>
          <w:rFonts w:ascii="Arial" w:cs="Arial" w:eastAsia="Arial" w:hAnsi="Arial"/>
          <w:sz w:val="17"/>
          <w:szCs w:val="17"/>
          <w:color w:val="auto"/>
        </w:rPr>
      </w:pPr>
    </w:p>
    <w:p>
      <w:pPr>
        <w:ind w:left="720" w:right="79" w:hanging="320"/>
        <w:spacing w:after="0" w:line="244"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benefits and use of our product candidates, including method of administration, if and when approved, by patients, the medical community, and third-party payors;</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pacing w:after="0" w:line="183" w:lineRule="exact"/>
        <w:rPr>
          <w:rFonts w:ascii="Arial" w:cs="Arial" w:eastAsia="Arial" w:hAnsi="Arial"/>
          <w:sz w:val="18"/>
          <w:szCs w:val="18"/>
          <w:color w:val="auto"/>
        </w:rPr>
      </w:pPr>
    </w:p>
    <w:p>
      <w:pPr>
        <w:ind w:left="720" w:right="439" w:hanging="320"/>
        <w:spacing w:after="0" w:line="273"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establishment and maintenance of healthcare coverage and adequate reimbursement and patients’ willingness to pay out-of-pocket in the absence of such coverage and adequate reimbursement;</w:t>
      </w:r>
    </w:p>
    <w:p>
      <w:pPr>
        <w:spacing w:after="0" w:line="147" w:lineRule="exact"/>
        <w:rPr>
          <w:rFonts w:ascii="Arial" w:cs="Arial" w:eastAsia="Arial" w:hAnsi="Arial"/>
          <w:sz w:val="17"/>
          <w:szCs w:val="17"/>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establishment of a physician training system and network for administration of our product candidates;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enforcement and defense of intellectual property rights and claims; and</w:t>
      </w:r>
    </w:p>
    <w:p>
      <w:pPr>
        <w:spacing w:after="0" w:line="183" w:lineRule="exact"/>
        <w:rPr>
          <w:rFonts w:ascii="Arial" w:cs="Arial" w:eastAsia="Arial" w:hAnsi="Arial"/>
          <w:sz w:val="18"/>
          <w:szCs w:val="18"/>
          <w:color w:val="auto"/>
        </w:rPr>
      </w:pPr>
    </w:p>
    <w:p>
      <w:pPr>
        <w:ind w:left="720" w:right="99" w:hanging="320"/>
        <w:spacing w:after="0" w:line="244"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maintenance of a continued acceptable safety, tolerability, and efficacy profile of our product candidates following approval.</w:t>
      </w:r>
    </w:p>
    <w:p>
      <w:pPr>
        <w:spacing w:after="0" w:line="17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140" w:lineRule="exact"/>
        <w:rPr>
          <w:sz w:val="20"/>
          <w:szCs w:val="20"/>
          <w:color w:val="auto"/>
        </w:rPr>
      </w:pPr>
    </w:p>
    <w:p>
      <w:pPr>
        <w:ind w:left="60" w:right="539"/>
        <w:spacing w:after="0" w:line="270"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 CNTY-101 and our other product candidates.</w:t>
      </w:r>
    </w:p>
    <w:p>
      <w:pPr>
        <w:spacing w:after="0" w:line="135"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cannot guarantee that an IND application will be cleared by the FDA for CNTY-101 or our other product candidates or that CNTY-101 or our other product candidates will be approved for commercialization, on a timely basis or at all. Although certain of our employees have prior experience with clinical trials and regulatory approvals, we have not previously completed any clinical trials or submitted an IND or a BLA to the FDA, or similar regulatory approval filings to comparable foreign authorities, for any product candidate, and we cannot be certain that CNTY-101 or our other product candidates will be successful in clinical trials or receive regulatory approval. The FDA and other comparable global regulatory authorities can delay, limit, or deny approval of a product candidate for many reasons. Any delay in obtaining, or inability to obtain, applicable regulatory approval will delay or harm our ability to successfully initiate clinical trials and commercialize CNTY-101 or our other product candidates and materially adversely affect our business, financial condition, results of operations, and growth prospects.</w:t>
      </w:r>
    </w:p>
    <w:p>
      <w:pPr>
        <w:spacing w:after="0" w:line="179"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Furthermore, if our clinical trials of CNTY-101 or our other product candidates encounter safety, efficacy, or manufacturing problems, development delays, regulatory issues, or other problems, our development plans for such product candidates in our pipeline could be significantly impaired, which could materially adversely affect our business, financial condition, results of operations, and growth prospects.</w:t>
      </w:r>
    </w:p>
    <w:p>
      <w:pPr>
        <w:spacing w:after="0" w:line="16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depends upon the success of our iPSC-derived allogeneic cell therapy platforms.</w:t>
      </w:r>
    </w:p>
    <w:p>
      <w:pPr>
        <w:spacing w:after="0" w:line="205"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color w:val="auto"/>
        </w:rPr>
        <w:t>Our success depends on our ability to utilize our iPSC-derived allogeneic cell therapy platforms to generate chimeric antigen receptors, or CAR-iNK and CAR-iT cell product candidates, to obtain regulatory approval for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product candidates derived from it, and to then commercialize our product candidates addressing one or more indications. Though iPSC-derived cell therapy product candidates have been evaluated by others in clinical trials, our product candidates have never been evaluated in human clinical trials, and we may experience unexpected or adverse results in the future. We are exposed to a number of unforeseen risks and it is difficult to predict the types of challenges and risks that we may encounter during development of our product candidates. All of our product candidates developed from our iPSC allogeneic cell therapy platforms will require significant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iPSC technology.</w:t>
      </w:r>
    </w:p>
    <w:p>
      <w:pPr>
        <w:spacing w:after="0" w:line="137" w:lineRule="exact"/>
        <w:rPr>
          <w:sz w:val="20"/>
          <w:szCs w:val="20"/>
          <w:color w:val="auto"/>
        </w:rPr>
      </w:pPr>
    </w:p>
    <w:p>
      <w:pPr>
        <w:ind w:left="60" w:right="119"/>
        <w:spacing w:after="0" w:line="250" w:lineRule="auto"/>
        <w:rPr>
          <w:sz w:val="20"/>
          <w:szCs w:val="20"/>
          <w:color w:val="auto"/>
        </w:rPr>
      </w:pPr>
      <w:r>
        <w:rPr>
          <w:rFonts w:ascii="Arial" w:cs="Arial" w:eastAsia="Arial" w:hAnsi="Arial"/>
          <w:sz w:val="17"/>
          <w:szCs w:val="17"/>
          <w:color w:val="auto"/>
        </w:rPr>
        <w:t>Additionally, a key element of our strategy is to use and expand our iPSC allogeneic cell therapy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108" w:lineRule="exact"/>
        <w:rPr>
          <w:sz w:val="20"/>
          <w:szCs w:val="20"/>
          <w:color w:val="auto"/>
        </w:rPr>
      </w:pPr>
    </w:p>
    <w:p>
      <w:pPr>
        <w:ind w:left="60" w:right="599"/>
        <w:spacing w:after="0" w:line="252" w:lineRule="auto"/>
        <w:rPr>
          <w:sz w:val="20"/>
          <w:szCs w:val="20"/>
          <w:color w:val="auto"/>
        </w:rPr>
      </w:pPr>
      <w:r>
        <w:rPr>
          <w:rFonts w:ascii="Arial" w:cs="Arial" w:eastAsia="Arial" w:hAnsi="Arial"/>
          <w:sz w:val="18"/>
          <w:szCs w:val="18"/>
          <w:b w:val="1"/>
          <w:bCs w:val="1"/>
          <w:i w:val="1"/>
          <w:iCs w:val="1"/>
          <w:color w:val="auto"/>
        </w:rPr>
        <w:t>Utilizing CAR-iNK and CAR-iT cells represents a novel approach to immuno-oncology treatment of cancer, and we must overcome significant challenges in order to develop, commercialize, and manufacture our product candidates.</w:t>
      </w:r>
    </w:p>
    <w:p>
      <w:pPr>
        <w:spacing w:after="0" w:line="110"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have concentrated our research and development efforts on developing CAR-iNK and CAR-iT cell therapies. The processes and requirements imposed by the FDA or other applicable regulatory authorities may cause delays and additional costs in obtaining approvals for our product candidates. Because our iPSC-derived allogeneic cell therapy platforms are novel, and cell-based therapies are relatively new, regulatory agencies may lack experience in evaluating our product candidates utilizing CAR-iNK and CAR -iT cells. This novelty may lengthen the regulatory review process, including the time it takes for the FDA to review our IND applications, if and when submitted, increase our development costs, and delay or prevent commercialization of our iPSC-derived allogeneic cell therapy platform products. Additionally, advancing novel immuno-oncology cell therapies creates significant challenges for us, including:</w:t>
      </w:r>
    </w:p>
    <w:p>
      <w:pPr>
        <w:spacing w:after="0" w:line="140" w:lineRule="exact"/>
        <w:rPr>
          <w:sz w:val="20"/>
          <w:szCs w:val="20"/>
          <w:color w:val="auto"/>
        </w:rPr>
      </w:pPr>
    </w:p>
    <w:p>
      <w:pPr>
        <w:ind w:left="720" w:right="699" w:hanging="320"/>
        <w:spacing w:after="0" w:line="24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 manufacturing process to produce our cells on a large scale and in a cost-effective manner;</w:t>
      </w:r>
    </w:p>
    <w:p>
      <w:pPr>
        <w:spacing w:after="0" w:line="130" w:lineRule="exact"/>
        <w:rPr>
          <w:rFonts w:ascii="Arial" w:cs="Arial" w:eastAsia="Arial" w:hAnsi="Arial"/>
          <w:sz w:val="18"/>
          <w:szCs w:val="18"/>
          <w:color w:val="auto"/>
        </w:rPr>
      </w:pPr>
    </w:p>
    <w:p>
      <w:pPr>
        <w:ind w:left="720" w:right="319" w:hanging="320"/>
        <w:spacing w:after="0" w:line="24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side-effect profile of our cells and, as the clinical program progresses, on any observed side effects with the therapy;</w:t>
      </w:r>
    </w:p>
    <w:p>
      <w:pPr>
        <w:spacing w:after="0" w:line="117" w:lineRule="exact"/>
        <w:rPr>
          <w:rFonts w:ascii="Arial" w:cs="Arial" w:eastAsia="Arial" w:hAnsi="Arial"/>
          <w:sz w:val="18"/>
          <w:szCs w:val="18"/>
          <w:color w:val="auto"/>
        </w:rPr>
      </w:pPr>
    </w:p>
    <w:p>
      <w:pPr>
        <w:ind w:left="720" w:hanging="320"/>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technical limitations of our CRISPR-MAD7 gene editing technology; and</w:t>
      </w:r>
    </w:p>
    <w:p>
      <w:pPr>
        <w:spacing w:after="0" w:line="156" w:lineRule="exact"/>
        <w:rPr>
          <w:rFonts w:ascii="Arial" w:cs="Arial" w:eastAsia="Arial" w:hAnsi="Arial"/>
          <w:sz w:val="18"/>
          <w:szCs w:val="18"/>
          <w:color w:val="auto"/>
        </w:rPr>
      </w:pPr>
    </w:p>
    <w:p>
      <w:pPr>
        <w:ind w:left="720" w:right="59" w:hanging="320"/>
        <w:spacing w:after="0" w:line="24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distribution network to support the commercialization of any approved products.</w:t>
      </w:r>
    </w:p>
    <w:p>
      <w:pPr>
        <w:spacing w:after="0" w:line="131"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We must be able to overcome these challenges in order for us to develop, commercialize, and manufacture our product candidates utilizing CAR-iNK and CAR-iT cells.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not yet demonstrated long-term stability of cryopreserved CAR-iNK cells.</w:t>
      </w:r>
    </w:p>
    <w:p>
      <w:pPr>
        <w:spacing w:after="0" w:line="192"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We have not yet demonstrated long-term stability of cryopreserved CAR-iNK cells and, therefore, do not know if we will be able to store the cryopreserved cells for extended periods of time. If we are unable 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We may also encounter difficulties not only in developing freezing and thawing methodologies for large-scale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w:t>
      </w:r>
    </w:p>
    <w:p>
      <w:pPr>
        <w:spacing w:after="0" w:line="154" w:lineRule="exact"/>
        <w:rPr>
          <w:sz w:val="20"/>
          <w:szCs w:val="20"/>
          <w:color w:val="auto"/>
        </w:rPr>
      </w:pPr>
    </w:p>
    <w:p>
      <w:pPr>
        <w:ind w:left="60" w:right="599"/>
        <w:spacing w:after="0" w:line="252" w:lineRule="auto"/>
        <w:rPr>
          <w:sz w:val="20"/>
          <w:szCs w:val="20"/>
          <w:color w:val="auto"/>
        </w:rPr>
      </w:pPr>
      <w:r>
        <w:rPr>
          <w:rFonts w:ascii="Arial" w:cs="Arial" w:eastAsia="Arial" w:hAnsi="Arial"/>
          <w:sz w:val="18"/>
          <w:szCs w:val="18"/>
          <w:b w:val="1"/>
          <w:bCs w:val="1"/>
          <w:i w:val="1"/>
          <w:iCs w:val="1"/>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150"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We use CRISPR-based nuclease to enable precise editing of the iPSC genome. For CNTY-101, we used the nuclease Cpf-1 but have shifted to CRISPR-MAD7 for all subsequent product candidates, and we may utilize CRISPR-MAD7 for CNTY-101 in the future. We decided to shift to CRISPR-MAD7 because we entered into a license agreement with Inscripta, Inc. and obtained a non-exclusive, royalty-free, irrevocable license to a patent portfolio covering the composition, production and use of CRISPR-MAD7. We have optimized the protocols to produce CRISPR-MAD7 and have achieved similar cutting and HDR efficiencies compared to Cpf-1, but we don’t have as much experimental data with CRISPR-MAD7 as we do with Cpf1. We may encounter technical liabilities associated with CRISPR-MAD7 that could force us to use a different CRISPR nuclease which could delay our programs and require us to enter into a license agreement for additional technology, which may not be available on commercially reasonable terms or at all.</w:t>
      </w:r>
    </w:p>
    <w:p>
      <w:pPr>
        <w:spacing w:after="0" w:line="16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gene-editing technology may create unintended changes to the DNA such as a non-target site gene-edit, a large deletion, or a DNA translocation, any of which could impact timelines for new product generation. We have developed various genome characterization assays to identify deletions/insertions that can occur as a result of gene editing.</w:t>
      </w:r>
    </w:p>
    <w:p>
      <w:pPr>
        <w:spacing w:after="0" w:line="17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Although we believe CAR-iNK and CAR-iT based therapies do not require further modification to avoid the risk of graft versus host disease, or GvHD, the gene-editing of our product candidates utilizing CAR-iNK and CAR-iT cells may not be successful in limiting the risk of GvHD or premature rejection by patients.</w:t>
      </w:r>
    </w:p>
    <w:p>
      <w:pPr>
        <w:spacing w:after="0" w:line="162"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In addition, the cell therapy industry is rapidly developing, and our competitors may introduce new gene-editing technologies that render our technology less attractive. Competitive pressures may force us to implement new gene-editing technologies at a substantial cost or delay in our clinical development process. In addition, our competitors may have greater financial, technical and personnel resources that allow them to implement new gene-editing technologies before we can. We cannot be certain that we will be able to implement new gene-editing technologies on a timely basis or at a cost that is acceptable to us. If we are unable to implement technological advancements consistent with industry standards, our operations and financial condition may be adversely affected.</w:t>
      </w:r>
    </w:p>
    <w:p>
      <w:pPr>
        <w:spacing w:after="0" w:line="139" w:lineRule="exact"/>
        <w:rPr>
          <w:sz w:val="20"/>
          <w:szCs w:val="20"/>
          <w:color w:val="auto"/>
        </w:rPr>
      </w:pPr>
    </w:p>
    <w:p>
      <w:pPr>
        <w:ind w:left="60" w:right="79"/>
        <w:spacing w:after="0" w:line="270"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48" w:lineRule="exact"/>
        <w:rPr>
          <w:sz w:val="20"/>
          <w:szCs w:val="20"/>
          <w:color w:val="auto"/>
        </w:rPr>
      </w:pPr>
    </w:p>
    <w:p>
      <w:pPr>
        <w:ind w:left="60" w:right="159"/>
        <w:spacing w:after="0" w:line="235" w:lineRule="auto"/>
        <w:rPr>
          <w:sz w:val="20"/>
          <w:szCs w:val="20"/>
          <w:color w:val="auto"/>
        </w:rPr>
      </w:pPr>
      <w:r>
        <w:rPr>
          <w:rFonts w:ascii="Arial" w:cs="Arial" w:eastAsia="Arial" w:hAnsi="Arial"/>
          <w:sz w:val="18"/>
          <w:szCs w:val="18"/>
          <w:color w:val="auto"/>
        </w:rPr>
        <w:t>The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uncertainty. In addition, complexities associated with the larger, and often more complex, structures of biological products such as cell and gene products we are developing, as well as the processes by which such products are manufactured, pose significant hurdles to implementation of the abbreviated approval pathway that are still being worked out by the FDA.</w:t>
      </w:r>
    </w:p>
    <w:p>
      <w:pPr>
        <w:spacing w:after="0" w:line="174" w:lineRule="exact"/>
        <w:rPr>
          <w:sz w:val="20"/>
          <w:szCs w:val="20"/>
          <w:color w:val="auto"/>
        </w:rPr>
      </w:pPr>
    </w:p>
    <w:p>
      <w:pPr>
        <w:ind w:left="60" w:right="159"/>
        <w:spacing w:after="0" w:line="235"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7"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Jurisdictions in addition to the United States have established abbreviated pathways for regulatory approval of biological products that are biosimilar to earlier approved reference products. For example, the European Union has had an established regulatory pathway for biosimilars since 2004. However, biosimilars can only be authorized once the period of data exclusivity on the reference biological medicine has expired.</w:t>
      </w:r>
    </w:p>
    <w:p>
      <w:pPr>
        <w:spacing w:after="0" w:line="161"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The increased likelihood of biosimilar competition has increased the risk of loss of innovators’ market exclusivity. Due to this risk, and uncertainties regarding patent protection, if our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and we may not generate adequate or sufficient revenues from them or be able to reach or sustain profitability.</w:t>
      </w:r>
    </w:p>
    <w:p>
      <w:pPr>
        <w:spacing w:after="0" w:line="142"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b w:val="1"/>
          <w:bCs w:val="1"/>
          <w:i w:val="1"/>
          <w:iCs w:val="1"/>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55"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All of our product candidates are in preclinical development and their risk of failure is high. It is impossible to predict when or if any of our discovery or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w:t>
      </w:r>
    </w:p>
    <w:p>
      <w:pPr>
        <w:spacing w:after="0" w:line="164"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The results of preclinical studies and early clinical trials or early cohorts of our clinical trials of our product candidates may not be predictive of the results of later-stage clinical trials or later cohorts of our clinical trials. Our initial clinical trials will begin with relatively small cohorts before expanding in size in subsequent cohorts. The initial cohorts of early-stage clinical trials often involve enrollment of a small number of patients and may not be as predictive as trials with larger cohorts. Additionally, if safety issues arise in an early cohort, we may be delayed or prevented from subsequently expanding into larger trial cohorts. We may be unable to establish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w:t>
      </w:r>
    </w:p>
    <w:p>
      <w:pPr>
        <w:spacing w:after="0" w:line="18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Moreover, clinical data is often susceptible to varying interpretations and analyses, and many companies that have believed their product candidates performed satisfactorily in clinical trials have nonetheless failed to obtain marketing approval of their products. A number of companies in the biopharmaceutical industry have suffered significant setbacks in advanced clinical trials due to lack of efficacy or unfavorable safety profiles,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notwithstanding promising results in earlier trials. There is typically a high rate of failure of product candidates proceeding through clinical trials. Most product candidates that commence clinical trials are never approved as products and there can be no assurance that any of our future clinical trials will ultimately be successful or support clinical development of our current or any of our future product candidates.</w:t>
      </w:r>
    </w:p>
    <w:p>
      <w:pPr>
        <w:spacing w:after="0" w:line="174" w:lineRule="exact"/>
        <w:rPr>
          <w:sz w:val="20"/>
          <w:szCs w:val="20"/>
          <w:color w:val="auto"/>
        </w:rPr>
      </w:pPr>
    </w:p>
    <w:p>
      <w:pPr>
        <w:ind w:left="60" w:right="399"/>
        <w:spacing w:after="0" w:line="238" w:lineRule="auto"/>
        <w:rPr>
          <w:sz w:val="20"/>
          <w:szCs w:val="20"/>
          <w:color w:val="auto"/>
        </w:rPr>
      </w:pPr>
      <w:r>
        <w:rPr>
          <w:rFonts w:ascii="Arial" w:cs="Arial" w:eastAsia="Arial" w:hAnsi="Arial"/>
          <w:sz w:val="18"/>
          <w:szCs w:val="18"/>
          <w:color w:val="auto"/>
        </w:rPr>
        <w:t>We may experience delays in initiating or completing clinical trials. We also may experience numerous unforeseen events during, or as a result of, any future clinical trials that we could conduct that could delay or prevent our ability to receive marketing approval or commercialize our lead product candidates or any future product candidates, including:</w:t>
      </w:r>
    </w:p>
    <w:p>
      <w:pPr>
        <w:spacing w:after="0" w:line="161" w:lineRule="exact"/>
        <w:rPr>
          <w:sz w:val="20"/>
          <w:szCs w:val="20"/>
          <w:color w:val="auto"/>
        </w:rPr>
      </w:pPr>
    </w:p>
    <w:p>
      <w:pPr>
        <w:ind w:left="720" w:right="259" w:hanging="320"/>
        <w:spacing w:after="0" w:line="244"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the FDA, or ethics committees may not authorize us or our investigators to commence a clinical trial or conduct a clinical trial at a prospective trial site;</w:t>
      </w:r>
    </w:p>
    <w:p>
      <w:pPr>
        <w:spacing w:after="0" w:line="157" w:lineRule="exact"/>
        <w:rPr>
          <w:rFonts w:ascii="Arial" w:cs="Arial" w:eastAsia="Arial" w:hAnsi="Arial"/>
          <w:sz w:val="18"/>
          <w:szCs w:val="18"/>
          <w:color w:val="auto"/>
        </w:rPr>
      </w:pPr>
    </w:p>
    <w:p>
      <w:pPr>
        <w:jc w:val="both"/>
        <w:ind w:left="720" w:right="59" w:hanging="320"/>
        <w:spacing w:after="0" w:line="23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as the terms of which can be subject to extensive negotiation and may vary significantly among different CROs and trial sites;</w:t>
      </w:r>
    </w:p>
    <w:p>
      <w:pPr>
        <w:spacing w:after="0" w:line="175"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83" w:lineRule="exact"/>
        <w:rPr>
          <w:rFonts w:ascii="Arial" w:cs="Arial" w:eastAsia="Arial" w:hAnsi="Arial"/>
          <w:sz w:val="18"/>
          <w:szCs w:val="18"/>
          <w:color w:val="auto"/>
        </w:rPr>
      </w:pPr>
    </w:p>
    <w:p>
      <w:pPr>
        <w:ind w:left="720" w:right="219" w:hanging="320"/>
        <w:spacing w:after="0" w:line="23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161" w:lineRule="exact"/>
        <w:rPr>
          <w:rFonts w:ascii="Arial" w:cs="Arial" w:eastAsia="Arial" w:hAnsi="Arial"/>
          <w:sz w:val="18"/>
          <w:szCs w:val="18"/>
          <w:color w:val="auto"/>
        </w:rPr>
      </w:pPr>
    </w:p>
    <w:p>
      <w:pPr>
        <w:ind w:left="720" w:right="139" w:hanging="320"/>
        <w:spacing w:after="0" w:line="260"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158" w:lineRule="exact"/>
        <w:rPr>
          <w:rFonts w:ascii="Arial" w:cs="Arial" w:eastAsia="Arial" w:hAnsi="Arial"/>
          <w:sz w:val="17"/>
          <w:szCs w:val="17"/>
          <w:color w:val="auto"/>
        </w:rPr>
      </w:pPr>
    </w:p>
    <w:p>
      <w:pPr>
        <w:ind w:left="720" w:right="99" w:hanging="320"/>
        <w:spacing w:after="0" w:line="23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61" w:lineRule="exact"/>
        <w:rPr>
          <w:rFonts w:ascii="Arial" w:cs="Arial" w:eastAsia="Arial" w:hAnsi="Arial"/>
          <w:sz w:val="18"/>
          <w:szCs w:val="18"/>
          <w:color w:val="auto"/>
        </w:rPr>
      </w:pPr>
    </w:p>
    <w:p>
      <w:pPr>
        <w:ind w:left="720" w:right="79" w:hanging="320"/>
        <w:spacing w:after="0" w:line="238"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160"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any of our product candidates may be greater than we anticipate;</w:t>
      </w:r>
    </w:p>
    <w:p>
      <w:pPr>
        <w:spacing w:after="0" w:line="196" w:lineRule="exact"/>
        <w:rPr>
          <w:rFonts w:ascii="Arial" w:cs="Arial" w:eastAsia="Arial" w:hAnsi="Arial"/>
          <w:sz w:val="18"/>
          <w:szCs w:val="18"/>
          <w:color w:val="auto"/>
        </w:rPr>
      </w:pPr>
    </w:p>
    <w:p>
      <w:pPr>
        <w:ind w:left="720" w:right="699" w:hanging="320"/>
        <w:spacing w:after="0" w:line="244"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quality of our product candidates or other materials necessary to conduct clinical trials of our product candidates may be inadequate to initiate or complete a given clinical trial;</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our product candidates for use in clinical trials;</w:t>
      </w:r>
    </w:p>
    <w:p>
      <w:pPr>
        <w:spacing w:after="0" w:line="183" w:lineRule="exact"/>
        <w:rPr>
          <w:rFonts w:ascii="Arial" w:cs="Arial" w:eastAsia="Arial" w:hAnsi="Arial"/>
          <w:sz w:val="18"/>
          <w:szCs w:val="18"/>
          <w:color w:val="auto"/>
        </w:rPr>
      </w:pPr>
    </w:p>
    <w:p>
      <w:pPr>
        <w:ind w:left="720" w:right="259" w:hanging="320"/>
        <w:spacing w:after="0" w:line="244"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reports from clinical testing of other therapies may raise safety or efficacy concerns about our product candidates;</w:t>
      </w:r>
    </w:p>
    <w:p>
      <w:pPr>
        <w:spacing w:after="0" w:line="171" w:lineRule="exact"/>
        <w:rPr>
          <w:rFonts w:ascii="Arial" w:cs="Arial" w:eastAsia="Arial" w:hAnsi="Arial"/>
          <w:sz w:val="18"/>
          <w:szCs w:val="18"/>
          <w:color w:val="auto"/>
        </w:rPr>
      </w:pPr>
    </w:p>
    <w:p>
      <w:pPr>
        <w:ind w:left="720" w:right="299" w:hanging="320"/>
        <w:spacing w:after="0" w:line="23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failure to establish an appropriate safety profile for a product candidate based on clinical or preclinical data for such product candidate as well as data emerging from other studies or trials in the same class as our product candidate; and</w:t>
      </w:r>
    </w:p>
    <w:p>
      <w:pPr>
        <w:spacing w:after="0" w:line="161" w:lineRule="exact"/>
        <w:rPr>
          <w:rFonts w:ascii="Arial" w:cs="Arial" w:eastAsia="Arial" w:hAnsi="Arial"/>
          <w:sz w:val="18"/>
          <w:szCs w:val="18"/>
          <w:color w:val="auto"/>
        </w:rPr>
      </w:pPr>
    </w:p>
    <w:p>
      <w:pPr>
        <w:ind w:left="720" w:right="99" w:hanging="320"/>
        <w:spacing w:after="0" w:line="273"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or applicable foreign regulatory agencies may require us to submit additional data such as long-term toxicology studies, or impose other requirements before permitting us to initiate a clinical trial.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therapeutic biologics that may be approved for the indications being investigated by us. Furthermore, we expect to rely on our collaborators, CROs, and clinical trial sites to ensure the proper and timely conduct of our future clinical trials, including the patient enrollment process, and we have limited influence over their performance. Additionally, we could encounter delays if treating physicians encounter unresolved ethical issues associated with enrolling patients in future clinical trials of our product candidates in lieu of prescribing existing treatments that have established safety and efficacy profiles.</w:t>
      </w:r>
    </w:p>
    <w:p>
      <w:pPr>
        <w:spacing w:after="0" w:line="17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62"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41"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b w:val="1"/>
          <w:bCs w:val="1"/>
          <w:i w:val="1"/>
          <w:iCs w:val="1"/>
          <w:color w:val="auto"/>
        </w:rPr>
        <w:t>As an organization, we have no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69" w:lineRule="exact"/>
        <w:rPr>
          <w:sz w:val="20"/>
          <w:szCs w:val="20"/>
          <w:color w:val="auto"/>
        </w:rPr>
      </w:pPr>
    </w:p>
    <w:p>
      <w:pPr>
        <w:ind w:left="60" w:right="159"/>
        <w:spacing w:after="0" w:line="235" w:lineRule="auto"/>
        <w:rPr>
          <w:sz w:val="20"/>
          <w:szCs w:val="20"/>
          <w:color w:val="auto"/>
        </w:rPr>
      </w:pPr>
      <w:r>
        <w:rPr>
          <w:rFonts w:ascii="Arial" w:cs="Arial" w:eastAsia="Arial" w:hAnsi="Arial"/>
          <w:sz w:val="18"/>
          <w:szCs w:val="18"/>
          <w:color w:val="auto"/>
        </w:rPr>
        <w:t>The design and implementation of clinical trials is a complex process. While the employees who will implement our clinical trials have experience in the field, we, as an organization, have no experience designing and no experience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169" w:lineRule="exact"/>
        <w:rPr>
          <w:sz w:val="20"/>
          <w:szCs w:val="20"/>
          <w:color w:val="auto"/>
        </w:rPr>
      </w:pPr>
    </w:p>
    <w:p>
      <w:pPr>
        <w:ind w:left="60" w:right="59"/>
        <w:spacing w:after="0" w:line="250" w:lineRule="auto"/>
        <w:rPr>
          <w:sz w:val="20"/>
          <w:szCs w:val="20"/>
          <w:color w:val="auto"/>
        </w:rPr>
      </w:pPr>
      <w:r>
        <w:rPr>
          <w:rFonts w:ascii="Arial" w:cs="Arial" w:eastAsia="Arial" w:hAnsi="Arial"/>
          <w:sz w:val="17"/>
          <w:szCs w:val="17"/>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w:t>
      </w:r>
    </w:p>
    <w:p>
      <w:pPr>
        <w:spacing w:after="0" w:line="15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Preliminary or interim data from clinical trials is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162"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154" w:lineRule="exact"/>
        <w:rPr>
          <w:sz w:val="20"/>
          <w:szCs w:val="20"/>
          <w:color w:val="auto"/>
        </w:rPr>
      </w:pPr>
    </w:p>
    <w:p>
      <w:pPr>
        <w:ind w:left="60" w:right="279"/>
        <w:spacing w:after="0" w:line="270" w:lineRule="auto"/>
        <w:rPr>
          <w:sz w:val="20"/>
          <w:szCs w:val="20"/>
          <w:color w:val="auto"/>
        </w:rPr>
      </w:pPr>
      <w:r>
        <w:rPr>
          <w:rFonts w:ascii="Arial" w:cs="Arial" w:eastAsia="Arial" w:hAnsi="Arial"/>
          <w:sz w:val="18"/>
          <w:szCs w:val="18"/>
          <w:b w:val="1"/>
          <w:bCs w:val="1"/>
          <w:i w:val="1"/>
          <w:iCs w:val="1"/>
          <w:color w:val="auto"/>
        </w:rPr>
        <w:t>We may not be able to file our INDs to commence clinical trials on the timelines we expect, and even if we are able to, the FDA may not permit us to proceed.</w:t>
      </w:r>
    </w:p>
    <w:p>
      <w:pPr>
        <w:spacing w:after="0" w:line="135"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We expect our pipeline to yield multiple INDs, including INDs for our CNTY-101, CNTY-103, and CNTY-102 product candidates from our iPSC-derived allogeneic cell therapy platforms. We cannot be sure that submission of an IND will result in the FDA allowing testing and clinical trials to begin, or that, once begun, issues will not arise that suspend or terminate such clinical trials. The manufacturing of our product candidates remains an emerging and evolving field. Accordingly, we expect chemistry, manufacturing and control related topics, including product specifications, will be a focus of IND reviews, which may delay the clearance of INDs. Additionally, even if such regulatory authorities agree with the design and implementation of the clinical trials set forth in an IND or clinical trial application, or CTA, we cannot guarantee that such regulatory authorities will not change their requirements in the future.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spacing w:after="0" w:line="258" w:lineRule="auto"/>
        <w:rPr>
          <w:sz w:val="20"/>
          <w:szCs w:val="20"/>
          <w:color w:val="auto"/>
        </w:rPr>
      </w:pPr>
      <w:r>
        <w:rPr>
          <w:rFonts w:ascii="Arial" w:cs="Arial" w:eastAsia="Arial" w:hAnsi="Arial"/>
          <w:sz w:val="17"/>
          <w:szCs w:val="17"/>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160"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focus on the development of programmed cellular immunotherapies for patients with cancer, including off-the-shelf NK- and T-cell product candidates derived from clonal master engineered iPSC lines. Because our iPSC-derived allogeneic cell therapy platforms are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143" w:lineRule="exact"/>
        <w:rPr>
          <w:sz w:val="20"/>
          <w:szCs w:val="20"/>
          <w:color w:val="auto"/>
        </w:rPr>
      </w:pPr>
    </w:p>
    <w:p>
      <w:pPr>
        <w:ind w:left="60" w:right="219"/>
        <w:spacing w:after="0" w:line="252" w:lineRule="auto"/>
        <w:rPr>
          <w:sz w:val="20"/>
          <w:szCs w:val="20"/>
          <w:color w:val="auto"/>
        </w:rPr>
      </w:pPr>
      <w:r>
        <w:rPr>
          <w:rFonts w:ascii="Arial" w:cs="Arial" w:eastAsia="Arial" w:hAnsi="Arial"/>
          <w:sz w:val="18"/>
          <w:szCs w:val="18"/>
          <w:b w:val="1"/>
          <w:bCs w:val="1"/>
          <w:i w:val="1"/>
          <w:iCs w:val="1"/>
          <w:color w:val="auto"/>
        </w:rPr>
        <w:t>We intend to study our product candidates in patient populations with significant comorbidities that may result in deaths or serious adverse events or unacceptable side effects and require us to abandon or limit our clinical development activities.</w:t>
      </w:r>
    </w:p>
    <w:p>
      <w:pPr>
        <w:spacing w:after="0" w:line="150"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Patients we intend to treat with our product candidates may also receive chemotherapy, radiation, and/or other cell therapy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w:t>
      </w:r>
    </w:p>
    <w:p>
      <w:pPr>
        <w:spacing w:after="0" w:line="157" w:lineRule="exact"/>
        <w:rPr>
          <w:sz w:val="20"/>
          <w:szCs w:val="20"/>
          <w:color w:val="auto"/>
        </w:rPr>
      </w:pPr>
    </w:p>
    <w:p>
      <w:pPr>
        <w:ind w:left="60" w:right="459"/>
        <w:spacing w:after="0" w:line="300" w:lineRule="auto"/>
        <w:rPr>
          <w:sz w:val="20"/>
          <w:szCs w:val="20"/>
          <w:color w:val="auto"/>
        </w:rPr>
      </w:pPr>
      <w:r>
        <w:rPr>
          <w:rFonts w:ascii="Arial" w:cs="Arial" w:eastAsia="Arial" w:hAnsi="Arial"/>
          <w:sz w:val="17"/>
          <w:szCs w:val="17"/>
          <w:b w:val="1"/>
          <w:bCs w:val="1"/>
          <w:i w:val="1"/>
          <w:iCs w:val="1"/>
          <w:color w:val="auto"/>
        </w:rPr>
        <w:t>We may experience difficulties identifying and enrolling patients in our clinical trials. Difficulty in enrolling patients could delay or prevent clinical trials of CNTY-101 or our other product candidates.</w:t>
      </w:r>
    </w:p>
    <w:p>
      <w:pPr>
        <w:spacing w:after="0" w:line="112"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Identifying and qualifying patients to participate in clinical trials of CNTY-101 is critical to our success. The timing of our clinical trials depends in part on the speed at which we can recruit patients to participate in testing CNTY-101, and we may experience delays in our clinical trials if we encounter difficulties in enrollment. The eligibility criteria of our clinical trials may limit the pool of available study participants as it will require patients to have specific characteristics that we can measure to ensure their disease is either severe enough or not too advanced to include them in a clinical trial. The process of finding and diagnosing patients may prove costly.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 timeline for recruiting patients, conducting trials, and obtaining regulatory approval of potential products may be delayed, the commercial prospects of CNTY-101 or our other product candidates will be harmed, and our ability to generate product revenue from any of these product candidates could be delayed or prevented. Furthermore, our inability to enroll a sufficient number of patients for our clinical trials could result in significant delays or may require us to abandon one or more clinical trials altogether. Enrollment delays in our clinical trials may result in increased development costs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CNTY-101 or our other product candidates. Any of these occurrences may harm our business, financial condition, and prospects significantly.</w:t>
      </w:r>
    </w:p>
    <w:p>
      <w:pPr>
        <w:spacing w:after="0" w:line="152" w:lineRule="exact"/>
        <w:rPr>
          <w:sz w:val="20"/>
          <w:szCs w:val="20"/>
          <w:color w:val="auto"/>
        </w:rPr>
      </w:pPr>
    </w:p>
    <w:p>
      <w:pPr>
        <w:ind w:left="60" w:right="219"/>
        <w:spacing w:after="0" w:line="252" w:lineRule="auto"/>
        <w:rPr>
          <w:sz w:val="20"/>
          <w:szCs w:val="20"/>
          <w:color w:val="auto"/>
        </w:rPr>
      </w:pPr>
      <w:r>
        <w:rPr>
          <w:rFonts w:ascii="Arial" w:cs="Arial" w:eastAsia="Arial" w:hAnsi="Arial"/>
          <w:sz w:val="18"/>
          <w:szCs w:val="18"/>
          <w:b w:val="1"/>
          <w:bCs w:val="1"/>
          <w:i w:val="1"/>
          <w:iCs w:val="1"/>
          <w:color w:val="auto"/>
        </w:rPr>
        <w:t>CNTY-101 and our other product candidates may cause adverse events or undesirable side effects that could delay or prevent its regulatory approval, limit the commercial profile of an approved label, or result in significant negative consequences following marketing approval, if any.</w:t>
      </w:r>
    </w:p>
    <w:p>
      <w:pPr>
        <w:spacing w:after="0" w:line="150" w:lineRule="exact"/>
        <w:rPr>
          <w:sz w:val="20"/>
          <w:szCs w:val="20"/>
          <w:color w:val="auto"/>
        </w:rPr>
      </w:pPr>
    </w:p>
    <w:p>
      <w:pPr>
        <w:ind w:left="60" w:right="459"/>
        <w:spacing w:after="0" w:line="238" w:lineRule="auto"/>
        <w:rPr>
          <w:sz w:val="20"/>
          <w:szCs w:val="20"/>
          <w:color w:val="auto"/>
        </w:rPr>
      </w:pPr>
      <w:r>
        <w:rPr>
          <w:rFonts w:ascii="Arial" w:cs="Arial" w:eastAsia="Arial" w:hAnsi="Arial"/>
          <w:sz w:val="18"/>
          <w:szCs w:val="18"/>
          <w:color w:val="auto"/>
        </w:rPr>
        <w:t>Cell therapy is still a relatively new approach to disease treatment and adverse side effects could develop. There also is the potential risk of delayed adverse events following exposure to cell therapy products due to persistent biologic activity of the genetic material or other components of products used to carry the genetic material.</w:t>
      </w:r>
    </w:p>
    <w:p>
      <w:pPr>
        <w:spacing w:after="0" w:line="161"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We are collecting data about CNTY-101 in preclinical studies and will continue to do so in clinical trials, if and when they begin. To date, we have only evaluated CNTY-101 in preclinical mouse models and we therefore do not know the side effect profile of our products in humans. Accordingly, we may experience unexpected side effects and/or higher levels of known side effects in clinical trials, including adverse events known in cell therapies. These include the potential for, among others, cytokine release syndrome, or CRS, and neurotoxicity, or immune effector cell-associated neurotoxicity syndrome. B-cell directed therapies may also demonstrate infusion reactions/hypersensitivity, serious infections, prolonged cytopenias, hypogammaglobulinemia/B-cell aplasia, and secondary malignancies.</w:t>
      </w:r>
    </w:p>
    <w:p>
      <w:pPr>
        <w:spacing w:after="0" w:line="174"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Any adverse events or undesirable side effects caused by, or other unexpected properties of, CNTY-101 or our other product candidates could cause us, any future collaborators, an IRB, or ethics committee or regulatory authorities to interrupt, delay, or halt clinical trials of our product candidates and could result in a more restrictive label or the delay or denial of regulatory approval by the FDA or other regulatory authorities. It is possible that as we progress CNTY-101 or our other product candidates through preclinical and clinical development, or as the use of CNTY-101 or our other product candidates become more widespread if it receives regulatory approval, illnesses, injuries, discomforts, and other adverse events that were not observed in preclinical studies or clinical trials, as well as conditions that did not occur or went undetected, will be reported by patients. If such side effects become known later in development or after approval, such findings may harm our business, financial condition, and prospects significantly. Further, if a serious safety issue is identified in connection with the use of CNTY-101 or our other product candidates commercially or in third-party clinical trials elsewhere, such issues may adversely affect the development potential of CNTY-101 or our other product candidates or result in regulatory authorities restricting our ability to develop or commercialize CNTY-101 or our other product candidates.</w:t>
      </w:r>
    </w:p>
    <w:p>
      <w:pPr>
        <w:spacing w:after="0" w:line="162" w:lineRule="exact"/>
        <w:rPr>
          <w:sz w:val="20"/>
          <w:szCs w:val="20"/>
          <w:color w:val="auto"/>
        </w:rPr>
      </w:pPr>
    </w:p>
    <w:p>
      <w:pPr>
        <w:ind w:left="60" w:right="559"/>
        <w:spacing w:after="0" w:line="239" w:lineRule="auto"/>
        <w:rPr>
          <w:sz w:val="20"/>
          <w:szCs w:val="20"/>
          <w:color w:val="auto"/>
        </w:rPr>
      </w:pPr>
      <w:r>
        <w:rPr>
          <w:rFonts w:ascii="Arial" w:cs="Arial" w:eastAsia="Arial" w:hAnsi="Arial"/>
          <w:sz w:val="18"/>
          <w:szCs w:val="18"/>
          <w:color w:val="auto"/>
        </w:rPr>
        <w:t>Further, if CNTY-101 or any of our other product candidates were to receive regulatory approval and we or others identify undesirable side effects caused by the product (or any other product) after the approval, a number of potentially significant negative consequences could result, including:</w:t>
      </w:r>
    </w:p>
    <w:p>
      <w:pPr>
        <w:spacing w:after="0" w:line="162" w:lineRule="exact"/>
        <w:rPr>
          <w:sz w:val="20"/>
          <w:szCs w:val="20"/>
          <w:color w:val="auto"/>
        </w:rPr>
      </w:pPr>
    </w:p>
    <w:p>
      <w:pPr>
        <w:ind w:left="720" w:right="299" w:hanging="320"/>
        <w:spacing w:after="0" w:line="24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request that we recall or withdraw the product from the market or may limit the approval of the product through labeling or other means;</w:t>
      </w:r>
    </w:p>
    <w:p>
      <w:pPr>
        <w:spacing w:after="0" w:line="171" w:lineRule="exact"/>
        <w:rPr>
          <w:rFonts w:ascii="Arial" w:cs="Arial" w:eastAsia="Arial" w:hAnsi="Arial"/>
          <w:sz w:val="18"/>
          <w:szCs w:val="18"/>
          <w:color w:val="auto"/>
        </w:rPr>
      </w:pPr>
    </w:p>
    <w:p>
      <w:pPr>
        <w:ind w:left="720" w:right="179" w:hanging="320"/>
        <w:spacing w:after="0" w:line="24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 or a precaution;</w:t>
      </w:r>
    </w:p>
    <w:p>
      <w:pPr>
        <w:spacing w:after="0" w:line="157" w:lineRule="exact"/>
        <w:rPr>
          <w:rFonts w:ascii="Arial" w:cs="Arial" w:eastAsia="Arial" w:hAnsi="Arial"/>
          <w:sz w:val="18"/>
          <w:szCs w:val="18"/>
          <w:color w:val="auto"/>
        </w:rPr>
      </w:pPr>
    </w:p>
    <w:p>
      <w:pPr>
        <w:ind w:left="720" w:right="379" w:hanging="320"/>
        <w:spacing w:after="0" w:line="24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to recall or remove the product from the marketplace;</w:t>
      </w:r>
    </w:p>
    <w:p>
      <w:pPr>
        <w:spacing w:after="0" w:line="196" w:lineRule="exact"/>
        <w:rPr>
          <w:rFonts w:ascii="Arial" w:cs="Arial" w:eastAsia="Arial" w:hAnsi="Arial"/>
          <w:sz w:val="18"/>
          <w:szCs w:val="18"/>
          <w:color w:val="auto"/>
        </w:rPr>
      </w:pPr>
    </w:p>
    <w:p>
      <w:pPr>
        <w:ind w:left="720" w:right="419" w:hanging="320"/>
        <w:spacing w:after="0" w:line="24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and/or held liable for injury caused to individuals exposed to or taking our product candidates;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hanging="320"/>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the public perception of the safety of CNTY-101 or our other product candidates; and</w:t>
      </w:r>
    </w:p>
    <w:p>
      <w:pPr>
        <w:spacing w:after="0" w:line="196" w:lineRule="exact"/>
        <w:rPr>
          <w:rFonts w:ascii="Arial" w:cs="Arial" w:eastAsia="Arial" w:hAnsi="Arial"/>
          <w:sz w:val="18"/>
          <w:szCs w:val="18"/>
          <w:color w:val="auto"/>
        </w:rPr>
      </w:pPr>
    </w:p>
    <w:p>
      <w:pPr>
        <w:ind w:left="720" w:hanging="320"/>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w:t>
      </w:r>
    </w:p>
    <w:p>
      <w:pPr>
        <w:spacing w:after="0" w:line="139" w:lineRule="exact"/>
        <w:rPr>
          <w:sz w:val="20"/>
          <w:szCs w:val="20"/>
          <w:color w:val="auto"/>
        </w:rPr>
      </w:pPr>
    </w:p>
    <w:p>
      <w:pPr>
        <w:ind w:left="60" w:right="359"/>
        <w:spacing w:after="0" w:line="252" w:lineRule="auto"/>
        <w:rPr>
          <w:sz w:val="20"/>
          <w:szCs w:val="20"/>
          <w:color w:val="auto"/>
        </w:rPr>
      </w:pPr>
      <w:r>
        <w:rPr>
          <w:rFonts w:ascii="Arial" w:cs="Arial" w:eastAsia="Arial" w:hAnsi="Arial"/>
          <w:sz w:val="18"/>
          <w:szCs w:val="18"/>
          <w:b w:val="1"/>
          <w:bCs w:val="1"/>
          <w:i w:val="1"/>
          <w:iCs w:val="1"/>
          <w:color w:val="auto"/>
        </w:rPr>
        <w:t>Public opinion and scrutiny of cell-based immuno-oncology therapies for treating cancer, or negative clinical trial results from our cell-based therapy competitors, may impact public perception of our company and product candidates, or impair our ability to conduct our business.</w:t>
      </w:r>
    </w:p>
    <w:p>
      <w:pPr>
        <w:spacing w:after="0" w:line="164"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Our iPSC-derived allogeneic cell therapy platforms utilize a relatively novel technology involving the genetic modification of iPSC’s and utilization of those modified cells in other individuals, and no iNK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or negative clinical trial results from our cell-based therapy competitors,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142" w:lineRule="exact"/>
        <w:rPr>
          <w:sz w:val="20"/>
          <w:szCs w:val="20"/>
          <w:color w:val="auto"/>
        </w:rPr>
      </w:pPr>
    </w:p>
    <w:p>
      <w:pPr>
        <w:ind w:left="60" w:right="79"/>
        <w:spacing w:after="0" w:line="270"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35" w:lineRule="exact"/>
        <w:rPr>
          <w:sz w:val="20"/>
          <w:szCs w:val="20"/>
          <w:color w:val="auto"/>
        </w:rPr>
      </w:pPr>
    </w:p>
    <w:p>
      <w:pPr>
        <w:ind w:left="60" w:right="239"/>
        <w:spacing w:after="0" w:line="236"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lobbying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56" w:lineRule="exact"/>
        <w:rPr>
          <w:sz w:val="20"/>
          <w:szCs w:val="20"/>
          <w:color w:val="auto"/>
        </w:rPr>
      </w:pPr>
    </w:p>
    <w:p>
      <w:pPr>
        <w:ind w:left="60" w:right="279"/>
        <w:spacing w:after="0" w:line="270"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w:t>
      </w:r>
    </w:p>
    <w:p>
      <w:pPr>
        <w:spacing w:after="0" w:line="135" w:lineRule="exact"/>
        <w:rPr>
          <w:sz w:val="20"/>
          <w:szCs w:val="20"/>
          <w:color w:val="auto"/>
        </w:rPr>
      </w:pPr>
    </w:p>
    <w:p>
      <w:pPr>
        <w:ind w:left="60" w:right="219"/>
        <w:spacing w:after="0" w:line="235"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b w:val="1"/>
          <w:bCs w:val="1"/>
          <w:i w:val="1"/>
          <w:iCs w:val="1"/>
          <w:color w:val="auto"/>
        </w:rPr>
        <w:t>Changes in regulatory requirements, guidance from the FDA and other regulatory authorities, or unanticipated events during our clinical trials of CNTY-101 or our other product candidates may result in changes to preclinical studies or clinical trials or additional preclinical or clinical trial requirements, which could result in increased costs to us and could delay our development timeline.</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Regulatory requirements governing biologic drug products, including cell therapy products, are still evolving and it is difficult to determine how long it will take or how much it will cost to obtain regulatory approvals for CNTY-101 or our other product candidates. Changes in regulatory requirements, FDA guidance or guidance from other regulatory agencies, or unanticipated events during our preclinical studies or clinical trials may force us to terminate or adjust our development program.</w:t>
      </w:r>
    </w:p>
    <w:p>
      <w:pPr>
        <w:spacing w:after="0" w:line="162"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In addition, the clinical trial requirements of the FDA and foreign regulatory authorities and the criteria these regulators use to determine the safety and efficacy of a product candidate vary substantially according to the type, complexity, novelty, intended use, and market of such product candidates. The regulatory approval process for novel product candidates such as ours can be more expensive and take longer than for other, better known or more extensively studied product candidates. The FDA, or the applicable regulatory authorities, may impose additional preclinical or clinical trial requirements. Amendments to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preclinical or clinical trials, the commercial prospects for CNTY-101 or our other product candidates may be harmed and our ability to generate product revenue will be delayed, and it would materially adversely affect our business, financial condition, and results of operations.</w:t>
      </w:r>
    </w:p>
    <w:p>
      <w:pPr>
        <w:spacing w:after="0" w:line="16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order to market any product outside of the United States, we must comply with numerous and varying regulatory requirements of other countries regarding biologic development and commercialization.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54"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155"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the ongoing COVID-19 pandemic,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for 35 days beginning on December 22, 2018, the United States government has shut down several times and certain regulatory agencies, such as the FDA, have had to furlough critical FDA employees and stop critical activities.</w:t>
      </w:r>
    </w:p>
    <w:p>
      <w:pPr>
        <w:spacing w:after="0" w:line="16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54" w:lineRule="exact"/>
        <w:rPr>
          <w:sz w:val="20"/>
          <w:szCs w:val="20"/>
          <w:color w:val="auto"/>
        </w:rPr>
      </w:pPr>
    </w:p>
    <w:p>
      <w:pPr>
        <w:ind w:left="60" w:right="379"/>
        <w:spacing w:after="0" w:line="252"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supervise, and monitor our preclinical studies, and we will rely on third parties to conduct, supervise, and monitor future clinical trials for our product candidates.</w:t>
      </w:r>
    </w:p>
    <w:p>
      <w:pPr>
        <w:spacing w:after="0" w:line="150"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rely on third-party CROs, study sites, and others to conduct, supervise, and monitor our preclinical studies for our product candidates and we expect to rely on third parties to similarly conduct, supervise, and monitor any future clinical trials for our product candidates. We expect to continue to rely on third parties, such as CROs, clinical data management organizations, medical institutions, and clinical investigators, to conduct our preclinical studies, and intend to rely on third parties in connection with the commencement of future clinical trials of our product candidates. Although we have agreements with these third parties governing their activities, we have limited influence over their actual performance and control only certain aspects of their activities. The failure of these third parties to successfully carry out their contractual duties or meet expected deadlines, including as a result of the impact of the COVID-19 pandemic, could substantially harm our business because we may be delayed in completing or unable to complete the studies required to support future approval of CNTY-101 and our other product candidates, or we may not obtain marketing approval for, or commercialize, CNTY-101 and our other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and prospects may be materially harmed.</w:t>
      </w:r>
    </w:p>
    <w:p>
      <w:pPr>
        <w:spacing w:after="0" w:line="162" w:lineRule="exact"/>
        <w:rPr>
          <w:sz w:val="20"/>
          <w:szCs w:val="20"/>
          <w:color w:val="auto"/>
        </w:rPr>
      </w:pPr>
    </w:p>
    <w:p>
      <w:pPr>
        <w:ind w:left="60" w:right="99"/>
        <w:spacing w:after="0" w:line="249" w:lineRule="auto"/>
        <w:rPr>
          <w:sz w:val="20"/>
          <w:szCs w:val="20"/>
          <w:color w:val="auto"/>
        </w:rPr>
      </w:pPr>
      <w:r>
        <w:rPr>
          <w:rFonts w:ascii="Arial" w:cs="Arial" w:eastAsia="Arial" w:hAnsi="Arial"/>
          <w:sz w:val="17"/>
          <w:szCs w:val="17"/>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preclinical trials and future clinical trials is conducted in accordance with the general investigational plan and protocols for such trial. We must also ensure that our preclinical and future clinical trials are conducted in accordance with cGLP regulations, as appropriate. Moreover, the FDA and comparable foreign regulatory authorities require us to comply with cGCPs for conducting, recording, and reporting the results of clinical trials to ensure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cGCPs or other regulatory requirements, we or they may be subject to enforcement or other legal actions, the data generated in our preclinical trials and future clinical trials may be deemed unreliable and the FDA, or comparable foreign regulatory authorities may require us to perform additional studies.</w:t>
      </w:r>
    </w:p>
    <w:p>
      <w:pPr>
        <w:spacing w:after="0" w:line="17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61" w:lineRule="exact"/>
        <w:rPr>
          <w:sz w:val="20"/>
          <w:szCs w:val="20"/>
          <w:color w:val="auto"/>
        </w:rPr>
      </w:pPr>
    </w:p>
    <w:p>
      <w:pPr>
        <w:ind w:left="60" w:right="279"/>
        <w:spacing w:after="0" w:line="239" w:lineRule="auto"/>
        <w:rPr>
          <w:sz w:val="20"/>
          <w:szCs w:val="20"/>
          <w:color w:val="auto"/>
        </w:rPr>
      </w:pPr>
      <w:r>
        <w:rPr>
          <w:rFonts w:ascii="Arial" w:cs="Arial" w:eastAsia="Arial" w:hAnsi="Arial"/>
          <w:sz w:val="18"/>
          <w:szCs w:val="18"/>
          <w:color w:val="auto"/>
        </w:rPr>
        <w:t>We cannot assure you that upon inspection by a given regulatory authority, such regulatory authority will determine that any of our clinical trials will comply with the applicable regulatory requirements. In addition, our clinical trials must be conducted with product candidates that were produced under cGMP regulations.</w:t>
      </w:r>
    </w:p>
    <w:p>
      <w:pPr>
        <w:spacing w:after="0" w:line="16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Failure to comply with these regulations may require us to repeat clinical trials, which would delay the regulatory approval process. We also are required to register certain clinical trials and post the results of</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379"/>
        <w:spacing w:after="0" w:line="244" w:lineRule="auto"/>
        <w:rPr>
          <w:sz w:val="20"/>
          <w:szCs w:val="20"/>
          <w:color w:val="auto"/>
        </w:rPr>
      </w:pPr>
      <w:r>
        <w:rPr>
          <w:rFonts w:ascii="Arial" w:cs="Arial" w:eastAsia="Arial" w:hAnsi="Arial"/>
          <w:sz w:val="18"/>
          <w:szCs w:val="18"/>
          <w:color w:val="auto"/>
        </w:rPr>
        <w:t>certain completed clinical trials on a government-sponsored database, www.clinicaltrials.gov, within specified timeframes. Failure to do so can result in enforcement actions and adverse publicity.</w:t>
      </w:r>
    </w:p>
    <w:p>
      <w:pPr>
        <w:spacing w:after="0" w:line="171"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developmental and preclinical programs. If these third parties do not successfully carry out their contractual duties, meet expected deadlines, or conduct our preclinical studies or future clinical trials in accordance with regulatory requirements or our stated protocols, if these parties are adversely impacted by the COVID-19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preclinical and future clinical trials may be repeated, extended, delayed, or terminated; we may not be able to obtain, or may be delayed in obtaining, marketing approvals for CNTY-101 and our other product candidates; we may not be able to, or may be delayed in our efforts to, successfully commercialize CNTY-101 or our other product candidates; or we or they may be subject to regulatory enforcement actions. As a result, our results of operations and the commercial prospects for CNTY-101 and our other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and prospects may be materially harmed.</w:t>
      </w:r>
    </w:p>
    <w:p>
      <w:pPr>
        <w:spacing w:after="0" w:line="17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140" w:lineRule="exact"/>
        <w:rPr>
          <w:sz w:val="20"/>
          <w:szCs w:val="20"/>
          <w:color w:val="auto"/>
        </w:rPr>
      </w:pPr>
    </w:p>
    <w:p>
      <w:pPr>
        <w:ind w:left="60" w:right="239"/>
        <w:spacing w:after="0" w:line="252"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64"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Because we have limited financial and managerial resources, we focus on research programs, therapeutic platforms, and product candidates that we identify for specific indications. As a result, we may forego or delay our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including intellectual property rights, to that product candidate through collaboration, licensing, or other royalty arrangements in cases in which it would have been more advantageous for us to retain sole development and commercialization rights.</w:t>
      </w:r>
    </w:p>
    <w:p>
      <w:pPr>
        <w:spacing w:after="0" w:line="135" w:lineRule="exact"/>
        <w:rPr>
          <w:sz w:val="20"/>
          <w:szCs w:val="20"/>
          <w:color w:val="auto"/>
        </w:rPr>
      </w:pPr>
    </w:p>
    <w:p>
      <w:pPr>
        <w:jc w:val="both"/>
        <w:ind w:left="60" w:right="159"/>
        <w:spacing w:after="0" w:line="252" w:lineRule="auto"/>
        <w:rPr>
          <w:sz w:val="20"/>
          <w:szCs w:val="20"/>
          <w:color w:val="auto"/>
        </w:rPr>
      </w:pPr>
      <w:r>
        <w:rPr>
          <w:rFonts w:ascii="Arial" w:cs="Arial" w:eastAsia="Arial" w:hAnsi="Arial"/>
          <w:sz w:val="18"/>
          <w:szCs w:val="18"/>
          <w:b w:val="1"/>
          <w:bCs w:val="1"/>
          <w:i w:val="1"/>
          <w:iCs w:val="1"/>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5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business strategy includes leveraging our strategic partnership with FUJIFILM Cellular Dynamics Inc., or FCDI, and may include additional future partnerships for manufacturing, product development, product commercialization, or other strategic objectives. As a result, we may in the future determine to collaborate with additional companies for development and potential commercialization of one or more therapeutic products. At the current time however, we cannot predict what form such a strategic collaboration might take. We are likely to face significant competition in seeking appropriate strategic collaborators, and strategic collaborations can be complicated and time-consuming to negotiate and document.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may not be able to negotiate strategic collaborations on acceptable terms, if at all.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17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161" w:lineRule="exact"/>
        <w:rPr>
          <w:sz w:val="20"/>
          <w:szCs w:val="20"/>
          <w:color w:val="auto"/>
        </w:rPr>
      </w:pPr>
    </w:p>
    <w:p>
      <w:pPr>
        <w:ind w:left="720" w:hanging="32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expenditure of substantial operational, financial and management resources;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dilutive issuances of our securities;</w:t>
      </w:r>
    </w:p>
    <w:p>
      <w:pPr>
        <w:spacing w:after="0" w:line="196" w:lineRule="exact"/>
        <w:rPr>
          <w:rFonts w:ascii="Arial" w:cs="Arial" w:eastAsia="Arial" w:hAnsi="Arial"/>
          <w:sz w:val="18"/>
          <w:szCs w:val="18"/>
          <w:color w:val="auto"/>
        </w:rPr>
      </w:pPr>
    </w:p>
    <w:p>
      <w:pPr>
        <w:ind w:left="720" w:hanging="32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actual or contingent liabilities; and</w:t>
      </w:r>
    </w:p>
    <w:p>
      <w:pPr>
        <w:spacing w:after="0" w:line="183" w:lineRule="exact"/>
        <w:rPr>
          <w:rFonts w:ascii="Arial" w:cs="Arial" w:eastAsia="Arial" w:hAnsi="Arial"/>
          <w:sz w:val="18"/>
          <w:szCs w:val="18"/>
          <w:color w:val="auto"/>
        </w:rPr>
      </w:pPr>
    </w:p>
    <w:p>
      <w:pPr>
        <w:ind w:left="720" w:right="119" w:hanging="320"/>
        <w:spacing w:after="0" w:line="244"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or expiration of the arrangement, which would delay the development and may increase the cost of developing our product candidates.</w:t>
      </w:r>
    </w:p>
    <w:p>
      <w:pPr>
        <w:spacing w:after="0" w:line="15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17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Quarterly Report on Form 10-Q also apply to the activities of our program collaborators. Additionally, subject to its contractual obligations to us, if one of our collaborators is involved in a business combination, the collaborator may deemphasize or terminate the development or commercialization of any product candidate licensed to it by us. If our collaborator terminates its agreement with us, it may find it more difficult to attract new collaborators.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170" w:lineRule="exact"/>
        <w:rPr>
          <w:sz w:val="20"/>
          <w:szCs w:val="20"/>
          <w:color w:val="auto"/>
        </w:rPr>
      </w:pPr>
    </w:p>
    <w:p>
      <w:pPr>
        <w:ind w:left="60" w:right="99"/>
        <w:spacing w:after="0" w:line="252" w:lineRule="auto"/>
        <w:rPr>
          <w:sz w:val="20"/>
          <w:szCs w:val="20"/>
          <w:color w:val="auto"/>
        </w:rPr>
      </w:pPr>
      <w:r>
        <w:rPr>
          <w:rFonts w:ascii="Arial" w:cs="Arial" w:eastAsia="Arial" w:hAnsi="Arial"/>
          <w:sz w:val="18"/>
          <w:szCs w:val="18"/>
          <w:b w:val="1"/>
          <w:bCs w:val="1"/>
          <w:i w:val="1"/>
          <w:iCs w:val="1"/>
          <w:color w:val="auto"/>
        </w:rPr>
        <w:t>The manufacture and distribution of our iPSC-derived cell product candidates is complex and subject to a multitude of risks. These risks could substantially increase our costs and limit the clinical and commercial supply of our product candidates.</w:t>
      </w:r>
    </w:p>
    <w:p>
      <w:pPr>
        <w:spacing w:after="0" w:line="16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manufacture and supply of our product candidates involve novel processes that are more complex than those required for most drugs, biologics and other cellular immunotherapies and, accordingly, present significant challenges and are subject to multiple risks. These complex processes include reprogramming human somatic cells to obtain iPSCs, genetically engineering these iPSCs, and differentiating the iPSCs to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obtain the desired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178"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We have no direct experience in the manufacture of cell-based therapies. We are still developing with third parties optimized and reproducible manufacturing processes for clinical and commercial-scale manufacturing of our product candidates, and none of our manufacturing processes have been validated for commercial production of our product candidates.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163"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We may make changes as we continue to develop and refine the manufacturing and distribution processes for our product candidates for clinical trials and commercialization, and we cannot be sure that even minor changes in these processes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145" w:lineRule="exact"/>
        <w:rPr>
          <w:sz w:val="20"/>
          <w:szCs w:val="20"/>
          <w:color w:val="auto"/>
        </w:rPr>
      </w:pPr>
    </w:p>
    <w:p>
      <w:pPr>
        <w:ind w:left="60" w:right="159"/>
        <w:spacing w:after="0" w:line="260" w:lineRule="auto"/>
        <w:rPr>
          <w:sz w:val="20"/>
          <w:szCs w:val="20"/>
          <w:color w:val="auto"/>
        </w:rPr>
      </w:pPr>
      <w:r>
        <w:rPr>
          <w:rFonts w:ascii="Arial" w:cs="Arial" w:eastAsia="Arial" w:hAnsi="Arial"/>
          <w:sz w:val="17"/>
          <w:szCs w:val="17"/>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160" w:lineRule="exact"/>
        <w:rPr>
          <w:sz w:val="20"/>
          <w:szCs w:val="20"/>
          <w:color w:val="auto"/>
        </w:rPr>
      </w:pPr>
    </w:p>
    <w:p>
      <w:pPr>
        <w:ind w:left="60" w:right="79"/>
        <w:spacing w:after="0" w:line="249" w:lineRule="auto"/>
        <w:rPr>
          <w:sz w:val="20"/>
          <w:szCs w:val="20"/>
          <w:color w:val="auto"/>
        </w:rPr>
      </w:pPr>
      <w:r>
        <w:rPr>
          <w:rFonts w:ascii="Arial" w:cs="Arial" w:eastAsia="Arial" w:hAnsi="Arial"/>
          <w:sz w:val="17"/>
          <w:szCs w:val="17"/>
          <w:color w:val="auto"/>
        </w:rPr>
        <w:t>Manufacturing our product candidates requires many reagents and other specialty materials and equipment, some of which are manufactured or supplied by small companies with limited resources and experience to support commercial biologics production. To date, we and our clinical cell processing facilities and CMOs have purchased equipment, materials, and disposables, such as automated cell washing devices, automated cell warming units, commercially available media, and cell transfer and wash sets,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 party for the supply of certain required components, including our pharmacologic modulators and components for our cell processing media. As a result of the COVID-19 pandemic, the business and operations of our suppliers may be disrupted or delayed, and we in turn may experience disruptions or delays in our supply chain. An inability to continue to source product from any of these suppliers, which could be due to the impacts of the COVID-19 pandemic,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152" w:lineRule="exact"/>
        <w:rPr>
          <w:sz w:val="20"/>
          <w:szCs w:val="20"/>
          <w:color w:val="auto"/>
        </w:rPr>
      </w:pPr>
    </w:p>
    <w:p>
      <w:pPr>
        <w:ind w:left="60" w:right="219"/>
        <w:spacing w:after="0" w:line="252" w:lineRule="auto"/>
        <w:rPr>
          <w:sz w:val="20"/>
          <w:szCs w:val="20"/>
          <w:color w:val="auto"/>
        </w:rPr>
      </w:pPr>
      <w:r>
        <w:rPr>
          <w:rFonts w:ascii="Arial" w:cs="Arial" w:eastAsia="Arial" w:hAnsi="Arial"/>
          <w:sz w:val="18"/>
          <w:szCs w:val="18"/>
          <w:b w:val="1"/>
          <w:bCs w:val="1"/>
          <w:i w:val="1"/>
          <w:iCs w:val="1"/>
          <w:color w:val="auto"/>
        </w:rPr>
        <w:t>We currently rely on third parties for the manufacture of our product candidates for development, however, we intend to operate our own manufacturing facility in the future for the production of certain of our product candidates.</w:t>
      </w:r>
    </w:p>
    <w:p>
      <w:pPr>
        <w:spacing w:after="0" w:line="150"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currently do not operate manufacturing facilities and rely on FCDI for the manufacture of our product candidates and CMOs for the manufacture of related raw materials for clinical and preclinical development. If we are unable to successfully construct our own manufacturing facilities, we expect to rely on third parties for commercial manufacture if any of our product candidates receive marketing approval. We have partnered with FCDI for the manufacture and supply of our product candidates for future clinical development, as well as to establish commercial supplies of our product candidates, if approved. If either of our Manufacturing Agreement or Master Collaboration Agreement with FCDI terminates, and if we need to enter into alternative arrangements, our product development activities would be delayed and our business, financial condition, results of operations, and prospects may be materially harmed. We are investing in the construction of our own 53,000 square foot cell therapy manufacturing facility in Branchburg, New Jersey, but there can be no assurance our manufacturing facility will become operational on schedule or at all.</w:t>
      </w:r>
    </w:p>
    <w:p>
      <w:pPr>
        <w:spacing w:after="0" w:line="165" w:lineRule="exact"/>
        <w:rPr>
          <w:sz w:val="20"/>
          <w:szCs w:val="20"/>
          <w:color w:val="auto"/>
        </w:rPr>
      </w:pPr>
    </w:p>
    <w:p>
      <w:pPr>
        <w:ind w:left="60" w:right="99"/>
        <w:spacing w:after="0" w:line="249" w:lineRule="auto"/>
        <w:rPr>
          <w:sz w:val="20"/>
          <w:szCs w:val="20"/>
          <w:color w:val="auto"/>
        </w:rPr>
      </w:pPr>
      <w:r>
        <w:rPr>
          <w:rFonts w:ascii="Arial" w:cs="Arial" w:eastAsia="Arial" w:hAnsi="Arial"/>
          <w:sz w:val="17"/>
          <w:szCs w:val="17"/>
          <w:color w:val="auto"/>
        </w:rPr>
        <w:t>The facilities used by us, FCDI, and any other manufacturers with which we may collaborate must be approved by the FDA pursuant to inspections that will be conducted after we submit a BLA to the FDA. For manufacturing facilities in which we do not operate, we do not control the manufacturing process of, and are completely dependent on, CMOs for compliance with cGMP requirements for the manufacture of biologic products. If these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CMO,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173" w:lineRule="exact"/>
        <w:rPr>
          <w:sz w:val="20"/>
          <w:szCs w:val="20"/>
          <w:color w:val="auto"/>
        </w:rPr>
      </w:pPr>
    </w:p>
    <w:p>
      <w:pPr>
        <w:ind w:left="60" w:right="439"/>
        <w:spacing w:after="0" w:line="273" w:lineRule="auto"/>
        <w:rPr>
          <w:sz w:val="20"/>
          <w:szCs w:val="20"/>
          <w:color w:val="auto"/>
        </w:rPr>
      </w:pPr>
      <w:r>
        <w:rPr>
          <w:rFonts w:ascii="Arial" w:cs="Arial" w:eastAsia="Arial" w:hAnsi="Arial"/>
          <w:sz w:val="17"/>
          <w:szCs w:val="17"/>
          <w:color w:val="auto"/>
        </w:rPr>
        <w:t>Our or a CMO’s failure to execute on our manufacturing requirements, to do so on commercially reasonable terms and comply with cGMP could adversely affect our business in a number of ways, including:</w:t>
      </w:r>
    </w:p>
    <w:p>
      <w:pPr>
        <w:spacing w:after="0" w:line="134" w:lineRule="exact"/>
        <w:rPr>
          <w:sz w:val="20"/>
          <w:szCs w:val="20"/>
          <w:color w:val="auto"/>
        </w:rPr>
      </w:pPr>
    </w:p>
    <w:p>
      <w:pPr>
        <w:ind w:left="720" w:right="599" w:hanging="320"/>
        <w:spacing w:after="0" w:line="244"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CNTY-101 or our other product candidates under development;</w:t>
      </w:r>
    </w:p>
    <w:p>
      <w:pPr>
        <w:spacing w:after="0" w:line="157" w:lineRule="exact"/>
        <w:rPr>
          <w:rFonts w:ascii="Arial" w:cs="Arial" w:eastAsia="Arial" w:hAnsi="Arial"/>
          <w:sz w:val="18"/>
          <w:szCs w:val="18"/>
          <w:color w:val="auto"/>
        </w:rPr>
      </w:pPr>
    </w:p>
    <w:p>
      <w:pPr>
        <w:ind w:left="720" w:right="1019" w:hanging="320"/>
        <w:spacing w:after="0" w:line="244"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 candidates;</w:t>
      </w:r>
    </w:p>
    <w:p>
      <w:pPr>
        <w:spacing w:after="0" w:line="171" w:lineRule="exact"/>
        <w:rPr>
          <w:rFonts w:ascii="Arial" w:cs="Arial" w:eastAsia="Arial" w:hAnsi="Arial"/>
          <w:sz w:val="18"/>
          <w:szCs w:val="18"/>
          <w:color w:val="auto"/>
        </w:rPr>
      </w:pPr>
    </w:p>
    <w:p>
      <w:pPr>
        <w:ind w:left="720" w:right="159" w:hanging="320"/>
        <w:spacing w:after="0" w:line="244"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379" w:hanging="320"/>
        <w:spacing w:after="0" w:line="244"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CNTY-101 or our other product candidates, an inability to meet commercial demands for CNTY-101 or our other product candidates.</w:t>
      </w:r>
    </w:p>
    <w:p>
      <w:pPr>
        <w:spacing w:after="0" w:line="171"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Any performance failure on the part of us or our existing or future CMOs could delay clinical development or marketing approval, and any related remedial measures may be costly or time-consuming to implement. If our current CMOs cannot perform as agreed, we may be required to replace such manufacturers and we may be unable to replace them on a timely basis or at all.</w:t>
      </w:r>
    </w:p>
    <w:p>
      <w:pPr>
        <w:spacing w:after="0" w:line="161" w:lineRule="exact"/>
        <w:rPr>
          <w:sz w:val="20"/>
          <w:szCs w:val="20"/>
          <w:color w:val="auto"/>
        </w:rPr>
      </w:pPr>
    </w:p>
    <w:p>
      <w:pPr>
        <w:ind w:left="60" w:right="359"/>
        <w:spacing w:after="0" w:line="239" w:lineRule="auto"/>
        <w:rPr>
          <w:sz w:val="20"/>
          <w:szCs w:val="20"/>
          <w:color w:val="auto"/>
        </w:rPr>
      </w:pPr>
      <w:r>
        <w:rPr>
          <w:rFonts w:ascii="Arial" w:cs="Arial" w:eastAsia="Arial" w:hAnsi="Arial"/>
          <w:sz w:val="18"/>
          <w:szCs w:val="18"/>
          <w:color w:val="auto"/>
        </w:rPr>
        <w:t>Our current and anticipated future dependence upon CMOs for the manufacture of our product candidates or products may adversely affect our future profit margins and our ability to commercialize any products that receive marketing approval on a timely and competitive basis.</w:t>
      </w:r>
    </w:p>
    <w:p>
      <w:pPr>
        <w:spacing w:after="0" w:line="140" w:lineRule="exact"/>
        <w:rPr>
          <w:sz w:val="20"/>
          <w:szCs w:val="20"/>
          <w:color w:val="auto"/>
        </w:rPr>
      </w:pPr>
    </w:p>
    <w:p>
      <w:pPr>
        <w:ind w:left="60" w:right="59"/>
        <w:spacing w:after="0" w:line="270" w:lineRule="auto"/>
        <w:rPr>
          <w:sz w:val="20"/>
          <w:szCs w:val="20"/>
          <w:color w:val="auto"/>
        </w:rPr>
      </w:pPr>
      <w:r>
        <w:rPr>
          <w:rFonts w:ascii="Arial" w:cs="Arial" w:eastAsia="Arial" w:hAnsi="Arial"/>
          <w:sz w:val="18"/>
          <w:szCs w:val="18"/>
          <w:b w:val="1"/>
          <w:bCs w:val="1"/>
          <w:i w:val="1"/>
          <w:iCs w:val="1"/>
          <w:color w:val="auto"/>
        </w:rPr>
        <w:t>Delays in commissioning and receiving regulatory approvals for our manufacturing facilities could delay our development plans and thereby limit our ability to generate revenues.</w:t>
      </w:r>
    </w:p>
    <w:p>
      <w:pPr>
        <w:spacing w:after="0" w:line="148" w:lineRule="exact"/>
        <w:rPr>
          <w:sz w:val="20"/>
          <w:szCs w:val="20"/>
          <w:color w:val="auto"/>
        </w:rPr>
      </w:pPr>
    </w:p>
    <w:p>
      <w:pPr>
        <w:ind w:left="60" w:right="259"/>
        <w:spacing w:after="0" w:line="236" w:lineRule="auto"/>
        <w:rPr>
          <w:sz w:val="20"/>
          <w:szCs w:val="20"/>
          <w:color w:val="auto"/>
        </w:rPr>
      </w:pPr>
      <w:r>
        <w:rPr>
          <w:rFonts w:ascii="Arial" w:cs="Arial" w:eastAsia="Arial" w:hAnsi="Arial"/>
          <w:sz w:val="18"/>
          <w:szCs w:val="18"/>
          <w:color w:val="auto"/>
        </w:rPr>
        <w:t>We believe that internal cGMP manufacturing is important to facilitate clinical product supply, lower the risk of manufacturing disruptions, and enable more cost-effective manufacturing. We believe our Branchburg, New Jersey facility, once complete, will allow us to supply certain of our product candidates needed for our early-stage clinical trials and preclinical studies. The design, construction, qualification, and regulatory approvals for such facilities require substantial capital and technical expertise and any delay could limit our development activities and our opportunities for growth, or negatively impact our financial results.</w:t>
      </w:r>
    </w:p>
    <w:p>
      <w:pPr>
        <w:spacing w:after="0" w:line="164"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materially adversely affect our business, financial condition, results of operations, and growth prospects.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also may encounter problems with the following:</w:t>
      </w:r>
    </w:p>
    <w:p>
      <w:pPr>
        <w:spacing w:after="0" w:line="183" w:lineRule="exact"/>
        <w:rPr>
          <w:sz w:val="20"/>
          <w:szCs w:val="20"/>
          <w:color w:val="auto"/>
        </w:rPr>
      </w:pPr>
    </w:p>
    <w:p>
      <w:pPr>
        <w:ind w:left="720" w:right="299" w:hanging="320"/>
        <w:spacing w:after="0" w:line="244"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complying with regulations regarding donor traceability, manufacturing, release of product candidates and other requirements from regulatory authorities outside the United States;</w:t>
      </w:r>
    </w:p>
    <w:p>
      <w:pPr>
        <w:spacing w:after="0" w:line="157" w:lineRule="exact"/>
        <w:rPr>
          <w:rFonts w:ascii="Arial" w:cs="Arial" w:eastAsia="Arial" w:hAnsi="Arial"/>
          <w:sz w:val="18"/>
          <w:szCs w:val="18"/>
          <w:color w:val="auto"/>
        </w:rPr>
      </w:pPr>
    </w:p>
    <w:p>
      <w:pPr>
        <w:ind w:left="720" w:right="199" w:hanging="320"/>
        <w:spacing w:after="0" w:line="244"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bacterial, fungal, or viral contamination in our manufacturing facility; and</w:t>
      </w:r>
    </w:p>
    <w:p>
      <w:pPr>
        <w:spacing w:after="0" w:line="196" w:lineRule="exact"/>
        <w:rPr>
          <w:rFonts w:ascii="Arial" w:cs="Arial" w:eastAsia="Arial" w:hAnsi="Arial"/>
          <w:sz w:val="18"/>
          <w:szCs w:val="18"/>
          <w:color w:val="auto"/>
        </w:rPr>
      </w:pPr>
    </w:p>
    <w:p>
      <w:pPr>
        <w:ind w:left="720" w:hanging="32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shortages of qualified personnel, raw materials, or key contractors.</w:t>
      </w:r>
    </w:p>
    <w:p>
      <w:pPr>
        <w:spacing w:after="0" w:line="183"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279"/>
        <w:spacing w:after="0" w:line="270" w:lineRule="auto"/>
        <w:rPr>
          <w:sz w:val="20"/>
          <w:szCs w:val="20"/>
          <w:color w:val="auto"/>
        </w:rPr>
      </w:pPr>
      <w:r>
        <w:rPr>
          <w:rFonts w:ascii="Arial" w:cs="Arial" w:eastAsia="Arial" w:hAnsi="Arial"/>
          <w:sz w:val="18"/>
          <w:szCs w:val="18"/>
          <w:b w:val="1"/>
          <w:bCs w:val="1"/>
          <w:i w:val="1"/>
          <w:iCs w:val="1"/>
          <w:color w:val="auto"/>
        </w:rPr>
        <w:t>We are dependent on third parties to store our CAR-iNK and CAR-iT cells and master and working cell banks of the engineered iPSC cells.</w:t>
      </w:r>
    </w:p>
    <w:p>
      <w:pPr>
        <w:spacing w:after="0" w:line="14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CAR-iNK and CAR-iT cells and the master and working cell banks of the engineered iPSC cells are stored in freezers at third-party biorepositories and will also be stored in our freezers at our production facility if and when it becomes operational. If these materials are damaged at these facilities, including by the loss or malfunction of these freezers or our back-up power systems, as well as by damage from fire, power loss or other natural disasters, we would need to establish replacement CAR-iNK and CAR -iT cells and master and working cell banks of the engineered iPSC cells, which would impact clinical supply and delay patient treatment. If we are unable to establish replacement materials, we could incur significant additional expenses and liability to patients whose treatment is delayed, and our business could suffer.</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70" w:lineRule="exact"/>
        <w:rPr>
          <w:sz w:val="20"/>
          <w:szCs w:val="20"/>
          <w:color w:val="auto"/>
        </w:rPr>
      </w:pPr>
    </w:p>
    <w:p>
      <w:pPr>
        <w:ind w:left="60" w:right="139"/>
        <w:spacing w:after="0" w:line="252" w:lineRule="auto"/>
        <w:rPr>
          <w:sz w:val="20"/>
          <w:szCs w:val="20"/>
          <w:color w:val="auto"/>
        </w:rPr>
      </w:pPr>
      <w:r>
        <w:rPr>
          <w:rFonts w:ascii="Arial" w:cs="Arial" w:eastAsia="Arial" w:hAnsi="Arial"/>
          <w:sz w:val="18"/>
          <w:szCs w:val="18"/>
          <w:b w:val="1"/>
          <w:bCs w:val="1"/>
          <w:i w:val="1"/>
          <w:iCs w:val="1"/>
          <w:color w:val="auto"/>
        </w:rPr>
        <w:t>If we are unable to successfully commercialize CNTY-101 or any of our other product candidates for which we receive regulatory approval, or experience significant delays in doing so, our business will be materially harmed.</w:t>
      </w:r>
    </w:p>
    <w:p>
      <w:pPr>
        <w:spacing w:after="0" w:line="164"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If we are successful in obtaining marketing approval from applicable regulatory authorities for CNTY-101 or any of our other product candidates, our ability to generate revenues from such product candidates will depend on our success in:</w:t>
      </w:r>
    </w:p>
    <w:p>
      <w:pPr>
        <w:spacing w:after="0" w:line="162" w:lineRule="exact"/>
        <w:rPr>
          <w:sz w:val="20"/>
          <w:szCs w:val="20"/>
          <w:color w:val="auto"/>
        </w:rPr>
      </w:pPr>
    </w:p>
    <w:p>
      <w:pPr>
        <w:ind w:left="720" w:hanging="32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whether alone or in collaboration with others;</w:t>
      </w:r>
    </w:p>
    <w:p>
      <w:pPr>
        <w:spacing w:after="0" w:line="183" w:lineRule="exact"/>
        <w:rPr>
          <w:rFonts w:ascii="Arial" w:cs="Arial" w:eastAsia="Arial" w:hAnsi="Arial"/>
          <w:sz w:val="18"/>
          <w:szCs w:val="18"/>
          <w:color w:val="auto"/>
        </w:rPr>
      </w:pPr>
    </w:p>
    <w:p>
      <w:pPr>
        <w:ind w:left="720" w:right="279" w:hanging="320"/>
        <w:spacing w:after="0" w:line="239"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receiving an approved label with claims that are necessary or desirable for successful marketing, and that does not contain safety or other limitations that would impede our ability to market our product candidates;</w:t>
      </w:r>
    </w:p>
    <w:p>
      <w:pPr>
        <w:spacing w:after="0" w:line="175" w:lineRule="exact"/>
        <w:rPr>
          <w:rFonts w:ascii="Arial" w:cs="Arial" w:eastAsia="Arial" w:hAnsi="Arial"/>
          <w:sz w:val="18"/>
          <w:szCs w:val="18"/>
          <w:color w:val="auto"/>
        </w:rPr>
      </w:pPr>
    </w:p>
    <w:p>
      <w:pPr>
        <w:ind w:left="720" w:hanging="32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creating market demand for our product candidates through marketing, sales, and promotion activities;</w:t>
      </w:r>
    </w:p>
    <w:p>
      <w:pPr>
        <w:spacing w:after="0" w:line="183" w:lineRule="exact"/>
        <w:rPr>
          <w:rFonts w:ascii="Arial" w:cs="Arial" w:eastAsia="Arial" w:hAnsi="Arial"/>
          <w:sz w:val="18"/>
          <w:szCs w:val="18"/>
          <w:color w:val="auto"/>
        </w:rPr>
      </w:pPr>
    </w:p>
    <w:p>
      <w:pPr>
        <w:ind w:left="720" w:right="699" w:hanging="320"/>
        <w:spacing w:after="0" w:line="24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hiring, training, and deploying a sales force or contracting with third parties to commercialize our product candidates;</w:t>
      </w:r>
    </w:p>
    <w:p>
      <w:pPr>
        <w:spacing w:after="0" w:line="157" w:lineRule="exact"/>
        <w:rPr>
          <w:rFonts w:ascii="Arial" w:cs="Arial" w:eastAsia="Arial" w:hAnsi="Arial"/>
          <w:sz w:val="18"/>
          <w:szCs w:val="18"/>
          <w:color w:val="auto"/>
        </w:rPr>
      </w:pPr>
    </w:p>
    <w:p>
      <w:pPr>
        <w:ind w:left="720" w:right="99" w:hanging="320"/>
        <w:spacing w:after="0" w:line="24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manufacturing, either on our own or through third parties, product candidates in sufficient quantities and at acceptable quality and cost to meet commercial demand at launch and thereafter;</w:t>
      </w:r>
    </w:p>
    <w:p>
      <w:pPr>
        <w:spacing w:after="0" w:line="171" w:lineRule="exact"/>
        <w:rPr>
          <w:rFonts w:ascii="Arial" w:cs="Arial" w:eastAsia="Arial" w:hAnsi="Arial"/>
          <w:sz w:val="18"/>
          <w:szCs w:val="18"/>
          <w:color w:val="auto"/>
        </w:rPr>
      </w:pPr>
    </w:p>
    <w:p>
      <w:pPr>
        <w:ind w:left="720" w:right="859" w:hanging="320"/>
        <w:spacing w:after="0" w:line="24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and maintaining agreements with wholesalers, distributors, and group purchasing organizations on commercially reasonable terms;</w:t>
      </w:r>
    </w:p>
    <w:p>
      <w:pPr>
        <w:spacing w:after="0" w:line="157" w:lineRule="exact"/>
        <w:rPr>
          <w:rFonts w:ascii="Arial" w:cs="Arial" w:eastAsia="Arial" w:hAnsi="Arial"/>
          <w:sz w:val="18"/>
          <w:szCs w:val="18"/>
          <w:color w:val="auto"/>
        </w:rPr>
      </w:pPr>
    </w:p>
    <w:p>
      <w:pPr>
        <w:ind w:left="720" w:right="79" w:hanging="320"/>
        <w:spacing w:after="0" w:line="24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creating partnerships with, or offering licenses to, third parties to promote and sell product candidates in foreign markets where we receive marketing approval;</w:t>
      </w:r>
    </w:p>
    <w:p>
      <w:pPr>
        <w:spacing w:after="0" w:line="157" w:lineRule="exact"/>
        <w:rPr>
          <w:rFonts w:ascii="Arial" w:cs="Arial" w:eastAsia="Arial" w:hAnsi="Arial"/>
          <w:sz w:val="18"/>
          <w:szCs w:val="18"/>
          <w:color w:val="auto"/>
        </w:rPr>
      </w:pPr>
    </w:p>
    <w:p>
      <w:pPr>
        <w:ind w:left="720" w:right="559" w:hanging="320"/>
        <w:spacing w:after="0" w:line="24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maintaining, protecting, and enforcing patent and trade secret protection and regulatory exclusivity for our product candidates;</w:t>
      </w:r>
    </w:p>
    <w:p>
      <w:pPr>
        <w:spacing w:after="0" w:line="171" w:lineRule="exact"/>
        <w:rPr>
          <w:rFonts w:ascii="Arial" w:cs="Arial" w:eastAsia="Arial" w:hAnsi="Arial"/>
          <w:sz w:val="18"/>
          <w:szCs w:val="18"/>
          <w:color w:val="auto"/>
        </w:rPr>
      </w:pPr>
    </w:p>
    <w:p>
      <w:pPr>
        <w:ind w:left="720" w:right="199" w:hanging="320"/>
        <w:spacing w:after="0" w:line="24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achieving market acceptance of our product candidates by patients, the medical community, and third-party payors;</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achieving appropriate reimbursement for our product candidates;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96" w:lineRule="exact"/>
        <w:rPr>
          <w:rFonts w:ascii="Arial" w:cs="Arial" w:eastAsia="Arial" w:hAnsi="Arial"/>
          <w:sz w:val="18"/>
          <w:szCs w:val="18"/>
          <w:color w:val="auto"/>
        </w:rPr>
      </w:pPr>
    </w:p>
    <w:p>
      <w:pPr>
        <w:ind w:left="720" w:hanging="32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an acceptable tolerability profile of our product candidates following launch.</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To the extent we are not able to do any of the foregoing, our business, financial condition, results of operations, and prospects will be materially harmed.</w:t>
      </w:r>
    </w:p>
    <w:p>
      <w:pPr>
        <w:spacing w:after="0" w:line="149" w:lineRule="exact"/>
        <w:rPr>
          <w:sz w:val="20"/>
          <w:szCs w:val="20"/>
          <w:color w:val="auto"/>
        </w:rPr>
      </w:pPr>
    </w:p>
    <w:p>
      <w:pPr>
        <w:ind w:left="60" w:right="299"/>
        <w:spacing w:after="0" w:line="252"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50"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biopharmaceutical and pharmaceutical industries are characterized by rapid innovation, intense and dynamic competition and a strong emphasis on proprietary and novel products and product candidates. While we believe that our technology, scientific knowledge, and experience in the field of cellular immunotherapy provide us with competitive advantages, we face potential competition from many different sources, including major pharmaceutical, specialty pharmaceutical and biopharmaceutical companies, academic institutions, governmental agencies, and public and private research institutions, as well as standard-of-care treatments, and new products undergoing development and combinations of existing and new therapies. Any product candidates that we successfully develop and commercialize will compete with existing therapies and new therapies, including combinations thereof, that may become available in the future. We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62" w:lineRule="exact"/>
        <w:rPr>
          <w:sz w:val="20"/>
          <w:szCs w:val="20"/>
          <w:color w:val="auto"/>
        </w:rPr>
      </w:pPr>
    </w:p>
    <w:p>
      <w:pPr>
        <w:ind w:left="60" w:right="239"/>
        <w:spacing w:after="0" w:line="250" w:lineRule="auto"/>
        <w:rPr>
          <w:sz w:val="20"/>
          <w:szCs w:val="20"/>
          <w:color w:val="auto"/>
        </w:rPr>
      </w:pPr>
      <w:r>
        <w:rPr>
          <w:rFonts w:ascii="Arial" w:cs="Arial" w:eastAsia="Arial" w:hAnsi="Arial"/>
          <w:sz w:val="17"/>
          <w:szCs w:val="17"/>
          <w:color w:val="auto"/>
        </w:rPr>
        <w:t>We are developing off-the-shelf cell therapies by differentiating engineered iPSC into NK-, T-, or other immune cells for the treatment of various cancers. While we believe our genetically-engineered immune effector cell therapies derived from iPSC are highly differentiated, a number of companies are currently focused on the development of cellular immunotherapies for the treatment of cancer. In addition, because reprogramming technology and gene editing technology are available on a non-exclusive basis, the number of companies developing iPSC-derived products and products using gene editing technology is expected to increase, which will increase competitive pressure on us. Moreover, the reprogramming technology licensed to us from FCDI and the gene editing technology licensed to us from Inscripta, Inc. are each licensed to us on a non-exclusive basis, and therefore third parties may obtain licenses to the same technology to compete with us.</w:t>
      </w:r>
    </w:p>
    <w:p>
      <w:pPr>
        <w:spacing w:after="0" w:line="172"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40" w:lineRule="exact"/>
        <w:rPr>
          <w:sz w:val="20"/>
          <w:szCs w:val="20"/>
          <w:color w:val="auto"/>
        </w:rPr>
      </w:pPr>
    </w:p>
    <w:p>
      <w:pPr>
        <w:ind w:left="60" w:right="379"/>
        <w:spacing w:after="0" w:line="270" w:lineRule="auto"/>
        <w:rPr>
          <w:sz w:val="20"/>
          <w:szCs w:val="20"/>
          <w:color w:val="auto"/>
        </w:rPr>
      </w:pPr>
      <w:r>
        <w:rPr>
          <w:rFonts w:ascii="Arial" w:cs="Arial" w:eastAsia="Arial" w:hAnsi="Arial"/>
          <w:sz w:val="18"/>
          <w:szCs w:val="18"/>
          <w:b w:val="1"/>
          <w:bCs w:val="1"/>
          <w:i w:val="1"/>
          <w:iCs w:val="1"/>
          <w:color w:val="auto"/>
        </w:rPr>
        <w:t>We expect to face uncertainty regarding the pricing of our existing product candidates and any other product candidates that we may develop.</w:t>
      </w:r>
    </w:p>
    <w:p>
      <w:pPr>
        <w:spacing w:after="0" w:line="135"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Due to the novel nature of our product candidates, we face significant uncertainty as to the pricing of any such products for which we may receive marketing approval. While we anticipate that pricing for any product candidates that we develop will be relatively high due to their anticipated use in the prevention or treatment of life-threatening diseases where therapeutic options are limited, the biopharmaceutical industry has recently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experienced significant pricing pressures, including in the area of orphan drug products.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17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addition, we expect to experience pricing pressures in connection with the pricing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39" w:lineRule="exact"/>
        <w:rPr>
          <w:sz w:val="20"/>
          <w:szCs w:val="20"/>
          <w:color w:val="auto"/>
        </w:rPr>
      </w:pPr>
    </w:p>
    <w:p>
      <w:pPr>
        <w:ind w:left="60" w:right="219"/>
        <w:spacing w:after="0" w:line="252"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new products could limit our product revenues.</w:t>
      </w:r>
    </w:p>
    <w:p>
      <w:pPr>
        <w:spacing w:after="0" w:line="150"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Our ability to commercialize any of our product candidates successfully will depend in part on the extent to which reimbursement for these products and related treatments will be available from government health administration authorities, private health insurers, and other organizations. In the United States, the principal decisions about reimbursement for new therapies are typically made by Centers for Medicare and Medicaid Services, or CMS, an agency within the United States Department of Health and Human Services. CMS decides whether and to what extent a new therapy will be covered and reimbursed under Medicare, and private payors tend to follow CMS determinations to a substantial degree. The availability and extent of reimbursement by governmental and private payors is essential for most patients to be able to afford expensive treatments, such as cellular immunotherapy. There is significant uncertainty related to the insurance coverage and reimbursement of newly approved products by government and third-party payors. In particular, there is no body of established practices and precedents for reimbursement of cellular immunotherapies, and it is difficult to predict what the regulatory authority or private payor will decide with respect to reimbursement levels for novel products such as ours. Our products may not qualify for coverage or direct reimbursement, or may be subject to limited reimbursement. If reimbursement or insurance coverage is not available, or is available only to limited levels, we may not be able to successfully commercialize our product candidates. Even if coverage is provided, the approved reimbursement amount may not be sufficient to allow us to establish or maintain pricing to generate income.</w:t>
      </w:r>
    </w:p>
    <w:p>
      <w:pPr>
        <w:spacing w:after="0" w:line="18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144" w:lineRule="exact"/>
        <w:rPr>
          <w:sz w:val="20"/>
          <w:szCs w:val="20"/>
          <w:color w:val="auto"/>
        </w:rPr>
      </w:pPr>
    </w:p>
    <w:p>
      <w:pPr>
        <w:ind w:left="60" w:right="379"/>
        <w:spacing w:after="0" w:line="270" w:lineRule="auto"/>
        <w:rPr>
          <w:sz w:val="20"/>
          <w:szCs w:val="20"/>
          <w:color w:val="auto"/>
        </w:rPr>
      </w:pPr>
      <w:r>
        <w:rPr>
          <w:rFonts w:ascii="Arial" w:cs="Arial" w:eastAsia="Arial" w:hAnsi="Arial"/>
          <w:sz w:val="18"/>
          <w:szCs w:val="18"/>
          <w:b w:val="1"/>
          <w:bCs w:val="1"/>
          <w:i w:val="1"/>
          <w:iCs w:val="1"/>
          <w:color w:val="auto"/>
        </w:rPr>
        <w:t>Even if we obtain regulatory and marketing approval for a product candidate, our product candidates will remain subject to regulatory oversight.</w:t>
      </w:r>
    </w:p>
    <w:p>
      <w:pPr>
        <w:spacing w:after="0" w:line="135"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Even if we receive marketing and regulatory approval for CNTY-101 or any of our other product candidates, regulatory authorities may still impose significant restrictions on the indicated uses or marketing or impose ongoing requirements for potentially costly post-approval studies. CNTY-101 and our other product candidates will also be subject to ongoing regulatory requirements for manufacturing, labeling, packaging,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biologic. Any regulatory approvals that we receive for CNTY-101 or our other product candidates may also be subject to a risk evaluation and mitigation strategy, or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is obligated to monitor and report adverse events and any failure of a product to meet the specifications in the BLA.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76" w:lineRule="exact"/>
        <w:rPr>
          <w:sz w:val="20"/>
          <w:szCs w:val="20"/>
          <w:color w:val="auto"/>
        </w:rPr>
      </w:pPr>
    </w:p>
    <w:p>
      <w:pPr>
        <w:ind w:left="60" w:right="239"/>
        <w:spacing w:after="0" w:line="236"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61"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If we or our contractors fail to comply with applicable regulatory requirements following approval of CNTY-101 or our other product candidates, a regulatory authority may:</w:t>
      </w:r>
    </w:p>
    <w:p>
      <w:pPr>
        <w:spacing w:after="0" w:line="158" w:lineRule="exact"/>
        <w:rPr>
          <w:sz w:val="20"/>
          <w:szCs w:val="20"/>
          <w:color w:val="auto"/>
        </w:rPr>
      </w:pPr>
    </w:p>
    <w:p>
      <w:pPr>
        <w:ind w:left="720" w:hanging="32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96" w:lineRule="exact"/>
        <w:rPr>
          <w:rFonts w:ascii="Arial" w:cs="Arial" w:eastAsia="Arial" w:hAnsi="Arial"/>
          <w:sz w:val="18"/>
          <w:szCs w:val="18"/>
          <w:color w:val="auto"/>
        </w:rPr>
      </w:pPr>
    </w:p>
    <w:p>
      <w:pPr>
        <w:ind w:left="720" w:hanging="32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request voluntary product recalls;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96" w:lineRule="exact"/>
        <w:rPr>
          <w:rFonts w:ascii="Arial" w:cs="Arial" w:eastAsia="Arial" w:hAnsi="Arial"/>
          <w:sz w:val="18"/>
          <w:szCs w:val="18"/>
          <w:color w:val="auto"/>
        </w:rPr>
      </w:pPr>
    </w:p>
    <w:p>
      <w:pPr>
        <w:ind w:left="720" w:hanging="32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83" w:lineRule="exact"/>
        <w:rPr>
          <w:rFonts w:ascii="Arial" w:cs="Arial" w:eastAsia="Arial" w:hAnsi="Arial"/>
          <w:sz w:val="18"/>
          <w:szCs w:val="18"/>
          <w:color w:val="auto"/>
        </w:rPr>
      </w:pPr>
    </w:p>
    <w:p>
      <w:pPr>
        <w:ind w:left="720" w:right="459" w:hanging="320"/>
        <w:spacing w:after="0" w:line="244"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96" w:lineRule="exact"/>
        <w:rPr>
          <w:rFonts w:ascii="Arial" w:cs="Arial" w:eastAsia="Arial" w:hAnsi="Arial"/>
          <w:sz w:val="18"/>
          <w:szCs w:val="18"/>
          <w:color w:val="auto"/>
        </w:rPr>
      </w:pPr>
    </w:p>
    <w:p>
      <w:pPr>
        <w:ind w:left="720" w:hanging="32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197"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CNTY-101 or our other product candidates and adversely affect our business, financial condition, results of operations, and prospects.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699"/>
        <w:spacing w:after="0" w:line="270" w:lineRule="auto"/>
        <w:rPr>
          <w:sz w:val="20"/>
          <w:szCs w:val="20"/>
          <w:color w:val="auto"/>
        </w:rPr>
      </w:pPr>
      <w:r>
        <w:rPr>
          <w:rFonts w:ascii="Arial" w:cs="Arial" w:eastAsia="Arial" w:hAnsi="Arial"/>
          <w:sz w:val="18"/>
          <w:szCs w:val="18"/>
          <w:b w:val="1"/>
          <w:bCs w:val="1"/>
          <w:i w:val="1"/>
          <w:iCs w:val="1"/>
          <w:color w:val="auto"/>
        </w:rPr>
        <w:t>Even if we receive marketing approval for CNTY-101 or our other product candidates, we may not achieve broad market acceptance.</w:t>
      </w:r>
    </w:p>
    <w:p>
      <w:pPr>
        <w:spacing w:after="0" w:line="148"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commercial success of CNTY-101 or our other product candidates, if developed and approved for marketing by the FDA or comparable foreign regulatory authority, will depend upon the awareness and acceptance of CNTY-101 or such other product candidate among the medical community, including physicians, patients, advocacy groups, and healthcare payors. Market acceptance of our product candidates, if approved, will depend on a number of factors, including, among others:</w:t>
      </w:r>
    </w:p>
    <w:p>
      <w:pPr>
        <w:spacing w:after="0" w:line="162" w:lineRule="exact"/>
        <w:rPr>
          <w:sz w:val="20"/>
          <w:szCs w:val="20"/>
          <w:color w:val="auto"/>
        </w:rPr>
      </w:pPr>
    </w:p>
    <w:p>
      <w:pPr>
        <w:ind w:left="720" w:hanging="320"/>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83" w:lineRule="exact"/>
        <w:rPr>
          <w:rFonts w:ascii="Arial" w:cs="Arial" w:eastAsia="Arial" w:hAnsi="Arial"/>
          <w:sz w:val="18"/>
          <w:szCs w:val="18"/>
          <w:color w:val="auto"/>
        </w:rPr>
      </w:pPr>
    </w:p>
    <w:p>
      <w:pPr>
        <w:ind w:left="720" w:right="459" w:hanging="320"/>
        <w:spacing w:after="0" w:line="24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 or comparable foreign regulatory authority, such as a “black box” warning;</w:t>
      </w:r>
    </w:p>
    <w:p>
      <w:pPr>
        <w:spacing w:after="0" w:line="171" w:lineRule="exact"/>
        <w:rPr>
          <w:rFonts w:ascii="Arial" w:cs="Arial" w:eastAsia="Arial" w:hAnsi="Arial"/>
          <w:sz w:val="18"/>
          <w:szCs w:val="18"/>
          <w:color w:val="auto"/>
        </w:rPr>
      </w:pPr>
    </w:p>
    <w:p>
      <w:pPr>
        <w:ind w:left="720" w:right="259" w:hanging="320"/>
        <w:spacing w:after="0" w:line="24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any competitive therapies in development that could be approved or commercially launched prior to approval of our product candidates;</w:t>
      </w:r>
    </w:p>
    <w:p>
      <w:pPr>
        <w:spacing w:after="0" w:line="157" w:lineRule="exact"/>
        <w:rPr>
          <w:rFonts w:ascii="Arial" w:cs="Arial" w:eastAsia="Arial" w:hAnsi="Arial"/>
          <w:sz w:val="18"/>
          <w:szCs w:val="18"/>
          <w:color w:val="auto"/>
        </w:rPr>
      </w:pPr>
    </w:p>
    <w:p>
      <w:pPr>
        <w:ind w:left="720" w:right="139" w:hanging="320"/>
        <w:spacing w:after="0" w:line="24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57" w:lineRule="exact"/>
        <w:rPr>
          <w:rFonts w:ascii="Arial" w:cs="Arial" w:eastAsia="Arial" w:hAnsi="Arial"/>
          <w:sz w:val="18"/>
          <w:szCs w:val="18"/>
          <w:color w:val="auto"/>
        </w:rPr>
      </w:pPr>
    </w:p>
    <w:p>
      <w:pPr>
        <w:ind w:left="720" w:right="599" w:hanging="320"/>
        <w:spacing w:after="0" w:line="24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71" w:lineRule="exact"/>
        <w:rPr>
          <w:rFonts w:ascii="Arial" w:cs="Arial" w:eastAsia="Arial" w:hAnsi="Arial"/>
          <w:sz w:val="18"/>
          <w:szCs w:val="18"/>
          <w:color w:val="auto"/>
        </w:rPr>
      </w:pPr>
    </w:p>
    <w:p>
      <w:pPr>
        <w:ind w:left="720" w:hanging="320"/>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payor acceptance;</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any future changes to the United States healthcare system;</w:t>
      </w:r>
    </w:p>
    <w:p>
      <w:pPr>
        <w:spacing w:after="0" w:line="196" w:lineRule="exact"/>
        <w:rPr>
          <w:rFonts w:ascii="Arial" w:cs="Arial" w:eastAsia="Arial" w:hAnsi="Arial"/>
          <w:sz w:val="18"/>
          <w:szCs w:val="18"/>
          <w:color w:val="auto"/>
        </w:rPr>
      </w:pPr>
    </w:p>
    <w:p>
      <w:pPr>
        <w:ind w:left="720" w:hanging="320"/>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 and</w:t>
      </w:r>
    </w:p>
    <w:p>
      <w:pPr>
        <w:spacing w:after="0" w:line="183" w:lineRule="exact"/>
        <w:rPr>
          <w:rFonts w:ascii="Arial" w:cs="Arial" w:eastAsia="Arial" w:hAnsi="Arial"/>
          <w:sz w:val="18"/>
          <w:szCs w:val="18"/>
          <w:color w:val="auto"/>
        </w:rPr>
      </w:pPr>
    </w:p>
    <w:p>
      <w:pPr>
        <w:ind w:left="720" w:right="299" w:hanging="320"/>
        <w:spacing w:after="0" w:line="239"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62" w:lineRule="exact"/>
        <w:rPr>
          <w:sz w:val="20"/>
          <w:szCs w:val="20"/>
          <w:color w:val="auto"/>
        </w:rPr>
      </w:pPr>
    </w:p>
    <w:p>
      <w:pPr>
        <w:ind w:left="60" w:right="179"/>
        <w:spacing w:after="0" w:line="254" w:lineRule="auto"/>
        <w:rPr>
          <w:sz w:val="20"/>
          <w:szCs w:val="20"/>
          <w:color w:val="auto"/>
        </w:rPr>
      </w:pPr>
      <w:r>
        <w:rPr>
          <w:rFonts w:ascii="Arial" w:cs="Arial" w:eastAsia="Arial" w:hAnsi="Arial"/>
          <w:sz w:val="17"/>
          <w:szCs w:val="17"/>
          <w:color w:val="auto"/>
        </w:rPr>
        <w:t>If CNTY-101 or any of our other product candidates are approved but do not achieve an adequate level of acceptance by patients, advocacy groups, physicians and payors, we may not generate sufficient revenue to become or remain profitable and our business, financial condition, and results of operations could be materially adversely affected. Our efforts to educate the medical community and third-party payors about the benefits of CNTY-101 and our other product candidates may require significant resources and may never be successful.</w:t>
      </w:r>
    </w:p>
    <w:p>
      <w:pPr>
        <w:spacing w:after="0" w:line="141" w:lineRule="exact"/>
        <w:rPr>
          <w:sz w:val="20"/>
          <w:szCs w:val="20"/>
          <w:color w:val="auto"/>
        </w:rPr>
      </w:pPr>
    </w:p>
    <w:p>
      <w:pPr>
        <w:ind w:left="60" w:right="259"/>
        <w:spacing w:after="0" w:line="252" w:lineRule="auto"/>
        <w:rPr>
          <w:sz w:val="20"/>
          <w:szCs w:val="20"/>
          <w:color w:val="auto"/>
        </w:rPr>
      </w:pPr>
      <w:r>
        <w:rPr>
          <w:rFonts w:ascii="Arial" w:cs="Arial" w:eastAsia="Arial" w:hAnsi="Arial"/>
          <w:sz w:val="18"/>
          <w:szCs w:val="18"/>
          <w:b w:val="1"/>
          <w:bCs w:val="1"/>
          <w:i w:val="1"/>
          <w:iCs w:val="1"/>
          <w:color w:val="auto"/>
        </w:rPr>
        <w:t>Even if we receive marketing approval for CNTY-101 or our other product candidates in the United States, we may never receive regulatory approval to market CNTY-101 or our other product candidates outside of the United States.</w:t>
      </w:r>
    </w:p>
    <w:p>
      <w:pPr>
        <w:spacing w:after="0" w:line="150"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In order to market any product outside of the United States, we must establish and comply with the numerous and varying safety, efficacy, and other regulatory requirements of other jurisdictions, including potential additional clinical trials and/or preclinical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jurisdictions outside of the United States, products must receive pricing and reimbursement approval before the product can be commercialized. Obtaining this approval can result in substantial delays in bringing products to market in such jurisdictions. Marketing approval in one jurisdiction does not necessarily ensure marketing approval in another, but a failure or delay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in obtaining marketing approval in one country may have a negative effect on the regulatory process or commercial activities in others. Failure to obtain marketing approval in other jurisdictions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153" w:lineRule="exact"/>
        <w:rPr>
          <w:sz w:val="20"/>
          <w:szCs w:val="20"/>
          <w:color w:val="auto"/>
        </w:rPr>
      </w:pPr>
    </w:p>
    <w:p>
      <w:pPr>
        <w:ind w:left="60" w:right="119"/>
        <w:spacing w:after="0" w:line="300" w:lineRule="auto"/>
        <w:rPr>
          <w:sz w:val="20"/>
          <w:szCs w:val="20"/>
          <w:color w:val="auto"/>
        </w:rPr>
      </w:pPr>
      <w:r>
        <w:rPr>
          <w:rFonts w:ascii="Arial" w:cs="Arial" w:eastAsia="Arial" w:hAnsi="Arial"/>
          <w:sz w:val="17"/>
          <w:szCs w:val="17"/>
          <w:b w:val="1"/>
          <w:bCs w:val="1"/>
          <w:i w:val="1"/>
          <w:iCs w:val="1"/>
          <w:color w:val="auto"/>
        </w:rPr>
        <w:t>We may be unable to establish effective marketing, sales and distribution capabilities or enter into agreements with third parties to market and sell CNTY-101 or our other product candidates, if approved.</w:t>
      </w:r>
    </w:p>
    <w:p>
      <w:pPr>
        <w:spacing w:after="0" w:line="112"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We currently do not have a commercial infrastructure for the marketing, sale, and distribution of CNTY-101, or our other product candidates. If CNTY-101 or our other product candidates receive marketing approval, we intend to commercialize such product candidates in the United States and potentially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FDA’s or comparable foreign regulatory authority’s requirements or for other reasons, we would incur these expenses prior to being able to realize any revenue from sales of CNTY-101 and our other product candidates. Even if we are able to effectively hire a sales force and develop a marketing and sales infrastructure, our sales force and marketing teams may not be successful in commercializing CNTY-101 or our other product candidates. This may be costly, and our investment would be lost if we cannot retain or reposition our sales and marketing personnel.</w:t>
      </w:r>
    </w:p>
    <w:p>
      <w:pPr>
        <w:spacing w:after="0" w:line="16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76"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biopharmaceutical and pharmaceutical companies to recruit, hire, train, manage, and retain marketing and sales personnel, which is expensive and time-consuming and could delay any product launch. Developing our sales capabilities may also divert resources and management attention away from product development.</w:t>
      </w:r>
    </w:p>
    <w:p>
      <w:pPr>
        <w:spacing w:after="0" w:line="161"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In the event we are unable to develop a marketing and sales infrastructure, we may not be able to commercialize CNTY-101 or our other product candidates in the United States or elsewhere, which could limit our ability to generate product revenues and materially harm our business, financial condition, results of operations, and prospects.</w:t>
      </w:r>
    </w:p>
    <w:p>
      <w:pPr>
        <w:spacing w:after="0" w:line="139" w:lineRule="exact"/>
        <w:rPr>
          <w:sz w:val="20"/>
          <w:szCs w:val="20"/>
          <w:color w:val="auto"/>
        </w:rPr>
      </w:pPr>
    </w:p>
    <w:p>
      <w:pPr>
        <w:ind w:left="60" w:right="359"/>
        <w:spacing w:after="0" w:line="270" w:lineRule="auto"/>
        <w:rPr>
          <w:sz w:val="20"/>
          <w:szCs w:val="20"/>
          <w:color w:val="auto"/>
        </w:rPr>
      </w:pPr>
      <w:r>
        <w:rPr>
          <w:rFonts w:ascii="Arial" w:cs="Arial" w:eastAsia="Arial" w:hAnsi="Arial"/>
          <w:sz w:val="18"/>
          <w:szCs w:val="18"/>
          <w:b w:val="1"/>
          <w:bCs w:val="1"/>
          <w:i w:val="1"/>
          <w:iCs w:val="1"/>
          <w:color w:val="auto"/>
        </w:rPr>
        <w:t>If the market opportunities for our products are smaller than we believe they are, our revenue may be adversely affected, and our business may suffer.</w:t>
      </w:r>
    </w:p>
    <w:p>
      <w:pPr>
        <w:spacing w:after="0" w:line="14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Initial planned clinical trials are expected to enroll patients who have received other available therapies in order to first evaluate whether the product is safe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79"/>
        <w:spacing w:after="0" w:line="235" w:lineRule="auto"/>
        <w:rPr>
          <w:sz w:val="20"/>
          <w:szCs w:val="20"/>
          <w:color w:val="auto"/>
        </w:rPr>
      </w:pPr>
      <w:r>
        <w:rPr>
          <w:rFonts w:ascii="Arial" w:cs="Arial" w:eastAsia="Arial" w:hAnsi="Arial"/>
          <w:sz w:val="18"/>
          <w:szCs w:val="18"/>
          <w:color w:val="auto"/>
        </w:rPr>
        <w:t>whether there is any activity. We do not know at this time whether CNTY-101 or any of our other product candidates will be safe for use in humans or whether they will demonstrate any anti-cancer activity. Subsequently, we plan to conduct additional clinical trials depending on the activity we note in the initial clinical trials. If the activity is sufficient, we may initially seek approval of any product candidates we develop as a therapy for patients who have received one or more prior treatments. Subsequently, for those products that prove to be sufficiently beneficial, if any, we would expect to seek approval potentially in earlier lines of therapy, but there is no guarantee that product candidates we develop, even if approved for later lines of therapy, would be approved for earlier lines of therapy, and, prior to any such approvals, we may have to conduct additional clinical trials.</w:t>
      </w:r>
    </w:p>
    <w:p>
      <w:pPr>
        <w:spacing w:after="0" w:line="180"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focus our research and product development on differentiating engineered iPSC into NK-, T-, or other immune cells for the treatment of various cancers. Our projections of both the number of people who have these cancers, as well as the subset of people with these cancers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such cancers.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and biologic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40" w:lineRule="exact"/>
        <w:rPr>
          <w:sz w:val="20"/>
          <w:szCs w:val="20"/>
          <w:color w:val="auto"/>
        </w:rPr>
      </w:pPr>
    </w:p>
    <w:p>
      <w:pPr>
        <w:ind w:left="60" w:right="319"/>
        <w:spacing w:after="0" w:line="252"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0"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75" w:lineRule="exact"/>
        <w:rPr>
          <w:sz w:val="20"/>
          <w:szCs w:val="20"/>
          <w:color w:val="auto"/>
        </w:rPr>
      </w:pPr>
    </w:p>
    <w:p>
      <w:pPr>
        <w:ind w:left="720" w:right="139" w:hanging="320"/>
        <w:spacing w:after="0" w:line="239"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CNTY-101 and our other product candidates, which may change from time to time;</w:t>
      </w:r>
    </w:p>
    <w:p>
      <w:pPr>
        <w:spacing w:after="0" w:line="161" w:lineRule="exact"/>
        <w:rPr>
          <w:rFonts w:ascii="Arial" w:cs="Arial" w:eastAsia="Arial" w:hAnsi="Arial"/>
          <w:sz w:val="18"/>
          <w:szCs w:val="18"/>
          <w:color w:val="auto"/>
        </w:rPr>
      </w:pPr>
    </w:p>
    <w:p>
      <w:pPr>
        <w:ind w:left="720" w:right="359" w:hanging="320"/>
        <w:spacing w:after="0" w:line="244"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CNTY-101 and our other product candidates, if approved, and potential future drugs or biologics that compete with our products;</w:t>
      </w:r>
    </w:p>
    <w:p>
      <w:pPr>
        <w:spacing w:after="0" w:line="157" w:lineRule="exact"/>
        <w:rPr>
          <w:rFonts w:ascii="Arial" w:cs="Arial" w:eastAsia="Arial" w:hAnsi="Arial"/>
          <w:sz w:val="18"/>
          <w:szCs w:val="18"/>
          <w:color w:val="auto"/>
        </w:rPr>
      </w:pPr>
    </w:p>
    <w:p>
      <w:pPr>
        <w:ind w:left="720" w:right="259" w:hanging="320"/>
        <w:spacing w:after="0" w:line="244"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manufacturing CNTY-101 and our other product candidates, which may vary depending on the quantity of production and the terms of our agreements with CMOs;</w:t>
      </w:r>
    </w:p>
    <w:p>
      <w:pPr>
        <w:spacing w:after="0" w:line="171" w:lineRule="exact"/>
        <w:rPr>
          <w:rFonts w:ascii="Arial" w:cs="Arial" w:eastAsia="Arial" w:hAnsi="Arial"/>
          <w:sz w:val="18"/>
          <w:szCs w:val="18"/>
          <w:color w:val="auto"/>
        </w:rPr>
      </w:pPr>
    </w:p>
    <w:p>
      <w:pPr>
        <w:ind w:left="720" w:right="439" w:hanging="320"/>
        <w:spacing w:after="0" w:line="244"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or acquired our product candidates;</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96" w:lineRule="exact"/>
        <w:rPr>
          <w:rFonts w:ascii="Arial" w:cs="Arial" w:eastAsia="Arial" w:hAnsi="Arial"/>
          <w:sz w:val="18"/>
          <w:szCs w:val="18"/>
          <w:color w:val="auto"/>
        </w:rPr>
      </w:pPr>
    </w:p>
    <w:p>
      <w:pPr>
        <w:ind w:left="720" w:right="619" w:hanging="320"/>
        <w:spacing w:after="0" w:line="244"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change in the competitive landscape of our industry, including consolidation among our competitors or partners.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70" w:lineRule="exact"/>
        <w:rPr>
          <w:sz w:val="20"/>
          <w:szCs w:val="20"/>
          <w:color w:val="auto"/>
        </w:rPr>
      </w:pPr>
    </w:p>
    <w:p>
      <w:pPr>
        <w:ind w:left="60" w:right="159"/>
        <w:spacing w:after="0" w:line="252" w:lineRule="auto"/>
        <w:rPr>
          <w:sz w:val="20"/>
          <w:szCs w:val="20"/>
          <w:color w:val="auto"/>
        </w:rPr>
      </w:pPr>
      <w:r>
        <w:rPr>
          <w:rFonts w:ascii="Arial" w:cs="Arial" w:eastAsia="Arial" w:hAnsi="Arial"/>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6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many of whom have been instrumental for us and have substantial experience with our iPSC-derived allogeneic cell therapy platforms, underlying technologies, and related product candidates. Given the specialized nature of our iPSC-derived allogeneic cell therapy platforms and the fact that ours is a novel and emerging field, there is an inherent scarcity of experienced personnel in this field. As we continue developing our product candidates in our pipeline, we will require personnel with medical, scientific, or technical qualifications specific to each program.</w:t>
      </w:r>
    </w:p>
    <w:p>
      <w:pPr>
        <w:spacing w:after="0" w:line="163"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are highly dependent upon our senior management, particularly Osvaldo Flores, Ph.D., our Chief Executive Officer, as well as our senior scientists and other members of our executive team. The loss of services of any of these individuals could delay or prevent the successful development of our product pipeline, initiation or completion of our planned clinical trials, or the commercialization of CNTY-101 and our other product candidates.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67"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Our research and development programs, clinical operations, and sales and marketing efforts depend on our ability to attract and retain highly skilled scientists, engineers, and sales professionals. The competition for qualified personnel in the biotechnology and pharmaceutical industries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155" w:lineRule="exact"/>
        <w:rPr>
          <w:sz w:val="20"/>
          <w:szCs w:val="20"/>
          <w:color w:val="auto"/>
        </w:rPr>
      </w:pPr>
    </w:p>
    <w:p>
      <w:pPr>
        <w:ind w:left="60" w:right="79"/>
        <w:spacing w:after="0" w:line="270" w:lineRule="auto"/>
        <w:rPr>
          <w:sz w:val="20"/>
          <w:szCs w:val="20"/>
          <w:color w:val="auto"/>
        </w:rPr>
      </w:pPr>
      <w:r>
        <w:rPr>
          <w:rFonts w:ascii="Arial" w:cs="Arial" w:eastAsia="Arial" w:hAnsi="Arial"/>
          <w:sz w:val="18"/>
          <w:szCs w:val="18"/>
          <w:b w:val="1"/>
          <w:bCs w:val="1"/>
          <w:i w:val="1"/>
          <w:iCs w:val="1"/>
          <w:color w:val="auto"/>
        </w:rPr>
        <w:t>We will need to increase the size and capabilities of our organization, and we may experience difficulties in managing our growth.</w:t>
      </w:r>
    </w:p>
    <w:p>
      <w:pPr>
        <w:spacing w:after="0" w:line="135" w:lineRule="exact"/>
        <w:rPr>
          <w:sz w:val="20"/>
          <w:szCs w:val="20"/>
          <w:color w:val="auto"/>
        </w:rPr>
      </w:pPr>
    </w:p>
    <w:p>
      <w:pPr>
        <w:ind w:left="60" w:right="299"/>
        <w:spacing w:after="0" w:line="260" w:lineRule="auto"/>
        <w:rPr>
          <w:sz w:val="20"/>
          <w:szCs w:val="20"/>
          <w:color w:val="auto"/>
        </w:rPr>
      </w:pPr>
      <w:r>
        <w:rPr>
          <w:rFonts w:ascii="Arial" w:cs="Arial" w:eastAsia="Arial" w:hAnsi="Arial"/>
          <w:sz w:val="17"/>
          <w:szCs w:val="17"/>
          <w:color w:val="auto"/>
        </w:rPr>
        <w:t>As of June 30, 2021, we had 121 employees and consultants and most of our employees are full-time. As our development and commercialization plans and strategies develop, and as we transition into operating as a public company, we must add a significant number of additional managerial, operational, financial, and other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personnel. Future growth will impose significant added responsibilities on members of management, including:</w:t>
      </w:r>
    </w:p>
    <w:p>
      <w:pPr>
        <w:spacing w:after="0" w:line="183" w:lineRule="exact"/>
        <w:rPr>
          <w:sz w:val="20"/>
          <w:szCs w:val="20"/>
          <w:color w:val="auto"/>
        </w:rPr>
      </w:pPr>
    </w:p>
    <w:p>
      <w:pPr>
        <w:ind w:left="720" w:hanging="320"/>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83" w:lineRule="exact"/>
        <w:rPr>
          <w:rFonts w:ascii="Arial" w:cs="Arial" w:eastAsia="Arial" w:hAnsi="Arial"/>
          <w:sz w:val="18"/>
          <w:szCs w:val="18"/>
          <w:color w:val="auto"/>
        </w:rPr>
      </w:pPr>
    </w:p>
    <w:p>
      <w:pPr>
        <w:ind w:left="720" w:right="199" w:hanging="320"/>
        <w:spacing w:after="0" w:line="239"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or other comparable authority review process for CNTY-101 and our other product candidates, while complying with our contractual obligations to contractors and other third parties; and</w:t>
      </w:r>
    </w:p>
    <w:p>
      <w:pPr>
        <w:spacing w:after="0" w:line="161" w:lineRule="exact"/>
        <w:rPr>
          <w:rFonts w:ascii="Arial" w:cs="Arial" w:eastAsia="Arial" w:hAnsi="Arial"/>
          <w:sz w:val="18"/>
          <w:szCs w:val="18"/>
          <w:color w:val="auto"/>
        </w:rPr>
      </w:pPr>
    </w:p>
    <w:p>
      <w:pPr>
        <w:ind w:left="720" w:hanging="320"/>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97" w:lineRule="exact"/>
        <w:rPr>
          <w:sz w:val="20"/>
          <w:szCs w:val="20"/>
          <w:color w:val="auto"/>
        </w:rPr>
      </w:pPr>
    </w:p>
    <w:p>
      <w:pPr>
        <w:jc w:val="both"/>
        <w:ind w:left="60" w:right="79"/>
        <w:spacing w:after="0" w:line="237" w:lineRule="auto"/>
        <w:rPr>
          <w:sz w:val="20"/>
          <w:szCs w:val="20"/>
          <w:color w:val="auto"/>
        </w:rPr>
      </w:pPr>
      <w:r>
        <w:rPr>
          <w:rFonts w:ascii="Arial" w:cs="Arial" w:eastAsia="Arial" w:hAnsi="Arial"/>
          <w:sz w:val="18"/>
          <w:szCs w:val="18"/>
          <w:color w:val="auto"/>
        </w:rPr>
        <w:t>Our future financial performance and our ability to commercialize CNTY-101 and our other product candidates, if approved,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we expect to incur additional costs in hiring, training, and retaining such additional personnel.</w:t>
      </w:r>
    </w:p>
    <w:p>
      <w:pPr>
        <w:spacing w:after="0" w:line="162"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CNTY-101 and our other product candidates and, accordingly, may not achieve our research, development, and commercialization goals.</w:t>
      </w:r>
    </w:p>
    <w:p>
      <w:pPr>
        <w:spacing w:after="0" w:line="139" w:lineRule="exact"/>
        <w:rPr>
          <w:sz w:val="20"/>
          <w:szCs w:val="20"/>
          <w:color w:val="auto"/>
        </w:rPr>
      </w:pPr>
    </w:p>
    <w:p>
      <w:pPr>
        <w:ind w:left="60" w:right="319"/>
        <w:spacing w:after="0" w:line="252" w:lineRule="auto"/>
        <w:rPr>
          <w:sz w:val="20"/>
          <w:szCs w:val="20"/>
          <w:color w:val="auto"/>
        </w:rPr>
      </w:pPr>
      <w:r>
        <w:rPr>
          <w:rFonts w:ascii="Arial" w:cs="Arial" w:eastAsia="Arial" w:hAnsi="Arial"/>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164" w:lineRule="exact"/>
        <w:rPr>
          <w:sz w:val="20"/>
          <w:szCs w:val="20"/>
          <w:color w:val="auto"/>
        </w:rPr>
      </w:pPr>
    </w:p>
    <w:p>
      <w:pPr>
        <w:ind w:left="60" w:right="79"/>
        <w:spacing w:after="0" w:line="249" w:lineRule="auto"/>
        <w:rPr>
          <w:sz w:val="20"/>
          <w:szCs w:val="20"/>
          <w:color w:val="auto"/>
        </w:rPr>
      </w:pPr>
      <w:r>
        <w:rPr>
          <w:rFonts w:ascii="Arial" w:cs="Arial" w:eastAsia="Arial" w:hAnsi="Arial"/>
          <w:sz w:val="17"/>
          <w:szCs w:val="17"/>
          <w:color w:val="auto"/>
        </w:rPr>
        <w:t>Public health crises, such as pandemics or similar outbreaks, could adversely impact our business. A novel virus, severe acute respiratory syndrome coronavirus 2, or SARS-CpV-2 or coronavirus, which causes COVID-19 has spread to most countries across the world, including all 50 states within the United States and Canadian Provinces, including Philadelphia, Pennsylvania, Washington, and Hamilton, Ontario where our operations are located, and Madison, Wisconsin, where the manufacturing site for our product candidates is located. The coronavirus pandemic is evolving and has led to the implementation of various responses, including government-imposed quarantines, travel restrictions, and other public health safety measures. The extent to which the coronavirus impacts our operations or those of our consultants and collaborators, including FCDI, will depend on future developments, which are highly uncertain and cannot be predicted with confidence, including the duration of the outbreak, new information that will emerge concerning the severity of the coronavirus, new strains or mutations of the coronavirus, and the actions to contain the coronavirus or treat its impact, among others. In response to the spread of COVID-19, we have closed our executive offices with our administrative employees continuing their work outside of our offices and limited the number of staff in any given research and development laboratory and have taken other precautionary measures as well, including the periodic testing of our employees. We have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Potential disruptions to our preclinical development efforts include, but are not limited to:</w:t>
      </w:r>
    </w:p>
    <w:p>
      <w:pPr>
        <w:spacing w:after="0" w:line="170" w:lineRule="exact"/>
        <w:rPr>
          <w:sz w:val="20"/>
          <w:szCs w:val="20"/>
          <w:color w:val="auto"/>
        </w:rPr>
      </w:pPr>
    </w:p>
    <w:p>
      <w:pPr>
        <w:ind w:left="720" w:right="279" w:hanging="320"/>
        <w:spacing w:after="0" w:line="239"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or disruptions in preclinical experiments and IND-enabling studies due to restrictions of on-site staff, limited or no access to animal facilities, and unforeseen circumstances at contract research organizations (CROs) and vendors;</w:t>
      </w:r>
    </w:p>
    <w:p>
      <w:pPr>
        <w:spacing w:after="0" w:line="175" w:lineRule="exact"/>
        <w:rPr>
          <w:rFonts w:ascii="Arial" w:cs="Arial" w:eastAsia="Arial" w:hAnsi="Arial"/>
          <w:sz w:val="18"/>
          <w:szCs w:val="18"/>
          <w:color w:val="auto"/>
        </w:rPr>
      </w:pPr>
    </w:p>
    <w:p>
      <w:pPr>
        <w:ind w:left="720" w:right="219" w:hanging="320"/>
        <w:spacing w:after="0" w:line="238"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employee or other resources that would otherwise be focused on the conduct of our preclinical work, including because of sickness of employees or their families, the desire of employees to avoid travel or contact with large groups of people, an increased reliance on working from home, school closures, or mass transit disruptions; and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239" w:hanging="320"/>
        <w:spacing w:after="0" w:line="244"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w:t>
      </w:r>
    </w:p>
    <w:p>
      <w:pPr>
        <w:spacing w:after="0" w:line="171" w:lineRule="exact"/>
        <w:rPr>
          <w:sz w:val="20"/>
          <w:szCs w:val="20"/>
          <w:color w:val="auto"/>
        </w:rPr>
      </w:pPr>
    </w:p>
    <w:p>
      <w:pPr>
        <w:ind w:left="60" w:right="319"/>
        <w:spacing w:after="0" w:line="236" w:lineRule="auto"/>
        <w:rPr>
          <w:sz w:val="20"/>
          <w:szCs w:val="20"/>
          <w:color w:val="auto"/>
        </w:rPr>
      </w:pPr>
      <w:r>
        <w:rPr>
          <w:rFonts w:ascii="Arial" w:cs="Arial" w:eastAsia="Arial" w:hAnsi="Arial"/>
          <w:sz w:val="18"/>
          <w:szCs w:val="18"/>
          <w:color w:val="auto"/>
        </w:rPr>
        <w:t>We have not yet commenced clinical trial activities for any of our product candidates. If we commence clinical trials for one or more of our product candidates, potential disruptions of those clinical activities as a result of COVID-19 or similar pandemics include, but are not limited to the interruption of key clinical trial activities, enrolling patients in clinical trials, interruption of, or delays in receiving, supplies of our product candidates, regulatory delays, changes in regulations as part of a response to the COVID-19 pandemic, and additional delays, difficulties, or interruptions as a result of current or future shutdowns.</w:t>
      </w:r>
    </w:p>
    <w:p>
      <w:pPr>
        <w:spacing w:after="0" w:line="164"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The COVID-19 global pandemic continues to rapidly evolve. Although many countries, including certain countries in Europe and the United States, have re-opened, rises in new cases have caused certain countries to re-initiate restrictions. Vaccines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has not reached the level required for herd immunity. Certain variants of COVID-19, such as the delta variant, are proving to be more easily spread than earlier variants. The continued low vaccination rate, and the emergence of new variants which could prove resistant to existing vaccines could again result in major disruptions to businesses and markets worldwide.</w:t>
      </w:r>
    </w:p>
    <w:p>
      <w:pPr>
        <w:spacing w:after="0" w:line="16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extent to which the outbreak may affect our preclinical studies, clinical trials, business, financial condition, and results of operations will depend on future developments, which are highly uncertain and cannot be predicted at this time, such as the ultimate geographic spread of the disease, the duration of the outbreak, travel restrictions, the availability of vaccines, and actions to contain the outbreak or treat its impact. Additionally, we are unable to predict if a different pandemic could have similar or different impacts on our business, financial condition, or share price. Future developments in these and other areas present material uncertainty and risk with respect to our clinical trials, business, financial condition, and results of operations.</w:t>
      </w:r>
    </w:p>
    <w:p>
      <w:pPr>
        <w:spacing w:after="0" w:line="154" w:lineRule="exact"/>
        <w:rPr>
          <w:sz w:val="20"/>
          <w:szCs w:val="20"/>
          <w:color w:val="auto"/>
        </w:rPr>
      </w:pPr>
    </w:p>
    <w:p>
      <w:pPr>
        <w:ind w:left="60" w:right="559"/>
        <w:spacing w:after="0" w:line="270" w:lineRule="auto"/>
        <w:rPr>
          <w:sz w:val="20"/>
          <w:szCs w:val="20"/>
          <w:color w:val="auto"/>
        </w:rPr>
      </w:pPr>
      <w:r>
        <w:rPr>
          <w:rFonts w:ascii="Arial" w:cs="Arial" w:eastAsia="Arial" w:hAnsi="Arial"/>
          <w:sz w:val="18"/>
          <w:szCs w:val="18"/>
          <w:b w:val="1"/>
          <w:bCs w:val="1"/>
          <w:i w:val="1"/>
          <w:iCs w:val="1"/>
          <w:color w:val="auto"/>
        </w:rPr>
        <w:t>We have incurred indebtedness, and we may incur additional indebtedness, which could adversely affect our business.</w:t>
      </w:r>
    </w:p>
    <w:p>
      <w:pPr>
        <w:spacing w:after="0" w:line="135" w:lineRule="exact"/>
        <w:rPr>
          <w:sz w:val="20"/>
          <w:szCs w:val="20"/>
          <w:color w:val="auto"/>
        </w:rPr>
      </w:pPr>
    </w:p>
    <w:p>
      <w:pPr>
        <w:jc w:val="both"/>
        <w:ind w:left="60" w:right="299"/>
        <w:spacing w:after="0" w:line="239" w:lineRule="auto"/>
        <w:rPr>
          <w:sz w:val="20"/>
          <w:szCs w:val="20"/>
          <w:color w:val="auto"/>
        </w:rPr>
      </w:pPr>
      <w:r>
        <w:rPr>
          <w:rFonts w:ascii="Arial" w:cs="Arial" w:eastAsia="Arial" w:hAnsi="Arial"/>
          <w:sz w:val="18"/>
          <w:szCs w:val="18"/>
          <w:color w:val="auto"/>
        </w:rPr>
        <w:t>As of June 30, 2021, we had an outstanding balance of $10.0 million under our Loan and Security Agreement with Hercules Capital, Inc., or the Loan Agreement. Our indebtedness could have important consequences to our stockholders. For example, it:</w:t>
      </w:r>
    </w:p>
    <w:p>
      <w:pPr>
        <w:spacing w:after="0" w:line="162" w:lineRule="exact"/>
        <w:rPr>
          <w:sz w:val="20"/>
          <w:szCs w:val="20"/>
          <w:color w:val="auto"/>
        </w:rPr>
      </w:pPr>
    </w:p>
    <w:p>
      <w:pPr>
        <w:ind w:left="720" w:hanging="320"/>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increases our vulnerability to adverse general economic and industry conditions;</w:t>
      </w:r>
    </w:p>
    <w:p>
      <w:pPr>
        <w:spacing w:after="0" w:line="196" w:lineRule="exact"/>
        <w:rPr>
          <w:rFonts w:ascii="Arial" w:cs="Arial" w:eastAsia="Arial" w:hAnsi="Arial"/>
          <w:sz w:val="18"/>
          <w:szCs w:val="18"/>
          <w:color w:val="auto"/>
        </w:rPr>
      </w:pPr>
    </w:p>
    <w:p>
      <w:pPr>
        <w:ind w:left="720" w:right="199" w:hanging="320"/>
        <w:spacing w:after="0" w:line="239"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161" w:lineRule="exact"/>
        <w:rPr>
          <w:rFonts w:ascii="Arial" w:cs="Arial" w:eastAsia="Arial" w:hAnsi="Arial"/>
          <w:sz w:val="18"/>
          <w:szCs w:val="18"/>
          <w:color w:val="auto"/>
        </w:rPr>
      </w:pPr>
    </w:p>
    <w:p>
      <w:pPr>
        <w:ind w:left="720" w:right="479" w:hanging="320"/>
        <w:spacing w:after="0" w:line="244"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or refinancing in the future for working capital, clinical trials, research and development, or other purposes.</w:t>
      </w:r>
    </w:p>
    <w:p>
      <w:pPr>
        <w:spacing w:after="0" w:line="158"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Any of the above-listed factors could materially adversely affect our business, financial condition, results of operations, and cash flows. The Loan Agreement also contains certain financial and other covenants, including limitations on, among other things, additional indebtedness, out licensing,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which could have a material adverse effect on our business, financial condition, and results of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19"/>
        <w:spacing w:after="0" w:line="252" w:lineRule="auto"/>
        <w:rPr>
          <w:sz w:val="20"/>
          <w:szCs w:val="20"/>
          <w:color w:val="auto"/>
        </w:rPr>
      </w:pPr>
      <w:r>
        <w:rPr>
          <w:rFonts w:ascii="Arial" w:cs="Arial" w:eastAsia="Arial" w:hAnsi="Arial"/>
          <w:sz w:val="18"/>
          <w:szCs w:val="18"/>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6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162" w:lineRule="exact"/>
        <w:rPr>
          <w:sz w:val="20"/>
          <w:szCs w:val="20"/>
          <w:color w:val="auto"/>
        </w:rPr>
      </w:pPr>
    </w:p>
    <w:p>
      <w:pPr>
        <w:ind w:left="720" w:right="79" w:hanging="320"/>
        <w:spacing w:after="0" w:line="235"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166" w:lineRule="exact"/>
        <w:rPr>
          <w:rFonts w:ascii="Arial" w:cs="Arial" w:eastAsia="Arial" w:hAnsi="Arial"/>
          <w:sz w:val="18"/>
          <w:szCs w:val="18"/>
          <w:color w:val="auto"/>
        </w:rPr>
      </w:pPr>
    </w:p>
    <w:p>
      <w:pPr>
        <w:ind w:left="720" w:right="179" w:hanging="320"/>
        <w:spacing w:after="0" w:line="23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which prohibits,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w:t>
      </w:r>
    </w:p>
    <w:p>
      <w:pPr>
        <w:spacing w:after="0" w:line="177" w:lineRule="exact"/>
        <w:rPr>
          <w:rFonts w:ascii="Arial" w:cs="Arial" w:eastAsia="Arial" w:hAnsi="Arial"/>
          <w:sz w:val="18"/>
          <w:szCs w:val="18"/>
          <w:color w:val="auto"/>
        </w:rPr>
      </w:pPr>
    </w:p>
    <w:p>
      <w:pPr>
        <w:ind w:left="720" w:right="279" w:hanging="320"/>
        <w:spacing w:after="0" w:line="23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720" w:right="79" w:hanging="320"/>
        <w:spacing w:after="0" w:line="23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implementing regulations, also impose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that perform certain services for or on their behalf involving the use or disclosure of individually identifiable health information;</w:t>
      </w:r>
    </w:p>
    <w:p>
      <w:pPr>
        <w:spacing w:after="0" w:line="162" w:lineRule="exact"/>
        <w:rPr>
          <w:rFonts w:ascii="Arial" w:cs="Arial" w:eastAsia="Arial" w:hAnsi="Arial"/>
          <w:sz w:val="18"/>
          <w:szCs w:val="18"/>
          <w:color w:val="auto"/>
        </w:rPr>
      </w:pPr>
    </w:p>
    <w:p>
      <w:pPr>
        <w:ind w:left="720" w:right="159" w:hanging="320"/>
        <w:spacing w:after="0" w:line="23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339" w:hanging="320"/>
        <w:spacing w:after="0" w:line="239"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Foreign Corrupt Practices Act, or FCPA, which prohibits companies and their intermediaries from making, or offering or promising to make improper payments to non-United States officials for the purpose of obtaining or retaining business or otherwise seeking favorable treatment; and</w:t>
      </w:r>
    </w:p>
    <w:p>
      <w:pPr>
        <w:spacing w:after="0" w:line="175" w:lineRule="exact"/>
        <w:rPr>
          <w:rFonts w:ascii="Arial" w:cs="Arial" w:eastAsia="Arial" w:hAnsi="Arial"/>
          <w:sz w:val="18"/>
          <w:szCs w:val="18"/>
          <w:color w:val="auto"/>
        </w:rPr>
      </w:pPr>
    </w:p>
    <w:p>
      <w:pPr>
        <w:ind w:left="720" w:right="59" w:hanging="320"/>
        <w:spacing w:after="0" w:line="234"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and biologic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state and foreign laws governing the privacy and security of health information in some circumstances, many of which differ from each other in significant ways and often are not preempted by HIPAA; state and foreign governments that have enacted or proposed requirements regarding the collection, retention, distribution, use, security, sharing, transfer, storage, and other processing of personally identifiable information and other data relating to individuals (including the EU General Data Protection Regulation 2016/679, or GDPR, and the California Consumer Protection Act, or CCPA), and federal and state consumer protection laws are being applied to enforce regulations related to the online collection, use, and dissemination of data, thus complicating compliance efforts.</w:t>
      </w:r>
    </w:p>
    <w:p>
      <w:pPr>
        <w:spacing w:after="0" w:line="174" w:lineRule="exact"/>
        <w:rPr>
          <w:sz w:val="20"/>
          <w:szCs w:val="20"/>
          <w:color w:val="auto"/>
        </w:rPr>
      </w:pPr>
    </w:p>
    <w:p>
      <w:pPr>
        <w:ind w:left="60" w:right="79"/>
        <w:spacing w:after="0" w:line="249" w:lineRule="auto"/>
        <w:rPr>
          <w:sz w:val="20"/>
          <w:szCs w:val="20"/>
          <w:color w:val="auto"/>
        </w:rPr>
      </w:pPr>
      <w:r>
        <w:rPr>
          <w:rFonts w:ascii="Arial" w:cs="Arial" w:eastAsia="Arial" w:hAnsi="Arial"/>
          <w:sz w:val="17"/>
          <w:szCs w:val="17"/>
          <w:color w:val="auto"/>
        </w:rPr>
        <w:t>Ensuring that our internal operations and business arrangements with third parties comply with applicable healthcare laws and regulations involves substantial costs. It is possible that governmental authorities will conclude that our business practices, including any consulting and advisory board arrangements with physicians and other healthcare providers,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United States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135" w:lineRule="exact"/>
        <w:rPr>
          <w:sz w:val="20"/>
          <w:szCs w:val="20"/>
          <w:color w:val="auto"/>
        </w:rPr>
      </w:pPr>
    </w:p>
    <w:p>
      <w:pPr>
        <w:ind w:left="60" w:right="79"/>
        <w:spacing w:after="0" w:line="252" w:lineRule="auto"/>
        <w:rPr>
          <w:sz w:val="20"/>
          <w:szCs w:val="20"/>
          <w:color w:val="auto"/>
        </w:rPr>
      </w:pPr>
      <w:r>
        <w:rPr>
          <w:rFonts w:ascii="Arial" w:cs="Arial" w:eastAsia="Arial" w:hAnsi="Arial"/>
          <w:sz w:val="18"/>
          <w:szCs w:val="18"/>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64"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products and product candidates, if approved. The United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w:t>
      </w:r>
    </w:p>
    <w:p>
      <w:pPr>
        <w:spacing w:after="0" w:line="174"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The ACA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administrative, executive, and legislative efforts to modify or eliminate the ACA. For example, the Tax Cuts and Jobs Act, enacted on December 22, 2017, repealed the shared responsibility payment for individuals who fail to maintain minimum essential coverage under section 5000A of the Code, commonly referred to as the individual mandate. The Trump administration issued executive orders which sought to reduce burdens associated with the ACA and modified how it was implemented. Other legislative changes have been proposed and adopted since passage of the ACA. The ACA has also been subject to challenges in the courts. On December 14, 2018, a Texas U.S. District Court Judge ruled that the ACA is unconstitutional in its entirety because the “individual mandate” was repealed by the United States Congress, or Congress. On December 18, 2019, the Fifth Circuit U.S. Court of Appeals held that the individual mandate is unconstitutional and remanded the case to the Texas District Court to reconsider its earlier invalidation of the entire ACA. An appeal was taken to the U.S. Supreme Court which heard oral arguments in the case on November 10, 2020. On June 17, 2021,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spacing w:after="0" w:line="174"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Further changes to and under the ACA remain possible, although the new Biden administration has signaled that it plans to build on the ACA and expand the number of people who are eligible for subsidies under it. President Biden indicated that he intends to use executive orders to undo changes to the ACA made by the Trump administration and would advocate for legislation to build on the ACA. It is unknown what form any such changes or any law proposed to replace the ACA would take, and how or whether it may affect our business in the future. We expect that changes to the ACA, the Medicare and Medicaid programs, changes allowing the federal government to directly negotiate drug and biologic prices, and changes stemming from other healthcare reform measures, especially with regard to healthcare access, financing, or other legislation in individual states, could have a material adverse effect on the healthcare industry.</w:t>
      </w:r>
    </w:p>
    <w:p>
      <w:pPr>
        <w:spacing w:after="0" w:line="167" w:lineRule="exact"/>
        <w:rPr>
          <w:sz w:val="20"/>
          <w:szCs w:val="20"/>
          <w:color w:val="auto"/>
        </w:rPr>
      </w:pPr>
    </w:p>
    <w:p>
      <w:pPr>
        <w:ind w:left="60" w:right="519"/>
        <w:spacing w:after="0" w:line="239" w:lineRule="auto"/>
        <w:rPr>
          <w:sz w:val="20"/>
          <w:szCs w:val="20"/>
          <w:color w:val="auto"/>
        </w:rPr>
      </w:pPr>
      <w:r>
        <w:rPr>
          <w:rFonts w:ascii="Arial" w:cs="Arial" w:eastAsia="Arial" w:hAnsi="Arial"/>
          <w:sz w:val="18"/>
          <w:szCs w:val="18"/>
          <w:color w:val="auto"/>
        </w:rPr>
        <w:t>The Budget Control Act of 2011 has resulted in reductions in spending on certain government programs, including aggregate reductions to Medicare payments to healthcare providers of up to 2.0% per fiscal year. These reductions have been extended until 2030 unless additional Congressional action is taken.</w:t>
      </w:r>
    </w:p>
    <w:p>
      <w:pPr>
        <w:spacing w:after="0" w:line="17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and maintain profitability of our product and product candidates, if approved.</w:t>
      </w:r>
    </w:p>
    <w:p>
      <w:pPr>
        <w:spacing w:after="0" w:line="16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CNTY-101 or any future product candidates may lose any marketing approval that may have been obtained and we may not achieve or sustain profitability, which would materially adversely affect our business, financial condition, and results of operations.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19"/>
        <w:spacing w:after="0" w:line="270"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14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are required to maintain internal controls over financial reporting. Commencing in 2022, we must perform system and process design evaluation and testing of the effectiveness of our internal controls over financial reporting to allow management to report on the effectiveness of our internal controls over financial reporting in our Annual Report on Form 10-K for that year, as required by Section 404 of the Sarbanes-Oxley Act of 2002, or the Sarbanes-Oxley Act. This will require that we incur substantial additional professional fees and internal costs to expand our accounting and finance functions and that we expend significant management efforts. Prior to our IPO, we were never required to test our internal controls within a specified period and, as a result, we may experience difficulty in meeting these reporting requirements in a timely manner. In addition, 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w:t>
      </w:r>
    </w:p>
    <w:p>
      <w:pPr>
        <w:spacing w:after="0" w:line="165"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if our independent registered public accounting firm determines that we have a material weakness or a significant deficiency in our internal control over financial reporting, or we are unable to maintain proper and effective internal controls over financial reporting, we may not be able to produce timely and accurate financial statements. As a result, our investors could lose confidence in our reported financial information, the market price of our stock could decline, and we could be subject to sanctions or investigations by the SEC or other regulatory authorities.</w:t>
      </w:r>
    </w:p>
    <w:p>
      <w:pPr>
        <w:spacing w:after="0" w:line="16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believe that any internal controls and procedures, no matter how well-conceived and operated, can provide only reasonable, not absolute, assurance that the objectives of the control system are met. We may discover 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may not be detected.</w:t>
      </w:r>
    </w:p>
    <w:p>
      <w:pPr>
        <w:spacing w:after="0" w:line="141" w:lineRule="exact"/>
        <w:rPr>
          <w:sz w:val="20"/>
          <w:szCs w:val="20"/>
          <w:color w:val="auto"/>
        </w:rPr>
      </w:pPr>
    </w:p>
    <w:p>
      <w:pPr>
        <w:ind w:left="60" w:right="99"/>
        <w:spacing w:after="0" w:line="252" w:lineRule="auto"/>
        <w:rPr>
          <w:sz w:val="20"/>
          <w:szCs w:val="20"/>
          <w:color w:val="auto"/>
        </w:rPr>
      </w:pPr>
      <w:r>
        <w:rPr>
          <w:rFonts w:ascii="Arial" w:cs="Arial" w:eastAsia="Arial" w:hAnsi="Arial"/>
          <w:sz w:val="18"/>
          <w:szCs w:val="18"/>
          <w:b w:val="1"/>
          <w:bCs w:val="1"/>
          <w:i w:val="1"/>
          <w:iCs w:val="1"/>
          <w:color w:val="auto"/>
        </w:rPr>
        <w:t>We, or our CMOs or suppliers, may use potent chemical agents and hazardous materials, and any claims relating to improper handling, storage or disposal of these materials could be time-consuming or costly.</w:t>
      </w:r>
    </w:p>
    <w:p>
      <w:pPr>
        <w:spacing w:after="0" w:line="15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or our CMOs or suppliers, including FCDI, use biological materials, potent chemical agents and may use hazardous materials, including chemicals and biological agents and compounds that could be dangerous to human health and safety of the environment. The operations of our CMOs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w:t>
      </w:r>
    </w:p>
    <w:p>
      <w:pPr>
        <w:spacing w:after="0" w:line="176" w:lineRule="exact"/>
        <w:rPr>
          <w:sz w:val="20"/>
          <w:szCs w:val="20"/>
          <w:color w:val="auto"/>
        </w:rPr>
      </w:pPr>
    </w:p>
    <w:p>
      <w:pPr>
        <w:jc w:val="both"/>
        <w:ind w:left="60" w:right="319"/>
        <w:spacing w:after="0" w:line="260"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these laws and regulations also may result in substantial fines, penalties, or other sanctions or liabilities, which could materially adversely affect our business, financial condition, results of operations, and prospects.</w:t>
      </w:r>
    </w:p>
    <w:p>
      <w:pPr>
        <w:spacing w:after="0" w:line="149" w:lineRule="exact"/>
        <w:rPr>
          <w:sz w:val="20"/>
          <w:szCs w:val="20"/>
          <w:color w:val="auto"/>
        </w:rPr>
      </w:pPr>
    </w:p>
    <w:p>
      <w:pPr>
        <w:ind w:left="60" w:right="659"/>
        <w:spacing w:after="0" w:line="270"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w:t>
      </w:r>
    </w:p>
    <w:p>
      <w:pPr>
        <w:spacing w:after="0" w:line="135"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While we currently have no product candidates that have commenced clinical trials or been approved for commercial sale, the future use of product candidates by us in clinical trials, and the sale of any approved products in the future, may expose us to liability claims. For example, we may be sued if CNTY-101 and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6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74" w:lineRule="exact"/>
        <w:rPr>
          <w:sz w:val="20"/>
          <w:szCs w:val="20"/>
          <w:color w:val="auto"/>
        </w:rPr>
      </w:pPr>
    </w:p>
    <w:p>
      <w:pPr>
        <w:ind w:left="720" w:hanging="320"/>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96" w:lineRule="exact"/>
        <w:rPr>
          <w:rFonts w:ascii="Arial" w:cs="Arial" w:eastAsia="Arial" w:hAnsi="Arial"/>
          <w:sz w:val="18"/>
          <w:szCs w:val="18"/>
          <w:color w:val="auto"/>
        </w:rPr>
      </w:pPr>
    </w:p>
    <w:p>
      <w:pPr>
        <w:ind w:left="720" w:hanging="320"/>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96" w:lineRule="exact"/>
        <w:rPr>
          <w:rFonts w:ascii="Arial" w:cs="Arial" w:eastAsia="Arial" w:hAnsi="Arial"/>
          <w:sz w:val="18"/>
          <w:szCs w:val="18"/>
          <w:color w:val="auto"/>
        </w:rPr>
      </w:pPr>
    </w:p>
    <w:p>
      <w:pPr>
        <w:ind w:left="720" w:hanging="320"/>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pacing w:after="0" w:line="196" w:lineRule="exact"/>
        <w:rPr>
          <w:rFonts w:ascii="Arial" w:cs="Arial" w:eastAsia="Arial" w:hAnsi="Arial"/>
          <w:sz w:val="18"/>
          <w:szCs w:val="18"/>
          <w:color w:val="auto"/>
        </w:rPr>
      </w:pPr>
    </w:p>
    <w:p>
      <w:pPr>
        <w:ind w:left="720" w:hanging="320"/>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CNTY-101 or our other product candidates; and</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97"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currently hold product liability coverage in an amount we consider reasonable. We may need to increase our insurance coverage as we expand our clinical trials or if we commence commercialization of CNTY-101 or our other product candidates. Insurance coverage is increasingly expensive. Our inability to obtain and retain sufficient product liability insurance at an acceptable cost to protect against potential product liability claims could prevent or inhibit the commercialization of CNTY-101 or our other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w:t>
      </w:r>
    </w:p>
    <w:p>
      <w:pPr>
        <w:sectPr>
          <w:pgSz w:w="11900" w:h="16838" w:orient="portrait"/>
          <w:cols w:equalWidth="0" w:num="1">
            <w:col w:w="9019"/>
          </w:cols>
          <w:pgMar w:left="1440" w:top="529"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346075</wp:posOffset>
            </wp:positionV>
            <wp:extent cx="5663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539"/>
        <w:spacing w:after="0" w:line="244" w:lineRule="auto"/>
        <w:rPr>
          <w:sz w:val="20"/>
          <w:szCs w:val="20"/>
          <w:color w:val="auto"/>
        </w:rPr>
      </w:pPr>
      <w:r>
        <w:rPr>
          <w:rFonts w:ascii="Arial" w:cs="Arial" w:eastAsia="Arial" w:hAnsi="Arial"/>
          <w:sz w:val="18"/>
          <w:szCs w:val="18"/>
          <w:color w:val="auto"/>
        </w:rPr>
        <w:t>by a court or negotiated in a settlement that exceed our coverage limitations or that are not covered by our insurance, and we may not have, or be able to obtain, sufficient capital to pay such amounts.</w:t>
      </w:r>
    </w:p>
    <w:p>
      <w:pPr>
        <w:spacing w:after="0" w:line="149" w:lineRule="exact"/>
        <w:rPr>
          <w:sz w:val="20"/>
          <w:szCs w:val="20"/>
          <w:color w:val="auto"/>
        </w:rPr>
      </w:pPr>
    </w:p>
    <w:p>
      <w:pPr>
        <w:ind w:left="60" w:right="99"/>
        <w:spacing w:after="0" w:line="274" w:lineRule="auto"/>
        <w:rPr>
          <w:sz w:val="20"/>
          <w:szCs w:val="20"/>
          <w:color w:val="auto"/>
        </w:rPr>
      </w:pPr>
      <w:r>
        <w:rPr>
          <w:rFonts w:ascii="Arial" w:cs="Arial" w:eastAsia="Arial" w:hAnsi="Arial"/>
          <w:sz w:val="17"/>
          <w:szCs w:val="17"/>
          <w:b w:val="1"/>
          <w:bCs w:val="1"/>
          <w:i w:val="1"/>
          <w:iCs w:val="1"/>
          <w:color w:val="auto"/>
        </w:rPr>
        <w:t>We may be unable to adequately protect our or our vendors’ information systems from cyberattacks or other incidents, which could result in the disclosure of confidential or proprietary information, including personal data, damage our reputation, and subject us to significant financial and legal exposure.</w:t>
      </w:r>
    </w:p>
    <w:p>
      <w:pPr>
        <w:spacing w:after="0" w:line="133"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Additionally, our security measures or those of our vendors could be breached as a result of employee theft, exfiltration, misuse, malfeasance, or unintentional events. A successful cyberattack or other data security incident could result in the theft or destruction of intellectual property, data, or other misappropriation of assets, or otherwise 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74"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17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also cannot be certain that our existing insurance coverage will cover any claims against us relating to any security incident or breach, will be available in sufficient amounts to cover the potentially significant losses that may result from a security incident or breach, will continue to be available on acceptable terms or at all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169"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We or our collaborators may be subject to federal, state, and foreign data privacy and security laws and regulations. In the United States, numerous federal and state laws and regulations, including federal health information privacy laws, state data breach notification laws, state health information privacy laws, and federal and state consumer protection laws, govern the collection, use, disclosure, storage, transfer, protection, and other processing of health-related and other personal information could apply to our operations or the operations of our collaborators. Many state legislatures have adopted legislation that regulates how businesses operate online, including measures relating to privacy, data security, and data breaches, and laws in all 50 states require businesses to provide notice to customers whose personally identifiable information has been disclosed as a result of a data breach. Such laws are not consistent, and compliance in the event of a widespread data breach is costly. By way of example, the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Additionally, a new privacy law, the California Privacy Rights Act, or the CPRA, was approved by California voters in the election of November 3, 2020. The CPRA, which will take effect in most material respects on January 1, 2023, modifies the CCPA significantly, potentially resulting in further uncertainty and requiring us to incur additional costs and expenses in an effort to comply.</w:t>
      </w:r>
    </w:p>
    <w:p>
      <w:pPr>
        <w:spacing w:after="0" w:line="174"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Foreign data protection laws, including the GDPR, may also apply to health-related and other personal information obtained outside of the United States. The GDPR went into effect in the EU in May 2018 and introduced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of up to € 20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Union and the United States remains uncertain. For example, in 2016, the European Union and United States agreed to a transfer framework for data transferred from the European Union to the United States called the Privacy Shield, but the Privacy Shield was invalidated in July 2020 by the Court of Justice of the European Union. Further, the vote in the United Kingdom in favor of exiting the European Union, referred to as Brexit, has created uncertainty with regard to data protection regulation in the United Kingdom. The United Kingdom has transposed the GDPR into domestic law with a United Kingdom version of the GDPR that took effect in January 2021, which could expose us to two parallel regimes, each of which potentially authorizes similar fines and other potentially divergent enforcement actions for violations. In addition, it is still unclear whether transfer of data from the European Economic Area to the United Kingdom will remain lawful under the GDPR. On December 24, 2020, the United Kingdom and European Union entered into a Trade and Cooperation Agreement. The Trade and Cooperation Agreement provides for a transitional period during which the United Kingdom will be treated like an European Union member state in relation to processing and transfers of personal data until June 30, 2021. After such period, the United Kingdom will be a “third country” under the GDPR unless the European Commission adopts an adequacy decision in respect of transfers of personal data to the United Kingdom. Compliance with United States and foreign data protection laws and regulations could require us to take on more onerous obligations in our contracts, restrict our ability to collect, use and disclose data, or in some cases, impact our ability to operate in certain jurisdictions.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152" w:lineRule="exact"/>
        <w:rPr>
          <w:sz w:val="20"/>
          <w:szCs w:val="20"/>
          <w:color w:val="auto"/>
        </w:rPr>
      </w:pPr>
    </w:p>
    <w:p>
      <w:pPr>
        <w:ind w:left="60" w:right="179"/>
        <w:spacing w:after="0" w:line="252"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50"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or biologic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3" w:lineRule="exact"/>
        <w:rPr>
          <w:sz w:val="20"/>
          <w:szCs w:val="20"/>
          <w:color w:val="auto"/>
        </w:rPr>
      </w:pPr>
    </w:p>
    <w:p>
      <w:pPr>
        <w:ind w:left="60" w:right="659"/>
        <w:spacing w:after="0" w:line="270" w:lineRule="auto"/>
        <w:rPr>
          <w:sz w:val="20"/>
          <w:szCs w:val="20"/>
          <w:color w:val="auto"/>
        </w:rPr>
      </w:pPr>
      <w:r>
        <w:rPr>
          <w:rFonts w:ascii="Arial" w:cs="Arial" w:eastAsia="Arial" w:hAnsi="Arial"/>
          <w:sz w:val="18"/>
          <w:szCs w:val="18"/>
          <w:b w:val="1"/>
          <w:bCs w:val="1"/>
          <w:i w:val="1"/>
          <w:iCs w:val="1"/>
          <w:color w:val="auto"/>
        </w:rPr>
        <w:t>We do not currently own any issued patents or non-provisional patent applications relating to our product candidates</w:t>
      </w:r>
      <w:r>
        <w:rPr>
          <w:rFonts w:ascii="Arial" w:cs="Arial" w:eastAsia="Arial" w:hAnsi="Arial"/>
          <w:sz w:val="18"/>
          <w:szCs w:val="18"/>
          <w:color w:val="auto"/>
        </w:rPr>
        <w:t>.</w:t>
      </w:r>
    </w:p>
    <w:p>
      <w:pPr>
        <w:spacing w:after="0" w:line="135"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Given the early stage of development of our product candidates, our patent portfolio is similarly at a very early stage. In particular, we do not own any issued patents or non-provisional patent applications, and we have not filed any patent applications related to our product candidates other than CNTY-101.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 likely harm our business and ability to achieve profitability. To establish our proprietary position, we have filed provisional patent applications in the United States related to CNTY-101 and other aspects of our technology. However, United States provisional patent applications are not eligible to become issued patents unless and until, among other things, we file a non-provisional patent application within 12 months of filing of one or more of our related provisional patent applications.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protection with respect to our antibody technology and any proprietary products and technology we develop, our business, financial condition, results of operations, and prospects could be materially harmed.</w:t>
      </w:r>
    </w:p>
    <w:p>
      <w:pPr>
        <w:spacing w:after="0" w:line="149" w:lineRule="exact"/>
        <w:rPr>
          <w:sz w:val="20"/>
          <w:szCs w:val="20"/>
          <w:color w:val="auto"/>
        </w:rPr>
      </w:pPr>
    </w:p>
    <w:p>
      <w:pPr>
        <w:ind w:left="60" w:right="199"/>
        <w:spacing w:after="0" w:line="252" w:lineRule="auto"/>
        <w:rPr>
          <w:sz w:val="20"/>
          <w:szCs w:val="20"/>
          <w:color w:val="auto"/>
        </w:rPr>
      </w:pPr>
      <w:r>
        <w:rPr>
          <w:rFonts w:ascii="Arial" w:cs="Arial" w:eastAsia="Arial" w:hAnsi="Arial"/>
          <w:sz w:val="18"/>
          <w:szCs w:val="18"/>
          <w:b w:val="1"/>
          <w:bCs w:val="1"/>
          <w:i w:val="1"/>
          <w:iCs w:val="1"/>
          <w:color w:val="auto"/>
        </w:rPr>
        <w:t>If any of our license agreements with FCDI or our other licensors, including iCELL Inc. and the Governing Council of the University of Toronto and McMaster University, are terminated, we could lose our rights to key components enabling our iPSC-derived allogeneic cell therapy platforms.</w:t>
      </w:r>
    </w:p>
    <w:p>
      <w:pPr>
        <w:spacing w:after="0" w:line="150"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Our commercial success will depend in part on the maintenance of our license agreements. In September 2018, we entered into an exclusive license with FCDI, pursuant to which we have received an exclusive license to certain patents and know-how related to the differentiation of iPSC cells into immune-effector cells in the field of cancer immunotherapeutics, or the Differentiation License, and a non-exclusive license for the rights to certain patents and know-how related to the reprogramming of human somatic cells to iPSCs in the field of cancer immunotherapeutics, or the Reprogramming License, and together with the Differentiation License, the FCDI Licenses. A critical aspect to manufacturing our product candidates involves the reprogramming of certain cells into iPSCs and the differentiation of iPSCs into immune cells. We utilize technology licensed from FCDI to reprogram cells to become iPSCs and to differentiate the iPSCs to generate different immune cell types including NK cells and T cells. By utilizing this licensed technology, we are currently capable of achieving fully functional iNK cells from iPSCs in approximately 30 days.</w:t>
      </w:r>
    </w:p>
    <w:p>
      <w:pPr>
        <w:spacing w:after="0" w:line="165"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have also entered into an exclusive sublicense, or the iCELL Sublicense, with iCELL Inc., or iCELL, for certain patents related to an immune function reconstruction method using multipotent stem cells and the method for producing antigen specific T-cells, and acquired a license agreement from Empirica Therapeutics, or the Empirica License, pursuant to which we receive an exclusive license from the Governing Council of the University of Toronto and the McMaster University under certain patents and antibody sequences and related intellectual property rights and know-how to, among other things, reproduce, manufacture and commercialize certain CD-133 related antibody and antibody sequence-derived technology.</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FCDI Licenses and certain of our other license agreements, including the iCELL Sublicense and Empirica License, impose, and future license agreements may impose, various diligence, milestone payment, royalty, and other obligations on us. If we fail to comply with our obligations under the FCDI Licenses, our other license agreements, or any future license agreements with any party, or we are subject to a bankruptcy, the licensor may have the right to terminate the license, in which event we would not be able to develop products covered by such license.</w:t>
      </w:r>
    </w:p>
    <w:p>
      <w:pPr>
        <w:spacing w:after="0" w:line="164"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If, for any reason, the FCDI Licenses or any of our other license agreements are terminated or we otherwise lose the rights under such agreements, it would adversely affect our business. If we breach any material obligations under the FCDI Licenses or any of our other license agreements, FCDI or the applicable licensor may have the right to terminate our license, which could result in us being unable to develop, manufacture, or sell our product candidates that incorporate the intellectual property subject to such license.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or at all.</w:t>
      </w:r>
    </w:p>
    <w:p>
      <w:pPr>
        <w:spacing w:after="0" w:line="140" w:lineRule="exact"/>
        <w:rPr>
          <w:sz w:val="20"/>
          <w:szCs w:val="20"/>
          <w:color w:val="auto"/>
        </w:rPr>
      </w:pPr>
    </w:p>
    <w:p>
      <w:pPr>
        <w:ind w:left="60" w:right="619"/>
        <w:spacing w:after="0" w:line="270"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intellectual property rights in the future for the development of CNTY-101 and our other product candidates.</w:t>
      </w:r>
    </w:p>
    <w:p>
      <w:pPr>
        <w:spacing w:after="0" w:line="148" w:lineRule="exact"/>
        <w:rPr>
          <w:sz w:val="20"/>
          <w:szCs w:val="20"/>
          <w:color w:val="auto"/>
        </w:rPr>
      </w:pPr>
    </w:p>
    <w:p>
      <w:pPr>
        <w:ind w:left="60" w:right="419"/>
        <w:spacing w:after="0" w:line="260" w:lineRule="auto"/>
        <w:rPr>
          <w:sz w:val="20"/>
          <w:szCs w:val="20"/>
          <w:color w:val="auto"/>
        </w:rPr>
      </w:pPr>
      <w:r>
        <w:rPr>
          <w:rFonts w:ascii="Arial" w:cs="Arial" w:eastAsia="Arial" w:hAnsi="Arial"/>
          <w:sz w:val="17"/>
          <w:szCs w:val="17"/>
          <w:color w:val="auto"/>
        </w:rPr>
        <w:t>We may in the future enter into additional license agreements with third parties for other intellectual property rights or assets to advance our research or allow commercialization of CNTY-101 and our other product candidates, and we cannot provide any assurances that third-party patents do not exist which might be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enforced against CNTY-101 and our other product candidates in the absence of such a license. We may fail to obtain any of these licenses on commercially reasonable terms, if at all. Even if we are able to obtain a license, it may be non-exclusive or may not provide exclusive rights to use such intellectual property and technology in all relevant fields of use and in all territories, thereby giving our competitors access to the same technologies licensed to us. In that event, we may be required to expend significant time and resources to develop or license replacement technology, which may not be feasible on a technical or commercial basis.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78" w:lineRule="exact"/>
        <w:rPr>
          <w:sz w:val="20"/>
          <w:szCs w:val="20"/>
          <w:color w:val="auto"/>
        </w:rPr>
      </w:pPr>
    </w:p>
    <w:p>
      <w:pPr>
        <w:ind w:left="720" w:right="279" w:hanging="320"/>
        <w:spacing w:after="0" w:line="238"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the resolution of which could narrow what we believe to be the scope of our rights to the relevant intellectual property or technology, or increase what we believe to be our financial or other obligations under the relevant agreement;</w:t>
      </w:r>
    </w:p>
    <w:p>
      <w:pPr>
        <w:spacing w:after="0" w:line="160" w:lineRule="exact"/>
        <w:rPr>
          <w:rFonts w:ascii="Arial" w:cs="Arial" w:eastAsia="Arial" w:hAnsi="Arial"/>
          <w:sz w:val="18"/>
          <w:szCs w:val="18"/>
          <w:color w:val="auto"/>
        </w:rPr>
      </w:pPr>
    </w:p>
    <w:p>
      <w:pPr>
        <w:ind w:left="720" w:right="319" w:hanging="320"/>
        <w:spacing w:after="0" w:line="244"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that is not subject to the licensing agreement;</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right to sublicense patents and other intellectual property rights to third parties;</w:t>
      </w:r>
    </w:p>
    <w:p>
      <w:pPr>
        <w:spacing w:after="0" w:line="196" w:lineRule="exact"/>
        <w:rPr>
          <w:rFonts w:ascii="Arial" w:cs="Arial" w:eastAsia="Arial" w:hAnsi="Arial"/>
          <w:sz w:val="18"/>
          <w:szCs w:val="18"/>
          <w:color w:val="auto"/>
        </w:rPr>
      </w:pPr>
    </w:p>
    <w:p>
      <w:pPr>
        <w:ind w:left="720" w:right="119" w:hanging="320"/>
        <w:spacing w:after="0" w:line="239"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CNTY-101 and our other product candidates, and what activities satisfy those diligence obligations;</w:t>
      </w:r>
    </w:p>
    <w:p>
      <w:pPr>
        <w:spacing w:after="0" w:line="161" w:lineRule="exact"/>
        <w:rPr>
          <w:rFonts w:ascii="Arial" w:cs="Arial" w:eastAsia="Arial" w:hAnsi="Arial"/>
          <w:sz w:val="18"/>
          <w:szCs w:val="18"/>
          <w:color w:val="auto"/>
        </w:rPr>
      </w:pPr>
    </w:p>
    <w:p>
      <w:pPr>
        <w:ind w:left="720" w:hanging="320"/>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83" w:lineRule="exact"/>
        <w:rPr>
          <w:rFonts w:ascii="Arial" w:cs="Arial" w:eastAsia="Arial" w:hAnsi="Arial"/>
          <w:sz w:val="18"/>
          <w:szCs w:val="18"/>
          <w:color w:val="auto"/>
        </w:rPr>
      </w:pPr>
    </w:p>
    <w:p>
      <w:pPr>
        <w:ind w:left="720" w:right="259" w:hanging="320"/>
        <w:spacing w:after="0" w:line="244"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ownership of inventions, know-how, and other intellectual property resulting from the joint creation or use of intellectual property by our licensors and us and our partners.</w:t>
      </w:r>
    </w:p>
    <w:p>
      <w:pPr>
        <w:spacing w:after="0" w:line="171" w:lineRule="exact"/>
        <w:rPr>
          <w:sz w:val="20"/>
          <w:szCs w:val="20"/>
          <w:color w:val="auto"/>
        </w:rPr>
      </w:pPr>
    </w:p>
    <w:p>
      <w:pPr>
        <w:jc w:val="both"/>
        <w:ind w:left="60" w:right="319"/>
        <w:spacing w:after="0" w:line="239"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16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respect to any licensed product, we may be required to pay a specified percentage of all revenue to be received in connection with such transaction.</w:t>
      </w:r>
    </w:p>
    <w:p>
      <w:pPr>
        <w:spacing w:after="0" w:line="162"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Under one of the FCDI Licenses and certain other in-licenses under which we sublicense certain rights related to our technology, we rely on FCDI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 and loss of such rights.</w:t>
      </w:r>
    </w:p>
    <w:p>
      <w:pPr>
        <w:spacing w:after="0" w:line="156" w:lineRule="exact"/>
        <w:rPr>
          <w:sz w:val="20"/>
          <w:szCs w:val="20"/>
          <w:color w:val="auto"/>
        </w:rPr>
      </w:pPr>
    </w:p>
    <w:p>
      <w:pPr>
        <w:ind w:left="60" w:right="359"/>
        <w:spacing w:after="0" w:line="270" w:lineRule="auto"/>
        <w:rPr>
          <w:sz w:val="20"/>
          <w:szCs w:val="20"/>
          <w:color w:val="auto"/>
        </w:rPr>
      </w:pPr>
      <w:r>
        <w:rPr>
          <w:rFonts w:ascii="Arial" w:cs="Arial" w:eastAsia="Arial" w:hAnsi="Arial"/>
          <w:sz w:val="18"/>
          <w:szCs w:val="18"/>
          <w:b w:val="1"/>
          <w:bCs w:val="1"/>
          <w:i w:val="1"/>
          <w:iCs w:val="1"/>
          <w:color w:val="auto"/>
        </w:rPr>
        <w:t>Our success depends on our ability to obtain, maintain, protect, and enforce our intellectual property and our proprietary technologies.</w:t>
      </w:r>
    </w:p>
    <w:p>
      <w:pPr>
        <w:spacing w:after="0" w:line="135"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Our commercial success depends in part on our ability to obtain, maintain, protect, and enforce our intellectual property and proprietary technologies, including patent protection and trade secret protection for CNTY-101 and our other product candidates, proprietary technologies and their uses as well as our ability to</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operate without infringing, misappropriating, or otherwise violating the intellectual property or proprietary rights of others. If we are unable to obtain, maintain, protect, or enforce our intellectual property rights or if our intellectual property rights are inadequate for our technology or our product candidates, our competitive position could be harmed, which could have a material adverse impact on our business, results of operations, financial conditions, and prospects. Although we have filed provisional patent applications with respect to CNTY-101 and other aspects of our product technology, our patent portfolio is in an earlier stage of prosecution, and we have not filed any patent applications related to our product candidates other than CNTY-101. We do not own any issued patents related to CNTY-101 and our other product candidates. Our patent applications cannot be enforced against third parties practicing the technology claimed in such applications unless, and until, patents are issued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misappropriated, violated, designed around or invalidated by third parties. Even issued patents may later be found invalid or unenforceable or may be modified or revoked in proceedings instituted by third parties before various patent offices or in courts. The degree of future protection for our intellectual property and proprietary rights is uncertain. Only limited protection may be available and may not adequately obtain, maintain, protect, and enforce our rights or permit us to gain or keep any competitive advantage. These uncertainties and/or limitations in our ability to properly obtain, maintain, protect, and enforce the intellectual property rights relating to CNTY-101 and our other product candidates could have a material adverse effect on our financial condition and results of operations.</w:t>
      </w:r>
    </w:p>
    <w:p>
      <w:pPr>
        <w:spacing w:after="0" w:line="188"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Because CNTY-101 is our lead product candidate, and because our other product candidates are based on similar technology, if we are unable to obtain patent protection for CNTY-101, our other product candidates in our pipeline could be significantly impaired, which could materially adversely affect our business, financial conditions, results of operations, and growth prospects.</w:t>
      </w:r>
    </w:p>
    <w:p>
      <w:pPr>
        <w:spacing w:after="0" w:line="16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cannot be certain that the claims in our pending patent applications will be considered patentable by the United States Patent and Trademark Office, or USPTO, courts in the United States or by the patent offices and courts in foreign countries, nor can we be certain that claims that may ultimately issue from our patent applications will not be found invalid or unenforceable if challenged. If we are unable to obtain or maintain patent protection with respect to our product candidates, our business, financial condition, results of operations, and prospects could be materially harmed.</w:t>
      </w:r>
    </w:p>
    <w:p>
      <w:pPr>
        <w:spacing w:after="0" w:line="164" w:lineRule="exact"/>
        <w:rPr>
          <w:sz w:val="20"/>
          <w:szCs w:val="20"/>
          <w:color w:val="auto"/>
        </w:rPr>
      </w:pPr>
    </w:p>
    <w:p>
      <w:pPr>
        <w:ind w:left="60" w:right="279"/>
        <w:spacing w:after="0" w:line="260" w:lineRule="auto"/>
        <w:rPr>
          <w:sz w:val="20"/>
          <w:szCs w:val="20"/>
          <w:color w:val="auto"/>
        </w:rPr>
      </w:pPr>
      <w:r>
        <w:rPr>
          <w:rFonts w:ascii="Arial" w:cs="Arial" w:eastAsia="Arial" w:hAnsi="Arial"/>
          <w:sz w:val="17"/>
          <w:szCs w:val="17"/>
          <w:color w:val="auto"/>
        </w:rPr>
        <w:t>The patent application process is subject to numerous risks and uncertainties, and there can be no assurance that we or any of our potential future collaborators will be successful in protecting CNTY-101 and our other product candidates by obtaining and defending patents. These risks and uncertainties include the following:</w:t>
      </w:r>
    </w:p>
    <w:p>
      <w:pPr>
        <w:spacing w:after="0" w:line="158" w:lineRule="exact"/>
        <w:rPr>
          <w:sz w:val="20"/>
          <w:szCs w:val="20"/>
          <w:color w:val="auto"/>
        </w:rPr>
      </w:pPr>
    </w:p>
    <w:p>
      <w:pPr>
        <w:ind w:left="720" w:right="399" w:hanging="320"/>
        <w:spacing w:after="0" w:line="238"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60" w:lineRule="exact"/>
        <w:rPr>
          <w:rFonts w:ascii="Arial" w:cs="Arial" w:eastAsia="Arial" w:hAnsi="Arial"/>
          <w:sz w:val="18"/>
          <w:szCs w:val="18"/>
          <w:color w:val="auto"/>
        </w:rPr>
      </w:pPr>
    </w:p>
    <w:p>
      <w:pPr>
        <w:ind w:left="720" w:hanging="320"/>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83" w:lineRule="exact"/>
        <w:rPr>
          <w:rFonts w:ascii="Arial" w:cs="Arial" w:eastAsia="Arial" w:hAnsi="Arial"/>
          <w:sz w:val="18"/>
          <w:szCs w:val="18"/>
          <w:color w:val="auto"/>
        </w:rPr>
      </w:pPr>
    </w:p>
    <w:p>
      <w:pPr>
        <w:ind w:left="720" w:right="79" w:hanging="320"/>
        <w:spacing w:after="0" w:line="244"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71" w:lineRule="exact"/>
        <w:rPr>
          <w:rFonts w:ascii="Arial" w:cs="Arial" w:eastAsia="Arial" w:hAnsi="Arial"/>
          <w:sz w:val="18"/>
          <w:szCs w:val="18"/>
          <w:color w:val="auto"/>
        </w:rPr>
      </w:pPr>
    </w:p>
    <w:p>
      <w:pPr>
        <w:ind w:left="720" w:right="159" w:hanging="320"/>
        <w:spacing w:after="0" w:line="238"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CNTY-101 and our other product candidates;</w:t>
      </w:r>
    </w:p>
    <w:p>
      <w:pPr>
        <w:spacing w:after="0" w:line="160" w:lineRule="exact"/>
        <w:rPr>
          <w:rFonts w:ascii="Arial" w:cs="Arial" w:eastAsia="Arial" w:hAnsi="Arial"/>
          <w:sz w:val="18"/>
          <w:szCs w:val="18"/>
          <w:color w:val="auto"/>
        </w:rPr>
      </w:pPr>
    </w:p>
    <w:p>
      <w:pPr>
        <w:ind w:left="720" w:right="479" w:hanging="320"/>
        <w:spacing w:after="0" w:line="273" w:lineRule="auto"/>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international governmental bodies to limit the scope of patent protection both inside and outside the United States for disease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treatments that prove successful, as a matter of public policy regarding worldwide health concerns; and</w:t>
      </w:r>
    </w:p>
    <w:p>
      <w:pPr>
        <w:spacing w:after="0" w:line="183" w:lineRule="exact"/>
        <w:rPr>
          <w:sz w:val="20"/>
          <w:szCs w:val="20"/>
          <w:color w:val="auto"/>
        </w:rPr>
      </w:pPr>
    </w:p>
    <w:p>
      <w:pPr>
        <w:ind w:left="720" w:right="59" w:hanging="320"/>
        <w:spacing w:after="0" w:line="239"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162"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The patent prosecution process is also expensive and time-consuming,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62"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CMOs, consultants, advisors, and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licensed patents or pending patent applications, or that we were the first to file for patent protection of such inventions.</w:t>
      </w:r>
    </w:p>
    <w:p>
      <w:pPr>
        <w:spacing w:after="0" w:line="158" w:lineRule="exact"/>
        <w:rPr>
          <w:sz w:val="20"/>
          <w:szCs w:val="20"/>
          <w:color w:val="auto"/>
        </w:rPr>
      </w:pPr>
    </w:p>
    <w:p>
      <w:pPr>
        <w:ind w:left="60" w:right="299"/>
        <w:spacing w:after="0" w:line="252"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50"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162"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CNTY-101 and our other product candidates will be protectable or remain protected by valid and enforceable patents. Our competitors or other third parties may be able to circumvent our patents by developing similar or alternative technologies or products in a non-infringing, misappropriating, or violating manner which could materially adversely affect our business, financial condition, results of operations and prospects.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not cover CNTY-101 and our other product candidates or may be challenged in the courts or patent offices in the United States and abroad. We may be subject to a third-party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CNTY-101 and our other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or our licensors’ ability to stop others from using or commercializing similar or identical technology and products, or limit the duration of the patent protection of CNTY-101 and our other product candidates. Such proceedings also may result in substantial costs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66" w:lineRule="exact"/>
        <w:rPr>
          <w:sz w:val="20"/>
          <w:szCs w:val="20"/>
          <w:color w:val="auto"/>
        </w:rPr>
      </w:pPr>
    </w:p>
    <w:p>
      <w:pPr>
        <w:ind w:left="60" w:right="139"/>
        <w:spacing w:after="0" w:line="270" w:lineRule="auto"/>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35"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4"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intellectual property that we may need to operate our business. If any of our licensors or any of our future licensors or future collaborators fail to appropriately prosecute and maintain patent protection for patents covering CNTY-101 and our other product candidates, our ability to develop and commercialize those product candidates may be adversely affected and we may not be able to prevent competitors from making, using, and selling competing products.</w:t>
      </w:r>
    </w:p>
    <w:p>
      <w:pPr>
        <w:spacing w:after="0" w:line="175" w:lineRule="exact"/>
        <w:rPr>
          <w:sz w:val="20"/>
          <w:szCs w:val="20"/>
          <w:color w:val="auto"/>
        </w:rPr>
      </w:pPr>
    </w:p>
    <w:p>
      <w:pPr>
        <w:ind w:left="60" w:right="379"/>
        <w:spacing w:after="0" w:line="238"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61"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6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In addition, the research resulting in certain of our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United States government also has the right to take title to these inventions if the applicable licensor fails to disclose the invention to the government or fails to file an application to register the intellectual property within specified time limits.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75"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CNTY-101 and our other product candidates.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203" w:lineRule="exact"/>
        <w:rPr>
          <w:sz w:val="20"/>
          <w:szCs w:val="20"/>
          <w:color w:val="auto"/>
        </w:rPr>
      </w:pPr>
    </w:p>
    <w:p>
      <w:pPr>
        <w:jc w:val="both"/>
        <w:ind w:left="60" w:right="579"/>
        <w:spacing w:after="0" w:line="23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5" w:lineRule="exact"/>
        <w:rPr>
          <w:sz w:val="20"/>
          <w:szCs w:val="20"/>
          <w:color w:val="auto"/>
        </w:rPr>
      </w:pPr>
    </w:p>
    <w:p>
      <w:pPr>
        <w:ind w:left="720" w:right="179" w:hanging="320"/>
        <w:spacing w:after="0" w:line="244"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CNTY-101 and our other product candidates but that are not covered by the claims of the patents that we own or license;</w:t>
      </w:r>
    </w:p>
    <w:p>
      <w:pPr>
        <w:spacing w:after="0" w:line="157" w:lineRule="exact"/>
        <w:rPr>
          <w:rFonts w:ascii="Arial" w:cs="Arial" w:eastAsia="Arial" w:hAnsi="Arial"/>
          <w:sz w:val="18"/>
          <w:szCs w:val="18"/>
          <w:color w:val="auto"/>
        </w:rPr>
      </w:pPr>
    </w:p>
    <w:p>
      <w:pPr>
        <w:ind w:left="720" w:right="79" w:hanging="320"/>
        <w:spacing w:after="0" w:line="244"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or predecessors might not have been the first to make the inventions covered by the issued patents or patent application that we own or license;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399" w:hanging="320"/>
        <w:spacing w:after="0" w:line="244"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licensors or predecessors might not have been the first to file patent applications covering certain of our inventions;</w:t>
      </w:r>
    </w:p>
    <w:p>
      <w:pPr>
        <w:spacing w:after="0" w:line="171" w:lineRule="exact"/>
        <w:rPr>
          <w:rFonts w:ascii="Arial" w:cs="Arial" w:eastAsia="Arial" w:hAnsi="Arial"/>
          <w:sz w:val="18"/>
          <w:szCs w:val="18"/>
          <w:color w:val="auto"/>
        </w:rPr>
      </w:pPr>
    </w:p>
    <w:p>
      <w:pPr>
        <w:ind w:left="720" w:right="239" w:hanging="320"/>
        <w:spacing w:after="0" w:line="273" w:lineRule="auto"/>
        <w:tabs>
          <w:tab w:leader="none" w:pos="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misappropriating, or otherwise violating our intellectual property rights;</w:t>
      </w:r>
    </w:p>
    <w:p>
      <w:pPr>
        <w:spacing w:after="0" w:line="133" w:lineRule="exact"/>
        <w:rPr>
          <w:rFonts w:ascii="Arial" w:cs="Arial" w:eastAsia="Arial" w:hAnsi="Arial"/>
          <w:sz w:val="17"/>
          <w:szCs w:val="17"/>
          <w:color w:val="auto"/>
        </w:rPr>
      </w:pPr>
    </w:p>
    <w:p>
      <w:pPr>
        <w:ind w:left="720" w:hanging="320"/>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83" w:lineRule="exact"/>
        <w:rPr>
          <w:rFonts w:ascii="Arial" w:cs="Arial" w:eastAsia="Arial" w:hAnsi="Arial"/>
          <w:sz w:val="18"/>
          <w:szCs w:val="18"/>
          <w:color w:val="auto"/>
        </w:rPr>
      </w:pPr>
    </w:p>
    <w:p>
      <w:pPr>
        <w:ind w:left="720" w:right="779" w:hanging="320"/>
        <w:spacing w:after="0" w:line="244"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71" w:lineRule="exact"/>
        <w:rPr>
          <w:rFonts w:ascii="Arial" w:cs="Arial" w:eastAsia="Arial" w:hAnsi="Arial"/>
          <w:sz w:val="18"/>
          <w:szCs w:val="18"/>
          <w:color w:val="auto"/>
        </w:rPr>
      </w:pPr>
    </w:p>
    <w:p>
      <w:pPr>
        <w:jc w:val="both"/>
        <w:ind w:left="720" w:right="199" w:hanging="320"/>
        <w:spacing w:after="0" w:line="239"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Arial" w:cs="Arial" w:eastAsia="Arial" w:hAnsi="Arial"/>
          <w:sz w:val="18"/>
          <w:szCs w:val="18"/>
          <w:color w:val="auto"/>
        </w:rPr>
      </w:pPr>
    </w:p>
    <w:p>
      <w:pPr>
        <w:ind w:left="720" w:hanging="320"/>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48" w:lineRule="exact"/>
        <w:rPr>
          <w:sz w:val="20"/>
          <w:szCs w:val="20"/>
          <w:color w:val="auto"/>
        </w:rPr>
      </w:pPr>
    </w:p>
    <w:p>
      <w:pPr>
        <w:ind w:left="60" w:right="539"/>
        <w:spacing w:after="0" w:line="24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violate their intellectual property or proprietary rights may result in liability for damages or prevent or delay our development and commercialization efforts.</w:t>
      </w:r>
    </w:p>
    <w:p>
      <w:pPr>
        <w:spacing w:after="0" w:line="158"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 of the patents, intellectual property, or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other intellectual property or proprietary rights that could limit our ability to make, use, sell, offer for sale, or import CNTY-101 or our other product candidates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United States and foreign issued patents and pending patent applications exist in the fields in which we are developing product candidates, including patents and patent applications held by our competitors. There may be third-party patents or patent applications with claims to materials, formulations, methods of manufacture, or methods for treatment related to the use or manufacture of CNTY-101 and our other product candidates.</w:t>
      </w:r>
    </w:p>
    <w:p>
      <w:pPr>
        <w:spacing w:after="0" w:line="176"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As the biopharmaceutical industry expands and more patents are issued, the risk increases that CNTY-101 and our other product candidates may be subject to claims of infringement, misappropriation, or other violation of the patent rights of third parties. Because patent applications are maintained as confidential for a certain period of time, until the relevant application is published we may be unaware of third-party patents that may be infringed by commercialization of CNTY-101 and our other product candidates, and we cannot be certain that we were the first to file a patent application related to CNTY-101 and our other product candidates. Moreover, because patent applications can take many years to issue, there may be currently-pending patent applications that may later result in issued patents that CNTY-101 and our other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19"/>
        <w:spacing w:after="0" w:line="273" w:lineRule="auto"/>
        <w:rPr>
          <w:sz w:val="20"/>
          <w:szCs w:val="20"/>
          <w:color w:val="auto"/>
        </w:rPr>
      </w:pPr>
      <w:r>
        <w:rPr>
          <w:rFonts w:ascii="Arial" w:cs="Arial" w:eastAsia="Arial" w:hAnsi="Arial"/>
          <w:sz w:val="17"/>
          <w:szCs w:val="17"/>
          <w:color w:val="auto"/>
        </w:rPr>
        <w:t>may obtain patents in the future and claim that use of our technologies infringes upon, misappropriates, or otherwise violates these patents. Any claims asserted by third parties would be time-consuming and could:</w:t>
      </w:r>
    </w:p>
    <w:p>
      <w:pPr>
        <w:spacing w:after="0" w:line="147" w:lineRule="exact"/>
        <w:rPr>
          <w:sz w:val="20"/>
          <w:szCs w:val="20"/>
          <w:color w:val="auto"/>
        </w:rPr>
      </w:pPr>
    </w:p>
    <w:p>
      <w:pPr>
        <w:ind w:left="720" w:hanging="320"/>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96" w:lineRule="exact"/>
        <w:rPr>
          <w:rFonts w:ascii="Arial" w:cs="Arial" w:eastAsia="Arial" w:hAnsi="Arial"/>
          <w:sz w:val="18"/>
          <w:szCs w:val="18"/>
          <w:color w:val="auto"/>
        </w:rPr>
      </w:pPr>
    </w:p>
    <w:p>
      <w:pPr>
        <w:ind w:left="720" w:right="199" w:hanging="320"/>
        <w:spacing w:after="0" w:line="244"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prevent us from commercializing CNTY-101 and our other product candidates until the asserted patent expires or is held finally invalid or not infringed in a court of law;</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96" w:lineRule="exact"/>
        <w:rPr>
          <w:rFonts w:ascii="Arial" w:cs="Arial" w:eastAsia="Arial" w:hAnsi="Arial"/>
          <w:sz w:val="18"/>
          <w:szCs w:val="18"/>
          <w:color w:val="auto"/>
        </w:rPr>
      </w:pPr>
    </w:p>
    <w:p>
      <w:pPr>
        <w:ind w:left="720" w:right="379" w:hanging="320"/>
        <w:spacing w:after="0" w:line="239"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62"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Third parties may hold intellectual property or proprietary rights that could prevent CNTY-101 and our other product candidates from being marketed. Any patent-related legal action against us claiming damages and seeking to enjoin activities relating to CNTY-101 and our other product candidates or processes could subject us to potential liability for damages, including treble damages if we were determined to willfully infringe, and require us to obtain a license to manufacture or develop CNTY-101 and our other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CNTY-101 and our other product candidates or processes to avoid infringement, if necessary. Accordingly, an adverse determination in a judicial or administrative proceeding, or the failure to obtain necessary licenses, could prevent us from developing and commercializing CNTY-101 and our other product candidates, which could harm our business, financial condition, and operating results.</w:t>
      </w:r>
    </w:p>
    <w:p>
      <w:pPr>
        <w:spacing w:after="0" w:line="162" w:lineRule="exact"/>
        <w:rPr>
          <w:sz w:val="20"/>
          <w:szCs w:val="20"/>
          <w:color w:val="auto"/>
        </w:rPr>
      </w:pPr>
    </w:p>
    <w:p>
      <w:pPr>
        <w:ind w:left="60" w:right="279"/>
        <w:spacing w:after="0" w:line="236"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76"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19"/>
        <w:spacing w:after="0" w:line="252" w:lineRule="auto"/>
        <w:rPr>
          <w:sz w:val="20"/>
          <w:szCs w:val="20"/>
          <w:color w:val="auto"/>
        </w:rPr>
      </w:pPr>
      <w:r>
        <w:rPr>
          <w:rFonts w:ascii="Arial" w:cs="Arial" w:eastAsia="Arial" w:hAnsi="Arial"/>
          <w:sz w:val="18"/>
          <w:szCs w:val="18"/>
          <w:b w:val="1"/>
          <w:bCs w:val="1"/>
          <w:i w:val="1"/>
          <w:iCs w:val="1"/>
          <w:color w:val="auto"/>
        </w:rPr>
        <w:t>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64"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The field of gene-editing, especially in the area of CRISPR technology, is still in its infancy, and no such products have reached the market. Further, the ownership of intellectual property rights relating to CRISPR technology is not fully established. Accordingly, we may not be able to secure all the necessary rights to practice the technology.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intellectual property and proprietary rights in the future. 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biopharmaceutical and pharmaceutical industries are characterized by extensive litigation regarding patents and other intellectual property rights relating to CRISPR. For example, certain patents are currently subject to Interference Proceedings before the USPTO and Opposition Proceedings before the European Patent Office, or EPO. It is uncertain when and how the USPTO, as well as the EPO, will decide in the various proceedings, and the decisions of the respective patent offices may significantly affect the scope or may deny the validity of the respective patents involved in these proceedings. We may in the future become party to, or threatened with, adversarial proceedings or litigation regarding intellectual property rights with respect to CRISPR technology and any product candidates we may develop. Third parties may assert infringement claims against us based on existing patents or patents that may be granted in the future, regardless of their merit. If we are unable to prove that these patents are invalid or unenforceable or not infringed and we are not able to obtain or maintain a license on commercially reasonable terms, or at all, such third parties could potentially assert infringement claims against us, which could have a material adverse effect on the conduct of our business. If we are found to infringe, misappropriate, or violate such third-party patents, we and our partners may be required to pay damages, cease commercialization of the infringing technology, including our use of gene-editing technology, or obtain a license from such third parties, which may not be available on commercially reasonable terms or at all.</w:t>
      </w:r>
    </w:p>
    <w:p>
      <w:pPr>
        <w:spacing w:after="0" w:line="350" w:lineRule="exact"/>
        <w:rPr>
          <w:sz w:val="20"/>
          <w:szCs w:val="20"/>
          <w:color w:val="auto"/>
        </w:rPr>
      </w:pPr>
    </w:p>
    <w:p>
      <w:pPr>
        <w:ind w:left="60" w:right="219"/>
        <w:spacing w:after="0" w:line="252"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150"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Competitors may infringe, misappropriate, or violate our intellectual property rights or those of our licensors. To prevent infringement, misappropriation, violation, or unauthorized use, we and/or our licensors may be required to file claims, which can be expensive and time-consuming.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CNTY-101 and our other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or non-enablement. Grounds for an unenforceability assertion could include an allegation that someone connected with prosecution of the patent withheld relevant information from the USPTO or made a misleading statement during prosecution.</w:t>
      </w:r>
    </w:p>
    <w:p>
      <w:pPr>
        <w:spacing w:after="0" w:line="178"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addition, we may in the future choose to challenge the patentability of claims in a third-party’s patent by requesting that the USPTO review the patent claims in re-examination, post-grant review, inter partes review, interference proceedings, derivation proceedings, and equivalent proceedings in foreign jurisdictions (e.g., opposition proceedings). We have challenged and may in the future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we may be exposed to litigation by the third party alleging that the relevant patent may be infringed by our product candidates.</w:t>
      </w:r>
    </w:p>
    <w:p>
      <w:pPr>
        <w:spacing w:after="0" w:line="174"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167"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64" w:lineRule="exact"/>
        <w:rPr>
          <w:sz w:val="20"/>
          <w:szCs w:val="20"/>
          <w:color w:val="auto"/>
        </w:rPr>
      </w:pPr>
    </w:p>
    <w:p>
      <w:pPr>
        <w:ind w:left="60" w:right="259"/>
        <w:spacing w:after="0" w:line="260"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36" w:lineRule="exact"/>
        <w:rPr>
          <w:sz w:val="20"/>
          <w:szCs w:val="20"/>
          <w:color w:val="auto"/>
        </w:rPr>
      </w:pPr>
    </w:p>
    <w:p>
      <w:pPr>
        <w:ind w:left="60" w:right="299"/>
        <w:spacing w:after="0" w:line="270" w:lineRule="auto"/>
        <w:rPr>
          <w:sz w:val="20"/>
          <w:szCs w:val="20"/>
          <w:color w:val="auto"/>
        </w:rPr>
      </w:pPr>
      <w:r>
        <w:rPr>
          <w:rFonts w:ascii="Arial" w:cs="Arial" w:eastAsia="Arial" w:hAnsi="Arial"/>
          <w:sz w:val="18"/>
          <w:szCs w:val="18"/>
          <w:b w:val="1"/>
          <w:bCs w:val="1"/>
          <w:i w:val="1"/>
          <w:iCs w:val="1"/>
          <w:color w:val="auto"/>
        </w:rPr>
        <w:t>Changes in United States patent law, or laws in other countries, could diminish the value of patents in general, thereby impairing our ability to protect CNTY-101 and our other product candidates.</w:t>
      </w:r>
    </w:p>
    <w:p>
      <w:pPr>
        <w:spacing w:after="0" w:line="13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67"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United States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59"/>
        <w:spacing w:after="0" w:line="270"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48"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or our licensors fail in defending any such claims, in addition to paying monetary damages,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or of a diminished scope.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 interference proceeding or other similar priority or inventorship disputes, it could result in substantial costs and be a distraction to management and other employees. Such an outcome could have a material adverse effect on our business. Even if we are successful in defending against such claims, litigation could result in substantial costs and distraction to management and other employees.</w:t>
      </w:r>
    </w:p>
    <w:p>
      <w:pPr>
        <w:spacing w:after="0" w:line="17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39" w:lineRule="exact"/>
        <w:rPr>
          <w:sz w:val="20"/>
          <w:szCs w:val="20"/>
          <w:color w:val="auto"/>
        </w:rPr>
      </w:pPr>
    </w:p>
    <w:p>
      <w:pPr>
        <w:ind w:left="60" w:right="139"/>
        <w:spacing w:after="0" w:line="270"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CNTY-101 and our other product candidates for an adequate amount of time.</w:t>
      </w:r>
    </w:p>
    <w:p>
      <w:pPr>
        <w:spacing w:after="0" w:line="148"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CNTY-101 and our other product candidates are obtained, once the patent life has expired, we may be open to competition from competitive products. Given the amount of time required for the development, testing, and regulatory review of product candidates, patents protecting CNTY-101 and our other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32" w:lineRule="exact"/>
        <w:rPr>
          <w:sz w:val="20"/>
          <w:szCs w:val="20"/>
          <w:color w:val="auto"/>
        </w:rPr>
      </w:pPr>
    </w:p>
    <w:p>
      <w:pPr>
        <w:ind w:left="60" w:right="179"/>
        <w:spacing w:after="0" w:line="270" w:lineRule="auto"/>
        <w:rPr>
          <w:sz w:val="20"/>
          <w:szCs w:val="20"/>
          <w:color w:val="auto"/>
        </w:rPr>
      </w:pPr>
      <w:r>
        <w:rPr>
          <w:rFonts w:ascii="Arial" w:cs="Arial" w:eastAsia="Arial" w:hAnsi="Arial"/>
          <w:sz w:val="18"/>
          <w:szCs w:val="18"/>
          <w:b w:val="1"/>
          <w:bCs w:val="1"/>
          <w:i w:val="1"/>
          <w:iCs w:val="1"/>
          <w:color w:val="auto"/>
        </w:rPr>
        <w:t>If we do not obtain patent term extension for CNTY-101 and our other product candidates, our business may be materially harmed.</w:t>
      </w:r>
    </w:p>
    <w:p>
      <w:pPr>
        <w:spacing w:after="0" w:line="135"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Depending upon the timing, duration, and specifics of FDA marketing approval of CNTY-101 and our other product candidates, one or more of our United States patents may be eligible for limited patent term restoration under the Drug Price Competition and Patent Term Restoration Action of 1984, or Hatch-Waxman Act. The Hatch-Waxman Act permits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only one patent may be extended and only those claims covering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prior to expiration of relevant patents or otherwise failing to exercise due diligence during the testing phase or regulatory review process, failing to apply within applicable deadlines or failing to satisfy applicable requirements. Moreover, the applicable time period or the scope of patent protection afforded could be less than we request. In addition, we may be reliant on third-party licensors and collaborators in applying for such patent term extensions and we may not be able to obtain their cooperation.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92" w:lineRule="exact"/>
        <w:rPr>
          <w:sz w:val="20"/>
          <w:szCs w:val="20"/>
          <w:color w:val="auto"/>
        </w:rPr>
      </w:pPr>
    </w:p>
    <w:p>
      <w:pPr>
        <w:ind w:left="60" w:right="179"/>
        <w:spacing w:after="0" w:line="235" w:lineRule="auto"/>
        <w:rPr>
          <w:sz w:val="20"/>
          <w:szCs w:val="20"/>
          <w:color w:val="auto"/>
        </w:rPr>
      </w:pPr>
      <w:r>
        <w:rPr>
          <w:rFonts w:ascii="Arial" w:cs="Arial" w:eastAsia="Arial" w:hAnsi="Arial"/>
          <w:sz w:val="18"/>
          <w:szCs w:val="18"/>
          <w:color w:val="auto"/>
        </w:rPr>
        <w:t>Although we have licenses to issued patents and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64"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intellectual property and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42"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55"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lifetime of any patents we ultimately obtain and/or applications we file.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In some cases, we are also dependent on our licensors to take the necessary action to comply with these requirements with respect to our licensed intellectual property.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have a material adverse effect on our business.</w:t>
      </w:r>
    </w:p>
    <w:p>
      <w:pPr>
        <w:spacing w:after="0" w:line="157" w:lineRule="exact"/>
        <w:rPr>
          <w:sz w:val="20"/>
          <w:szCs w:val="20"/>
          <w:color w:val="auto"/>
        </w:rPr>
      </w:pPr>
    </w:p>
    <w:p>
      <w:pPr>
        <w:ind w:left="60" w:right="759"/>
        <w:spacing w:after="0" w:line="270"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Trade secrets and know-how can be difficult to protect.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66"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and other trade secrets, in part, by entering into confidentiality agreements, consulting agreements, or other similar agreements with our advisors, employees, consultants, and other third parties prior to beginning research or disclosing proprietary information and other trade secrets. These agreements typically limit the rights of the third parties to use or disclose our confidential information, proprietary information, and other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w:t>
      </w:r>
    </w:p>
    <w:p>
      <w:pPr>
        <w:spacing w:after="0" w:line="17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41" w:lineRule="exact"/>
        <w:rPr>
          <w:sz w:val="20"/>
          <w:szCs w:val="20"/>
          <w:color w:val="auto"/>
        </w:rPr>
      </w:pPr>
    </w:p>
    <w:p>
      <w:pPr>
        <w:ind w:left="60" w:right="119"/>
        <w:spacing w:after="0" w:line="252"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5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CNTY-101 and our other product candidates. Many of these consultants, and many of our employees, were previously employed at, or may have previously provided or may be currently providing consulting services to, other biopharmaceutical companies including our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170" w:lineRule="exact"/>
        <w:rPr>
          <w:sz w:val="20"/>
          <w:szCs w:val="20"/>
          <w:color w:val="auto"/>
        </w:rPr>
      </w:pPr>
    </w:p>
    <w:p>
      <w:pPr>
        <w:ind w:left="60" w:right="459"/>
        <w:spacing w:after="0" w:line="270" w:lineRule="auto"/>
        <w:rPr>
          <w:sz w:val="20"/>
          <w:szCs w:val="20"/>
          <w:color w:val="auto"/>
        </w:rPr>
      </w:pPr>
      <w:r>
        <w:rPr>
          <w:rFonts w:ascii="Arial" w:cs="Arial" w:eastAsia="Arial" w:hAnsi="Arial"/>
          <w:sz w:val="18"/>
          <w:szCs w:val="18"/>
          <w:b w:val="1"/>
          <w:bCs w:val="1"/>
          <w:i w:val="1"/>
          <w:iCs w:val="1"/>
          <w:color w:val="auto"/>
        </w:rPr>
        <w:t>The trading price of the shares of our common stock could be highly volatile, and purchasers of our common stock could incur substantial losses.</w:t>
      </w:r>
    </w:p>
    <w:p>
      <w:pPr>
        <w:spacing w:after="0" w:line="13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The market price for our common stock may be influenced by those factors discussed in this “Risk factors” section and many others, including:</w:t>
      </w:r>
    </w:p>
    <w:p>
      <w:pPr>
        <w:spacing w:after="0" w:line="174" w:lineRule="exact"/>
        <w:rPr>
          <w:sz w:val="20"/>
          <w:szCs w:val="20"/>
          <w:color w:val="auto"/>
        </w:rPr>
      </w:pPr>
    </w:p>
    <w:p>
      <w:pPr>
        <w:ind w:left="720" w:right="99" w:hanging="320"/>
        <w:spacing w:after="0" w:line="244"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commencement, enrollment, or results of our current and future preclinical studies and clinical trials, and the results of trials of our competitors or those of other companies in our market sector;</w:t>
      </w:r>
    </w:p>
    <w:p>
      <w:pPr>
        <w:spacing w:after="0" w:line="157" w:lineRule="exact"/>
        <w:rPr>
          <w:rFonts w:ascii="Arial" w:cs="Arial" w:eastAsia="Arial" w:hAnsi="Arial"/>
          <w:sz w:val="18"/>
          <w:szCs w:val="18"/>
          <w:color w:val="auto"/>
        </w:rPr>
      </w:pPr>
    </w:p>
    <w:p>
      <w:pPr>
        <w:ind w:left="720" w:right="619" w:hanging="320"/>
        <w:spacing w:after="0" w:line="244"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approval of our product candidates, or limitations to specific label indications or patient populations for its use, or changes or delays in the regulatory review process;</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96" w:lineRule="exact"/>
        <w:rPr>
          <w:rFonts w:ascii="Arial" w:cs="Arial" w:eastAsia="Arial" w:hAnsi="Arial"/>
          <w:sz w:val="18"/>
          <w:szCs w:val="18"/>
          <w:color w:val="auto"/>
        </w:rPr>
      </w:pPr>
    </w:p>
    <w:p>
      <w:pPr>
        <w:ind w:left="720" w:right="439" w:hanging="320"/>
        <w:spacing w:after="0" w:line="244"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especially in light of current reforms to the United States healthcare system;</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or failure of our efforts to acquire, license, or develop additional product candidates;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innovations or new products developed by us or our competitors;</w:t>
      </w:r>
    </w:p>
    <w:p>
      <w:pPr>
        <w:spacing w:after="0" w:line="196" w:lineRule="exact"/>
        <w:rPr>
          <w:rFonts w:ascii="Arial" w:cs="Arial" w:eastAsia="Arial" w:hAnsi="Arial"/>
          <w:sz w:val="18"/>
          <w:szCs w:val="18"/>
          <w:color w:val="auto"/>
        </w:rPr>
      </w:pPr>
    </w:p>
    <w:p>
      <w:pPr>
        <w:ind w:left="720" w:right="779" w:hanging="320"/>
        <w:spacing w:after="0" w:line="244"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183" w:lineRule="exact"/>
        <w:rPr>
          <w:rFonts w:ascii="Arial" w:cs="Arial" w:eastAsia="Arial" w:hAnsi="Arial"/>
          <w:sz w:val="18"/>
          <w:szCs w:val="18"/>
          <w:color w:val="auto"/>
        </w:rPr>
      </w:pPr>
    </w:p>
    <w:p>
      <w:pPr>
        <w:ind w:left="720" w:right="79" w:hanging="320"/>
        <w:spacing w:after="0" w:line="244"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changes to our relationship with FCDI, any manufacturers, suppliers, licensors, future collaborators, or other strategic partners;</w:t>
      </w:r>
    </w:p>
    <w:p>
      <w:pPr>
        <w:spacing w:after="0" w:line="171" w:lineRule="exact"/>
        <w:rPr>
          <w:rFonts w:ascii="Arial" w:cs="Arial" w:eastAsia="Arial" w:hAnsi="Arial"/>
          <w:sz w:val="18"/>
          <w:szCs w:val="18"/>
          <w:color w:val="auto"/>
        </w:rPr>
      </w:pPr>
    </w:p>
    <w:p>
      <w:pPr>
        <w:ind w:left="720" w:hanging="320"/>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83" w:lineRule="exact"/>
        <w:rPr>
          <w:rFonts w:ascii="Arial" w:cs="Arial" w:eastAsia="Arial" w:hAnsi="Arial"/>
          <w:sz w:val="18"/>
          <w:szCs w:val="18"/>
          <w:color w:val="auto"/>
        </w:rPr>
      </w:pPr>
    </w:p>
    <w:p>
      <w:pPr>
        <w:ind w:left="720" w:right="679" w:hanging="320"/>
        <w:spacing w:after="0" w:line="244"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171" w:lineRule="exact"/>
        <w:rPr>
          <w:rFonts w:ascii="Arial" w:cs="Arial" w:eastAsia="Arial" w:hAnsi="Arial"/>
          <w:sz w:val="18"/>
          <w:szCs w:val="18"/>
          <w:color w:val="auto"/>
        </w:rPr>
      </w:pPr>
    </w:p>
    <w:p>
      <w:pPr>
        <w:ind w:left="720" w:hanging="320"/>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stock by insiders and stockholders;</w:t>
      </w:r>
    </w:p>
    <w:p>
      <w:pPr>
        <w:spacing w:after="0" w:line="196" w:lineRule="exact"/>
        <w:rPr>
          <w:rFonts w:ascii="Arial" w:cs="Arial" w:eastAsia="Arial" w:hAnsi="Arial"/>
          <w:sz w:val="18"/>
          <w:szCs w:val="18"/>
          <w:color w:val="auto"/>
        </w:rPr>
      </w:pPr>
    </w:p>
    <w:p>
      <w:pPr>
        <w:ind w:left="720" w:right="659" w:hanging="320"/>
        <w:spacing w:after="0" w:line="244"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industry, and market conditions, or other events or factors, many of which are beyond our control;</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hanging="320"/>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96" w:lineRule="exact"/>
        <w:rPr>
          <w:rFonts w:ascii="Arial" w:cs="Arial" w:eastAsia="Arial" w:hAnsi="Arial"/>
          <w:sz w:val="18"/>
          <w:szCs w:val="18"/>
          <w:color w:val="auto"/>
        </w:rPr>
      </w:pPr>
    </w:p>
    <w:p>
      <w:pPr>
        <w:ind w:left="720" w:hanging="320"/>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18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39" w:lineRule="exact"/>
        <w:rPr>
          <w:sz w:val="20"/>
          <w:szCs w:val="20"/>
          <w:color w:val="auto"/>
        </w:rPr>
      </w:pPr>
    </w:p>
    <w:p>
      <w:pPr>
        <w:ind w:left="60" w:right="379"/>
        <w:spacing w:after="0" w:line="252"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64" w:lineRule="exact"/>
        <w:rPr>
          <w:sz w:val="20"/>
          <w:szCs w:val="20"/>
          <w:color w:val="auto"/>
        </w:rPr>
      </w:pPr>
    </w:p>
    <w:p>
      <w:pPr>
        <w:ind w:left="60" w:right="299"/>
        <w:spacing w:after="0" w:line="236"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42" w:lineRule="exact"/>
        <w:rPr>
          <w:sz w:val="20"/>
          <w:szCs w:val="20"/>
          <w:color w:val="auto"/>
        </w:rPr>
      </w:pPr>
    </w:p>
    <w:p>
      <w:pPr>
        <w:ind w:left="60" w:right="119"/>
        <w:spacing w:after="0" w:line="270"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13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stockholders intend to sell shares of our common stock, could reduce the market price of our common stock. As of June 30, 2021, we had 56,437,204 shares of common stock outstanding. Of these shares, 12,132,500 shares that we sold in our IPO are currently freely tradeable and may be resold in the public market without restriction. Substantially all of the remaining shares of our common stock initially are restricted as a result of securities laws, market standoff provisions or lock-up agreements, but will become eligible to be sold on December 15, 2021, which is 181 days after the date of the underwriting agreement we entered into in connection with the IPO.</w:t>
      </w:r>
    </w:p>
    <w:p>
      <w:pPr>
        <w:spacing w:after="0" w:line="174" w:lineRule="exact"/>
        <w:rPr>
          <w:sz w:val="20"/>
          <w:szCs w:val="20"/>
          <w:color w:val="auto"/>
        </w:rPr>
      </w:pPr>
    </w:p>
    <w:p>
      <w:pPr>
        <w:ind w:left="60" w:right="179"/>
        <w:spacing w:after="0" w:line="235" w:lineRule="auto"/>
        <w:rPr>
          <w:sz w:val="20"/>
          <w:szCs w:val="20"/>
          <w:color w:val="auto"/>
        </w:rPr>
      </w:pPr>
      <w:r>
        <w:rPr>
          <w:rFonts w:ascii="Arial" w:cs="Arial" w:eastAsia="Arial" w:hAnsi="Arial"/>
          <w:sz w:val="18"/>
          <w:szCs w:val="18"/>
          <w:color w:val="auto"/>
        </w:rPr>
        <w:t>Holders of an aggregate of 40,088,134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of 1933, as amended, or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a registration statement on Form S-8. These shares can be freely sold in the public market upon issuance, subject to volume limitations applicable to affiliates under Rule 144 under the Securities Act and the market standoff provisions and lock-up agreements described above. Any sales of securities by these stockholders could have a negative impact on the trading price of our common stock.</w:t>
      </w:r>
    </w:p>
    <w:p>
      <w:pPr>
        <w:spacing w:after="0" w:line="142" w:lineRule="exact"/>
        <w:rPr>
          <w:sz w:val="20"/>
          <w:szCs w:val="20"/>
          <w:color w:val="auto"/>
        </w:rPr>
      </w:pPr>
    </w:p>
    <w:p>
      <w:pPr>
        <w:ind w:left="60" w:right="239"/>
        <w:spacing w:after="0" w:line="252"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have the ability to exercise significant control over our company, which will limit your ability to influence corporate matters and could delay or prevent a change in corporate control.</w:t>
      </w:r>
    </w:p>
    <w:p>
      <w:pPr>
        <w:spacing w:after="0" w:line="15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of June 30, 2021, the existing holdings of our executive officers, directors, principal stockholders, and their affiliates, represented beneficial ownership, in the aggregate, of approximately 70%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your interests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and the concentration of voting power among these stockholders may have an adverse effect on the price of our common stock. In addition, this concentration of ownership might adversely affect the market price of our common stock by:</w:t>
      </w:r>
    </w:p>
    <w:p>
      <w:pPr>
        <w:spacing w:after="0" w:line="175" w:lineRule="exact"/>
        <w:rPr>
          <w:sz w:val="20"/>
          <w:szCs w:val="20"/>
          <w:color w:val="auto"/>
        </w:rPr>
      </w:pPr>
    </w:p>
    <w:p>
      <w:pPr>
        <w:ind w:left="720" w:hanging="32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83" w:lineRule="exact"/>
        <w:rPr>
          <w:rFonts w:ascii="Arial" w:cs="Arial" w:eastAsia="Arial" w:hAnsi="Arial"/>
          <w:sz w:val="18"/>
          <w:szCs w:val="18"/>
          <w:color w:val="auto"/>
        </w:rPr>
      </w:pPr>
    </w:p>
    <w:p>
      <w:pPr>
        <w:ind w:left="720" w:hanging="320"/>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83" w:lineRule="exact"/>
        <w:rPr>
          <w:rFonts w:ascii="Arial" w:cs="Arial" w:eastAsia="Arial" w:hAnsi="Arial"/>
          <w:sz w:val="18"/>
          <w:szCs w:val="18"/>
          <w:color w:val="auto"/>
        </w:rPr>
      </w:pPr>
    </w:p>
    <w:p>
      <w:pPr>
        <w:ind w:left="720" w:right="119" w:hanging="320"/>
        <w:spacing w:after="0" w:line="244"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49" w:lineRule="exact"/>
        <w:rPr>
          <w:sz w:val="20"/>
          <w:szCs w:val="20"/>
          <w:color w:val="auto"/>
        </w:rPr>
      </w:pPr>
    </w:p>
    <w:p>
      <w:pPr>
        <w:jc w:val="both"/>
        <w:ind w:left="60" w:right="239"/>
        <w:spacing w:after="0" w:line="252"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5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and may remain an emerging growth company until December 31, 2026.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 reduced disclosure and other requirements that we may take advantage of include:</w:t>
      </w:r>
    </w:p>
    <w:p>
      <w:pPr>
        <w:spacing w:after="0" w:line="161" w:lineRule="exact"/>
        <w:rPr>
          <w:sz w:val="20"/>
          <w:szCs w:val="20"/>
          <w:color w:val="auto"/>
        </w:rPr>
      </w:pPr>
    </w:p>
    <w:p>
      <w:pPr>
        <w:ind w:left="720" w:right="319" w:hanging="320"/>
        <w:spacing w:after="0" w:line="244"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71" w:lineRule="exact"/>
        <w:rPr>
          <w:rFonts w:ascii="Arial" w:cs="Arial" w:eastAsia="Arial" w:hAnsi="Arial"/>
          <w:sz w:val="18"/>
          <w:szCs w:val="18"/>
          <w:color w:val="auto"/>
        </w:rPr>
      </w:pPr>
    </w:p>
    <w:p>
      <w:pPr>
        <w:ind w:left="720" w:hanging="320"/>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presenting reduced disclosure about our executive compensation arrangements;</w:t>
      </w:r>
    </w:p>
    <w:p>
      <w:pPr>
        <w:spacing w:after="0" w:line="183" w:lineRule="exact"/>
        <w:rPr>
          <w:rFonts w:ascii="Arial" w:cs="Arial" w:eastAsia="Arial" w:hAnsi="Arial"/>
          <w:sz w:val="18"/>
          <w:szCs w:val="18"/>
          <w:color w:val="auto"/>
        </w:rPr>
      </w:pPr>
    </w:p>
    <w:p>
      <w:pPr>
        <w:ind w:left="720" w:right="219" w:hanging="320"/>
        <w:spacing w:after="0" w:line="244"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57" w:lineRule="exact"/>
        <w:rPr>
          <w:rFonts w:ascii="Arial" w:cs="Arial" w:eastAsia="Arial" w:hAnsi="Arial"/>
          <w:sz w:val="18"/>
          <w:szCs w:val="18"/>
          <w:color w:val="auto"/>
        </w:rPr>
      </w:pPr>
    </w:p>
    <w:p>
      <w:pPr>
        <w:ind w:left="720" w:hanging="320"/>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97"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We have taken advantage of reduced reporting burdens in this Quarterly Report on Form 10-Q.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6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Reports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39"/>
        <w:spacing w:after="0" w:line="270"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4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As a public company, and particularly after we are no longer an emerging growth company or smaller reporting company, we incur significant legal, accounting, and other expenses that we did not incur as a private company prior to our IPO. In addition, the Sarbanes-Oxley Act and rules subsequently implemented by the Securities and Exchange Commission, or the SEC, and The Nasdaq Stock Market LLC, or Nasdaq, impose various requirements on public companies, including establishment and maintenance of effective disclosure and financial controls and corporate governance practices. Our management and other personnel devote a substantial amount of time to comply with these requirements. Moreover, these rules and regulations increase our legal and financial compliance costs and make some activities more time-consuming and costly.</w:t>
      </w:r>
    </w:p>
    <w:p>
      <w:pPr>
        <w:spacing w:after="0" w:line="161" w:lineRule="exact"/>
        <w:rPr>
          <w:sz w:val="20"/>
          <w:szCs w:val="20"/>
          <w:color w:val="auto"/>
        </w:rPr>
      </w:pPr>
    </w:p>
    <w:p>
      <w:pPr>
        <w:ind w:left="60" w:right="199"/>
        <w:spacing w:after="0" w:line="234" w:lineRule="auto"/>
        <w:rPr>
          <w:sz w:val="20"/>
          <w:szCs w:val="20"/>
          <w:color w:val="auto"/>
        </w:rPr>
      </w:pPr>
      <w:r>
        <w:rPr>
          <w:rFonts w:ascii="Arial" w:cs="Arial" w:eastAsia="Arial" w:hAnsi="Arial"/>
          <w:sz w:val="18"/>
          <w:szCs w:val="18"/>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We could be an emerging growth company for up to five years. To achieve compliance with Section 404 of the Sarbanes-Oxley Act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w:t>
      </w:r>
    </w:p>
    <w:p>
      <w:pPr>
        <w:spacing w:after="0" w:line="152" w:lineRule="exact"/>
        <w:rPr>
          <w:sz w:val="20"/>
          <w:szCs w:val="20"/>
          <w:color w:val="auto"/>
        </w:rPr>
      </w:pPr>
    </w:p>
    <w:p>
      <w:pPr>
        <w:ind w:left="60" w:right="239"/>
        <w:spacing w:after="0" w:line="270"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48"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40" w:lineRule="exact"/>
        <w:rPr>
          <w:sz w:val="20"/>
          <w:szCs w:val="20"/>
          <w:color w:val="auto"/>
        </w:rPr>
      </w:pPr>
    </w:p>
    <w:p>
      <w:pPr>
        <w:ind w:left="60" w:right="439"/>
        <w:spacing w:after="0" w:line="252"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discourage another company from acquiring us and may prevent attempts by our stockholders to replace or remove our current management.</w:t>
      </w:r>
    </w:p>
    <w:p>
      <w:pPr>
        <w:spacing w:after="0" w:line="150"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Provisions in our second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provisions could in turn affect any attempt by our stockholders to replace current members of our management team. These provisions provide, among other things, that:</w:t>
      </w:r>
    </w:p>
    <w:p>
      <w:pPr>
        <w:spacing w:after="0" w:line="171" w:lineRule="exact"/>
        <w:rPr>
          <w:sz w:val="20"/>
          <w:szCs w:val="20"/>
          <w:color w:val="auto"/>
        </w:rPr>
      </w:pPr>
    </w:p>
    <w:p>
      <w:pPr>
        <w:ind w:left="720" w:right="139" w:hanging="320"/>
        <w:spacing w:after="0" w:line="238"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60" w:lineRule="exact"/>
        <w:rPr>
          <w:rFonts w:ascii="Arial" w:cs="Arial" w:eastAsia="Arial" w:hAnsi="Arial"/>
          <w:sz w:val="18"/>
          <w:szCs w:val="18"/>
          <w:color w:val="auto"/>
        </w:rPr>
      </w:pPr>
    </w:p>
    <w:p>
      <w:pPr>
        <w:ind w:left="720" w:right="599" w:hanging="320"/>
        <w:spacing w:after="0" w:line="239"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161" w:lineRule="exact"/>
        <w:rPr>
          <w:rFonts w:ascii="Arial" w:cs="Arial" w:eastAsia="Arial" w:hAnsi="Arial"/>
          <w:sz w:val="18"/>
          <w:szCs w:val="18"/>
          <w:color w:val="auto"/>
        </w:rPr>
      </w:pPr>
    </w:p>
    <w:p>
      <w:pPr>
        <w:ind w:left="720" w:right="539" w:hanging="320"/>
        <w:spacing w:after="0" w:line="244"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stockholders may not act by written consent, which forces stockholder action to be taken at an annual or special meeting of our stockholders;</w:t>
      </w:r>
    </w:p>
    <w:p>
      <w:pPr>
        <w:spacing w:after="0" w:line="171" w:lineRule="exact"/>
        <w:rPr>
          <w:rFonts w:ascii="Arial" w:cs="Arial" w:eastAsia="Arial" w:hAnsi="Arial"/>
          <w:sz w:val="18"/>
          <w:szCs w:val="18"/>
          <w:color w:val="auto"/>
        </w:rPr>
      </w:pPr>
    </w:p>
    <w:p>
      <w:pPr>
        <w:ind w:left="720" w:right="179" w:hanging="320"/>
        <w:spacing w:after="0" w:line="239"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special meeting of stockholders may be called only by the chair of our board of directors, our chief executive officer, or a majority of our board of directors, which may delay the ability of our stockholders to force consideration of a proposal or to take action, including the removal of directors;</w:t>
      </w:r>
    </w:p>
    <w:p>
      <w:pPr>
        <w:spacing w:after="0" w:line="161" w:lineRule="exact"/>
        <w:rPr>
          <w:rFonts w:ascii="Arial" w:cs="Arial" w:eastAsia="Arial" w:hAnsi="Arial"/>
          <w:sz w:val="18"/>
          <w:szCs w:val="18"/>
          <w:color w:val="auto"/>
        </w:rPr>
      </w:pPr>
    </w:p>
    <w:p>
      <w:pPr>
        <w:ind w:left="720" w:right="139" w:hanging="320"/>
        <w:spacing w:after="0" w:line="244"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second amended and restated certificate of incorporation prohibits cumulative voting in the election of directors, which limits the ability of minority stockholders to elect director candidates;</w:t>
      </w:r>
    </w:p>
    <w:p>
      <w:pPr>
        <w:spacing w:after="0" w:line="157" w:lineRule="exact"/>
        <w:rPr>
          <w:rFonts w:ascii="Arial" w:cs="Arial" w:eastAsia="Arial" w:hAnsi="Arial"/>
          <w:sz w:val="18"/>
          <w:szCs w:val="18"/>
          <w:color w:val="auto"/>
        </w:rPr>
      </w:pPr>
    </w:p>
    <w:p>
      <w:pPr>
        <w:ind w:left="720" w:right="799" w:hanging="320"/>
        <w:spacing w:after="0" w:line="244"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board of directors may alter certain provisions of our amended and restated bylaws without obtaining stockholder approval;</w:t>
      </w:r>
    </w:p>
    <w:p>
      <w:pPr>
        <w:spacing w:after="0" w:line="171" w:lineRule="exact"/>
        <w:rPr>
          <w:rFonts w:ascii="Arial" w:cs="Arial" w:eastAsia="Arial" w:hAnsi="Arial"/>
          <w:sz w:val="18"/>
          <w:szCs w:val="18"/>
          <w:color w:val="auto"/>
        </w:rPr>
      </w:pPr>
    </w:p>
    <w:p>
      <w:pPr>
        <w:ind w:left="720" w:right="739" w:hanging="320"/>
        <w:spacing w:after="0" w:line="239"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approval of the holders of at least two-thirds of the outstanding shares of our capital stock is required to adopt, amend, or repeal our amended and restated bylaws, unless such action is recommended by our board of directors at an annual or special meeting of shareholders;</w:t>
      </w:r>
    </w:p>
    <w:p>
      <w:pPr>
        <w:spacing w:after="0" w:line="161" w:lineRule="exact"/>
        <w:rPr>
          <w:rFonts w:ascii="Arial" w:cs="Arial" w:eastAsia="Arial" w:hAnsi="Arial"/>
          <w:sz w:val="18"/>
          <w:szCs w:val="18"/>
          <w:color w:val="auto"/>
        </w:rPr>
      </w:pPr>
    </w:p>
    <w:p>
      <w:pPr>
        <w:ind w:left="720" w:right="319" w:hanging="320"/>
        <w:spacing w:after="0" w:line="237"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approval of the holders of at least two-thirds of the outstanding shares of our capital stock is required to adopt, amend, or repeal provisions in our second amended and restated certificate of incorporation relating to (i) the amendment of the second amended and restated certificate of incorporation or amendment of the amended and restated bylaws, (ii) stockholder action, (iii) election and removal of directors, (iv) limitations on liability and (v) exclusive forum for proceedings;</w:t>
      </w:r>
    </w:p>
    <w:p>
      <w:pPr>
        <w:spacing w:after="0" w:line="161" w:lineRule="exact"/>
        <w:rPr>
          <w:rFonts w:ascii="Arial" w:cs="Arial" w:eastAsia="Arial" w:hAnsi="Arial"/>
          <w:sz w:val="18"/>
          <w:szCs w:val="18"/>
          <w:color w:val="auto"/>
        </w:rPr>
      </w:pPr>
    </w:p>
    <w:p>
      <w:pPr>
        <w:ind w:left="720" w:right="139" w:hanging="320"/>
        <w:spacing w:after="0" w:line="237"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shares; and</w:t>
      </w:r>
    </w:p>
    <w:p>
      <w:pPr>
        <w:spacing w:after="0" w:line="175" w:lineRule="exact"/>
        <w:rPr>
          <w:rFonts w:ascii="Arial" w:cs="Arial" w:eastAsia="Arial" w:hAnsi="Arial"/>
          <w:sz w:val="18"/>
          <w:szCs w:val="18"/>
          <w:color w:val="auto"/>
        </w:rPr>
      </w:pPr>
    </w:p>
    <w:p>
      <w:pPr>
        <w:jc w:val="both"/>
        <w:ind w:left="720" w:right="439" w:hanging="320"/>
        <w:spacing w:after="0" w:line="239"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6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69"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Our second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Exchange Act of 1934, as amended, or the Exchange Act. Furthermore, our amended and restated certificate of incorporation provides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9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92"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During the three-month period ended June 30, 2021, we have made sales of the following unregistered securities (share and per share amounts reflect a 1-for-2.5161 reverse stock split of our common stock effected on June 11, 2021 unless otherwise provided):</w:t>
      </w:r>
    </w:p>
    <w:p>
      <w:pPr>
        <w:spacing w:after="0" w:line="167" w:lineRule="exact"/>
        <w:rPr>
          <w:sz w:val="20"/>
          <w:szCs w:val="20"/>
          <w:color w:val="auto"/>
        </w:rPr>
      </w:pPr>
    </w:p>
    <w:p>
      <w:pPr>
        <w:ind w:left="380" w:hanging="330"/>
        <w:spacing w:after="0"/>
        <w:tabs>
          <w:tab w:leader="none" w:pos="3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Equity Awards</w:t>
      </w:r>
    </w:p>
    <w:p>
      <w:pPr>
        <w:spacing w:after="0" w:line="191" w:lineRule="exact"/>
        <w:rPr>
          <w:rFonts w:ascii="Arial" w:cs="Arial" w:eastAsia="Arial" w:hAnsi="Arial"/>
          <w:sz w:val="18"/>
          <w:szCs w:val="18"/>
          <w:b w:val="1"/>
          <w:bCs w:val="1"/>
          <w:color w:val="auto"/>
        </w:rPr>
      </w:pPr>
    </w:p>
    <w:p>
      <w:pPr>
        <w:ind w:left="380" w:right="119" w:hanging="7"/>
        <w:spacing w:after="0" w:line="238" w:lineRule="auto"/>
        <w:tabs>
          <w:tab w:leader="none" w:pos="579" w:val="left"/>
        </w:tabs>
        <w:numPr>
          <w:ilvl w:val="1"/>
          <w:numId w:val="53"/>
        </w:numPr>
        <w:rPr>
          <w:rFonts w:ascii="Arial" w:cs="Arial" w:eastAsia="Arial" w:hAnsi="Arial"/>
          <w:sz w:val="18"/>
          <w:szCs w:val="18"/>
          <w:color w:val="auto"/>
        </w:rPr>
      </w:pPr>
      <w:r>
        <w:rPr>
          <w:rFonts w:ascii="Arial" w:cs="Arial" w:eastAsia="Arial" w:hAnsi="Arial"/>
          <w:sz w:val="18"/>
          <w:szCs w:val="18"/>
          <w:color w:val="auto"/>
        </w:rPr>
        <w:t>During the three-month period ended June 30, 2021, we have granted stock options to employees, officers, directors and consultants, covering an aggregate of 2,599,845 shares of our common stock, having a weighted average exercise price of $8.05 per share, in connection with services provided to us by such parties.</w:t>
      </w:r>
    </w:p>
    <w:p>
      <w:pPr>
        <w:spacing w:after="0" w:line="160" w:lineRule="exact"/>
        <w:rPr>
          <w:rFonts w:ascii="Arial" w:cs="Arial" w:eastAsia="Arial" w:hAnsi="Arial"/>
          <w:sz w:val="18"/>
          <w:szCs w:val="18"/>
          <w:color w:val="auto"/>
        </w:rPr>
      </w:pPr>
    </w:p>
    <w:p>
      <w:pPr>
        <w:ind w:left="380" w:right="79" w:hanging="7"/>
        <w:spacing w:after="0" w:line="239" w:lineRule="auto"/>
        <w:tabs>
          <w:tab w:leader="none" w:pos="579" w:val="left"/>
        </w:tabs>
        <w:numPr>
          <w:ilvl w:val="1"/>
          <w:numId w:val="53"/>
        </w:numPr>
        <w:rPr>
          <w:rFonts w:ascii="Arial" w:cs="Arial" w:eastAsia="Arial" w:hAnsi="Arial"/>
          <w:sz w:val="18"/>
          <w:szCs w:val="18"/>
          <w:color w:val="auto"/>
        </w:rPr>
      </w:pPr>
      <w:r>
        <w:rPr>
          <w:rFonts w:ascii="Arial" w:cs="Arial" w:eastAsia="Arial" w:hAnsi="Arial"/>
          <w:sz w:val="18"/>
          <w:szCs w:val="18"/>
          <w:color w:val="auto"/>
        </w:rPr>
        <w:t>During the three-month period ended June 30, 2021, we have issued an aggregate of 351,486 shares of our common stock to employees, officers, directors, and consultants upon their exercise of stock options, for aggregate cash consideration of approximately $2.1 million.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0" w:hanging="330"/>
        <w:spacing w:after="0"/>
        <w:tabs>
          <w:tab w:leader="none" w:pos="3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Warrant to Purchase Common Stock</w:t>
      </w:r>
    </w:p>
    <w:p>
      <w:pPr>
        <w:spacing w:after="0" w:line="191" w:lineRule="exact"/>
        <w:rPr>
          <w:rFonts w:ascii="Arial" w:cs="Arial" w:eastAsia="Arial" w:hAnsi="Arial"/>
          <w:sz w:val="18"/>
          <w:szCs w:val="18"/>
          <w:b w:val="1"/>
          <w:bCs w:val="1"/>
          <w:color w:val="auto"/>
        </w:rPr>
      </w:pPr>
    </w:p>
    <w:p>
      <w:pPr>
        <w:ind w:left="380" w:right="159"/>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On January 22, 2021 we entered into a consulting agreement with Danforth Advisors, LLC, or Danforth, pursuant to which Danforth agreed to serve as an independent consultant for the purpose of providing us with certain strategic and financial advice and support services in connection with the offering. As compensation for Danforth’s services, on May 27, 2021, we issued Danforth a warrant to purchase 15,897 shares of our common stock at an exercise price of $7.27 per share, or the Danforth Warrant. The Danforth Warrant is immediately exercisable and will expire on May 27, 2031.</w:t>
      </w:r>
    </w:p>
    <w:p>
      <w:pPr>
        <w:spacing w:after="0" w:line="155" w:lineRule="exact"/>
        <w:rPr>
          <w:rFonts w:ascii="Arial" w:cs="Arial" w:eastAsia="Arial" w:hAnsi="Arial"/>
          <w:sz w:val="18"/>
          <w:szCs w:val="18"/>
          <w:b w:val="1"/>
          <w:bCs w:val="1"/>
          <w:color w:val="auto"/>
        </w:rPr>
      </w:pPr>
    </w:p>
    <w:p>
      <w:pPr>
        <w:ind w:left="380" w:hanging="330"/>
        <w:spacing w:after="0"/>
        <w:tabs>
          <w:tab w:leader="none" w:pos="3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 of Preferred Stock</w:t>
      </w:r>
    </w:p>
    <w:p>
      <w:pPr>
        <w:spacing w:after="0" w:line="191" w:lineRule="exact"/>
        <w:rPr>
          <w:rFonts w:ascii="Arial" w:cs="Arial" w:eastAsia="Arial" w:hAnsi="Arial"/>
          <w:sz w:val="18"/>
          <w:szCs w:val="18"/>
          <w:b w:val="1"/>
          <w:bCs w:val="1"/>
          <w:color w:val="auto"/>
        </w:rPr>
      </w:pPr>
    </w:p>
    <w:p>
      <w:pPr>
        <w:ind w:left="380" w:right="79"/>
        <w:spacing w:after="0" w:line="247" w:lineRule="auto"/>
        <w:rPr>
          <w:rFonts w:ascii="Arial" w:cs="Arial" w:eastAsia="Arial" w:hAnsi="Arial"/>
          <w:sz w:val="18"/>
          <w:szCs w:val="18"/>
          <w:b w:val="1"/>
          <w:bCs w:val="1"/>
          <w:color w:val="auto"/>
        </w:rPr>
      </w:pPr>
      <w:r>
        <w:rPr>
          <w:rFonts w:ascii="Arial" w:cs="Arial" w:eastAsia="Arial" w:hAnsi="Arial"/>
          <w:sz w:val="17"/>
          <w:szCs w:val="17"/>
          <w:color w:val="auto"/>
        </w:rPr>
        <w:t>On June 22, 2021, upon the closing of our IPO, all shares of our then-outstanding convertible preferred stock automatically converted into 34,126,528 shares of common stock. The issuance of such shares common stock was exempt from the registration requirements of the Securities Act, pursuant to Section 3(a)</w:t>
      </w:r>
    </w:p>
    <w:p>
      <w:pPr>
        <w:spacing w:after="0" w:line="1" w:lineRule="exact"/>
        <w:rPr>
          <w:rFonts w:ascii="Arial" w:cs="Arial" w:eastAsia="Arial" w:hAnsi="Arial"/>
          <w:sz w:val="18"/>
          <w:szCs w:val="18"/>
          <w:b w:val="1"/>
          <w:bCs w:val="1"/>
          <w:color w:val="auto"/>
        </w:rPr>
      </w:pPr>
    </w:p>
    <w:p>
      <w:pPr>
        <w:ind w:left="380" w:right="79"/>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(9) of the Securities Act, involving an exchange of securities exchanged by the issuer with its existing security holders exclusively where no commission or other remuneration is paid or given directly or indirectly for soliciting such exchange. No underwriters were involved in this issuance of shares.</w:t>
      </w:r>
    </w:p>
    <w:p>
      <w:pPr>
        <w:spacing w:after="0" w:line="189"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Unless otherwise stated, the issuances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163" w:lineRule="exact"/>
        <w:rPr>
          <w:sz w:val="20"/>
          <w:szCs w:val="20"/>
          <w:color w:val="auto"/>
        </w:rPr>
      </w:pPr>
    </w:p>
    <w:p>
      <w:pPr>
        <w:ind w:left="60" w:right="419"/>
        <w:spacing w:after="0" w:line="24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05" w:lineRule="exact"/>
        <w:rPr>
          <w:sz w:val="20"/>
          <w:szCs w:val="20"/>
          <w:color w:val="auto"/>
        </w:rPr>
      </w:pPr>
    </w:p>
    <w:p>
      <w:pPr>
        <w:ind w:left="60" w:right="119"/>
        <w:spacing w:after="0" w:line="252" w:lineRule="auto"/>
        <w:rPr>
          <w:sz w:val="20"/>
          <w:szCs w:val="20"/>
          <w:color w:val="auto"/>
        </w:rPr>
      </w:pPr>
      <w:r>
        <w:rPr>
          <w:rFonts w:ascii="Arial" w:cs="Arial" w:eastAsia="Arial" w:hAnsi="Arial"/>
          <w:sz w:val="17"/>
          <w:szCs w:val="17"/>
          <w:color w:val="auto"/>
        </w:rPr>
        <w:t>On June 22, 2021, we completed our IPO. Our registration statement on Form S-1 (File No. 333- 256648) relating to the IPO was declared effective by the SEC on June 17, 2021. We issued an aggregate of 12,132,500 shares of our common stock at a price of $20.00 per share for aggregate net cash proceeds of $221.2 million, after deducting approximately $17.0 million in underwriting discounts and commissions and approximately $4.0 million in other offering costs. None of the expenses associated with the IPO were paid to directors, officers, persons owning 10% or more of any class of equity securities, or to their associates, or to our affiliates.</w:t>
      </w:r>
    </w:p>
    <w:p>
      <w:pPr>
        <w:spacing w:after="0" w:line="15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 sale and issuance of 12,132,500 shares in the IPO closed on June 22, 2021. J.P. Morgan, BofA Securities, SVB Leerink and Piper Sandler acted as joint book-running managers for the IPO.</w:t>
      </w:r>
    </w:p>
    <w:p>
      <w:pPr>
        <w:spacing w:after="0" w:line="158" w:lineRule="exact"/>
        <w:rPr>
          <w:sz w:val="20"/>
          <w:szCs w:val="20"/>
          <w:color w:val="auto"/>
        </w:rPr>
      </w:pPr>
    </w:p>
    <w:p>
      <w:pPr>
        <w:ind w:left="60" w:right="999"/>
        <w:spacing w:after="0" w:line="244" w:lineRule="auto"/>
        <w:rPr>
          <w:sz w:val="20"/>
          <w:szCs w:val="20"/>
          <w:color w:val="auto"/>
        </w:rPr>
      </w:pPr>
      <w:r>
        <w:rPr>
          <w:rFonts w:ascii="Arial" w:cs="Arial" w:eastAsia="Arial" w:hAnsi="Arial"/>
          <w:sz w:val="18"/>
          <w:szCs w:val="18"/>
          <w:color w:val="auto"/>
        </w:rPr>
        <w:t>There has been no material change in the planned use of proceeds from our IPO as described in our Prospectus. As of June 30, 2021, we had not utilized any of the proceeds from our IPO.</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192" w:lineRule="exact"/>
        <w:rPr>
          <w:sz w:val="20"/>
          <w:szCs w:val="20"/>
          <w:color w:val="auto"/>
        </w:rPr>
      </w:pPr>
    </w:p>
    <w:p>
      <w:pPr>
        <w:ind w:left="60" w:right="339"/>
        <w:spacing w:after="0" w:line="239" w:lineRule="auto"/>
        <w:rPr>
          <w:sz w:val="20"/>
          <w:szCs w:val="20"/>
          <w:color w:val="auto"/>
        </w:rPr>
      </w:pPr>
      <w:r>
        <w:rPr>
          <w:rFonts w:ascii="Arial" w:cs="Arial" w:eastAsia="Arial" w:hAnsi="Arial"/>
          <w:sz w:val="18"/>
          <w:szCs w:val="18"/>
          <w:color w:val="auto"/>
        </w:rPr>
        <w:t>Our ability to pay cash dividends is currently restricted by the terms of our Loan and Security Agreement with Hercules Capital, Inc., as discussed in Note 9 - “Long term debt” in the notes to our consolidated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-1905</wp:posOffset>
            </wp:positionV>
            <wp:extent cx="56546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4675" cy="8255"/>
                    </a:xfrm>
                    <a:prstGeom prst="rect">
                      <a:avLst/>
                    </a:prstGeom>
                    <a:noFill/>
                  </pic:spPr>
                </pic:pic>
              </a:graphicData>
            </a:graphic>
          </wp:anchor>
        </w:drawing>
      </w:r>
    </w:p>
    <w:p>
      <w:pPr>
        <w:spacing w:after="0" w:line="136" w:lineRule="exact"/>
        <w:rPr>
          <w:sz w:val="20"/>
          <w:szCs w:val="20"/>
          <w:color w:val="auto"/>
        </w:rPr>
      </w:pPr>
    </w:p>
    <w:p>
      <w:pPr>
        <w:ind w:left="900" w:right="259" w:hanging="847"/>
        <w:spacing w:after="0" w:line="23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20">
        <w:r>
          <w:rPr>
            <w:rFonts w:ascii="Arial" w:cs="Arial" w:eastAsia="Arial" w:hAnsi="Arial"/>
            <w:sz w:val="18"/>
            <w:szCs w:val="18"/>
            <w:u w:val="single" w:color="auto"/>
            <w:color w:val="0000EE"/>
          </w:rPr>
          <w:t>Second Amended and Restated Certificate of Incorporation of Century Therapeutics, Inc.</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(incorporated herein by reference to Exhibit 3.1 to the Company’s Current Report on Form 8-K (File</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No. 001-40498) filed on June 25, 2021)</w:t>
        </w:r>
      </w:hyperlink>
    </w:p>
    <w:p>
      <w:pPr>
        <w:ind w:left="900" w:right="359" w:hanging="847"/>
        <w:spacing w:after="0" w:line="23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21">
        <w:r>
          <w:rPr>
            <w:rFonts w:ascii="Arial" w:cs="Arial" w:eastAsia="Arial" w:hAnsi="Arial"/>
            <w:sz w:val="18"/>
            <w:szCs w:val="18"/>
            <w:u w:val="single" w:color="auto"/>
            <w:color w:val="0000EE"/>
          </w:rPr>
          <w:t>Amended and Restated Bylaws of Century Therapeutics, Inc. (incorporated herein by reference to</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Exhibit 3.2 to the Company’s Current Report on Form 8-K (File No. 001-40498) filed on June 25,</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2021)</w:t>
        </w:r>
      </w:hyperlink>
    </w:p>
    <w:p>
      <w:pPr>
        <w:ind w:left="900" w:right="659" w:hanging="847"/>
        <w:spacing w:after="0" w:line="256"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122">
        <w:r>
          <w:rPr>
            <w:rFonts w:ascii="Arial" w:cs="Arial" w:eastAsia="Arial" w:hAnsi="Arial"/>
            <w:sz w:val="17"/>
            <w:szCs w:val="17"/>
            <w:u w:val="single" w:color="auto"/>
            <w:color w:val="0000EE"/>
          </w:rPr>
          <w:t>2021 Equity Incentive Plan (incorporated herein by reference to Exhibit 10.8 to the Company’s</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Registration Statement on Form S-1/A (File No. 333-256648) filed on June 14, 2021)</w:t>
        </w:r>
      </w:hyperlink>
    </w:p>
    <w:p>
      <w:pPr>
        <w:ind w:left="900" w:right="459" w:hanging="847"/>
        <w:spacing w:after="0" w:line="256"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10.2</w:t>
      </w:r>
      <w:r>
        <w:rPr>
          <w:sz w:val="20"/>
          <w:szCs w:val="20"/>
          <w:color w:val="auto"/>
        </w:rPr>
        <w:tab/>
      </w:r>
      <w:hyperlink r:id="rId123">
        <w:r>
          <w:rPr>
            <w:rFonts w:ascii="Arial" w:cs="Arial" w:eastAsia="Arial" w:hAnsi="Arial"/>
            <w:sz w:val="17"/>
            <w:szCs w:val="17"/>
            <w:u w:val="single" w:color="auto"/>
            <w:color w:val="0000EE"/>
          </w:rPr>
          <w:t>2021 Employee Stock Purchase Plan (incorporated herein by reference to Exhibit 10.9 to the</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Company’s Registration Statement on Form S-1/A (File No. 333-256648) filed on June 14, 2021)</w:t>
        </w:r>
      </w:hyperlink>
    </w:p>
    <w:p>
      <w:pPr>
        <w:ind w:left="900" w:right="159" w:hanging="847"/>
        <w:spacing w:after="0" w:line="23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24">
        <w:r>
          <w:rPr>
            <w:rFonts w:ascii="Arial" w:cs="Arial" w:eastAsia="Arial" w:hAnsi="Arial"/>
            <w:sz w:val="18"/>
            <w:szCs w:val="18"/>
            <w:u w:val="single" w:color="auto"/>
            <w:color w:val="0000EE"/>
          </w:rPr>
          <w:t>Form of Stock Option Grant Notice and Award Agreement, under the 2021 Plan (incorporated herein</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by reference to Exhibit 10.13 to the Company’s Registration Statement on Form S-1 (File No. 333-</w:t>
        </w:r>
      </w:hyperlink>
      <w:hyperlink r:id="rId124">
        <w:r>
          <w:rPr>
            <w:rFonts w:ascii="Arial" w:cs="Arial" w:eastAsia="Arial" w:hAnsi="Arial"/>
            <w:sz w:val="18"/>
            <w:szCs w:val="18"/>
            <w:u w:val="single" w:color="auto"/>
            <w:color w:val="0000EE"/>
          </w:rPr>
          <w:t>256648) filed on May 28, 2021)</w:t>
        </w:r>
      </w:hyperlink>
    </w:p>
    <w:p>
      <w:pPr>
        <w:ind w:left="900" w:right="619" w:hanging="847"/>
        <w:spacing w:after="0" w:line="23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25">
        <w:r>
          <w:rPr>
            <w:rFonts w:ascii="Arial" w:cs="Arial" w:eastAsia="Arial" w:hAnsi="Arial"/>
            <w:sz w:val="18"/>
            <w:szCs w:val="18"/>
            <w:u w:val="single" w:color="auto"/>
            <w:color w:val="0000EE"/>
          </w:rPr>
          <w:t>Form of Restricted Stock Unit Grant Notice and Award Agreement, under the 2021 Plan</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(incorporated herein by reference to Exhibit 10.14 to the Company’s Registration Statement on</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Form S-1 (File No. 333-256648) filed on May 28, 2021)</w:t>
        </w:r>
      </w:hyperlink>
    </w:p>
    <w:p>
      <w:pPr>
        <w:ind w:left="900" w:right="139" w:hanging="847"/>
        <w:spacing w:after="0" w:line="23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26">
        <w:r>
          <w:rPr>
            <w:rFonts w:ascii="Arial" w:cs="Arial" w:eastAsia="Arial" w:hAnsi="Arial"/>
            <w:sz w:val="18"/>
            <w:szCs w:val="18"/>
            <w:u w:val="single" w:color="auto"/>
            <w:color w:val="0000EE"/>
          </w:rPr>
          <w:t>Executive Employment Agreement, by and between the Registrant and Osvaldo Flores, Ph.D., dated</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May 26, 2021 (incorporated herein by reference to Exhibit 10.30 to the Company’s Registration</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Statement on Form S-1 (File No. 333-256648) filed on May 28, 2021)</w:t>
        </w:r>
      </w:hyperlink>
    </w:p>
    <w:p>
      <w:pPr>
        <w:ind w:left="900" w:right="319" w:hanging="847"/>
        <w:spacing w:after="0" w:line="23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27">
        <w:r>
          <w:rPr>
            <w:rFonts w:ascii="Arial" w:cs="Arial" w:eastAsia="Arial" w:hAnsi="Arial"/>
            <w:sz w:val="18"/>
            <w:szCs w:val="18"/>
            <w:u w:val="single" w:color="auto"/>
            <w:color w:val="0000EE"/>
          </w:rPr>
          <w:t>Executive Employment Agreement, by and between the Registrant and Michael Diem, M.D., dated</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May 26, 2021 (incorporated herein by reference to Exhibit 10.31 to the Company’s Registration</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Statement on Form S-1 (File No. 333-256648) filed on May 28, 2021)</w:t>
        </w:r>
      </w:hyperlink>
    </w:p>
    <w:p>
      <w:pPr>
        <w:ind w:left="900" w:right="259" w:hanging="847"/>
        <w:spacing w:after="0" w:line="23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28">
        <w:r>
          <w:rPr>
            <w:rFonts w:ascii="Arial" w:cs="Arial" w:eastAsia="Arial" w:hAnsi="Arial"/>
            <w:sz w:val="18"/>
            <w:szCs w:val="18"/>
            <w:u w:val="single" w:color="auto"/>
            <w:color w:val="0000EE"/>
          </w:rPr>
          <w:t>Executive Employment Agreement, by and between the Registrant and Hyam Levitsky, M.D., dated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May 26, 2021 (incorporated herein by reference to Exhibit 10.32 to the Company’s Registration</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Statement on Form S-1 (File No. 333-256648) filed on May 28, 2021)</w:t>
        </w:r>
      </w:hyperlink>
    </w:p>
    <w:p>
      <w:pPr>
        <w:ind w:left="900" w:right="399" w:hanging="847"/>
        <w:spacing w:after="0" w:line="23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29">
        <w:r>
          <w:rPr>
            <w:rFonts w:ascii="Arial" w:cs="Arial" w:eastAsia="Arial" w:hAnsi="Arial"/>
            <w:sz w:val="18"/>
            <w:szCs w:val="18"/>
            <w:u w:val="single" w:color="auto"/>
            <w:color w:val="0000EE"/>
          </w:rPr>
          <w:t>Executive Employment Agreement, by and between the Registrant and Luis Borges, Ph.D., dated</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May 26, 2021 (incorporated herein by reference to Exhibit 10.33 to the Company’s Registration</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Statement on Form S-1/A (File No. 333-256648) filed on June 14, 2021)</w:t>
        </w:r>
      </w:hyperlink>
    </w:p>
    <w:p>
      <w:pPr>
        <w:ind w:left="900" w:right="159" w:hanging="847"/>
        <w:spacing w:after="0" w:line="23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30">
        <w:r>
          <w:rPr>
            <w:rFonts w:ascii="Arial" w:cs="Arial" w:eastAsia="Arial" w:hAnsi="Arial"/>
            <w:sz w:val="18"/>
            <w:szCs w:val="18"/>
            <w:u w:val="single" w:color="auto"/>
            <w:color w:val="0000EE"/>
          </w:rPr>
          <w:t>Executive Employment Agreement, by and between the Registrant and Adrienne Farid, Ph.D., dated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May 26, 2021 (incorporated herein by reference to Exhibit 10.34 to the Company’s Registration</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Statement on Form S-1/A (File No. 333-256648) filed on June 14, 2021)</w:t>
        </w:r>
      </w:hyperlink>
    </w:p>
    <w:p>
      <w:pPr>
        <w:ind w:left="900" w:right="99" w:hanging="847"/>
        <w:spacing w:after="0" w:line="23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31">
        <w:r>
          <w:rPr>
            <w:rFonts w:ascii="Arial" w:cs="Arial" w:eastAsia="Arial" w:hAnsi="Arial"/>
            <w:sz w:val="18"/>
            <w:szCs w:val="18"/>
            <w:u w:val="single" w:color="auto"/>
            <w:color w:val="0000EE"/>
          </w:rPr>
          <w:t>Executive Employment Agreement, by and between the Registrant and Gregory Russotti, Ph.D.,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dated May 26, 2021 (incorporated herein by reference to Exhibit 10.35 to the Company’s Registration</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Statement on Form S-1/A (File No. 333-256648) filed on June 14, 2021)</w:t>
        </w:r>
      </w:hyperlink>
    </w:p>
    <w:p>
      <w:pPr>
        <w:spacing w:after="0" w:line="200" w:lineRule="exact"/>
        <w:rPr>
          <w:rFonts w:ascii="Arial" w:cs="Arial" w:eastAsia="Arial" w:hAnsi="Arial"/>
          <w:sz w:val="18"/>
          <w:szCs w:val="18"/>
          <w:u w:val="single" w:color="auto"/>
          <w:color w:val="0000EE"/>
        </w:rPr>
      </w:pPr>
    </w:p>
    <w:p>
      <w:pPr>
        <w:spacing w:after="0" w:line="217"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5663565"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8040" w:type="dxa"/>
            <w:vAlign w:val="bottom"/>
            <w:gridSpan w:val="11"/>
          </w:tcPr>
          <w:p>
            <w:pPr>
              <w:spacing w:after="0"/>
              <w:rPr>
                <w:rFonts w:ascii="Arial" w:cs="Arial" w:eastAsia="Arial" w:hAnsi="Arial"/>
                <w:sz w:val="18"/>
                <w:szCs w:val="18"/>
                <w:color w:val="0000EE"/>
              </w:rPr>
            </w:pPr>
            <w:hyperlink r:id="rId133">
              <w:r>
                <w:rPr>
                  <w:rFonts w:ascii="Arial" w:cs="Arial" w:eastAsia="Arial" w:hAnsi="Arial"/>
                  <w:sz w:val="18"/>
                  <w:szCs w:val="18"/>
                  <w:color w:val="0000EE"/>
                </w:rPr>
                <w:t>Offer Letter, by and between the Registrant and Kimberly Blackwell, M.D., dated May 19, 2021</w:t>
              </w:r>
            </w:hyperlink>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8040" w:type="dxa"/>
            <w:vAlign w:val="bottom"/>
            <w:gridSpan w:val="11"/>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(incorporated herein by reference to Exhibit 10.38 to the Company’s Registration Statement on</w:t>
              </w:r>
            </w:hyperlink>
          </w:p>
        </w:tc>
      </w:tr>
      <w:tr>
        <w:trPr>
          <w:trHeight w:val="182"/>
        </w:trPr>
        <w:tc>
          <w:tcPr>
            <w:tcW w:w="840" w:type="dxa"/>
            <w:vAlign w:val="bottom"/>
          </w:tcPr>
          <w:p>
            <w:pPr>
              <w:spacing w:after="0"/>
              <w:rPr>
                <w:sz w:val="15"/>
                <w:szCs w:val="15"/>
                <w:color w:val="auto"/>
              </w:rPr>
            </w:pPr>
          </w:p>
        </w:tc>
        <w:tc>
          <w:tcPr>
            <w:tcW w:w="750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Form S-1 (File No. 333-256648) filed on May 28, 2021)</w:t>
              </w:r>
            </w:hyperlink>
          </w:p>
        </w:tc>
        <w:tc>
          <w:tcPr>
            <w:tcW w:w="540" w:type="dxa"/>
            <w:vAlign w:val="bottom"/>
            <w:gridSpan w:val="5"/>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10.12</w:t>
            </w:r>
          </w:p>
        </w:tc>
        <w:tc>
          <w:tcPr>
            <w:tcW w:w="7300" w:type="dxa"/>
            <w:vAlign w:val="bottom"/>
            <w:tcBorders>
              <w:bottom w:val="single" w:sz="8" w:color="0000EE"/>
            </w:tcBorders>
            <w:gridSpan w:val="4"/>
          </w:tcPr>
          <w:p>
            <w:pPr>
              <w:spacing w:after="0" w:line="195" w:lineRule="exact"/>
              <w:rPr>
                <w:rFonts w:ascii="Arial" w:cs="Arial" w:eastAsia="Arial" w:hAnsi="Arial"/>
                <w:sz w:val="18"/>
                <w:szCs w:val="18"/>
                <w:color w:val="0000EE"/>
                <w:w w:val="99"/>
              </w:rPr>
            </w:pPr>
            <w:hyperlink r:id="rId134">
              <w:r>
                <w:rPr>
                  <w:rFonts w:ascii="Arial" w:cs="Arial" w:eastAsia="Arial" w:hAnsi="Arial"/>
                  <w:sz w:val="18"/>
                  <w:szCs w:val="18"/>
                  <w:color w:val="0000EE"/>
                  <w:w w:val="99"/>
                </w:rPr>
                <w:t>Offer Letter, by and between the Registrant and Alessandro Riva, M.D., dated May 19, 2021</w:t>
              </w:r>
            </w:hyperlink>
          </w:p>
        </w:tc>
        <w:tc>
          <w:tcPr>
            <w:tcW w:w="740" w:type="dxa"/>
            <w:vAlign w:val="bottom"/>
            <w:gridSpan w:val="7"/>
          </w:tcPr>
          <w:p>
            <w:pPr>
              <w:spacing w:after="0"/>
              <w:rPr>
                <w:sz w:val="16"/>
                <w:szCs w:val="16"/>
                <w:color w:val="auto"/>
              </w:rPr>
            </w:pPr>
          </w:p>
        </w:tc>
      </w:tr>
      <w:tr>
        <w:trPr>
          <w:trHeight w:val="182"/>
        </w:trPr>
        <w:tc>
          <w:tcPr>
            <w:tcW w:w="840" w:type="dxa"/>
            <w:vAlign w:val="bottom"/>
          </w:tcPr>
          <w:p>
            <w:pPr>
              <w:spacing w:after="0"/>
              <w:rPr>
                <w:sz w:val="15"/>
                <w:szCs w:val="15"/>
                <w:color w:val="auto"/>
              </w:rPr>
            </w:pPr>
          </w:p>
        </w:tc>
        <w:tc>
          <w:tcPr>
            <w:tcW w:w="8040" w:type="dxa"/>
            <w:vAlign w:val="bottom"/>
            <w:gridSpan w:val="11"/>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(incorporated herein by reference to Exhibit 10.39 to the Company’s Registration Statement on</w:t>
              </w:r>
            </w:hyperlink>
          </w:p>
        </w:tc>
      </w:tr>
      <w:tr>
        <w:trPr>
          <w:trHeight w:val="182"/>
        </w:trPr>
        <w:tc>
          <w:tcPr>
            <w:tcW w:w="840" w:type="dxa"/>
            <w:vAlign w:val="bottom"/>
          </w:tcPr>
          <w:p>
            <w:pPr>
              <w:spacing w:after="0"/>
              <w:rPr>
                <w:sz w:val="15"/>
                <w:szCs w:val="15"/>
                <w:color w:val="auto"/>
              </w:rPr>
            </w:pPr>
          </w:p>
        </w:tc>
        <w:tc>
          <w:tcPr>
            <w:tcW w:w="750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Form S-1 (File No. 333-256648) filed on May 28, 2021)</w:t>
              </w:r>
            </w:hyperlink>
          </w:p>
        </w:tc>
        <w:tc>
          <w:tcPr>
            <w:tcW w:w="540" w:type="dxa"/>
            <w:vAlign w:val="bottom"/>
            <w:gridSpan w:val="5"/>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31.1</w:t>
            </w:r>
          </w:p>
        </w:tc>
        <w:tc>
          <w:tcPr>
            <w:tcW w:w="7580" w:type="dxa"/>
            <w:vAlign w:val="bottom"/>
            <w:tcBorders>
              <w:bottom w:val="single" w:sz="8" w:color="0000EE"/>
            </w:tcBorders>
            <w:gridSpan w:val="8"/>
          </w:tcPr>
          <w:p>
            <w:pPr>
              <w:spacing w:after="0" w:line="195" w:lineRule="exact"/>
              <w:rPr>
                <w:rFonts w:ascii="Arial" w:cs="Arial" w:eastAsia="Arial" w:hAnsi="Arial"/>
                <w:sz w:val="18"/>
                <w:szCs w:val="18"/>
                <w:color w:val="0000EE"/>
                <w:w w:val="99"/>
              </w:rPr>
            </w:pPr>
            <w:hyperlink w:anchor="page107">
              <w:r>
                <w:rPr>
                  <w:rFonts w:ascii="Arial" w:cs="Arial" w:eastAsia="Arial" w:hAnsi="Arial"/>
                  <w:sz w:val="18"/>
                  <w:szCs w:val="18"/>
                  <w:color w:val="0000EE"/>
                  <w:w w:val="99"/>
                </w:rPr>
                <w:t>Certification of Principal Executive Officer Pursuant to Rules 13a-14(a) and 15d-14(a) under the</w:t>
              </w:r>
            </w:hyperlink>
          </w:p>
        </w:tc>
        <w:tc>
          <w:tcPr>
            <w:tcW w:w="460" w:type="dxa"/>
            <w:vAlign w:val="bottom"/>
            <w:gridSpan w:val="3"/>
          </w:tcPr>
          <w:p>
            <w:pPr>
              <w:spacing w:after="0"/>
              <w:rPr>
                <w:sz w:val="16"/>
                <w:szCs w:val="16"/>
                <w:color w:val="auto"/>
              </w:rPr>
            </w:pPr>
          </w:p>
        </w:tc>
      </w:tr>
      <w:tr>
        <w:trPr>
          <w:trHeight w:val="182"/>
        </w:trPr>
        <w:tc>
          <w:tcPr>
            <w:tcW w:w="840" w:type="dxa"/>
            <w:vAlign w:val="bottom"/>
          </w:tcPr>
          <w:p>
            <w:pPr>
              <w:spacing w:after="0"/>
              <w:rPr>
                <w:sz w:val="15"/>
                <w:szCs w:val="15"/>
                <w:color w:val="auto"/>
              </w:rPr>
            </w:pPr>
          </w:p>
        </w:tc>
        <w:tc>
          <w:tcPr>
            <w:tcW w:w="8040" w:type="dxa"/>
            <w:vAlign w:val="bottom"/>
            <w:gridSpan w:val="11"/>
          </w:tcPr>
          <w:p>
            <w:pPr>
              <w:spacing w:after="0" w:line="182" w:lineRule="exact"/>
              <w:rPr>
                <w:rFonts w:ascii="Arial" w:cs="Arial" w:eastAsia="Arial" w:hAnsi="Arial"/>
                <w:sz w:val="18"/>
                <w:szCs w:val="18"/>
                <w:color w:val="0000EE"/>
              </w:rPr>
            </w:pPr>
            <w:hyperlink w:anchor="page107">
              <w:r>
                <w:rPr>
                  <w:rFonts w:ascii="Arial" w:cs="Arial" w:eastAsia="Arial" w:hAnsi="Arial"/>
                  <w:sz w:val="18"/>
                  <w:szCs w:val="18"/>
                  <w:color w:val="0000EE"/>
                </w:rPr>
                <w:t>Securities Exchange Act of 1934, as Adopted Pursuant to Section 302 of the Sarbanes-Oxley Act of</w:t>
              </w:r>
            </w:hyperlink>
          </w:p>
        </w:tc>
      </w:tr>
      <w:tr>
        <w:trPr>
          <w:trHeight w:val="182"/>
        </w:trPr>
        <w:tc>
          <w:tcPr>
            <w:tcW w:w="8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107">
              <w:r>
                <w:rPr>
                  <w:rFonts w:ascii="Arial" w:cs="Arial" w:eastAsia="Arial" w:hAnsi="Arial"/>
                  <w:sz w:val="18"/>
                  <w:szCs w:val="18"/>
                  <w:color w:val="0000EE"/>
                  <w:w w:val="94"/>
                </w:rPr>
                <w:t>2002</w:t>
              </w:r>
            </w:hyperlink>
          </w:p>
        </w:tc>
        <w:tc>
          <w:tcPr>
            <w:tcW w:w="33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29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31.2</w:t>
            </w:r>
          </w:p>
        </w:tc>
        <w:tc>
          <w:tcPr>
            <w:tcW w:w="7520" w:type="dxa"/>
            <w:vAlign w:val="bottom"/>
            <w:tcBorders>
              <w:bottom w:val="single" w:sz="8" w:color="0000EE"/>
            </w:tcBorders>
            <w:gridSpan w:val="7"/>
          </w:tcPr>
          <w:p>
            <w:pPr>
              <w:spacing w:after="0" w:line="195" w:lineRule="exact"/>
              <w:rPr>
                <w:rFonts w:ascii="Arial" w:cs="Arial" w:eastAsia="Arial" w:hAnsi="Arial"/>
                <w:sz w:val="18"/>
                <w:szCs w:val="18"/>
                <w:color w:val="0000EE"/>
                <w:w w:val="99"/>
              </w:rPr>
            </w:pPr>
            <w:hyperlink w:anchor="page108">
              <w:r>
                <w:rPr>
                  <w:rFonts w:ascii="Arial" w:cs="Arial" w:eastAsia="Arial" w:hAnsi="Arial"/>
                  <w:sz w:val="18"/>
                  <w:szCs w:val="18"/>
                  <w:color w:val="0000EE"/>
                  <w:w w:val="99"/>
                </w:rPr>
                <w:t>Certification of Principal Financial Officer Pursuant to Rules 13a-14(a) and 15d-14(a) under the</w:t>
              </w:r>
            </w:hyperlink>
          </w:p>
        </w:tc>
        <w:tc>
          <w:tcPr>
            <w:tcW w:w="520" w:type="dxa"/>
            <w:vAlign w:val="bottom"/>
            <w:gridSpan w:val="4"/>
          </w:tcPr>
          <w:p>
            <w:pPr>
              <w:spacing w:after="0"/>
              <w:rPr>
                <w:sz w:val="16"/>
                <w:szCs w:val="16"/>
                <w:color w:val="auto"/>
              </w:rPr>
            </w:pPr>
          </w:p>
        </w:tc>
      </w:tr>
      <w:tr>
        <w:trPr>
          <w:trHeight w:val="182"/>
        </w:trPr>
        <w:tc>
          <w:tcPr>
            <w:tcW w:w="840" w:type="dxa"/>
            <w:vAlign w:val="bottom"/>
          </w:tcPr>
          <w:p>
            <w:pPr>
              <w:spacing w:after="0"/>
              <w:rPr>
                <w:sz w:val="15"/>
                <w:szCs w:val="15"/>
                <w:color w:val="auto"/>
              </w:rPr>
            </w:pPr>
          </w:p>
        </w:tc>
        <w:tc>
          <w:tcPr>
            <w:tcW w:w="8040" w:type="dxa"/>
            <w:vAlign w:val="bottom"/>
            <w:gridSpan w:val="11"/>
          </w:tcPr>
          <w:p>
            <w:pPr>
              <w:spacing w:after="0" w:line="182" w:lineRule="exact"/>
              <w:rPr>
                <w:rFonts w:ascii="Arial" w:cs="Arial" w:eastAsia="Arial" w:hAnsi="Arial"/>
                <w:sz w:val="18"/>
                <w:szCs w:val="18"/>
                <w:color w:val="0000EE"/>
              </w:rPr>
            </w:pPr>
            <w:hyperlink w:anchor="page108">
              <w:r>
                <w:rPr>
                  <w:rFonts w:ascii="Arial" w:cs="Arial" w:eastAsia="Arial" w:hAnsi="Arial"/>
                  <w:sz w:val="18"/>
                  <w:szCs w:val="18"/>
                  <w:color w:val="0000EE"/>
                </w:rPr>
                <w:t>Securities Exchange Act of 1934, as Adopted Pursuant to Section 302 of the Sarbanes-Oxley Act of</w:t>
              </w:r>
            </w:hyperlink>
          </w:p>
        </w:tc>
      </w:tr>
      <w:tr>
        <w:trPr>
          <w:trHeight w:val="182"/>
        </w:trPr>
        <w:tc>
          <w:tcPr>
            <w:tcW w:w="8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108">
              <w:r>
                <w:rPr>
                  <w:rFonts w:ascii="Arial" w:cs="Arial" w:eastAsia="Arial" w:hAnsi="Arial"/>
                  <w:sz w:val="18"/>
                  <w:szCs w:val="18"/>
                  <w:color w:val="0000EE"/>
                  <w:w w:val="94"/>
                </w:rPr>
                <w:t>2002</w:t>
              </w:r>
            </w:hyperlink>
          </w:p>
        </w:tc>
        <w:tc>
          <w:tcPr>
            <w:tcW w:w="33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29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32.1*</w:t>
            </w:r>
          </w:p>
        </w:tc>
        <w:tc>
          <w:tcPr>
            <w:tcW w:w="8040" w:type="dxa"/>
            <w:vAlign w:val="bottom"/>
            <w:gridSpan w:val="11"/>
          </w:tcPr>
          <w:p>
            <w:pPr>
              <w:spacing w:after="0" w:line="195" w:lineRule="exact"/>
              <w:rPr>
                <w:rFonts w:ascii="Arial" w:cs="Arial" w:eastAsia="Arial" w:hAnsi="Arial"/>
                <w:sz w:val="18"/>
                <w:szCs w:val="18"/>
                <w:color w:val="0000EE"/>
              </w:rPr>
            </w:pPr>
            <w:hyperlink w:anchor="page109">
              <w:r>
                <w:rPr>
                  <w:rFonts w:ascii="Arial" w:cs="Arial" w:eastAsia="Arial" w:hAnsi="Arial"/>
                  <w:sz w:val="18"/>
                  <w:szCs w:val="18"/>
                  <w:color w:val="0000EE"/>
                </w:rPr>
                <w:t>Certification of Chief Executive Officer pursuant to 18 U.S.C. Section 1350, as adopted pursuant to</w:t>
              </w:r>
            </w:hyperlink>
          </w:p>
        </w:tc>
      </w:tr>
      <w:tr>
        <w:trPr>
          <w:trHeight w:val="182"/>
        </w:trPr>
        <w:tc>
          <w:tcPr>
            <w:tcW w:w="84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109">
              <w:r>
                <w:rPr>
                  <w:rFonts w:ascii="Arial" w:cs="Arial" w:eastAsia="Arial" w:hAnsi="Arial"/>
                  <w:sz w:val="18"/>
                  <w:szCs w:val="18"/>
                  <w:color w:val="0000EE"/>
                  <w:w w:val="99"/>
                </w:rPr>
                <w:t>Section 906 of the Sarbanes-Oxley Act of 2002</w:t>
              </w:r>
            </w:hyperlink>
          </w:p>
        </w:tc>
        <w:tc>
          <w:tcPr>
            <w:tcW w:w="4080" w:type="dxa"/>
            <w:vAlign w:val="bottom"/>
            <w:tcBorders>
              <w:top w:val="single" w:sz="8" w:color="0000EE"/>
            </w:tcBorders>
            <w:gridSpan w:val="7"/>
          </w:tcPr>
          <w:p>
            <w:pPr>
              <w:spacing w:after="0"/>
              <w:rPr>
                <w:sz w:val="15"/>
                <w:szCs w:val="15"/>
                <w:color w:val="auto"/>
              </w:rPr>
            </w:pPr>
          </w:p>
        </w:tc>
        <w:tc>
          <w:tcPr>
            <w:tcW w:w="220" w:type="dxa"/>
            <w:vAlign w:val="bottom"/>
            <w:gridSpan w:val="2"/>
          </w:tcPr>
          <w:p>
            <w:pPr>
              <w:spacing w:after="0"/>
              <w:rPr>
                <w:sz w:val="15"/>
                <w:szCs w:val="15"/>
                <w:color w:val="auto"/>
              </w:rPr>
            </w:pP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32.2*</w:t>
            </w:r>
          </w:p>
        </w:tc>
        <w:tc>
          <w:tcPr>
            <w:tcW w:w="8040" w:type="dxa"/>
            <w:vAlign w:val="bottom"/>
            <w:tcBorders>
              <w:bottom w:val="single" w:sz="8" w:color="0000EE"/>
            </w:tcBorders>
            <w:gridSpan w:val="11"/>
          </w:tcPr>
          <w:p>
            <w:pPr>
              <w:spacing w:after="0" w:line="195" w:lineRule="exact"/>
              <w:rPr>
                <w:rFonts w:ascii="Arial" w:cs="Arial" w:eastAsia="Arial" w:hAnsi="Arial"/>
                <w:sz w:val="18"/>
                <w:szCs w:val="18"/>
                <w:color w:val="0000EE"/>
                <w:w w:val="99"/>
              </w:rPr>
            </w:pPr>
            <w:hyperlink w:anchor="page110">
              <w:r>
                <w:rPr>
                  <w:rFonts w:ascii="Arial" w:cs="Arial" w:eastAsia="Arial" w:hAnsi="Arial"/>
                  <w:sz w:val="18"/>
                  <w:szCs w:val="18"/>
                  <w:color w:val="0000EE"/>
                  <w:w w:val="99"/>
                </w:rPr>
                <w:t>Certification of Principal Financial Officer pursuant to 18 U.S.C. Section 1350, as adopted pursuant to</w:t>
              </w:r>
            </w:hyperlink>
          </w:p>
        </w:tc>
      </w:tr>
      <w:tr>
        <w:trPr>
          <w:trHeight w:val="182"/>
        </w:trPr>
        <w:tc>
          <w:tcPr>
            <w:tcW w:w="840" w:type="dxa"/>
            <w:vAlign w:val="bottom"/>
          </w:tcPr>
          <w:p>
            <w:pPr>
              <w:spacing w:after="0"/>
              <w:rPr>
                <w:sz w:val="15"/>
                <w:szCs w:val="15"/>
                <w:color w:val="auto"/>
              </w:rPr>
            </w:pPr>
          </w:p>
        </w:tc>
        <w:tc>
          <w:tcPr>
            <w:tcW w:w="3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110">
              <w:r>
                <w:rPr>
                  <w:rFonts w:ascii="Arial" w:cs="Arial" w:eastAsia="Arial" w:hAnsi="Arial"/>
                  <w:sz w:val="18"/>
                  <w:szCs w:val="18"/>
                  <w:color w:val="0000EE"/>
                  <w:w w:val="99"/>
                </w:rPr>
                <w:t>Section 906 of the Sarbanes-Oxley Act of 2002</w:t>
              </w:r>
            </w:hyperlink>
          </w:p>
        </w:tc>
        <w:tc>
          <w:tcPr>
            <w:tcW w:w="4300" w:type="dxa"/>
            <w:vAlign w:val="bottom"/>
            <w:gridSpan w:val="9"/>
          </w:tcPr>
          <w:p>
            <w:pPr>
              <w:spacing w:after="0"/>
              <w:rPr>
                <w:sz w:val="15"/>
                <w:szCs w:val="15"/>
                <w:color w:val="auto"/>
              </w:rPr>
            </w:pPr>
          </w:p>
        </w:tc>
      </w:tr>
      <w:tr>
        <w:trPr>
          <w:trHeight w:val="221"/>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8040" w:type="dxa"/>
            <w:vAlign w:val="bottom"/>
            <w:gridSpan w:val="11"/>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w:t>
            </w:r>
          </w:p>
        </w:tc>
      </w:tr>
      <w:tr>
        <w:trPr>
          <w:trHeight w:val="215"/>
        </w:trPr>
        <w:tc>
          <w:tcPr>
            <w:tcW w:w="840" w:type="dxa"/>
            <w:vAlign w:val="bottom"/>
          </w:tcPr>
          <w:p>
            <w:pPr>
              <w:spacing w:after="0"/>
              <w:rPr>
                <w:sz w:val="18"/>
                <w:szCs w:val="18"/>
                <w:color w:val="auto"/>
              </w:rPr>
            </w:pPr>
          </w:p>
        </w:tc>
        <w:tc>
          <w:tcPr>
            <w:tcW w:w="8040" w:type="dxa"/>
            <w:vAlign w:val="bottom"/>
            <w:gridSpan w:val="11"/>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8040" w:type="dxa"/>
            <w:vAlign w:val="bottom"/>
            <w:gridSpan w:val="11"/>
          </w:tcPr>
          <w:p>
            <w:pPr>
              <w:spacing w:after="0"/>
              <w:rPr>
                <w:sz w:val="20"/>
                <w:szCs w:val="20"/>
                <w:color w:val="auto"/>
              </w:rPr>
            </w:pPr>
            <w:r>
              <w:rPr>
                <w:rFonts w:ascii="Arial" w:cs="Arial" w:eastAsia="Arial" w:hAnsi="Arial"/>
                <w:sz w:val="18"/>
                <w:szCs w:val="18"/>
                <w:color w:val="auto"/>
              </w:rPr>
              <w:t>XBRL Taxonomy Extension Schema</w:t>
            </w: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80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80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804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80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r>
    </w:tbl>
    <w:p>
      <w:pPr>
        <w:ind w:left="900" w:right="599" w:hanging="845"/>
        <w:spacing w:after="0" w:line="24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cover page from Century Therapeutics, Inc. Quarterly Report on Form 10-Q for the quarter ended June 30, 2021,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57785</wp:posOffset>
            </wp:positionV>
            <wp:extent cx="1417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1417955" cy="17145"/>
                    </a:xfrm>
                    <a:prstGeom prst="rect">
                      <a:avLst/>
                    </a:prstGeom>
                    <a:noFill/>
                  </pic:spPr>
                </pic:pic>
              </a:graphicData>
            </a:graphic>
          </wp:anchor>
        </w:drawing>
      </w:r>
    </w:p>
    <w:p>
      <w:pPr>
        <w:spacing w:after="0" w:line="191" w:lineRule="exact"/>
        <w:rPr>
          <w:sz w:val="20"/>
          <w:szCs w:val="20"/>
          <w:color w:val="auto"/>
        </w:rPr>
      </w:pPr>
    </w:p>
    <w:p>
      <w:pPr>
        <w:ind w:left="460" w:right="79" w:hanging="405"/>
        <w:spacing w:after="0" w:line="23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5" w:lineRule="exact"/>
        <w:rPr>
          <w:sz w:val="20"/>
          <w:szCs w:val="20"/>
          <w:color w:val="auto"/>
        </w:rPr>
      </w:pPr>
    </w:p>
    <w:p>
      <w:pPr>
        <w:ind w:left="60" w:right="559"/>
        <w:spacing w:after="0" w:line="239"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7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Century Therapeutics, Inc.</w:t>
      </w:r>
    </w:p>
    <w:p>
      <w:pPr>
        <w:spacing w:after="0" w:line="197" w:lineRule="exact"/>
        <w:rPr>
          <w:sz w:val="20"/>
          <w:szCs w:val="20"/>
          <w:color w:val="auto"/>
        </w:rPr>
      </w:pPr>
    </w:p>
    <w:p>
      <w:pPr>
        <w:ind w:left="60"/>
        <w:spacing w:after="0"/>
        <w:tabs>
          <w:tab w:leader="none" w:pos="4480" w:val="left"/>
          <w:tab w:leader="none" w:pos="588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-1905</wp:posOffset>
            </wp:positionV>
            <wp:extent cx="26136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2613660" cy="8255"/>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8"/>
          <w:szCs w:val="18"/>
          <w:color w:val="auto"/>
        </w:rPr>
        <w:t>Osvaldo Flores, Ph.D.</w:t>
      </w:r>
    </w:p>
    <w:p>
      <w:pPr>
        <w:jc w:val="center"/>
        <w:ind w:left="4780"/>
        <w:spacing w:after="0" w:line="23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(Principal Executive Officer)</w:t>
      </w:r>
    </w:p>
    <w:p>
      <w:pPr>
        <w:spacing w:after="0" w:line="197" w:lineRule="exact"/>
        <w:rPr>
          <w:sz w:val="20"/>
          <w:szCs w:val="20"/>
          <w:color w:val="auto"/>
        </w:rPr>
      </w:pPr>
    </w:p>
    <w:p>
      <w:pPr>
        <w:ind w:left="60"/>
        <w:spacing w:after="0"/>
        <w:tabs>
          <w:tab w:leader="none" w:pos="4480" w:val="left"/>
          <w:tab w:leader="none" w:pos="598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-1905</wp:posOffset>
            </wp:positionV>
            <wp:extent cx="26136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2613660" cy="8255"/>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8"/>
          <w:szCs w:val="18"/>
          <w:color w:val="auto"/>
        </w:rPr>
        <w:t>Michael Diem, M.D.</w:t>
      </w:r>
    </w:p>
    <w:p>
      <w:pPr>
        <w:jc w:val="center"/>
        <w:ind w:left="4780"/>
        <w:spacing w:after="0" w:line="233" w:lineRule="auto"/>
        <w:rPr>
          <w:sz w:val="20"/>
          <w:szCs w:val="20"/>
          <w:color w:val="auto"/>
        </w:rPr>
      </w:pPr>
      <w:r>
        <w:rPr>
          <w:rFonts w:ascii="Arial" w:cs="Arial" w:eastAsia="Arial" w:hAnsi="Arial"/>
          <w:sz w:val="18"/>
          <w:szCs w:val="18"/>
          <w:color w:val="auto"/>
        </w:rPr>
        <w:t>Chief Business Officer</w:t>
      </w:r>
    </w:p>
    <w:p>
      <w:pPr>
        <w:spacing w:after="0" w:line="1"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339090</wp:posOffset>
            </wp:positionV>
            <wp:extent cx="56635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 Osvaldo Flores, certify that:</w:t>
      </w:r>
    </w:p>
    <w:p>
      <w:pPr>
        <w:spacing w:after="0" w:line="116" w:lineRule="exact"/>
        <w:rPr>
          <w:sz w:val="20"/>
          <w:szCs w:val="20"/>
          <w:color w:val="auto"/>
        </w:rPr>
      </w:pPr>
    </w:p>
    <w:p>
      <w:pPr>
        <w:ind w:left="860" w:hanging="421"/>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of Century Therapeutics, Inc.;</w:t>
      </w:r>
    </w:p>
    <w:p>
      <w:pPr>
        <w:spacing w:after="0" w:line="115" w:lineRule="exact"/>
        <w:rPr>
          <w:rFonts w:ascii="Arial" w:cs="Arial" w:eastAsia="Arial" w:hAnsi="Arial"/>
          <w:sz w:val="18"/>
          <w:szCs w:val="18"/>
          <w:color w:val="auto"/>
        </w:rPr>
      </w:pPr>
    </w:p>
    <w:p>
      <w:pPr>
        <w:jc w:val="both"/>
        <w:ind w:left="860" w:right="20" w:hanging="421"/>
        <w:spacing w:after="0" w:line="262"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860" w:right="20" w:hanging="421"/>
        <w:spacing w:after="0" w:line="262"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860" w:right="20" w:hanging="421"/>
        <w:spacing w:after="0" w:line="275"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63" w:lineRule="exact"/>
        <w:rPr>
          <w:rFonts w:ascii="Arial" w:cs="Arial" w:eastAsia="Arial" w:hAnsi="Arial"/>
          <w:sz w:val="18"/>
          <w:szCs w:val="18"/>
          <w:color w:val="auto"/>
        </w:rPr>
      </w:pPr>
    </w:p>
    <w:p>
      <w:pPr>
        <w:jc w:val="both"/>
        <w:ind w:left="1740" w:right="20" w:hanging="441"/>
        <w:spacing w:after="0" w:line="258" w:lineRule="auto"/>
        <w:tabs>
          <w:tab w:leader="none" w:pos="17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740" w:right="20" w:hanging="441"/>
        <w:spacing w:after="0" w:line="262" w:lineRule="auto"/>
        <w:tabs>
          <w:tab w:leader="none" w:pos="17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40" w:right="20" w:hanging="441"/>
        <w:spacing w:after="0" w:line="258" w:lineRule="auto"/>
        <w:tabs>
          <w:tab w:leader="none" w:pos="17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860" w:right="20" w:hanging="421"/>
        <w:spacing w:after="0" w:line="262"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740" w:right="20" w:hanging="441"/>
        <w:spacing w:after="0" w:line="262" w:lineRule="auto"/>
        <w:tabs>
          <w:tab w:leader="none" w:pos="17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740" w:right="20" w:hanging="441"/>
        <w:spacing w:after="0" w:line="275" w:lineRule="auto"/>
        <w:tabs>
          <w:tab w:leader="none" w:pos="17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14605</wp:posOffset>
            </wp:positionV>
            <wp:extent cx="31432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Osvaldo Flores, Ph.D.</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629539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 Michael Diem, certify that:</w:t>
      </w:r>
    </w:p>
    <w:p>
      <w:pPr>
        <w:spacing w:after="0" w:line="116" w:lineRule="exact"/>
        <w:rPr>
          <w:sz w:val="20"/>
          <w:szCs w:val="20"/>
          <w:color w:val="auto"/>
        </w:rPr>
      </w:pPr>
    </w:p>
    <w:p>
      <w:pPr>
        <w:ind w:left="860" w:hanging="421"/>
        <w:spacing w:after="0"/>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of Century Therapeutics, Inc.;</w:t>
      </w:r>
    </w:p>
    <w:p>
      <w:pPr>
        <w:spacing w:after="0" w:line="115" w:lineRule="exact"/>
        <w:rPr>
          <w:rFonts w:ascii="Arial" w:cs="Arial" w:eastAsia="Arial" w:hAnsi="Arial"/>
          <w:sz w:val="18"/>
          <w:szCs w:val="18"/>
          <w:color w:val="auto"/>
        </w:rPr>
      </w:pPr>
    </w:p>
    <w:p>
      <w:pPr>
        <w:jc w:val="both"/>
        <w:ind w:left="860" w:right="20" w:hanging="421"/>
        <w:spacing w:after="0" w:line="262" w:lineRule="auto"/>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860" w:right="20" w:hanging="421"/>
        <w:spacing w:after="0" w:line="262" w:lineRule="auto"/>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860" w:right="20" w:hanging="421"/>
        <w:spacing w:after="0" w:line="275" w:lineRule="auto"/>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63" w:lineRule="exact"/>
        <w:rPr>
          <w:rFonts w:ascii="Arial" w:cs="Arial" w:eastAsia="Arial" w:hAnsi="Arial"/>
          <w:sz w:val="18"/>
          <w:szCs w:val="18"/>
          <w:color w:val="auto"/>
        </w:rPr>
      </w:pPr>
    </w:p>
    <w:p>
      <w:pPr>
        <w:jc w:val="both"/>
        <w:ind w:left="1740" w:right="20" w:hanging="441"/>
        <w:spacing w:after="0" w:line="258" w:lineRule="auto"/>
        <w:tabs>
          <w:tab w:leader="none" w:pos="17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740" w:right="20" w:hanging="441"/>
        <w:spacing w:after="0" w:line="262" w:lineRule="auto"/>
        <w:tabs>
          <w:tab w:leader="none" w:pos="17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40" w:right="20" w:hanging="441"/>
        <w:spacing w:after="0" w:line="258" w:lineRule="auto"/>
        <w:tabs>
          <w:tab w:leader="none" w:pos="17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860" w:right="20" w:hanging="421"/>
        <w:spacing w:after="0" w:line="262" w:lineRule="auto"/>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740" w:right="20" w:hanging="441"/>
        <w:spacing w:after="0" w:line="262" w:lineRule="auto"/>
        <w:tabs>
          <w:tab w:leader="none" w:pos="17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740" w:right="20" w:hanging="441"/>
        <w:spacing w:after="0" w:line="275" w:lineRule="auto"/>
        <w:tabs>
          <w:tab w:leader="none" w:pos="17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14605</wp:posOffset>
            </wp:positionV>
            <wp:extent cx="31432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Michael Diem, M.D.</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Business Officer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629539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8" w:name="page109"/>
    <w:bookmarkEnd w:id="108"/>
    <w:p>
      <w:pPr>
        <w:ind w:left="9000"/>
        <w:spacing w:after="0"/>
        <w:rPr>
          <w:sz w:val="20"/>
          <w:szCs w:val="20"/>
          <w:color w:val="auto"/>
        </w:rPr>
      </w:pPr>
      <w:r>
        <w:rPr>
          <w:rFonts w:ascii="Arial" w:cs="Arial" w:eastAsia="Arial" w:hAnsi="Arial"/>
          <w:sz w:val="16"/>
          <w:szCs w:val="16"/>
          <w:b w:val="1"/>
          <w:bCs w:val="1"/>
          <w:color w:val="auto"/>
        </w:rPr>
        <w:t>Exhibit 32.1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firstLine="439"/>
        <w:spacing w:after="0" w:line="258" w:lineRule="auto"/>
        <w:rPr>
          <w:sz w:val="20"/>
          <w:szCs w:val="20"/>
          <w:color w:val="auto"/>
        </w:rPr>
      </w:pPr>
      <w:r>
        <w:rPr>
          <w:rFonts w:ascii="Arial" w:cs="Arial" w:eastAsia="Arial" w:hAnsi="Arial"/>
          <w:sz w:val="18"/>
          <w:szCs w:val="18"/>
          <w:color w:val="auto"/>
        </w:rPr>
        <w:t>In connection with the Quarterly Report of Century Therapeutics, Inc. (the “Company”) on Form 10-Q for the quarter ended June 30,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6" w:lineRule="exact"/>
        <w:rPr>
          <w:sz w:val="20"/>
          <w:szCs w:val="20"/>
          <w:color w:val="auto"/>
        </w:rPr>
      </w:pPr>
    </w:p>
    <w:p>
      <w:pPr>
        <w:ind w:left="860" w:hanging="421"/>
        <w:spacing w:after="0"/>
        <w:tabs>
          <w:tab w:leader="none" w:pos="8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5" w:lineRule="exact"/>
        <w:rPr>
          <w:rFonts w:ascii="Arial" w:cs="Arial" w:eastAsia="Arial" w:hAnsi="Arial"/>
          <w:sz w:val="17"/>
          <w:szCs w:val="17"/>
          <w:color w:val="auto"/>
        </w:rPr>
      </w:pPr>
    </w:p>
    <w:p>
      <w:pPr>
        <w:ind w:left="860" w:right="20" w:hanging="421"/>
        <w:spacing w:after="0" w:line="275" w:lineRule="auto"/>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14605</wp:posOffset>
            </wp:positionV>
            <wp:extent cx="31432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Osvaldo Flores, Ph.D.</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629539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9" w:name="page110"/>
    <w:bookmarkEnd w:id="109"/>
    <w:p>
      <w:pPr>
        <w:ind w:left="9000"/>
        <w:spacing w:after="0"/>
        <w:rPr>
          <w:sz w:val="20"/>
          <w:szCs w:val="20"/>
          <w:color w:val="auto"/>
        </w:rPr>
      </w:pPr>
      <w:r>
        <w:rPr>
          <w:rFonts w:ascii="Arial" w:cs="Arial" w:eastAsia="Arial" w:hAnsi="Arial"/>
          <w:sz w:val="16"/>
          <w:szCs w:val="16"/>
          <w:b w:val="1"/>
          <w:bCs w:val="1"/>
          <w:color w:val="auto"/>
        </w:rPr>
        <w:t>Exhibit 32.2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firstLine="439"/>
        <w:spacing w:after="0" w:line="258" w:lineRule="auto"/>
        <w:rPr>
          <w:sz w:val="20"/>
          <w:szCs w:val="20"/>
          <w:color w:val="auto"/>
        </w:rPr>
      </w:pPr>
      <w:r>
        <w:rPr>
          <w:rFonts w:ascii="Arial" w:cs="Arial" w:eastAsia="Arial" w:hAnsi="Arial"/>
          <w:sz w:val="18"/>
          <w:szCs w:val="18"/>
          <w:color w:val="auto"/>
        </w:rPr>
        <w:t>In connection with the Quarterly Report of Century Therapeutics, Inc. (the “Company”) on Form 10-Q for the quarter ended June 30,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6" w:lineRule="exact"/>
        <w:rPr>
          <w:sz w:val="20"/>
          <w:szCs w:val="20"/>
          <w:color w:val="auto"/>
        </w:rPr>
      </w:pPr>
    </w:p>
    <w:p>
      <w:pPr>
        <w:ind w:left="860" w:hanging="421"/>
        <w:spacing w:after="0"/>
        <w:tabs>
          <w:tab w:leader="none" w:pos="8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5" w:lineRule="exact"/>
        <w:rPr>
          <w:rFonts w:ascii="Arial" w:cs="Arial" w:eastAsia="Arial" w:hAnsi="Arial"/>
          <w:sz w:val="17"/>
          <w:szCs w:val="17"/>
          <w:color w:val="auto"/>
        </w:rPr>
      </w:pPr>
    </w:p>
    <w:p>
      <w:pPr>
        <w:ind w:left="860" w:right="20" w:hanging="421"/>
        <w:spacing w:after="0" w:line="275" w:lineRule="auto"/>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14605</wp:posOffset>
            </wp:positionV>
            <wp:extent cx="31432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Michael Diem, M.D.</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Business Officer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629539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6295390"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20"/>
    </w:lvl>
  </w:abstractNum>
  <w:abstractNum w:abstractNumId="7">
    <w:nsid w:val="614FD4A1"/>
    <w:multiLevelType w:val="hybridMultilevel"/>
    <w:lvl w:ilvl="0">
      <w:lvlJc w:val="left"/>
      <w:lvlText w:val="(%1)"/>
      <w:numFmt w:val="lowerLetter"/>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lowerRoman"/>
      <w:start w:val="4"/>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decimal"/>
      <w:start w:val="104"/>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decimal"/>
      <w:start w:val="1"/>
    </w:lvl>
    <w:lvl w:ilvl="1">
      <w:lvlJc w:val="left"/>
      <w:lvlText w:val="%2."/>
      <w:numFmt w:val="lowerLetter"/>
      <w:start w:val="1"/>
    </w:lvl>
  </w:abstractNum>
  <w:abstractNum w:abstractNumId="53">
    <w:nsid w:val="1CF10FD8"/>
    <w:multiLevelType w:val="hybridMultilevel"/>
    <w:lvl w:ilvl="0">
      <w:lvlJc w:val="left"/>
      <w:lvlText w:val="%1."/>
      <w:numFmt w:val="decimal"/>
      <w:start w:val="2"/>
    </w:lvl>
  </w:abstractNum>
  <w:abstractNum w:abstractNumId="54">
    <w:nsid w:val="180115BE"/>
    <w:multiLevelType w:val="hybridMultilevel"/>
    <w:lvl w:ilvl="0">
      <w:lvlJc w:val="left"/>
      <w:lvlText w:val="%1"/>
      <w:numFmt w:val="decimal"/>
      <w:start w:val="104"/>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2"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20" Type="http://schemas.openxmlformats.org/officeDocument/2006/relationships/hyperlink" Target="https://www.sec.gov/Archives/edgar/data/1850119/000110465921085744/tm2120666d1_ex3-1.htm" TargetMode="External"/><Relationship Id="rId121" Type="http://schemas.openxmlformats.org/officeDocument/2006/relationships/hyperlink" Target="https://www.sec.gov/Archives/edgar/data/1850119/000110465921085744/tm2120666d1_ex3-2.htm" TargetMode="External"/><Relationship Id="rId122" Type="http://schemas.openxmlformats.org/officeDocument/2006/relationships/hyperlink" Target="https://www.sec.gov/Archives/edgar/data/1850119/000110465921080429/tm218551d10_ex10-8.htm" TargetMode="External"/><Relationship Id="rId123" Type="http://schemas.openxmlformats.org/officeDocument/2006/relationships/hyperlink" Target="https://www.sec.gov/Archives/edgar/data/1850119/000110465921080429/tm218551d10_ex10-9.htm" TargetMode="External"/><Relationship Id="rId124" Type="http://schemas.openxmlformats.org/officeDocument/2006/relationships/hyperlink" Target="https://www.sec.gov/Archives/edgar/data/1850119/000110465921074278/tm218551d7_ex10-13.htm" TargetMode="External"/><Relationship Id="rId125" Type="http://schemas.openxmlformats.org/officeDocument/2006/relationships/hyperlink" Target="https://www.sec.gov/Archives/edgar/data/1850119/000110465921074278/tm218551d7_ex10-14.htm" TargetMode="External"/><Relationship Id="rId126" Type="http://schemas.openxmlformats.org/officeDocument/2006/relationships/hyperlink" Target="https://www.sec.gov/Archives/edgar/data/1850119/000110465921074278/tm218551d7_ex10-30.htm" TargetMode="External"/><Relationship Id="rId127" Type="http://schemas.openxmlformats.org/officeDocument/2006/relationships/hyperlink" Target="https://www.sec.gov/Archives/edgar/data/1850119/000110465921074278/tm218551d7_ex10-31.htm" TargetMode="External"/><Relationship Id="rId128" Type="http://schemas.openxmlformats.org/officeDocument/2006/relationships/hyperlink" Target="https://www.sec.gov/Archives/edgar/data/1850119/000110465921074278/tm218551d7_ex10-32.htm" TargetMode="External"/><Relationship Id="rId129" Type="http://schemas.openxmlformats.org/officeDocument/2006/relationships/hyperlink" Target="https://www.sec.gov/Archives/edgar/data/1850119/000110465921074278/tm218551d7_ex10-33.htm" TargetMode="External"/><Relationship Id="rId130" Type="http://schemas.openxmlformats.org/officeDocument/2006/relationships/hyperlink" Target="https://www.sec.gov/Archives/edgar/data/1850119/000110465921074278/tm218551d7_ex10-34.htm" TargetMode="External"/><Relationship Id="rId131" Type="http://schemas.openxmlformats.org/officeDocument/2006/relationships/hyperlink" Target="https://www.sec.gov/Archives/edgar/data/1850119/000110465921074278/tm218551d7_ex10-35.htm" TargetMode="External"/><Relationship Id="rId133" Type="http://schemas.openxmlformats.org/officeDocument/2006/relationships/hyperlink" Target="https://www.sec.gov/Archives/edgar/data/1850119/000110465921074278/tm218551d7_ex10-38.htm" TargetMode="External"/><Relationship Id="rId134" Type="http://schemas.openxmlformats.org/officeDocument/2006/relationships/hyperlink" Target="https://www.sec.gov/Archives/edgar/data/1850119/000110465921074278/tm218551d7_ex10-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2021-08-12T09:10:18Z</dcterms:created>
  <dcterms:modified xsi:type="dcterms:W3CDTF">2021-08-12T09:10:18Z</dcterms:modified>
</cp:coreProperties>
</file>