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SVP Finance &amp; Operations</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14,000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317,580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03/07/2024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81,000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03/07/2034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81,000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81,000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March 7,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7, 2025, with the remaining 75% vesting in 36 equal monthly installments, subject to the Reporting Person's continued service through each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Douglas Carr</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03/11/2024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4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and Gregory Russotti of Century Therapeutics, Inc. (the "Company"),</w:t>
      </w:r>
    </w:p>
    <w:p>
      <w:pPr>
        <w:ind w:right="4059"/>
        <w:spacing w:after="0" w:line="241" w:lineRule="auto"/>
        <w:rPr>
          <w:sz w:val="20"/>
          <w:szCs w:val="20"/>
          <w:color w:val="auto"/>
        </w:rPr>
      </w:pPr>
      <w:r>
        <w:rPr>
          <w:rFonts w:ascii="Courier New" w:cs="Courier New" w:eastAsia="Courier New" w:hAnsi="Courier New"/>
          <w:sz w:val="17"/>
          <w:szCs w:val="17"/>
          <w:color w:val="auto"/>
        </w:rPr>
        <w:t>signing singly, and with full power of substitution, as the undersigned's true and lawful attorney-in-fact to:</w:t>
      </w:r>
    </w:p>
    <w:p>
      <w:pPr>
        <w:ind w:right="31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11th day of March,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Douglas Carr</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Douglas Carr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2024-03-11T18:40:20Z</dcterms:created>
  <dcterms:modified xsi:type="dcterms:W3CDTF">2024-03-11T18:40:20Z</dcterms:modified>
</cp:coreProperties>
</file>