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226060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248920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18"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6"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2689860</wp:posOffset>
            </wp:positionH>
            <wp:positionV relativeFrom="paragraph">
              <wp:posOffset>94615</wp:posOffset>
            </wp:positionV>
            <wp:extent cx="179451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259"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2689860</wp:posOffset>
            </wp:positionH>
            <wp:positionV relativeFrom="paragraph">
              <wp:posOffset>104775</wp:posOffset>
            </wp:positionV>
            <wp:extent cx="179451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302"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b w:val="1"/>
          <w:bCs w:val="1"/>
          <w:color w:val="auto"/>
        </w:rPr>
        <w:t>Pursuant to Section 13 or 15(d)</w:t>
      </w:r>
    </w:p>
    <w:p>
      <w:pPr>
        <w:spacing w:after="0" w:line="6"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b w:val="1"/>
          <w:bCs w:val="1"/>
          <w:color w:val="auto"/>
        </w:rPr>
        <w:t>of the Securities Exchange Act of 1934</w:t>
      </w:r>
    </w:p>
    <w:p>
      <w:pPr>
        <w:spacing w:after="0" w:line="135"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b w:val="1"/>
          <w:bCs w:val="1"/>
          <w:color w:val="auto"/>
        </w:rPr>
        <w:t>Date of Report (Date of earliest event reported): December 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2689860</wp:posOffset>
            </wp:positionH>
            <wp:positionV relativeFrom="paragraph">
              <wp:posOffset>104775</wp:posOffset>
            </wp:positionV>
            <wp:extent cx="179451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275"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22"/>
          <w:szCs w:val="22"/>
          <w:b w:val="1"/>
          <w:bCs w:val="1"/>
          <w:color w:val="auto"/>
        </w:rPr>
        <w:t>Century Therapeutics, Inc.</w:t>
      </w:r>
    </w:p>
    <w:p>
      <w:pPr>
        <w:spacing w:after="0" w:line="23"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2689860</wp:posOffset>
            </wp:positionH>
            <wp:positionV relativeFrom="paragraph">
              <wp:posOffset>94615</wp:posOffset>
            </wp:positionV>
            <wp:extent cx="179451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ectPr>
          <w:pgSz w:w="11900" w:h="16838" w:orient="portrait"/>
          <w:cols w:equalWidth="0" w:num="1">
            <w:col w:w="11305"/>
          </w:cols>
          <w:pgMar w:left="295" w:top="513" w:right="299" w:bottom="1440" w:gutter="0" w:footer="0" w:header="0"/>
        </w:sectPr>
      </w:pPr>
    </w:p>
    <w:p>
      <w:pPr>
        <w:spacing w:after="0" w:line="296" w:lineRule="exact"/>
        <w:rPr>
          <w:sz w:val="24"/>
          <w:szCs w:val="24"/>
          <w:color w:val="auto"/>
        </w:rPr>
      </w:pPr>
    </w:p>
    <w:p>
      <w:pPr>
        <w:ind w:left="1565"/>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21" w:lineRule="exact"/>
        <w:rPr>
          <w:sz w:val="24"/>
          <w:szCs w:val="24"/>
          <w:color w:val="auto"/>
        </w:rPr>
      </w:pPr>
    </w:p>
    <w:p>
      <w:pPr>
        <w:ind w:left="1105"/>
        <w:spacing w:after="0"/>
        <w:rPr>
          <w:sz w:val="20"/>
          <w:szCs w:val="20"/>
          <w:color w:val="auto"/>
        </w:rPr>
      </w:pPr>
      <w:r>
        <w:rPr>
          <w:rFonts w:ascii="Times New Roman" w:cs="Times New Roman" w:eastAsia="Times New Roman" w:hAnsi="Times New Roman"/>
          <w:sz w:val="12"/>
          <w:szCs w:val="12"/>
          <w:color w:val="auto"/>
        </w:rPr>
        <w:t>(State or other jurisdiction of</w:t>
      </w:r>
    </w:p>
    <w:p>
      <w:pPr>
        <w:spacing w:after="0" w:line="6" w:lineRule="exact"/>
        <w:rPr>
          <w:sz w:val="24"/>
          <w:szCs w:val="24"/>
          <w:color w:val="auto"/>
        </w:rPr>
      </w:pPr>
    </w:p>
    <w:p>
      <w:pPr>
        <w:ind w:left="1085"/>
        <w:spacing w:after="0"/>
        <w:rPr>
          <w:sz w:val="20"/>
          <w:szCs w:val="20"/>
          <w:color w:val="auto"/>
        </w:rPr>
      </w:pPr>
      <w:r>
        <w:rPr>
          <w:rFonts w:ascii="Times New Roman" w:cs="Times New Roman" w:eastAsia="Times New Roman" w:hAnsi="Times New Roman"/>
          <w:sz w:val="11"/>
          <w:szCs w:val="11"/>
          <w:color w:val="auto"/>
        </w:rPr>
        <w:t>incorporation or organization)</w:t>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2"/>
          <w:szCs w:val="12"/>
          <w:b w:val="1"/>
          <w:bCs w:val="1"/>
          <w:color w:val="auto"/>
        </w:rPr>
        <w:t>001-40498</w:t>
      </w:r>
    </w:p>
    <w:p>
      <w:pPr>
        <w:spacing w:after="0" w:line="21"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1"/>
          <w:szCs w:val="11"/>
          <w:color w:val="auto"/>
        </w:rPr>
        <w:t>(Commission File Number)</w:t>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2"/>
          <w:szCs w:val="12"/>
          <w:b w:val="1"/>
          <w:bCs w:val="1"/>
          <w:color w:val="auto"/>
        </w:rPr>
        <w:t>84-2040295</w:t>
      </w:r>
    </w:p>
    <w:p>
      <w:pPr>
        <w:spacing w:after="0" w:line="21"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2"/>
          <w:szCs w:val="12"/>
          <w:color w:val="auto"/>
        </w:rPr>
        <w:t>(I.R.S. Employer</w:t>
      </w:r>
    </w:p>
    <w:p>
      <w:pPr>
        <w:spacing w:after="0" w:line="6"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2"/>
          <w:szCs w:val="12"/>
          <w:color w:val="auto"/>
        </w:rPr>
        <w:t>Identification No.)</w:t>
      </w:r>
    </w:p>
    <w:p>
      <w:pPr>
        <w:spacing w:after="0" w:line="135" w:lineRule="exact"/>
        <w:rPr>
          <w:sz w:val="24"/>
          <w:szCs w:val="24"/>
          <w:color w:val="auto"/>
        </w:rPr>
      </w:pPr>
    </w:p>
    <w:p>
      <w:pPr>
        <w:sectPr>
          <w:pgSz w:w="11900" w:h="16838" w:orient="portrait"/>
          <w:cols w:equalWidth="0" w:num="3">
            <w:col w:w="4285" w:space="720"/>
            <w:col w:w="3320" w:space="720"/>
            <w:col w:w="2260"/>
          </w:cols>
          <w:pgMar w:left="295" w:top="513" w:right="299" w:bottom="1440" w:gutter="0" w:footer="0" w:header="0"/>
          <w:type w:val="continuous"/>
        </w:sectPr>
      </w:pPr>
    </w:p>
    <w:p>
      <w:pPr>
        <w:jc w:val="center"/>
        <w:ind w:right="1995"/>
        <w:spacing w:after="0"/>
        <w:rPr>
          <w:sz w:val="20"/>
          <w:szCs w:val="20"/>
          <w:color w:val="auto"/>
        </w:rPr>
      </w:pPr>
      <w:r>
        <w:rPr>
          <w:rFonts w:ascii="Times New Roman" w:cs="Times New Roman" w:eastAsia="Times New Roman" w:hAnsi="Times New Roman"/>
          <w:sz w:val="12"/>
          <w:szCs w:val="12"/>
          <w:b w:val="1"/>
          <w:bCs w:val="1"/>
          <w:color w:val="auto"/>
        </w:rPr>
        <w:t>25 North 38th Street</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 xml:space="preserve"> 11th Floor</w:t>
      </w:r>
    </w:p>
    <w:p>
      <w:pPr>
        <w:spacing w:after="0" w:line="21" w:lineRule="exact"/>
        <w:rPr>
          <w:sz w:val="24"/>
          <w:szCs w:val="24"/>
          <w:color w:val="auto"/>
        </w:rPr>
      </w:pPr>
    </w:p>
    <w:p>
      <w:pPr>
        <w:jc w:val="center"/>
        <w:ind w:right="1995"/>
        <w:spacing w:after="0"/>
        <w:rPr>
          <w:sz w:val="20"/>
          <w:szCs w:val="20"/>
          <w:color w:val="auto"/>
        </w:rPr>
      </w:pPr>
      <w:r>
        <w:rPr>
          <w:rFonts w:ascii="Times New Roman" w:cs="Times New Roman" w:eastAsia="Times New Roman" w:hAnsi="Times New Roman"/>
          <w:sz w:val="12"/>
          <w:szCs w:val="12"/>
          <w:b w:val="1"/>
          <w:bCs w:val="1"/>
          <w:color w:val="auto"/>
        </w:rPr>
        <w:t>Philadelphia, Pennsylvania</w:t>
      </w:r>
    </w:p>
    <w:p>
      <w:pPr>
        <w:spacing w:after="0" w:line="6" w:lineRule="exact"/>
        <w:rPr>
          <w:sz w:val="24"/>
          <w:szCs w:val="24"/>
          <w:color w:val="auto"/>
        </w:rPr>
      </w:pPr>
    </w:p>
    <w:p>
      <w:pPr>
        <w:jc w:val="center"/>
        <w:ind w:right="1995"/>
        <w:spacing w:after="0"/>
        <w:rPr>
          <w:sz w:val="20"/>
          <w:szCs w:val="20"/>
          <w:color w:val="auto"/>
        </w:rPr>
      </w:pPr>
      <w:r>
        <w:rPr>
          <w:rFonts w:ascii="Times New Roman" w:cs="Times New Roman" w:eastAsia="Times New Roman" w:hAnsi="Times New Roman"/>
          <w:sz w:val="11"/>
          <w:szCs w:val="1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jc w:val="center"/>
        <w:ind w:right="2500"/>
        <w:spacing w:after="0"/>
        <w:rPr>
          <w:sz w:val="20"/>
          <w:szCs w:val="20"/>
          <w:color w:val="auto"/>
        </w:rPr>
      </w:pPr>
      <w:r>
        <w:rPr>
          <w:rFonts w:ascii="Times New Roman" w:cs="Times New Roman" w:eastAsia="Times New Roman" w:hAnsi="Times New Roman"/>
          <w:sz w:val="12"/>
          <w:szCs w:val="12"/>
          <w:b w:val="1"/>
          <w:bCs w:val="1"/>
          <w:color w:val="auto"/>
        </w:rPr>
        <w:t>19104</w:t>
      </w:r>
    </w:p>
    <w:p>
      <w:pPr>
        <w:spacing w:after="0" w:line="21" w:lineRule="exact"/>
        <w:rPr>
          <w:sz w:val="24"/>
          <w:szCs w:val="24"/>
          <w:color w:val="auto"/>
        </w:rPr>
      </w:pPr>
    </w:p>
    <w:p>
      <w:pPr>
        <w:jc w:val="center"/>
        <w:ind w:right="2500"/>
        <w:spacing w:after="0"/>
        <w:rPr>
          <w:sz w:val="20"/>
          <w:szCs w:val="20"/>
          <w:color w:val="auto"/>
        </w:rPr>
      </w:pPr>
      <w:r>
        <w:rPr>
          <w:rFonts w:ascii="Times New Roman" w:cs="Times New Roman" w:eastAsia="Times New Roman" w:hAnsi="Times New Roman"/>
          <w:sz w:val="12"/>
          <w:szCs w:val="12"/>
          <w:color w:val="auto"/>
        </w:rPr>
        <w:t>(Zip Code)</w:t>
      </w:r>
    </w:p>
    <w:p>
      <w:pPr>
        <w:spacing w:after="0" w:line="135" w:lineRule="exact"/>
        <w:rPr>
          <w:sz w:val="24"/>
          <w:szCs w:val="24"/>
          <w:color w:val="auto"/>
        </w:rPr>
      </w:pPr>
    </w:p>
    <w:p>
      <w:pPr>
        <w:sectPr>
          <w:pgSz w:w="11900" w:h="16838" w:orient="portrait"/>
          <w:cols w:equalWidth="0" w:num="2">
            <w:col w:w="7545" w:space="720"/>
            <w:col w:w="3040"/>
          </w:cols>
          <w:pgMar w:left="295" w:top="513" w:right="299" w:bottom="1440" w:gutter="0" w:footer="0" w:header="0"/>
          <w:type w:val="continuous"/>
        </w:sectPr>
      </w:pPr>
    </w:p>
    <w:p>
      <w:pPr>
        <w:jc w:val="center"/>
        <w:ind w:right="15"/>
        <w:spacing w:after="0"/>
        <w:rPr>
          <w:sz w:val="20"/>
          <w:szCs w:val="20"/>
          <w:color w:val="auto"/>
        </w:rPr>
      </w:pPr>
      <w:r>
        <w:rPr>
          <w:rFonts w:ascii="Times New Roman" w:cs="Times New Roman" w:eastAsia="Times New Roman" w:hAnsi="Times New Roman"/>
          <w:sz w:val="11"/>
          <w:szCs w:val="11"/>
          <w:color w:val="auto"/>
        </w:rPr>
        <w:t xml:space="preserve">Registrant’s telephone number, including area code: </w:t>
      </w:r>
      <w:r>
        <w:rPr>
          <w:rFonts w:ascii="Times New Roman" w:cs="Times New Roman" w:eastAsia="Times New Roman" w:hAnsi="Times New Roman"/>
          <w:sz w:val="11"/>
          <w:szCs w:val="11"/>
          <w:b w:val="1"/>
          <w:bCs w:val="1"/>
          <w:color w:val="auto"/>
        </w:rPr>
        <w:t>(267) 817-5790</w:t>
      </w:r>
    </w:p>
    <w:p>
      <w:pPr>
        <w:spacing w:after="0" w:line="162"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b w:val="1"/>
          <w:bCs w:val="1"/>
          <w:color w:val="auto"/>
        </w:rPr>
        <w:t>Not Applicable</w:t>
      </w:r>
    </w:p>
    <w:p>
      <w:pPr>
        <w:spacing w:after="0" w:line="21"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2689860</wp:posOffset>
            </wp:positionH>
            <wp:positionV relativeFrom="paragraph">
              <wp:posOffset>95250</wp:posOffset>
            </wp:positionV>
            <wp:extent cx="179451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ectPr>
          <w:pgSz w:w="11900" w:h="16838" w:orient="portrait"/>
          <w:cols w:equalWidth="0" w:num="1">
            <w:col w:w="11305"/>
          </w:cols>
          <w:pgMar w:left="295" w:top="513" w:right="299" w:bottom="1440" w:gutter="0" w:footer="0" w:header="0"/>
          <w:type w:val="continuous"/>
        </w:sectPr>
      </w:pPr>
    </w:p>
    <w:p>
      <w:pPr>
        <w:spacing w:after="0" w:line="310" w:lineRule="exact"/>
        <w:rPr>
          <w:sz w:val="24"/>
          <w:szCs w:val="24"/>
          <w:color w:val="auto"/>
        </w:rPr>
      </w:pPr>
    </w:p>
    <w:p>
      <w:pPr>
        <w:ind w:left="5"/>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150" w:lineRule="exact"/>
        <w:rPr>
          <w:sz w:val="24"/>
          <w:szCs w:val="24"/>
          <w:color w:val="auto"/>
        </w:rPr>
      </w:pPr>
    </w:p>
    <w:p>
      <w:pPr>
        <w:ind w:left="445" w:hanging="445"/>
        <w:spacing w:after="0"/>
        <w:tabs>
          <w:tab w:leader="none" w:pos="445"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8" w:lineRule="exact"/>
        <w:rPr>
          <w:rFonts w:ascii="MS PGothic" w:cs="MS PGothic" w:eastAsia="MS PGothic" w:hAnsi="MS PGothic"/>
          <w:sz w:val="12"/>
          <w:szCs w:val="12"/>
          <w:color w:val="auto"/>
        </w:rPr>
      </w:pPr>
    </w:p>
    <w:p>
      <w:pPr>
        <w:ind w:left="445" w:hanging="445"/>
        <w:spacing w:after="0"/>
        <w:tabs>
          <w:tab w:leader="none" w:pos="445"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6" w:lineRule="exact"/>
        <w:rPr>
          <w:rFonts w:ascii="MS PGothic" w:cs="MS PGothic" w:eastAsia="MS PGothic" w:hAnsi="MS PGothic"/>
          <w:sz w:val="12"/>
          <w:szCs w:val="12"/>
          <w:color w:val="auto"/>
        </w:rPr>
      </w:pPr>
    </w:p>
    <w:p>
      <w:pPr>
        <w:ind w:left="445" w:hanging="445"/>
        <w:spacing w:after="0"/>
        <w:tabs>
          <w:tab w:leader="none" w:pos="445"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6" w:lineRule="exact"/>
        <w:rPr>
          <w:rFonts w:ascii="MS PGothic" w:cs="MS PGothic" w:eastAsia="MS PGothic" w:hAnsi="MS PGothic"/>
          <w:sz w:val="12"/>
          <w:szCs w:val="12"/>
          <w:color w:val="auto"/>
        </w:rPr>
      </w:pPr>
    </w:p>
    <w:p>
      <w:pPr>
        <w:ind w:left="445" w:hanging="445"/>
        <w:spacing w:after="0"/>
        <w:tabs>
          <w:tab w:leader="none" w:pos="445"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38" w:lineRule="exact"/>
        <w:rPr>
          <w:sz w:val="24"/>
          <w:szCs w:val="24"/>
          <w:color w:val="auto"/>
        </w:rPr>
      </w:pPr>
    </w:p>
    <w:tbl>
      <w:tblPr>
        <w:tblLayout w:type="fixed"/>
        <w:tblInd w:w="5" w:type="dxa"/>
        <w:tblCellMar>
          <w:top w:w="0" w:type="dxa"/>
          <w:left w:w="0" w:type="dxa"/>
          <w:bottom w:w="0" w:type="dxa"/>
          <w:right w:w="0" w:type="dxa"/>
        </w:tblCellMar>
      </w:tblPr>
      <w:tr>
        <w:trPr>
          <w:trHeight w:val="155"/>
        </w:trPr>
        <w:tc>
          <w:tcPr>
            <w:tcW w:w="3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3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20" w:type="dxa"/>
            <w:vAlign w:val="bottom"/>
          </w:tcPr>
          <w:p>
            <w:pPr>
              <w:spacing w:after="0"/>
              <w:rPr>
                <w:sz w:val="13"/>
                <w:szCs w:val="13"/>
                <w:color w:val="auto"/>
              </w:rPr>
            </w:pPr>
          </w:p>
        </w:tc>
      </w:tr>
      <w:tr>
        <w:trPr>
          <w:trHeight w:val="288"/>
        </w:trPr>
        <w:tc>
          <w:tcPr>
            <w:tcW w:w="38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7"/>
              </w:rPr>
              <w:t>Trading Symbol</w:t>
            </w:r>
          </w:p>
        </w:tc>
        <w:tc>
          <w:tcPr>
            <w:tcW w:w="36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Name of Exchange on Which Registered</w:t>
            </w:r>
          </w:p>
        </w:tc>
      </w:tr>
      <w:tr>
        <w:trPr>
          <w:trHeight w:val="148"/>
        </w:trPr>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Common Stock, par value $0.0001 per share</w:t>
            </w:r>
          </w:p>
        </w:tc>
        <w:tc>
          <w:tcPr>
            <w:tcW w:w="240" w:type="dxa"/>
            <w:vAlign w:val="bottom"/>
          </w:tcPr>
          <w:p>
            <w:pPr>
              <w:spacing w:after="0"/>
              <w:rPr>
                <w:sz w:val="12"/>
                <w:szCs w:val="12"/>
                <w:color w:val="auto"/>
              </w:rPr>
            </w:pPr>
          </w:p>
        </w:tc>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4"/>
              </w:rPr>
              <w:t>IPSC</w:t>
            </w:r>
          </w:p>
        </w:tc>
        <w:tc>
          <w:tcPr>
            <w:tcW w:w="220" w:type="dxa"/>
            <w:vAlign w:val="bottom"/>
          </w:tcPr>
          <w:p>
            <w:pPr>
              <w:spacing w:after="0"/>
              <w:rPr>
                <w:sz w:val="12"/>
                <w:szCs w:val="12"/>
                <w:color w:val="auto"/>
              </w:rPr>
            </w:pPr>
          </w:p>
        </w:tc>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Nasdaq Global Select Market</w:t>
            </w:r>
          </w:p>
        </w:tc>
      </w:tr>
    </w:tbl>
    <w:p>
      <w:pPr>
        <w:spacing w:after="0" w:line="118" w:lineRule="exact"/>
        <w:rPr>
          <w:sz w:val="24"/>
          <w:szCs w:val="24"/>
          <w:color w:val="auto"/>
        </w:rPr>
      </w:pPr>
    </w:p>
    <w:p>
      <w:pPr>
        <w:ind w:left="5" w:right="18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3" w:lineRule="exact"/>
        <w:rPr>
          <w:sz w:val="24"/>
          <w:szCs w:val="24"/>
          <w:color w:val="auto"/>
        </w:rPr>
      </w:pPr>
    </w:p>
    <w:p>
      <w:pPr>
        <w:ind w:left="9845"/>
        <w:spacing w:after="0" w:line="127" w:lineRule="exact"/>
        <w:rPr>
          <w:sz w:val="20"/>
          <w:szCs w:val="20"/>
          <w:color w:val="auto"/>
        </w:rPr>
      </w:pPr>
      <w:r>
        <w:rPr>
          <w:rFonts w:ascii="Times New Roman" w:cs="Times New Roman" w:eastAsia="Times New Roman" w:hAnsi="Times New Roman"/>
          <w:sz w:val="11"/>
          <w:szCs w:val="11"/>
          <w:color w:val="auto"/>
        </w:rPr>
        <w:t xml:space="preserve">Emerging growth company </w:t>
      </w:r>
      <w:r>
        <w:rPr>
          <w:rFonts w:ascii="MS PGothic" w:cs="MS PGothic" w:eastAsia="MS PGothic" w:hAnsi="MS PGothic"/>
          <w:sz w:val="11"/>
          <w:szCs w:val="11"/>
          <w:color w:val="auto"/>
        </w:rPr>
        <w:t>☒</w:t>
      </w:r>
    </w:p>
    <w:p>
      <w:pPr>
        <w:spacing w:after="0" w:line="190" w:lineRule="exact"/>
        <w:rPr>
          <w:sz w:val="24"/>
          <w:szCs w:val="24"/>
          <w:color w:val="auto"/>
        </w:rPr>
      </w:pPr>
    </w:p>
    <w:p>
      <w:pPr>
        <w:ind w:left="5" w:right="10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80645</wp:posOffset>
            </wp:positionV>
            <wp:extent cx="71780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97790</wp:posOffset>
            </wp:positionV>
            <wp:extent cx="7178040" cy="11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303530</wp:posOffset>
            </wp:positionV>
            <wp:extent cx="71780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5"/>
          </w:cols>
          <w:pgMar w:left="295" w:top="513" w:right="299" w:bottom="1440" w:gutter="0" w:footer="0" w:header="0"/>
          <w:type w:val="continuous"/>
        </w:sectPr>
      </w:pPr>
    </w:p>
    <w:bookmarkStart w:id="1" w:name="page2"/>
    <w:bookmarkEnd w:id="1"/>
    <w:p>
      <w:pPr>
        <w:ind w:left="20"/>
        <w:spacing w:after="0"/>
        <w:tabs>
          <w:tab w:leader="none" w:pos="1140" w:val="left"/>
        </w:tabs>
        <w:rPr>
          <w:sz w:val="20"/>
          <w:szCs w:val="20"/>
          <w:color w:val="auto"/>
        </w:rPr>
      </w:pPr>
      <w:r>
        <w:rPr>
          <w:rFonts w:ascii="Times New Roman" w:cs="Times New Roman" w:eastAsia="Times New Roman" w:hAnsi="Times New Roman"/>
          <w:sz w:val="12"/>
          <w:szCs w:val="12"/>
          <w:b w:val="1"/>
          <w:bCs w:val="1"/>
          <w:color w:val="auto"/>
        </w:rPr>
        <w:t>Item 8.01</w:t>
      </w:r>
      <w:r>
        <w:rPr>
          <w:sz w:val="20"/>
          <w:szCs w:val="20"/>
          <w:color w:val="auto"/>
        </w:rPr>
        <w:tab/>
      </w:r>
      <w:r>
        <w:rPr>
          <w:rFonts w:ascii="Times New Roman" w:cs="Times New Roman" w:eastAsia="Times New Roman" w:hAnsi="Times New Roman"/>
          <w:sz w:val="11"/>
          <w:szCs w:val="11"/>
          <w:b w:val="1"/>
          <w:bCs w:val="1"/>
          <w:color w:val="auto"/>
        </w:rPr>
        <w:t>Other Events</w:t>
      </w:r>
    </w:p>
    <w:p>
      <w:pPr>
        <w:spacing w:after="0" w:line="154" w:lineRule="exact"/>
        <w:rPr>
          <w:sz w:val="20"/>
          <w:szCs w:val="20"/>
          <w:color w:val="auto"/>
        </w:rPr>
      </w:pPr>
    </w:p>
    <w:p>
      <w:pPr>
        <w:jc w:val="both"/>
        <w:ind w:right="200"/>
        <w:spacing w:after="0" w:line="228" w:lineRule="auto"/>
        <w:rPr>
          <w:sz w:val="20"/>
          <w:szCs w:val="20"/>
          <w:color w:val="auto"/>
        </w:rPr>
      </w:pPr>
      <w:r>
        <w:rPr>
          <w:rFonts w:ascii="Times New Roman" w:cs="Times New Roman" w:eastAsia="Times New Roman" w:hAnsi="Times New Roman"/>
          <w:sz w:val="12"/>
          <w:szCs w:val="12"/>
          <w:color w:val="auto"/>
        </w:rPr>
        <w:t>On December 9, 2023, Century Therapeutics, Inc. (the “Company”) issued a press release announcing the presentation of initial clinical data from a single-patient case study in which the Company believes support the potential for a multi-dosing strategy for CAR iNK enabled by Allo-Evasion™ edits at the 65</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2"/>
          <w:szCs w:val="12"/>
          <w:color w:val="auto"/>
        </w:rPr>
        <w:t xml:space="preserve"> American Society of Hematology Annual Meeting and Exposition, being held December 9-12</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2"/>
          <w:szCs w:val="12"/>
          <w:color w:val="auto"/>
        </w:rPr>
        <w:t xml:space="preserve"> in San Diego, California. A copy of the press release is furnished as Exhibit 99.1 to this Current Report on Form 8-K and is incorporated herein by reference.</w:t>
      </w:r>
    </w:p>
    <w:p>
      <w:pPr>
        <w:spacing w:after="0" w:line="133"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2"/>
          <w:szCs w:val="12"/>
          <w:color w:val="auto"/>
        </w:rPr>
        <w:t>On December 11, 2023, the Company updated information reflected in a slide presentation, which is attached as Exhibit 99.2 to this Current Report on Form 8-K and is incorporated herein by reference. Representatives of the Company will use the updated presentation in various meetings with investors from time to time.</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Item 9.01</w:t>
            </w:r>
          </w:p>
        </w:tc>
        <w:tc>
          <w:tcPr>
            <w:tcW w:w="10180" w:type="dxa"/>
            <w:vAlign w:val="bottom"/>
            <w:gridSpan w:val="4"/>
          </w:tcPr>
          <w:p>
            <w:pPr>
              <w:ind w:left="40"/>
              <w:spacing w:after="0"/>
              <w:rPr>
                <w:sz w:val="20"/>
                <w:szCs w:val="20"/>
                <w:color w:val="auto"/>
              </w:rPr>
            </w:pPr>
            <w:r>
              <w:rPr>
                <w:rFonts w:ascii="Times New Roman" w:cs="Times New Roman" w:eastAsia="Times New Roman" w:hAnsi="Times New Roman"/>
                <w:sz w:val="12"/>
                <w:szCs w:val="12"/>
                <w:b w:val="1"/>
                <w:bCs w:val="1"/>
                <w:color w:val="auto"/>
              </w:rPr>
              <w:t>Financial Statements and Exhibits</w:t>
            </w:r>
          </w:p>
        </w:tc>
      </w:tr>
      <w:tr>
        <w:trPr>
          <w:trHeight w:val="288"/>
        </w:trPr>
        <w:tc>
          <w:tcPr>
            <w:tcW w:w="11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(d) Exhibits</w:t>
            </w:r>
          </w:p>
        </w:tc>
        <w:tc>
          <w:tcPr>
            <w:tcW w:w="2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0" w:type="dxa"/>
            <w:vAlign w:val="bottom"/>
          </w:tcPr>
          <w:p>
            <w:pPr>
              <w:spacing w:after="0"/>
              <w:rPr>
                <w:sz w:val="24"/>
                <w:szCs w:val="24"/>
                <w:color w:val="auto"/>
              </w:rPr>
            </w:pPr>
          </w:p>
        </w:tc>
      </w:tr>
      <w:tr>
        <w:trPr>
          <w:trHeight w:val="273"/>
        </w:trPr>
        <w:tc>
          <w:tcPr>
            <w:tcW w:w="11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Exhibit</w:t>
            </w:r>
          </w:p>
        </w:tc>
        <w:tc>
          <w:tcPr>
            <w:tcW w:w="240" w:type="dxa"/>
            <w:vAlign w:val="bottom"/>
          </w:tcPr>
          <w:p>
            <w:pPr>
              <w:spacing w:after="0"/>
              <w:rPr>
                <w:sz w:val="23"/>
                <w:szCs w:val="23"/>
                <w:color w:val="auto"/>
              </w:rPr>
            </w:pPr>
          </w:p>
        </w:tc>
        <w:tc>
          <w:tcPr>
            <w:tcW w:w="33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200" w:type="dxa"/>
            <w:vAlign w:val="bottom"/>
          </w:tcPr>
          <w:p>
            <w:pPr>
              <w:spacing w:after="0"/>
              <w:rPr>
                <w:sz w:val="23"/>
                <w:szCs w:val="23"/>
                <w:color w:val="auto"/>
              </w:rPr>
            </w:pPr>
          </w:p>
        </w:tc>
      </w:tr>
      <w:tr>
        <w:trPr>
          <w:trHeight w:val="159"/>
        </w:trPr>
        <w:tc>
          <w:tcPr>
            <w:tcW w:w="1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b w:val="1"/>
                <w:bCs w:val="1"/>
                <w:color w:val="auto"/>
              </w:rPr>
              <w:t>No.</w:t>
            </w:r>
          </w:p>
        </w:tc>
        <w:tc>
          <w:tcPr>
            <w:tcW w:w="240" w:type="dxa"/>
            <w:vAlign w:val="bottom"/>
          </w:tcPr>
          <w:p>
            <w:pPr>
              <w:spacing w:after="0"/>
              <w:rPr>
                <w:sz w:val="13"/>
                <w:szCs w:val="13"/>
                <w:color w:val="auto"/>
              </w:rPr>
            </w:pPr>
          </w:p>
        </w:tc>
        <w:tc>
          <w:tcPr>
            <w:tcW w:w="33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620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2"/>
                <w:szCs w:val="12"/>
                <w:b w:val="1"/>
                <w:bCs w:val="1"/>
                <w:color w:val="auto"/>
              </w:rPr>
              <w:t>Document</w:t>
            </w:r>
          </w:p>
        </w:tc>
      </w:tr>
      <w:tr>
        <w:trPr>
          <w:trHeight w:val="250"/>
        </w:trPr>
        <w:tc>
          <w:tcPr>
            <w:tcW w:w="2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2"/>
                <w:szCs w:val="12"/>
                <w:color w:val="0000EE"/>
                <w:w w:val="85"/>
              </w:rPr>
              <w:t>99.</w:t>
            </w:r>
            <w:r>
              <w:rPr>
                <w:rFonts w:ascii="Times New Roman" w:cs="Times New Roman" w:eastAsia="Times New Roman" w:hAnsi="Times New Roman"/>
                <w:sz w:val="12"/>
                <w:szCs w:val="12"/>
                <w:u w:val="single" w:color="auto"/>
                <w:color w:val="0000EE"/>
                <w:w w:val="85"/>
              </w:rPr>
              <w:t>1</w:t>
            </w: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3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2"/>
                <w:szCs w:val="12"/>
                <w:color w:val="0000EE"/>
                <w:w w:val="99"/>
              </w:rPr>
              <w:t>Press Release of Century Therapeutics, Inc., dated December 9, 2023</w:t>
            </w:r>
          </w:p>
        </w:tc>
        <w:tc>
          <w:tcPr>
            <w:tcW w:w="6620" w:type="dxa"/>
            <w:vAlign w:val="bottom"/>
            <w:gridSpan w:val="2"/>
          </w:tcPr>
          <w:p>
            <w:pPr>
              <w:spacing w:after="0"/>
              <w:rPr>
                <w:sz w:val="21"/>
                <w:szCs w:val="21"/>
                <w:color w:val="auto"/>
              </w:rPr>
            </w:pPr>
          </w:p>
        </w:tc>
      </w:tr>
      <w:tr>
        <w:trPr>
          <w:trHeight w:val="268"/>
        </w:trPr>
        <w:tc>
          <w:tcPr>
            <w:tcW w:w="2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2"/>
                <w:szCs w:val="12"/>
                <w:color w:val="0000EE"/>
                <w:w w:val="85"/>
              </w:rPr>
              <w:t>99.</w:t>
            </w:r>
            <w:r>
              <w:rPr>
                <w:rFonts w:ascii="Times New Roman" w:cs="Times New Roman" w:eastAsia="Times New Roman" w:hAnsi="Times New Roman"/>
                <w:sz w:val="12"/>
                <w:szCs w:val="12"/>
                <w:u w:val="single" w:color="auto"/>
                <w:color w:val="0000EE"/>
                <w:w w:val="85"/>
              </w:rPr>
              <w:t>2</w:t>
            </w: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7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2"/>
                <w:szCs w:val="12"/>
                <w:color w:val="0000EE"/>
                <w:w w:val="99"/>
              </w:rPr>
              <w:t>Investor Presentation of Century Therapeutics, Inc., dated December 11, 2023</w:t>
            </w:r>
          </w:p>
        </w:tc>
        <w:tc>
          <w:tcPr>
            <w:tcW w:w="6200" w:type="dxa"/>
            <w:vAlign w:val="bottom"/>
          </w:tcPr>
          <w:p>
            <w:pPr>
              <w:spacing w:after="0"/>
              <w:rPr>
                <w:sz w:val="23"/>
                <w:szCs w:val="23"/>
                <w:color w:val="auto"/>
              </w:rPr>
            </w:pPr>
          </w:p>
        </w:tc>
      </w:tr>
      <w:tr>
        <w:trPr>
          <w:trHeight w:val="295"/>
        </w:trPr>
        <w:tc>
          <w:tcPr>
            <w:tcW w:w="200" w:type="dxa"/>
            <w:vAlign w:val="bottom"/>
          </w:tcPr>
          <w:p>
            <w:pPr>
              <w:spacing w:after="0"/>
              <w:rPr>
                <w:sz w:val="20"/>
                <w:szCs w:val="20"/>
                <w:color w:val="auto"/>
              </w:rPr>
            </w:pPr>
            <w:r>
              <w:rPr>
                <w:rFonts w:ascii="Times New Roman" w:cs="Times New Roman" w:eastAsia="Times New Roman" w:hAnsi="Times New Roman"/>
                <w:sz w:val="12"/>
                <w:szCs w:val="12"/>
                <w:color w:val="auto"/>
                <w:w w:val="99"/>
              </w:rPr>
              <w:t>104</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9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r>
        <w:trPr>
          <w:trHeight w:val="450"/>
        </w:trPr>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20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4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b w:val="1"/>
          <w:bCs w:val="1"/>
          <w:color w:val="auto"/>
        </w:rPr>
        <w:t>CENTURY THERAPEUTICS, INC.</w:t>
      </w:r>
    </w:p>
    <w:p>
      <w:pPr>
        <w:spacing w:after="0" w:line="154" w:lineRule="exact"/>
        <w:rPr>
          <w:sz w:val="20"/>
          <w:szCs w:val="20"/>
          <w:color w:val="auto"/>
        </w:rPr>
      </w:pPr>
    </w:p>
    <w:tbl>
      <w:tblPr>
        <w:tblLayout w:type="fixed"/>
        <w:tblInd w:w="5660" w:type="dxa"/>
        <w:tblCellMar>
          <w:top w:w="0" w:type="dxa"/>
          <w:left w:w="0" w:type="dxa"/>
          <w:bottom w:w="0" w:type="dxa"/>
          <w:right w:w="0" w:type="dxa"/>
        </w:tblCellMar>
      </w:tblPr>
      <w:tr>
        <w:trPr>
          <w:trHeight w:val="155"/>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Brent Pfeiffenberger, Pharm.D.</w:t>
            </w:r>
          </w:p>
        </w:tc>
      </w:tr>
      <w:tr>
        <w:trPr>
          <w:trHeight w:val="122"/>
        </w:trPr>
        <w:tc>
          <w:tcPr>
            <w:tcW w:w="56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508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Brent Pfeiffenberger, Pharm.D.</w:t>
            </w:r>
          </w:p>
        </w:tc>
      </w:tr>
      <w:tr>
        <w:trPr>
          <w:trHeight w:val="155"/>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5080" w:type="dxa"/>
            <w:vAlign w:val="bottom"/>
          </w:tcPr>
          <w:p>
            <w:pPr>
              <w:spacing w:after="0"/>
              <w:rPr>
                <w:sz w:val="20"/>
                <w:szCs w:val="20"/>
                <w:color w:val="auto"/>
              </w:rPr>
            </w:pPr>
            <w:r>
              <w:rPr>
                <w:rFonts w:ascii="Times New Roman" w:cs="Times New Roman" w:eastAsia="Times New Roman" w:hAnsi="Times New Roman"/>
                <w:sz w:val="12"/>
                <w:szCs w:val="12"/>
                <w:color w:val="auto"/>
              </w:rPr>
              <w:t>President and Chief Executive Officer</w:t>
            </w:r>
          </w:p>
        </w:tc>
      </w:tr>
    </w:tbl>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December 11,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296545</wp:posOffset>
            </wp:positionV>
            <wp:extent cx="717804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104775</wp:posOffset>
            </wp:positionV>
            <wp:extent cx="1143000" cy="3200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43000" cy="320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Century Therapeutics Presents Initial Data from CNTY-101 Phase 1 ELiPSE-1 Trial Supporting the Potential for a Multi-Dosing Strategy for CAR iNK Enabled by Allo-Evasion™ Edits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 Data presented at 65</w:t>
      </w:r>
      <w:r>
        <w:rPr>
          <w:rFonts w:ascii="Times New Roman" w:cs="Times New Roman" w:eastAsia="Times New Roman" w:hAnsi="Times New Roman"/>
          <w:sz w:val="19"/>
          <w:szCs w:val="19"/>
          <w:i w:val="1"/>
          <w:iCs w:val="1"/>
          <w:color w:val="auto"/>
          <w:vertAlign w:val="superscript"/>
        </w:rPr>
        <w:t>th</w:t>
      </w:r>
      <w:r>
        <w:rPr>
          <w:rFonts w:ascii="Times New Roman" w:cs="Times New Roman" w:eastAsia="Times New Roman" w:hAnsi="Times New Roman"/>
          <w:sz w:val="12"/>
          <w:szCs w:val="12"/>
          <w:i w:val="1"/>
          <w:iCs w:val="1"/>
          <w:color w:val="auto"/>
        </w:rPr>
        <w:t xml:space="preserve"> ASH Annual Meeting show CNTY-101 was generally well tolerated at Dose Level 1 (100 million cells) in a high-risk, heavily pretreated R/R B-cell lymphoma patient –</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 Preliminary clinical data demonstrate six-month durable complete response in Dose Level 1 in a single patient following multiple cycles of CNTY-101 without lymphodepletion –</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 Pharmacokinetic data suggests CNTY-101 exposure may be maintained upon administration of additional cycles without lymphodepletion due to lack of observed allo-rejection –</w:t>
      </w:r>
    </w:p>
    <w:p>
      <w:pPr>
        <w:spacing w:after="0" w:line="1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i w:val="1"/>
          <w:iCs w:val="1"/>
          <w:color w:val="auto"/>
        </w:rPr>
        <w:t>– Company to host conference call on Monday, December 11 at 7:30 AM PT/10:30 AM ET to review ASH data including additional clinical results from Dose Level 1 (100 million cells) and Dose Level 2 (300 million cells), as well as</w:t>
      </w:r>
    </w:p>
    <w:p>
      <w:pPr>
        <w:spacing w:after="0" w:line="1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2"/>
          <w:szCs w:val="12"/>
          <w:i w:val="1"/>
          <w:iCs w:val="1"/>
          <w:color w:val="auto"/>
        </w:rPr>
        <w:t>clinical plans for CNTY-101 in systemic lupus erythematosus –</w:t>
      </w:r>
    </w:p>
    <w:p>
      <w:pPr>
        <w:spacing w:after="0" w:line="13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2"/>
          <w:szCs w:val="12"/>
          <w:b w:val="1"/>
          <w:bCs w:val="1"/>
          <w:color w:val="auto"/>
        </w:rPr>
        <w:t xml:space="preserve">PHILADELPHIA, December 9, 2023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u w:val="single" w:color="auto"/>
          <w:color w:val="auto"/>
        </w:rPr>
        <w:t>Century Therapeutics (NASDAQ: IPSC)</w:t>
      </w:r>
      <w:r>
        <w:rPr>
          <w:rFonts w:ascii="Times New Roman" w:cs="Times New Roman" w:eastAsia="Times New Roman" w:hAnsi="Times New Roman"/>
          <w:sz w:val="12"/>
          <w:szCs w:val="12"/>
          <w:color w:val="auto"/>
        </w:rPr>
        <w:t>, an innovative biotechnology company developing induced pluripotent stem cell (iPSC)-derived cell therapies in immuno-oncology and autoimmune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and inflammatory disease, today announced the presentation of initial clinical data from a single-patient case study which Century believes support the potential for a multi-dosing strategy for CAR iNK enabled by Allo-Evasion™ edits at the 65th American Society of Hematology (ASH) Annual Meeting and Exposition, being held December 9-12 in San Diego. The poster, titled, “Multiple Doses of CNTY-101, an iPSC-Derived Allogeneic CD19 Targeting CAR-NK Product, are Safe and Result in Tumor Microenvironment Changes Associated with Response: A Case Study”, is available on the </w:t>
      </w:r>
      <w:r>
        <w:rPr>
          <w:rFonts w:ascii="Times New Roman" w:cs="Times New Roman" w:eastAsia="Times New Roman" w:hAnsi="Times New Roman"/>
          <w:sz w:val="12"/>
          <w:szCs w:val="12"/>
          <w:u w:val="single" w:color="auto"/>
          <w:color w:val="auto"/>
        </w:rPr>
        <w:t>Scientific Resources</w:t>
      </w:r>
      <w:r>
        <w:rPr>
          <w:rFonts w:ascii="Times New Roman" w:cs="Times New Roman" w:eastAsia="Times New Roman" w:hAnsi="Times New Roman"/>
          <w:sz w:val="12"/>
          <w:szCs w:val="12"/>
          <w:color w:val="auto"/>
        </w:rPr>
        <w:t xml:space="preserve"> page of the Company’s website.</w:t>
      </w:r>
    </w:p>
    <w:p>
      <w:pPr>
        <w:spacing w:after="0" w:line="121"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“We are thrilled that the initial clinical evidence for CNTY-101 provides support for the potential for Allo-Evasion™ to enable a multi-dosing regimen without the need for continued lymphodepletion. This is highly encouraging in advancing our goal to increase persistence of the cells during the treatment period and potentially lead to deeper and more durable responses,” said Brent Pfeiffenberger, Pharm.D., Chief Executive Officer of Century Therapeutics. “We look forward to advancing the study at both higher and more frequent doses of CNTY-101, and plan to present additional clinical data in mid-2024.”</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“As the first cell therapy product candidate engineered with six precision gene edits aimed at providing selectivity and persistence, CNTY-101 is positioned to potentially fill a high unmet need among heavily pretreated non-Hodgkin lymphoma patients,” said Krish Patel, M.D., Director of Lymphoma Program, Director of Hematologic Malignancies and Cellular Therapy, Swedish Cancer Institute, Seattle</w:t>
      </w:r>
      <w:r>
        <w:rPr>
          <w:rFonts w:ascii="Times New Roman" w:cs="Times New Roman" w:eastAsia="Times New Roman" w:hAnsi="Times New Roman"/>
          <w:sz w:val="12"/>
          <w:szCs w:val="12"/>
          <w:b w:val="1"/>
          <w:bCs w:val="1"/>
          <w:i w:val="1"/>
          <w:iCs w:val="1"/>
          <w:color w:val="auto"/>
        </w:rPr>
        <w:t>. “</w:t>
      </w:r>
      <w:r>
        <w:rPr>
          <w:rFonts w:ascii="Times New Roman" w:cs="Times New Roman" w:eastAsia="Times New Roman" w:hAnsi="Times New Roman"/>
          <w:sz w:val="12"/>
          <w:szCs w:val="12"/>
          <w:color w:val="auto"/>
        </w:rPr>
        <w:t>The encouraging initial data presented today from this patient who received low doses of CNTY-101 exhibits signals of persistence of CNTY-101 cells out of circulation and supports testing at higher doses. I look forward to the continuation of the study and to further investigating the full therapeutic potential of CNTY-101.”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278765</wp:posOffset>
            </wp:positionV>
            <wp:extent cx="717804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69" w:right="299" w:bottom="1440" w:gutter="0" w:footer="0" w:header="0"/>
        </w:sectPr>
      </w:pPr>
    </w:p>
    <w:bookmarkStart w:id="4" w:name="page5"/>
    <w:bookmarkEnd w:id="4"/>
    <w:p>
      <w:pPr>
        <w:jc w:val="both"/>
        <w:spacing w:after="0" w:line="260"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185420</wp:posOffset>
            </wp:positionH>
            <wp:positionV relativeFrom="page">
              <wp:posOffset>420370</wp:posOffset>
            </wp:positionV>
            <wp:extent cx="1143000" cy="3200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143000" cy="320040"/>
                    </a:xfrm>
                    <a:prstGeom prst="rect">
                      <a:avLst/>
                    </a:prstGeom>
                    <a:noFill/>
                  </pic:spPr>
                </pic:pic>
              </a:graphicData>
            </a:graphic>
          </wp:anchor>
        </w:drawing>
        <w:t>Data featured in a single-patient case study presented at ASH involves a 63-year-old patient with relapsed/refractory (R/R) progressive follicular lymphoma previously treated with four prior lines of therapy who was enrolled at Dose Level 1 (100 million cells). As of a data cutoff date of November 13, 2023, the patient has received seven 28-day cycles of a single infusion of CNTY-101 at Dose Level 1. Cycles one and two included three days of lymphodepletion (LD), whereas cycles three through seven were given with no LD. Interleukin-2 (IL-2) was administered for all cycles except for the first. The patient maintained a complete response with a duration of six months before subsequently progressing.</w:t>
      </w:r>
    </w:p>
    <w:p>
      <w:pPr>
        <w:spacing w:after="0" w:line="12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Data from the single-patient case study indicated that CNTY-101 was generally well tolerated in this patient at Dose level 1 (100 million cells). No dose-limiting toxicities, cytokine release syndrome or immune effector cell–associated neurotoxicity syndrome were observed, and no adverse events related to treatment with CNTY-101 were detected in this patient, to date. Additionally, no concerted changes in inflammatory cytokines and mediators associated with cytokine release syndrome or neurotoxicity have been detected in this patient.</w:t>
      </w:r>
    </w:p>
    <w:p>
      <w:pPr>
        <w:spacing w:after="0" w:line="11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2"/>
          <w:szCs w:val="12"/>
          <w:color w:val="auto"/>
        </w:rPr>
        <w:t>Following administration of two cycles with and three cycles without LD, serum assessments from available data of the first five cycles of CNTY-101 treatment in this patient showed no evidence of functional pre-existing or induced humoral immunogenicity against CNTY-101. Importantly, tumor microenvironment initial analyses demonstrated a vigorous increase in T cells within 8 days of the 1</w:t>
      </w:r>
      <w:r>
        <w:rPr>
          <w:rFonts w:ascii="Times New Roman" w:cs="Times New Roman" w:eastAsia="Times New Roman" w:hAnsi="Times New Roman"/>
          <w:sz w:val="19"/>
          <w:szCs w:val="19"/>
          <w:color w:val="auto"/>
          <w:vertAlign w:val="superscript"/>
        </w:rPr>
        <w:t>st</w:t>
      </w:r>
      <w:r>
        <w:rPr>
          <w:rFonts w:ascii="Times New Roman" w:cs="Times New Roman" w:eastAsia="Times New Roman" w:hAnsi="Times New Roman"/>
          <w:sz w:val="12"/>
          <w:szCs w:val="12"/>
          <w:color w:val="auto"/>
        </w:rPr>
        <w:t xml:space="preserve"> CNTY-101 cell infusion. Increases in proliferating cytotoxic T cells and TNFα and IFNγ-secreting cells were observed, suggestive of induction of adaptive immune responses within the tumor. Additionally, ddPCR analysis of CNTY-101 genomic DNA and cell-free DNA from Dose Level 1 patient (n=4) samples suggest that CNTY-101 cells were able to traffic out of circulation shortly after infusion and showed persistence in tissues for at least 3 days.</w:t>
      </w:r>
    </w:p>
    <w:p>
      <w:pPr>
        <w:spacing w:after="0" w:line="13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In addition to the preliminary clinical data presented today, the Company will also present additional results from patients treated at Dose Level 1 (100 million cell dose), as well as preliminary data from three patients treated at Dose Level 2 (300 million cell dose) during a conference call and webcast on Monday, December 11 at 7:30 AM PT/10:30 AM ET. In addition, the Company will discuss its planned Phase 1 trial, including supporting preclinical data, for CNTY-101 in systemic lupus erythematosus, the Company’s first autoimmune and inflammatory disease indication.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Conference Call and Webcast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The live audio webcast and accompanying slides may be accessed through the </w:t>
      </w:r>
      <w:r>
        <w:rPr>
          <w:rFonts w:ascii="Times New Roman" w:cs="Times New Roman" w:eastAsia="Times New Roman" w:hAnsi="Times New Roman"/>
          <w:sz w:val="12"/>
          <w:szCs w:val="12"/>
          <w:u w:val="single" w:color="auto"/>
          <w:color w:val="auto"/>
        </w:rPr>
        <w:t>Events &amp; Presentations page</w:t>
      </w:r>
      <w:r>
        <w:rPr>
          <w:rFonts w:ascii="Times New Roman" w:cs="Times New Roman" w:eastAsia="Times New Roman" w:hAnsi="Times New Roman"/>
          <w:sz w:val="12"/>
          <w:szCs w:val="12"/>
          <w:color w:val="auto"/>
        </w:rPr>
        <w:t xml:space="preserve"> in the Investors section of the Company's website. Alternatively, the conference call may be accessed through the following:</w:t>
      </w:r>
    </w:p>
    <w:p>
      <w:pPr>
        <w:spacing w:after="0" w:line="150" w:lineRule="exact"/>
        <w:rPr>
          <w:sz w:val="20"/>
          <w:szCs w:val="20"/>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Conference ID: century2023</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Domestic Dial-in Number: (800) 590-8290</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International Dial-in Number: (240) 690-8800</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Live webcast: </w:t>
      </w:r>
      <w:r>
        <w:rPr>
          <w:rFonts w:ascii="Times New Roman" w:cs="Times New Roman" w:eastAsia="Times New Roman" w:hAnsi="Times New Roman"/>
          <w:sz w:val="12"/>
          <w:szCs w:val="12"/>
          <w:u w:val="single" w:color="auto"/>
          <w:color w:val="auto"/>
        </w:rPr>
        <w:t>https://century-therapeutics-initial-clinical-data-call.open-exchange.net/</w:t>
      </w:r>
    </w:p>
    <w:p>
      <w:pPr>
        <w:spacing w:after="0" w:line="150"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 xml:space="preserve">For those unable to participate in the conference call or webcast, a replay will be available on the Investors section of the Company's website at </w:t>
      </w:r>
      <w:r>
        <w:rPr>
          <w:rFonts w:ascii="Times New Roman" w:cs="Times New Roman" w:eastAsia="Times New Roman" w:hAnsi="Times New Roman"/>
          <w:sz w:val="12"/>
          <w:szCs w:val="12"/>
          <w:u w:val="single" w:color="auto"/>
          <w:color w:val="auto"/>
        </w:rPr>
        <w:t>www.centurytx.com</w:t>
      </w:r>
      <w:r>
        <w:rPr>
          <w:rFonts w:ascii="Times New Roman" w:cs="Times New Roman" w:eastAsia="Times New Roman" w:hAnsi="Times New Roman"/>
          <w:sz w:val="12"/>
          <w:szCs w:val="12"/>
          <w:color w:val="auto"/>
        </w:rPr>
        <w:t xml:space="preserve"> approximately 24 hours after the conference call and will be available for 90 days following the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271780</wp:posOffset>
            </wp:positionV>
            <wp:extent cx="717804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335" w:right="2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420370</wp:posOffset>
            </wp:positionV>
            <wp:extent cx="1143000" cy="3200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143000" cy="320040"/>
                    </a:xfrm>
                    <a:prstGeom prst="rect">
                      <a:avLst/>
                    </a:prstGeom>
                    <a:noFill/>
                  </pic:spPr>
                </pic:pic>
              </a:graphicData>
            </a:graphic>
          </wp:anchor>
        </w:drawing>
        <w:t>About Allo-Evasion™</w:t>
      </w:r>
    </w:p>
    <w:p>
      <w:pPr>
        <w:spacing w:after="0" w:line="1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Century’s proprietary Allo-Evasion™ technology is used to engineer cell therapy product candidates with the potential to evade identification by the host immune system so they can be dosed multiple times without rejection, enabling increased persistence of the cells during the treatment period and potentially leading to deeper and more durable responses. More specifically, Allo-Evasion™ 1.0 technology incorporates three gene edits designed to avoid recognition by patient/host CD8+ T cells, CD4+ T cells and NK cells. Knockout of beta-2-microglobulin or β2m, designed to prevent CD8+ T cell recognition, knock-out of the Class II Major Histocompatibility Complex Transactivator, or CIITA, designed to prevent CD4+ T cell recognition, and knock-in of the HLA-E gene, designed to enable higher expression of the HLA-E protein to prevent killing of CNTY-101 cells by host NK cells. Allo-Evasion™ technology may allow the implementation of more flexible and effective repeat dosing protocols for off-the-shelf product candidates.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ELiPSE-1</w:t>
      </w:r>
    </w:p>
    <w:p>
      <w:pPr>
        <w:spacing w:after="0" w:line="15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2"/>
          <w:szCs w:val="12"/>
          <w:color w:val="auto"/>
        </w:rPr>
        <w:t>The Phase 1 ELiPSE-1 trial (</w:t>
      </w:r>
      <w:r>
        <w:rPr>
          <w:rFonts w:ascii="Times New Roman" w:cs="Times New Roman" w:eastAsia="Times New Roman" w:hAnsi="Times New Roman"/>
          <w:sz w:val="12"/>
          <w:szCs w:val="12"/>
          <w:b w:val="1"/>
          <w:bCs w:val="1"/>
          <w:u w:val="single" w:color="auto"/>
          <w:color w:val="auto"/>
        </w:rPr>
        <w:t>NCT05336409</w:t>
      </w:r>
      <w:r>
        <w:rPr>
          <w:rFonts w:ascii="Times New Roman" w:cs="Times New Roman" w:eastAsia="Times New Roman" w:hAnsi="Times New Roman"/>
          <w:sz w:val="12"/>
          <w:szCs w:val="12"/>
          <w:color w:val="auto"/>
        </w:rPr>
        <w:t>) is intended to assess the safety, tolerability, pharmacokinetics, and preliminary efficacy of CNTY-101 in adult patients with relapsed or refractory CD19-positive B-cell lymphomas. All patients will receive an initial standard dose of conditioning chemotherapy consisting of cyclophosphamide (300 mg/m2) and fludarabine (30mg/m2) for 3 days. Schedule A of the trial includes a single-dose escalation of CNTY-101 and subcutaneous IL-2. Schedule B will evaluate a three-dose schedule per cycle of CNTY-101. Patients who demonstrate a clinical benefit are eligible for additional cycles of treatment with or without additional lymphodepletion.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CNTY-101</w:t>
      </w:r>
    </w:p>
    <w:p>
      <w:pPr>
        <w:spacing w:after="0" w:line="1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CNTY-101 is an investigational off-the-shelf immunotherapy product candidate that utilizes iPSC-derived natural killer (NK) cells with a CD19-directed chimeric antigen receptor (CAR) and includes Century’s core Allo-Evasion™ edits designed to overcome the three major pathways of host versus graft rejection - CD8+ T cells, CD4+ T cells and NK cells. In addition, the product candidate is engineered to express IL-15 to provide homeostatic cytokine support, which has been shown pre-clinically to improve functionality and persistence. Further, to potentially improve safety, the iNK cells were engineered with an EGFR safety switch, and proof-of-concept studies have demonstrated that the cells can be quickly eliminated by the administration of cetuximab, an antibody against EGFR approved by the U.S. Food and Drug Administration for certain cancers. Century is currently assessing CNTY-101 in patients with relapsed or refractory CD19-positive B-cell lymphomas in its Phase 1 ELiPSE-1 clinical trial and intends to initiate its second Phase 1 clinical trial assessing CNTY-101 in patients with moderate to severe systemic lupus erythematosus.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Century Therapeutics</w:t>
      </w:r>
    </w:p>
    <w:p>
      <w:pPr>
        <w:spacing w:after="0" w:line="1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 xml:space="preserve">Century Therapeutics (NASDAQ: IPSC) is harnessing the power of adult stem cells to develop curative cell therapy products for cancer and autoimmune and inflammatory diseases that we believe will allow us to overcome the limitations of first-generation cell therapies. Our genetically engineered, iPSC-derived cell product candidates are designed to specifically target hematologic and solid tumor cancers, with a broadening application to autoimmune and inflammatory diseases. We are leveraging our expertise in cellular reprogramming, genetic engineering, and manufacturing to develop therapies with the potential to overcome many of the challenges inherent to cell therapy and provide a significant advantage over existing cell therapy technologies. We believe our commitment to developing off-the-shelf cell therapies will expand patient access and provide an unparalleled opportunity to advance the course of cancer and autoimmune and inflammatory disease care. For more information on Century Therapeutics please visit </w:t>
      </w:r>
      <w:r>
        <w:rPr>
          <w:rFonts w:ascii="Times New Roman" w:cs="Times New Roman" w:eastAsia="Times New Roman" w:hAnsi="Times New Roman"/>
          <w:sz w:val="12"/>
          <w:szCs w:val="12"/>
          <w:b w:val="1"/>
          <w:bCs w:val="1"/>
          <w:u w:val="single" w:color="auto"/>
          <w:color w:val="auto"/>
        </w:rPr>
        <w:t>www.centurytx.com</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280670</wp:posOffset>
            </wp:positionV>
            <wp:extent cx="717804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331" w:right="2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420370</wp:posOffset>
            </wp:positionV>
            <wp:extent cx="1143000" cy="3200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143000" cy="320040"/>
                    </a:xfrm>
                    <a:prstGeom prst="rect">
                      <a:avLst/>
                    </a:prstGeom>
                    <a:noFill/>
                  </pic:spPr>
                </pic:pic>
              </a:graphicData>
            </a:graphic>
          </wp:anchor>
        </w:drawing>
        <w:t>Century Therapeutics Forward-Looking Statement</w:t>
      </w:r>
    </w:p>
    <w:p>
      <w:pPr>
        <w:spacing w:after="0" w:line="15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2"/>
          <w:szCs w:val="12"/>
          <w:color w:val="auto"/>
        </w:rPr>
        <w:t>This press release contains forward-looking statements within the meaning of, and made pursuant to the safe harbor provisions of, The Private Securities Litigation Reform Act of 1995. All statements contained in this press release, other than statements of historical facts or statements that relate to present facts or current conditions, including but not limited to, statements regarding our clinical development plans and timelines,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 some cases, you can identify forward-looking statements by terms such as “may,” “might,” “will,” “should,” “expect,” “plan,” “aim,” “seek,” “anticipate,” “could,” “intend,” “target,” “project,” “contemplate,” “believe,” “estimate,” “predict,” “forecast,” “potential” or “continue” or the negative of these terms or other similar expressions. The forward-looking statements in this press release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press release and are subject to a number of risks, uncertainties and assumptions, some of which cannot be predicted or quantified and some of which are beyond our control, including, among others: our ability to successfully advance our current and future product candidates through development activities, preclinical studies, and clinical trials; our dependence on the success of our lead product candidate, CNTY-101; the ability of CNTY-101 to be administered as part of a multi-dose strategy and to enable responses without lymphodepletion; uncertainties inherent in the results of preliminary data, pre-clinical studies and earlier-stage clinical trials, which may not be predictive of final results or the results of later-stage clinical trials; the timing of and our ability to initiate and successfully enroll the Phase 1 SLE trial; our ability to obtain FDA clearance of our future IND submissions and commence and complete clinical trials on expected timelines, or at all; our reliance on the maintenance of certain key collaborative relationships for the manufacturing and development of our product candidates; the timing, scope and likelihood of regulatory filings and approvals, including final regulatory approval of our product candidates; the impact of geopolitical issues, banking instability and inflation on our business and operations, supply chain and labor force; the performance of third parties in connection with the development of our product candidates, including third parties conducting our clinical trials as well as third-party suppliers and manufacturers; our ability to successfully commercialize our product candidates and develop sales and marketing capabilities, if our product candidates are approved; our ability to recruit and maintain key members of management and our ability to maintain and successfully enforce adequate intellectual property protection. These and other risks and uncertainties are described more fully in the “Risk Factors” section of our most recent filings with the Securities and Exchange Commission and available at www.sec.gov.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 dynamic industry and economy. New risk factors and uncertainties may emerge from time to time, and it is not possible for management to predict all risk factors and uncertainties that we may face. Except as required by applicable law, we do not plan to publicly update or revise any forward-looking statements contained herein, whether as a result of any new information, future events, changed circumstances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281940</wp:posOffset>
            </wp:positionV>
            <wp:extent cx="717804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331" w:right="2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420370</wp:posOffset>
            </wp:positionV>
            <wp:extent cx="1143000" cy="3200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143000" cy="320040"/>
                    </a:xfrm>
                    <a:prstGeom prst="rect">
                      <a:avLst/>
                    </a:prstGeom>
                    <a:noFill/>
                  </pic:spPr>
                </pic:pic>
              </a:graphicData>
            </a:graphic>
          </wp:anchor>
        </w:drawing>
        <w:t>For More Information: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 xml:space="preserve">Investors/Media: Melissa Forst/Maghan Meyers – </w:t>
      </w:r>
      <w:r>
        <w:rPr>
          <w:rFonts w:ascii="Times New Roman" w:cs="Times New Roman" w:eastAsia="Times New Roman" w:hAnsi="Times New Roman"/>
          <w:sz w:val="11"/>
          <w:szCs w:val="11"/>
          <w:u w:val="single" w:color="auto"/>
          <w:color w:val="auto"/>
        </w:rPr>
        <w:t>century@argotpartners.com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303530</wp:posOffset>
            </wp:positionV>
            <wp:extent cx="717804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1331" w:right="1440" w:bottom="1440" w:gutter="0" w:footer="0" w:header="0"/>
        </w:sectPr>
      </w:pPr>
    </w:p>
    <w:bookmarkStart w:id="8" w:name="page9"/>
    <w:bookmarkEnd w:id="8"/>
    <w:p>
      <w:pPr>
        <w:ind w:left="9540"/>
        <w:spacing w:after="0"/>
        <w:rPr>
          <w:sz w:val="20"/>
          <w:szCs w:val="20"/>
          <w:color w:val="auto"/>
        </w:rPr>
      </w:pPr>
      <w:r>
        <w:rPr>
          <w:rFonts w:ascii="Times New Roman" w:cs="Times New Roman" w:eastAsia="Times New Roman" w:hAnsi="Times New Roman"/>
          <w:sz w:val="11"/>
          <w:szCs w:val="11"/>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111760</wp:posOffset>
            </wp:positionV>
            <wp:extent cx="7172960" cy="45262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0" w:num="1">
            <w:col w:w="10160"/>
          </w:cols>
          <w:pgMar w:left="1440" w:top="125" w:right="299" w:bottom="1440"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4598035</wp:posOffset>
            </wp:positionV>
            <wp:extent cx="68008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0085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endash "/>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2023-12-11T09:33:58Z</dcterms:created>
  <dcterms:modified xsi:type="dcterms:W3CDTF">2023-12-11T09:33:58Z</dcterms:modified>
</cp:coreProperties>
</file>