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4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469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Casdin Eli</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17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06/17/2021</w:t>
            </w:r>
          </w:p>
        </w:tc>
        <w:tc>
          <w:tcPr>
            <w:tcW w:w="0" w:type="dxa"/>
            <w:vAlign w:val="bottom"/>
          </w:tcPr>
          <w:p>
            <w:pPr>
              <w:spacing w:after="0"/>
              <w:rPr>
                <w:sz w:val="1"/>
                <w:szCs w:val="1"/>
                <w:color w:val="auto"/>
              </w:rPr>
            </w:pPr>
          </w:p>
        </w:tc>
      </w:tr>
    </w:tbl>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040" w:type="dxa"/>
            <w:vAlign w:val="bottom"/>
          </w:tcPr>
          <w:p>
            <w:pPr>
              <w:ind w:left="40"/>
              <w:spacing w:after="0"/>
              <w:rPr>
                <w:sz w:val="20"/>
                <w:szCs w:val="20"/>
                <w:color w:val="auto"/>
              </w:rPr>
            </w:pPr>
            <w:r>
              <w:rPr>
                <w:rFonts w:ascii="Arial" w:cs="Arial" w:eastAsia="Arial" w:hAnsi="Arial"/>
                <w:sz w:val="15"/>
                <w:szCs w:val="15"/>
                <w:color w:val="auto"/>
              </w:rPr>
              <w:t>(Last)</w:t>
            </w:r>
          </w:p>
        </w:tc>
        <w:tc>
          <w:tcPr>
            <w:tcW w:w="720" w:type="dxa"/>
            <w:vAlign w:val="bottom"/>
          </w:tcPr>
          <w:p>
            <w:pPr>
              <w:ind w:left="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4"/>
              </w:rPr>
              <w:t>1350 AVENUE OF THE AMERICAS</w:t>
            </w:r>
          </w:p>
        </w:tc>
        <w:tc>
          <w:tcPr>
            <w:tcW w:w="0" w:type="dxa"/>
            <w:vAlign w:val="bottom"/>
          </w:tcPr>
          <w:p>
            <w:pPr>
              <w:spacing w:after="0"/>
              <w:rPr>
                <w:sz w:val="1"/>
                <w:szCs w:val="1"/>
                <w:color w:val="auto"/>
              </w:rPr>
            </w:pPr>
          </w:p>
        </w:tc>
      </w:tr>
      <w:tr>
        <w:trPr>
          <w:trHeight w:val="300"/>
        </w:trPr>
        <w:tc>
          <w:tcPr>
            <w:tcW w:w="1040" w:type="dxa"/>
            <w:vAlign w:val="bottom"/>
          </w:tcPr>
          <w:p>
            <w:pPr>
              <w:ind w:left="40"/>
              <w:spacing w:after="0"/>
              <w:rPr>
                <w:sz w:val="20"/>
                <w:szCs w:val="20"/>
                <w:color w:val="auto"/>
              </w:rPr>
            </w:pPr>
            <w:r>
              <w:rPr>
                <w:rFonts w:ascii="Arial" w:cs="Arial" w:eastAsia="Arial" w:hAnsi="Arial"/>
                <w:sz w:val="20"/>
                <w:szCs w:val="20"/>
                <w:color w:val="0000FF"/>
                <w:w w:val="89"/>
              </w:rPr>
              <w:t>SUITE 1140</w:t>
            </w: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0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104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040" w:type="dxa"/>
            <w:vAlign w:val="bottom"/>
          </w:tcPr>
          <w:p>
            <w:pPr>
              <w:ind w:left="40"/>
              <w:spacing w:after="0"/>
              <w:rPr>
                <w:sz w:val="20"/>
                <w:szCs w:val="20"/>
                <w:color w:val="auto"/>
              </w:rPr>
            </w:pPr>
            <w:r>
              <w:rPr>
                <w:rFonts w:ascii="Arial" w:cs="Arial" w:eastAsia="Arial" w:hAnsi="Arial"/>
                <w:sz w:val="20"/>
                <w:szCs w:val="20"/>
                <w:color w:val="0000FF"/>
              </w:rPr>
              <w:t>NEW</w:t>
            </w:r>
          </w:p>
        </w:tc>
        <w:tc>
          <w:tcPr>
            <w:tcW w:w="720" w:type="dxa"/>
            <w:vAlign w:val="bottom"/>
            <w:vMerge w:val="restart"/>
          </w:tcPr>
          <w:p>
            <w:pPr>
              <w:ind w:left="20"/>
              <w:spacing w:after="0"/>
              <w:rPr>
                <w:sz w:val="20"/>
                <w:szCs w:val="20"/>
                <w:color w:val="auto"/>
              </w:rPr>
            </w:pPr>
            <w:r>
              <w:rPr>
                <w:rFonts w:ascii="Arial" w:cs="Arial" w:eastAsia="Arial" w:hAnsi="Arial"/>
                <w:sz w:val="20"/>
                <w:szCs w:val="20"/>
                <w:color w:val="0000FF"/>
              </w:rPr>
              <w:t>NY</w:t>
            </w:r>
          </w:p>
        </w:tc>
        <w:tc>
          <w:tcPr>
            <w:tcW w:w="1340" w:type="dxa"/>
            <w:vAlign w:val="bottom"/>
            <w:vMerge w:val="restart"/>
          </w:tcPr>
          <w:p>
            <w:pPr>
              <w:ind w:left="340"/>
              <w:spacing w:after="0"/>
              <w:rPr>
                <w:sz w:val="20"/>
                <w:szCs w:val="20"/>
                <w:color w:val="auto"/>
              </w:rPr>
            </w:pPr>
            <w:r>
              <w:rPr>
                <w:rFonts w:ascii="Arial" w:cs="Arial" w:eastAsia="Arial" w:hAnsi="Arial"/>
                <w:sz w:val="20"/>
                <w:szCs w:val="20"/>
                <w:color w:val="0000FF"/>
              </w:rPr>
              <w:t>10019</w:t>
            </w:r>
          </w:p>
        </w:tc>
        <w:tc>
          <w:tcPr>
            <w:tcW w:w="0" w:type="dxa"/>
            <w:vAlign w:val="bottom"/>
          </w:tcPr>
          <w:p>
            <w:pPr>
              <w:spacing w:after="0"/>
              <w:rPr>
                <w:sz w:val="1"/>
                <w:szCs w:val="1"/>
                <w:color w:val="auto"/>
              </w:rPr>
            </w:pPr>
          </w:p>
        </w:tc>
      </w:tr>
      <w:tr>
        <w:trPr>
          <w:trHeight w:val="128"/>
        </w:trPr>
        <w:tc>
          <w:tcPr>
            <w:tcW w:w="104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72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Century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IPSC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9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9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2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02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C Preferred Stock</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right"/>
              <w:ind w:right="309"/>
              <w:spacing w:after="0"/>
              <w:rPr>
                <w:sz w:val="20"/>
                <w:szCs w:val="20"/>
                <w:color w:val="auto"/>
              </w:rPr>
            </w:pPr>
            <w:r>
              <w:rPr>
                <w:rFonts w:ascii="Arial" w:cs="Arial" w:eastAsia="Arial" w:hAnsi="Arial"/>
                <w:sz w:val="13"/>
                <w:szCs w:val="13"/>
                <w:color w:val="008000"/>
              </w:rPr>
              <w:t>(1)</w:t>
            </w:r>
          </w:p>
        </w:tc>
        <w:tc>
          <w:tcPr>
            <w:tcW w:w="170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rPr>
              <w:t>Common Stock</w:t>
            </w:r>
          </w:p>
        </w:tc>
        <w:tc>
          <w:tcPr>
            <w:tcW w:w="1020" w:type="dxa"/>
            <w:vAlign w:val="bottom"/>
            <w:tcBorders>
              <w:bottom w:val="single" w:sz="8" w:color="2C2C2C"/>
            </w:tcBorders>
          </w:tcPr>
          <w:p>
            <w:pPr>
              <w:ind w:left="180"/>
              <w:spacing w:after="0"/>
              <w:rPr>
                <w:sz w:val="20"/>
                <w:szCs w:val="20"/>
                <w:color w:val="auto"/>
              </w:rPr>
            </w:pPr>
            <w:r>
              <w:rPr>
                <w:rFonts w:ascii="Arial" w:cs="Arial" w:eastAsia="Arial" w:hAnsi="Arial"/>
                <w:sz w:val="20"/>
                <w:szCs w:val="20"/>
                <w:color w:val="0000FF"/>
                <w:w w:val="92"/>
              </w:rPr>
              <w:t>2,456,380</w:t>
            </w:r>
          </w:p>
        </w:tc>
        <w:tc>
          <w:tcPr>
            <w:tcW w:w="100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8000"/>
              </w:rPr>
              <w:t>(2)</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80" w:type="dxa"/>
            <w:vAlign w:val="bottom"/>
            <w:tcBorders>
              <w:bottom w:val="single" w:sz="8" w:color="2C2C2C"/>
            </w:tcBorders>
            <w:gridSpan w:val="2"/>
          </w:tcPr>
          <w:p>
            <w:pPr>
              <w:ind w:left="8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140" w:firstLine="5"/>
        <w:spacing w:after="0" w:line="236"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Shares of Series C Preferred Stock have no expiration date and are convertible, at the option of the holder, into shares of Common Stock at the then-effective conversion rate for no additional consideration (subject to the payment of cash in lieu of any fractional shares in accordance with the Issuer's Amended and Restated Certificate of Incorporation (as amended, the "Certificate of Incorporation")). The shares of Series C Preferred Stock will automatically convert into shares of Common Stock at the then-effective conversion rate for no additional consideration (subject to the payment in cash in lieu of any fractional shares in accordance with the Certificate of Incorporation) immediately prior to the closing of the Issuer's initial public offering.</w:t>
      </w:r>
    </w:p>
    <w:p>
      <w:pPr>
        <w:spacing w:after="0" w:line="37" w:lineRule="exact"/>
        <w:rPr>
          <w:rFonts w:ascii="Arial" w:cs="Arial" w:eastAsia="Arial" w:hAnsi="Arial"/>
          <w:sz w:val="15"/>
          <w:szCs w:val="15"/>
          <w:color w:val="008000"/>
        </w:rPr>
      </w:pPr>
    </w:p>
    <w:p>
      <w:pPr>
        <w:ind w:left="200" w:hanging="155"/>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of Series C Preferred Stock are convertible into shares of Common Stock at a 2.5161-for-1 conversion rate, which is the applicable conversion rate as of the date hereof.</w:t>
      </w:r>
    </w:p>
    <w:p>
      <w:pPr>
        <w:spacing w:after="0" w:line="75" w:lineRule="exact"/>
        <w:rPr>
          <w:rFonts w:ascii="Arial" w:cs="Arial" w:eastAsia="Arial" w:hAnsi="Arial"/>
          <w:sz w:val="13"/>
          <w:szCs w:val="13"/>
          <w:color w:val="008000"/>
        </w:rPr>
      </w:pPr>
    </w:p>
    <w:p>
      <w:pPr>
        <w:ind w:left="40" w:right="80" w:firstLine="5"/>
        <w:spacing w:after="0" w:line="235"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Consists of (i) 3,090,250 shares of Series C Preferred Stock directly held by Casdin Partners Master Fund, L.P. ("Casdin PMF") and (ii) 3,090,250 shares of Series C Preferred Stock directly held by Casdin Private Growth Equity Fund, L.P. ("Casdin PGEF"). Casdin Capital, LLC is the investment adviser to each of Casdin PMF and Casdin PGEF. Casdin Partners GP, LLC ("Casdin GP") is the general partner of Casdin PMF and Casdin Private Growth Equity Fund GP, LLC ("Casdin PGEF GP") is the general partner of Casdin PGEF. Mr. Casdin is the managing member of Casdin Capital, LLC and Casdin Partners GP, LLC. As such, each of Casdin Capital, LLC, Casdin Partners GP, LLC, and Mr. Casdin may be deemed to beneficially own the securities held by Casdin PMF and each of Casdin Capital, LLC, Casdin PGEF GP, and Mr. Casdin may be deemed to beneficially own the securities held by Casdin PGEF.</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By: /s/ Michael Diem,</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06/17/2021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4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Know all by these presents, that the undersigned hereby constitutes and appoints the Chief Business Officer of</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Century Therapeutics, Inc. (the "Company"), as the undersigned's true and lawful attorney-in-fact to:</w:t>
      </w:r>
    </w:p>
    <w:p>
      <w:pPr>
        <w:spacing w:after="0" w:line="234" w:lineRule="exact"/>
        <w:rPr>
          <w:sz w:val="20"/>
          <w:szCs w:val="20"/>
          <w:color w:val="auto"/>
        </w:rPr>
      </w:pPr>
    </w:p>
    <w:p>
      <w:pPr>
        <w:ind w:left="720" w:right="40" w:hanging="360"/>
        <w:spacing w:after="0" w:line="305" w:lineRule="auto"/>
        <w:tabs>
          <w:tab w:leader="none" w:pos="720" w:val="left"/>
        </w:tabs>
        <w:numPr>
          <w:ilvl w:val="0"/>
          <w:numId w:val="3"/>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165" w:lineRule="exact"/>
        <w:rPr>
          <w:rFonts w:ascii="Arial" w:cs="Arial" w:eastAsia="Arial" w:hAnsi="Arial"/>
          <w:sz w:val="19"/>
          <w:szCs w:val="19"/>
          <w:color w:val="auto"/>
        </w:rPr>
      </w:pPr>
    </w:p>
    <w:p>
      <w:pPr>
        <w:ind w:left="720" w:right="100" w:hanging="360"/>
        <w:spacing w:after="0" w:line="30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left="720" w:hanging="360"/>
        <w:spacing w:after="0" w:line="29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ind w:right="100" w:firstLine="1441"/>
        <w:spacing w:after="0" w:line="274" w:lineRule="auto"/>
        <w:rPr>
          <w:sz w:val="20"/>
          <w:szCs w:val="20"/>
          <w:color w:val="auto"/>
        </w:rPr>
      </w:pPr>
      <w:r>
        <w:rPr>
          <w:rFonts w:ascii="Arial" w:cs="Arial" w:eastAsia="Arial" w:hAnsi="Arial"/>
          <w:sz w:val="19"/>
          <w:szCs w:val="19"/>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93" w:lineRule="exact"/>
        <w:rPr>
          <w:sz w:val="20"/>
          <w:szCs w:val="20"/>
          <w:color w:val="auto"/>
        </w:rPr>
      </w:pPr>
    </w:p>
    <w:p>
      <w:pPr>
        <w:ind w:right="160" w:firstLine="1441"/>
        <w:spacing w:after="0" w:line="264" w:lineRule="auto"/>
        <w:rPr>
          <w:sz w:val="20"/>
          <w:szCs w:val="20"/>
          <w:color w:val="auto"/>
        </w:rPr>
      </w:pPr>
      <w:r>
        <w:rPr>
          <w:rFonts w:ascii="Arial" w:cs="Arial" w:eastAsia="Arial" w:hAnsi="Arial"/>
          <w:sz w:val="20"/>
          <w:szCs w:val="20"/>
          <w:color w:val="auto"/>
        </w:rPr>
        <w:t>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02"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caused this Power of Attorney to be executed as of this 10</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p>
    <w:p>
      <w:pPr>
        <w:spacing w:after="0"/>
        <w:rPr>
          <w:sz w:val="20"/>
          <w:szCs w:val="20"/>
          <w:color w:val="auto"/>
        </w:rPr>
      </w:pPr>
      <w:r>
        <w:rPr>
          <w:rFonts w:ascii="Arial" w:cs="Arial" w:eastAsia="Arial" w:hAnsi="Arial"/>
          <w:sz w:val="20"/>
          <w:szCs w:val="20"/>
          <w:color w:val="auto"/>
        </w:rPr>
        <w:t>May, 2021.</w:t>
      </w:r>
    </w:p>
    <w:p>
      <w:pPr>
        <w:spacing w:after="0" w:line="23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Eli Casdin</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320675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34264" TargetMode="External"/><Relationship Id="rId11"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2021-06-17T16:11:28Z</dcterms:created>
  <dcterms:modified xsi:type="dcterms:W3CDTF">2021-06-17T16:11:28Z</dcterms:modified>
</cp:coreProperties>
</file>