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7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7"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368" w:lineRule="exact"/>
        <w:rPr>
          <w:sz w:val="24"/>
          <w:szCs w:val="24"/>
          <w:color w:val="auto"/>
        </w:rPr>
      </w:pPr>
    </w:p>
    <w:p>
      <w:pPr>
        <w:ind w:left="168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385" w:space="720"/>
            <w:col w:w="3220" w:space="720"/>
            <w:col w:w="2260"/>
          </w:cols>
          <w:pgMar w:left="295" w:top="513" w:right="299" w:bottom="1440" w:gutter="0" w:footer="0" w:header="0"/>
          <w:type w:val="continuous"/>
        </w:sectPr>
      </w:pPr>
    </w:p>
    <w:p>
      <w:pPr>
        <w:jc w:val="center"/>
        <w:ind w:right="1595"/>
        <w:spacing w:after="0"/>
        <w:rPr>
          <w:sz w:val="20"/>
          <w:szCs w:val="20"/>
          <w:color w:val="auto"/>
        </w:rPr>
      </w:pPr>
      <w:r>
        <w:rPr>
          <w:rFonts w:ascii="Times New Roman" w:cs="Times New Roman" w:eastAsia="Times New Roman" w:hAnsi="Times New Roman"/>
          <w:sz w:val="12"/>
          <w:szCs w:val="12"/>
          <w:b w:val="1"/>
          <w:bCs w:val="1"/>
          <w:color w:val="auto"/>
        </w:rPr>
        <w:t>3675 Market Street</w:t>
      </w:r>
    </w:p>
    <w:p>
      <w:pPr>
        <w:spacing w:after="0" w:line="21" w:lineRule="exact"/>
        <w:rPr>
          <w:sz w:val="24"/>
          <w:szCs w:val="24"/>
          <w:color w:val="auto"/>
        </w:rPr>
      </w:pPr>
    </w:p>
    <w:p>
      <w:pPr>
        <w:jc w:val="center"/>
        <w:ind w:right="15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5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825" w:space="720"/>
            <w:col w:w="2760"/>
          </w:cols>
          <w:pgMar w:left="295" w:top="513" w:right="299" w:bottom="1440" w:gutter="0" w:footer="0" w:header="0"/>
          <w:type w:val="continuous"/>
        </w:sectPr>
      </w:pPr>
    </w:p>
    <w:p>
      <w:pPr>
        <w:jc w:val="center"/>
        <w:ind w:right="-4"/>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(267) 817-5790</w:t>
      </w:r>
    </w:p>
    <w:p>
      <w:pPr>
        <w:spacing w:after="0" w:line="15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8"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4"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4"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63"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73"/>
        </w:trPr>
        <w:tc>
          <w:tcPr>
            <w:tcW w:w="3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w:t>
            </w:r>
          </w:p>
        </w:tc>
      </w:tr>
      <w:tr>
        <w:trPr>
          <w:trHeight w:val="159"/>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Registered</w:t>
            </w:r>
          </w:p>
        </w:tc>
      </w:tr>
      <w:tr>
        <w:trPr>
          <w:trHeight w:val="144"/>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$0.0001 per share</w:t>
            </w:r>
          </w:p>
        </w:tc>
        <w:tc>
          <w:tcPr>
            <w:tcW w:w="1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IPSC</w:t>
            </w:r>
          </w:p>
        </w:tc>
        <w:tc>
          <w:tcPr>
            <w:tcW w:w="10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22" w:lineRule="exact"/>
        <w:rPr>
          <w:sz w:val="24"/>
          <w:szCs w:val="24"/>
          <w:color w:val="auto"/>
        </w:rPr>
      </w:pPr>
    </w:p>
    <w:p>
      <w:pPr>
        <w:ind w:left="5"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845"/>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54" w:lineRule="exact"/>
        <w:rPr>
          <w:sz w:val="24"/>
          <w:szCs w:val="24"/>
          <w:color w:val="auto"/>
        </w:rPr>
      </w:pPr>
    </w:p>
    <w:p>
      <w:pPr>
        <w:ind w:left="5"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306705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u w:val="single" w:color="auto"/>
          <w:color w:val="auto"/>
        </w:rPr>
        <w:t>Other Events</w:t>
      </w:r>
    </w:p>
    <w:p>
      <w:pPr>
        <w:spacing w:after="0" w:line="154" w:lineRule="exact"/>
        <w:rPr>
          <w:sz w:val="20"/>
          <w:szCs w:val="20"/>
          <w:color w:val="auto"/>
        </w:rPr>
      </w:pPr>
    </w:p>
    <w:p>
      <w:pPr>
        <w:ind w:right="160" w:firstLine="432"/>
        <w:spacing w:after="0" w:line="279" w:lineRule="auto"/>
        <w:rPr>
          <w:sz w:val="20"/>
          <w:szCs w:val="20"/>
          <w:color w:val="auto"/>
        </w:rPr>
      </w:pPr>
      <w:r>
        <w:rPr>
          <w:rFonts w:ascii="Times New Roman" w:cs="Times New Roman" w:eastAsia="Times New Roman" w:hAnsi="Times New Roman"/>
          <w:sz w:val="12"/>
          <w:szCs w:val="12"/>
          <w:color w:val="auto"/>
        </w:rPr>
        <w:t>On May 10, 2022, Century Therapeutics, Inc. (the “Company”) updated information reflected in a slide presentation, which is attached hereto as Exhibit 99.1 to this Current Report on Form 8-K and is incorporated herein by reference. Representatives of the Company will use the updated presentation in various meetings with investors from time to time.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5"/>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17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73"/>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7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700" w:type="dxa"/>
            <w:vAlign w:val="bottom"/>
          </w:tcPr>
          <w:p>
            <w:pPr>
              <w:spacing w:after="0"/>
              <w:rPr>
                <w:sz w:val="23"/>
                <w:szCs w:val="23"/>
                <w:color w:val="auto"/>
              </w:rPr>
            </w:pPr>
          </w:p>
        </w:tc>
      </w:tr>
      <w:tr>
        <w:trPr>
          <w:trHeight w:val="159"/>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17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700" w:type="dxa"/>
            <w:vAlign w:val="bottom"/>
          </w:tcPr>
          <w:p>
            <w:pPr>
              <w:ind w:left="134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106"/>
        </w:trPr>
        <w:tc>
          <w:tcPr>
            <w:tcW w:w="90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20" w:type="dxa"/>
            <w:vAlign w:val="bottom"/>
          </w:tcPr>
          <w:p>
            <w:pPr>
              <w:spacing w:after="0"/>
              <w:rPr>
                <w:sz w:val="9"/>
                <w:szCs w:val="9"/>
                <w:color w:val="auto"/>
              </w:rPr>
            </w:pPr>
          </w:p>
        </w:tc>
        <w:tc>
          <w:tcPr>
            <w:tcW w:w="1018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 of Century Therapeutics, Inc., dated May 10, 2022</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88"/>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791"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72" w:lineRule="exact"/>
        <w:rPr>
          <w:sz w:val="20"/>
          <w:szCs w:val="20"/>
          <w:color w:val="auto"/>
        </w:rPr>
      </w:pPr>
    </w:p>
    <w:tbl>
      <w:tblPr>
        <w:tblLayout w:type="fixed"/>
        <w:tblInd w:w="5420" w:type="dxa"/>
        <w:tblCellMar>
          <w:top w:w="0" w:type="dxa"/>
          <w:left w:w="0" w:type="dxa"/>
          <w:bottom w:w="0" w:type="dxa"/>
          <w:right w:w="0" w:type="dxa"/>
        </w:tblCellMar>
      </w:tblPr>
      <w:tr>
        <w:trPr>
          <w:trHeight w:val="155"/>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Osvaldo Flores, Ph.D.</w:t>
            </w:r>
          </w:p>
        </w:tc>
      </w:tr>
      <w:tr>
        <w:trPr>
          <w:trHeight w:val="149"/>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Osvaldo Flores, Ph.D.</w:t>
            </w:r>
          </w:p>
        </w:tc>
      </w:tr>
      <w:tr>
        <w:trPr>
          <w:trHeight w:val="155"/>
        </w:trPr>
        <w:tc>
          <w:tcPr>
            <w:tcW w:w="6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20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rPr>
          <w:sz w:val="20"/>
          <w:szCs w:val="20"/>
          <w:color w:val="auto"/>
        </w:rPr>
      </w:pPr>
      <w:r>
        <w:rPr>
          <w:rFonts w:ascii="Times New Roman" w:cs="Times New Roman" w:eastAsia="Times New Roman" w:hAnsi="Times New Roman"/>
          <w:sz w:val="12"/>
          <w:szCs w:val="12"/>
          <w:color w:val="auto"/>
        </w:rPr>
        <w:t>Date: 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2022-05-10T08:03:33Z</dcterms:created>
  <dcterms:modified xsi:type="dcterms:W3CDTF">2022-05-10T08:03:33Z</dcterms:modified>
</cp:coreProperties>
</file>