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5"/>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4" w:lineRule="exact"/>
        <w:rPr>
          <w:sz w:val="24"/>
          <w:szCs w:val="24"/>
          <w:color w:val="auto"/>
        </w:rPr>
      </w:pPr>
    </w:p>
    <w:p>
      <w:pPr>
        <w:jc w:val="center"/>
        <w:ind w:right="15"/>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1"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Date of Report (Date of earliest event reported): 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8" w:lineRule="exact"/>
        <w:rPr>
          <w:sz w:val="24"/>
          <w:szCs w:val="24"/>
          <w:color w:val="auto"/>
        </w:rPr>
      </w:pPr>
    </w:p>
    <w:p>
      <w:pPr>
        <w:jc w:val="center"/>
        <w:ind w:right="15"/>
        <w:spacing w:after="0"/>
        <w:rPr>
          <w:sz w:val="20"/>
          <w:szCs w:val="20"/>
          <w:color w:val="auto"/>
        </w:rPr>
      </w:pPr>
      <w:r>
        <w:rPr>
          <w:rFonts w:ascii="Arial" w:cs="Arial" w:eastAsia="Arial" w:hAnsi="Arial"/>
          <w:sz w:val="22"/>
          <w:szCs w:val="22"/>
          <w:b w:val="1"/>
          <w:bCs w:val="1"/>
          <w:color w:val="auto"/>
        </w:rPr>
        <w:t>Century Therapeutics, Inc.</w:t>
      </w:r>
    </w:p>
    <w:p>
      <w:pPr>
        <w:spacing w:after="0" w:line="19" w:lineRule="exact"/>
        <w:rPr>
          <w:sz w:val="24"/>
          <w:szCs w:val="24"/>
          <w:color w:val="auto"/>
        </w:rPr>
      </w:pPr>
    </w:p>
    <w:p>
      <w:pPr>
        <w:jc w:val="center"/>
        <w:ind w:right="15"/>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7" w:right="299" w:bottom="1440" w:gutter="0" w:footer="0" w:header="0"/>
        </w:sectPr>
      </w:pPr>
    </w:p>
    <w:p>
      <w:pPr>
        <w:spacing w:after="0" w:line="289" w:lineRule="exact"/>
        <w:rPr>
          <w:sz w:val="24"/>
          <w:szCs w:val="24"/>
          <w:color w:val="auto"/>
        </w:rPr>
      </w:pPr>
    </w:p>
    <w:p>
      <w:pPr>
        <w:ind w:left="1565"/>
        <w:spacing w:after="0"/>
        <w:rPr>
          <w:sz w:val="20"/>
          <w:szCs w:val="20"/>
          <w:color w:val="auto"/>
        </w:rPr>
      </w:pPr>
      <w:r>
        <w:rPr>
          <w:rFonts w:ascii="Arial" w:cs="Arial" w:eastAsia="Arial" w:hAnsi="Arial"/>
          <w:sz w:val="12"/>
          <w:szCs w:val="12"/>
          <w:b w:val="1"/>
          <w:bCs w:val="1"/>
          <w:color w:val="auto"/>
        </w:rPr>
        <w:t>Delaware</w:t>
      </w:r>
    </w:p>
    <w:p>
      <w:pPr>
        <w:spacing w:after="0" w:line="19" w:lineRule="exact"/>
        <w:rPr>
          <w:sz w:val="24"/>
          <w:szCs w:val="24"/>
          <w:color w:val="auto"/>
        </w:rPr>
      </w:pPr>
    </w:p>
    <w:p>
      <w:pPr>
        <w:ind w:left="1105"/>
        <w:spacing w:after="0"/>
        <w:rPr>
          <w:sz w:val="20"/>
          <w:szCs w:val="20"/>
          <w:color w:val="auto"/>
        </w:rPr>
      </w:pPr>
      <w:r>
        <w:rPr>
          <w:rFonts w:ascii="Arial" w:cs="Arial" w:eastAsia="Arial" w:hAnsi="Arial"/>
          <w:sz w:val="11"/>
          <w:szCs w:val="11"/>
          <w:color w:val="auto"/>
        </w:rPr>
        <w:t>(State or other jurisdiction of</w:t>
      </w:r>
    </w:p>
    <w:p>
      <w:pPr>
        <w:spacing w:after="0" w:line="18" w:lineRule="exact"/>
        <w:rPr>
          <w:sz w:val="24"/>
          <w:szCs w:val="24"/>
          <w:color w:val="auto"/>
        </w:rPr>
      </w:pPr>
    </w:p>
    <w:p>
      <w:pPr>
        <w:ind w:left="1085"/>
        <w:spacing w:after="0"/>
        <w:rPr>
          <w:sz w:val="20"/>
          <w:szCs w:val="20"/>
          <w:color w:val="auto"/>
        </w:rPr>
      </w:pPr>
      <w:r>
        <w:rPr>
          <w:rFonts w:ascii="Arial" w:cs="Arial" w:eastAsia="Arial" w:hAnsi="Arial"/>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jc w:val="center"/>
        <w:ind w:right="2000"/>
        <w:spacing w:after="0"/>
        <w:rPr>
          <w:sz w:val="20"/>
          <w:szCs w:val="20"/>
          <w:color w:val="auto"/>
        </w:rPr>
      </w:pPr>
      <w:r>
        <w:rPr>
          <w:rFonts w:ascii="Arial" w:cs="Arial" w:eastAsia="Arial" w:hAnsi="Arial"/>
          <w:sz w:val="12"/>
          <w:szCs w:val="12"/>
          <w:b w:val="1"/>
          <w:bCs w:val="1"/>
          <w:color w:val="auto"/>
        </w:rPr>
        <w:t>001-40498</w:t>
      </w:r>
    </w:p>
    <w:p>
      <w:pPr>
        <w:spacing w:after="0" w:line="19" w:lineRule="exact"/>
        <w:rPr>
          <w:sz w:val="24"/>
          <w:szCs w:val="24"/>
          <w:color w:val="auto"/>
        </w:rPr>
      </w:pPr>
    </w:p>
    <w:p>
      <w:pPr>
        <w:jc w:val="center"/>
        <w:ind w:right="200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jc w:val="center"/>
        <w:ind w:right="1360"/>
        <w:spacing w:after="0"/>
        <w:rPr>
          <w:sz w:val="20"/>
          <w:szCs w:val="20"/>
          <w:color w:val="auto"/>
        </w:rPr>
      </w:pPr>
      <w:r>
        <w:rPr>
          <w:rFonts w:ascii="Arial" w:cs="Arial" w:eastAsia="Arial" w:hAnsi="Arial"/>
          <w:sz w:val="12"/>
          <w:szCs w:val="12"/>
          <w:b w:val="1"/>
          <w:bCs w:val="1"/>
          <w:color w:val="auto"/>
        </w:rPr>
        <w:t>84-2040295</w:t>
      </w:r>
    </w:p>
    <w:p>
      <w:pPr>
        <w:spacing w:after="0" w:line="19" w:lineRule="exact"/>
        <w:rPr>
          <w:sz w:val="24"/>
          <w:szCs w:val="24"/>
          <w:color w:val="auto"/>
        </w:rPr>
      </w:pPr>
    </w:p>
    <w:p>
      <w:pPr>
        <w:jc w:val="center"/>
        <w:ind w:right="1360"/>
        <w:spacing w:after="0"/>
        <w:rPr>
          <w:sz w:val="20"/>
          <w:szCs w:val="20"/>
          <w:color w:val="auto"/>
        </w:rPr>
      </w:pPr>
      <w:r>
        <w:rPr>
          <w:rFonts w:ascii="Arial" w:cs="Arial" w:eastAsia="Arial" w:hAnsi="Arial"/>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Arial" w:cs="Arial" w:eastAsia="Arial" w:hAnsi="Arial"/>
          <w:sz w:val="11"/>
          <w:szCs w:val="11"/>
          <w:color w:val="auto"/>
        </w:rPr>
        <w:t>Identification No.)</w:t>
      </w:r>
    </w:p>
    <w:p>
      <w:pPr>
        <w:spacing w:after="0" w:line="149" w:lineRule="exact"/>
        <w:rPr>
          <w:sz w:val="24"/>
          <w:szCs w:val="24"/>
          <w:color w:val="auto"/>
        </w:rPr>
      </w:pPr>
    </w:p>
    <w:p>
      <w:pPr>
        <w:sectPr>
          <w:pgSz w:w="11900" w:h="16838" w:orient="portrait"/>
          <w:cols w:equalWidth="0" w:num="3">
            <w:col w:w="4285" w:space="720"/>
            <w:col w:w="3320" w:space="720"/>
            <w:col w:w="2260"/>
          </w:cols>
          <w:pgMar w:left="295" w:top="517" w:right="299" w:bottom="1440" w:gutter="0" w:footer="0" w:header="0"/>
          <w:type w:val="continuous"/>
        </w:sectPr>
      </w:pPr>
    </w:p>
    <w:p>
      <w:pPr>
        <w:jc w:val="center"/>
        <w:ind w:right="1995"/>
        <w:spacing w:after="0"/>
        <w:rPr>
          <w:sz w:val="20"/>
          <w:szCs w:val="20"/>
          <w:color w:val="auto"/>
        </w:rPr>
      </w:pPr>
      <w:r>
        <w:rPr>
          <w:rFonts w:ascii="Arial" w:cs="Arial" w:eastAsia="Arial" w:hAnsi="Arial"/>
          <w:sz w:val="12"/>
          <w:szCs w:val="12"/>
          <w:b w:val="1"/>
          <w:bCs w:val="1"/>
          <w:color w:val="auto"/>
        </w:rPr>
        <w:t>3675 Market Street</w:t>
      </w:r>
    </w:p>
    <w:p>
      <w:pPr>
        <w:spacing w:after="0" w:line="19" w:lineRule="exact"/>
        <w:rPr>
          <w:sz w:val="24"/>
          <w:szCs w:val="24"/>
          <w:color w:val="auto"/>
        </w:rPr>
      </w:pPr>
    </w:p>
    <w:p>
      <w:pPr>
        <w:jc w:val="center"/>
        <w:ind w:right="1995"/>
        <w:spacing w:after="0"/>
        <w:rPr>
          <w:sz w:val="20"/>
          <w:szCs w:val="20"/>
          <w:color w:val="auto"/>
        </w:rPr>
      </w:pPr>
      <w:r>
        <w:rPr>
          <w:rFonts w:ascii="Arial" w:cs="Arial" w:eastAsia="Arial" w:hAnsi="Arial"/>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Arial" w:cs="Arial" w:eastAsia="Arial" w:hAnsi="Arial"/>
          <w:sz w:val="12"/>
          <w:szCs w:val="12"/>
          <w:b w:val="1"/>
          <w:bCs w:val="1"/>
          <w:color w:val="auto"/>
        </w:rPr>
        <w:t>19104</w:t>
      </w:r>
    </w:p>
    <w:p>
      <w:pPr>
        <w:spacing w:after="0" w:line="19" w:lineRule="exact"/>
        <w:rPr>
          <w:sz w:val="24"/>
          <w:szCs w:val="24"/>
          <w:color w:val="auto"/>
        </w:rPr>
      </w:pPr>
    </w:p>
    <w:p>
      <w:pPr>
        <w:jc w:val="center"/>
        <w:ind w:right="2500"/>
        <w:spacing w:after="0"/>
        <w:rPr>
          <w:sz w:val="20"/>
          <w:szCs w:val="20"/>
          <w:color w:val="auto"/>
        </w:rPr>
      </w:pPr>
      <w:r>
        <w:rPr>
          <w:rFonts w:ascii="Arial" w:cs="Arial" w:eastAsia="Arial" w:hAnsi="Arial"/>
          <w:sz w:val="11"/>
          <w:szCs w:val="11"/>
          <w:color w:val="auto"/>
        </w:rPr>
        <w:t>(Zip Code)</w:t>
      </w:r>
    </w:p>
    <w:p>
      <w:pPr>
        <w:spacing w:after="0" w:line="149" w:lineRule="exact"/>
        <w:rPr>
          <w:sz w:val="24"/>
          <w:szCs w:val="24"/>
          <w:color w:val="auto"/>
        </w:rPr>
      </w:pPr>
    </w:p>
    <w:p>
      <w:pPr>
        <w:sectPr>
          <w:pgSz w:w="11900" w:h="16838" w:orient="portrait"/>
          <w:cols w:equalWidth="0" w:num="2">
            <w:col w:w="7545" w:space="720"/>
            <w:col w:w="3040"/>
          </w:cols>
          <w:pgMar w:left="295" w:top="517" w:right="299" w:bottom="1440" w:gutter="0" w:footer="0" w:header="0"/>
          <w:type w:val="continuous"/>
        </w:sectPr>
      </w:pPr>
    </w:p>
    <w:p>
      <w:pPr>
        <w:jc w:val="center"/>
        <w:ind w:right="15"/>
        <w:spacing w:after="0"/>
        <w:rPr>
          <w:sz w:val="20"/>
          <w:szCs w:val="20"/>
          <w:color w:val="auto"/>
        </w:rPr>
      </w:pPr>
      <w:r>
        <w:rPr>
          <w:rFonts w:ascii="Arial" w:cs="Arial" w:eastAsia="Arial" w:hAnsi="Arial"/>
          <w:sz w:val="10"/>
          <w:szCs w:val="10"/>
          <w:color w:val="auto"/>
        </w:rPr>
        <w:t xml:space="preserve">Registrant’s telephone number, including area code: </w:t>
      </w:r>
      <w:r>
        <w:rPr>
          <w:rFonts w:ascii="Arial" w:cs="Arial" w:eastAsia="Arial" w:hAnsi="Arial"/>
          <w:sz w:val="10"/>
          <w:szCs w:val="10"/>
          <w:b w:val="1"/>
          <w:bCs w:val="1"/>
          <w:color w:val="auto"/>
        </w:rPr>
        <w:t>(267) 817-5790</w:t>
      </w:r>
    </w:p>
    <w:p>
      <w:pPr>
        <w:spacing w:after="0" w:line="173"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Not Applicable</w:t>
      </w:r>
    </w:p>
    <w:p>
      <w:pPr>
        <w:spacing w:after="0" w:line="19" w:lineRule="exact"/>
        <w:rPr>
          <w:sz w:val="24"/>
          <w:szCs w:val="24"/>
          <w:color w:val="auto"/>
        </w:rPr>
      </w:pPr>
    </w:p>
    <w:p>
      <w:pPr>
        <w:jc w:val="center"/>
        <w:ind w:right="15"/>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7" w:right="299" w:bottom="1440" w:gutter="0" w:footer="0" w:header="0"/>
          <w:type w:val="continuous"/>
        </w:sectPr>
      </w:pPr>
    </w:p>
    <w:p>
      <w:pPr>
        <w:spacing w:after="0" w:line="315" w:lineRule="exact"/>
        <w:rPr>
          <w:sz w:val="24"/>
          <w:szCs w:val="24"/>
          <w:color w:val="auto"/>
        </w:rPr>
      </w:pPr>
    </w:p>
    <w:p>
      <w:pPr>
        <w:ind w:left="5"/>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tbl>
      <w:tblPr>
        <w:tblLayout w:type="fixed"/>
        <w:tblInd w:w="5" w:type="dxa"/>
        <w:tblCellMar>
          <w:top w:w="0" w:type="dxa"/>
          <w:left w:w="0" w:type="dxa"/>
          <w:bottom w:w="0" w:type="dxa"/>
          <w:right w:w="0" w:type="dxa"/>
        </w:tblCellMar>
      </w:tblPr>
      <w:tr>
        <w:trPr>
          <w:trHeight w:val="153"/>
        </w:trPr>
        <w:tc>
          <w:tcPr>
            <w:tcW w:w="384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75"/>
        </w:trPr>
        <w:tc>
          <w:tcPr>
            <w:tcW w:w="3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1"/>
              </w:rPr>
              <w:t>Name of Exchange on Which</w:t>
            </w:r>
          </w:p>
        </w:tc>
      </w:tr>
      <w:tr>
        <w:trPr>
          <w:trHeight w:val="157"/>
        </w:trPr>
        <w:tc>
          <w:tcPr>
            <w:tcW w:w="3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Title of Each Class</w:t>
            </w:r>
          </w:p>
        </w:tc>
        <w:tc>
          <w:tcPr>
            <w:tcW w:w="3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Trading Symbol</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86"/>
              </w:rPr>
              <w:t>Registered</w:t>
            </w:r>
          </w:p>
        </w:tc>
      </w:tr>
      <w:tr>
        <w:trPr>
          <w:trHeight w:val="146"/>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Nasdaq Global Select Market</w:t>
            </w:r>
          </w:p>
        </w:tc>
      </w:tr>
    </w:tbl>
    <w:p>
      <w:pPr>
        <w:spacing w:after="0" w:line="122" w:lineRule="exact"/>
        <w:rPr>
          <w:sz w:val="24"/>
          <w:szCs w:val="24"/>
          <w:color w:val="auto"/>
        </w:rPr>
      </w:pPr>
    </w:p>
    <w:p>
      <w:pPr>
        <w:ind w:left="5"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9845"/>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84" w:lineRule="exact"/>
        <w:rPr>
          <w:sz w:val="24"/>
          <w:szCs w:val="24"/>
          <w:color w:val="auto"/>
        </w:rPr>
      </w:pPr>
    </w:p>
    <w:p>
      <w:pPr>
        <w:ind w:left="5"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101600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307340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7" w:right="299" w:bottom="1440" w:gutter="0" w:footer="0" w:header="0"/>
          <w:type w:val="continuous"/>
        </w:sectPr>
      </w:pPr>
    </w:p>
    <w:bookmarkStart w:id="1" w:name="page2"/>
    <w:bookmarkEnd w:id="1"/>
    <w:p>
      <w:pPr>
        <w:spacing w:after="0"/>
        <w:tabs>
          <w:tab w:leader="none" w:pos="62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u w:val="single" w:color="auto"/>
          <w:color w:val="auto"/>
        </w:rPr>
        <w:t>Regulation FD Disclosure</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On November 10, 2022, Century Therapeutics, Inc. (the “</w:t>
      </w:r>
      <w:r>
        <w:rPr>
          <w:rFonts w:ascii="Arial" w:cs="Arial" w:eastAsia="Arial" w:hAnsi="Arial"/>
          <w:sz w:val="11"/>
          <w:szCs w:val="11"/>
          <w:u w:val="single" w:color="auto"/>
          <w:color w:val="auto"/>
        </w:rPr>
        <w:t>Company</w:t>
      </w:r>
      <w:r>
        <w:rPr>
          <w:rFonts w:ascii="Arial" w:cs="Arial" w:eastAsia="Arial" w:hAnsi="Arial"/>
          <w:sz w:val="11"/>
          <w:szCs w:val="11"/>
          <w:color w:val="auto"/>
        </w:rPr>
        <w:t>”) updated information reflected in a slide presentation, which is attached as Exhibit 99.1 to this Current Report on Form 8-K and is incorporated herein by reference.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Representatives of the Company will use the updated presentation in various meetings with investors from time to time.</w:t>
      </w:r>
    </w:p>
    <w:p>
      <w:pPr>
        <w:spacing w:after="0" w:line="141" w:lineRule="exact"/>
        <w:rPr>
          <w:sz w:val="20"/>
          <w:szCs w:val="20"/>
          <w:color w:val="auto"/>
        </w:rPr>
      </w:pPr>
    </w:p>
    <w:p>
      <w:pPr>
        <w:ind w:right="40"/>
        <w:spacing w:after="0" w:line="379" w:lineRule="auto"/>
        <w:rPr>
          <w:sz w:val="20"/>
          <w:szCs w:val="20"/>
          <w:color w:val="auto"/>
        </w:rPr>
      </w:pPr>
      <w:r>
        <w:rPr>
          <w:rFonts w:ascii="Arial" w:cs="Arial" w:eastAsia="Arial" w:hAnsi="Arial"/>
          <w:sz w:val="10"/>
          <w:szCs w:val="10"/>
          <w:color w:val="auto"/>
        </w:rPr>
        <w:t>The information contained in this Item 7.01 (including Exhibit 99.1) is being furnished and shall not be deemed “filed” for purposes of Section 18 of the Exchange Act, as amended (the “</w:t>
      </w:r>
      <w:r>
        <w:rPr>
          <w:rFonts w:ascii="Arial" w:cs="Arial" w:eastAsia="Arial" w:hAnsi="Arial"/>
          <w:sz w:val="10"/>
          <w:szCs w:val="10"/>
          <w:u w:val="single" w:color="auto"/>
          <w:color w:val="auto"/>
        </w:rPr>
        <w:t>Exchange Act</w:t>
      </w:r>
      <w:r>
        <w:rPr>
          <w:rFonts w:ascii="Arial" w:cs="Arial" w:eastAsia="Arial" w:hAnsi="Arial"/>
          <w:sz w:val="10"/>
          <w:szCs w:val="10"/>
          <w:color w:val="auto"/>
        </w:rPr>
        <w: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6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u w:val="single" w:color="auto"/>
          <w:color w:val="auto"/>
        </w:rPr>
        <w:t>Financial Statements and Exhibits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exhibit is being furnished herewith:</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2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420" w:type="dxa"/>
            <w:vAlign w:val="bottom"/>
          </w:tcPr>
          <w:p>
            <w:pPr>
              <w:spacing w:after="0"/>
              <w:rPr>
                <w:sz w:val="12"/>
                <w:szCs w:val="12"/>
                <w:color w:val="auto"/>
              </w:rPr>
            </w:pPr>
          </w:p>
        </w:tc>
      </w:tr>
      <w:tr>
        <w:trPr>
          <w:trHeight w:val="157"/>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No.</w:t>
            </w:r>
          </w:p>
        </w:tc>
        <w:tc>
          <w:tcPr>
            <w:tcW w:w="220" w:type="dxa"/>
            <w:vAlign w:val="bottom"/>
          </w:tcPr>
          <w:p>
            <w:pPr>
              <w:spacing w:after="0"/>
              <w:rPr>
                <w:sz w:val="13"/>
                <w:szCs w:val="13"/>
                <w:color w:val="auto"/>
              </w:rPr>
            </w:pPr>
          </w:p>
        </w:tc>
        <w:tc>
          <w:tcPr>
            <w:tcW w:w="3760" w:type="dxa"/>
            <w:vAlign w:val="bottom"/>
            <w:tcBorders>
              <w:bottom w:val="single" w:sz="8" w:color="auto"/>
            </w:tcBorders>
          </w:tcPr>
          <w:p>
            <w:pPr>
              <w:spacing w:after="0"/>
              <w:rPr>
                <w:sz w:val="13"/>
                <w:szCs w:val="13"/>
                <w:color w:val="auto"/>
              </w:rPr>
            </w:pPr>
          </w:p>
        </w:tc>
        <w:tc>
          <w:tcPr>
            <w:tcW w:w="6420" w:type="dxa"/>
            <w:vAlign w:val="bottom"/>
            <w:tcBorders>
              <w:bottom w:val="single" w:sz="8" w:color="auto"/>
            </w:tcBorders>
          </w:tcPr>
          <w:p>
            <w:pPr>
              <w:ind w:left="1060"/>
              <w:spacing w:after="0"/>
              <w:rPr>
                <w:sz w:val="20"/>
                <w:szCs w:val="20"/>
                <w:color w:val="auto"/>
              </w:rPr>
            </w:pPr>
            <w:r>
              <w:rPr>
                <w:rFonts w:ascii="Arial" w:cs="Arial" w:eastAsia="Arial" w:hAnsi="Arial"/>
                <w:sz w:val="12"/>
                <w:szCs w:val="12"/>
                <w:b w:val="1"/>
                <w:bCs w:val="1"/>
                <w:color w:val="auto"/>
              </w:rPr>
              <w:t>Document</w:t>
            </w:r>
          </w:p>
        </w:tc>
      </w:tr>
      <w:tr>
        <w:trPr>
          <w:trHeight w:val="250"/>
        </w:trPr>
        <w:tc>
          <w:tcPr>
            <w:tcW w:w="900" w:type="dxa"/>
            <w:vAlign w:val="bottom"/>
            <w:gridSpan w:val="2"/>
          </w:tcPr>
          <w:p>
            <w:pPr>
              <w:spacing w:after="0"/>
              <w:rPr>
                <w:sz w:val="20"/>
                <w:szCs w:val="20"/>
                <w:color w:val="auto"/>
              </w:rPr>
            </w:pPr>
            <w:r>
              <w:rPr>
                <w:rFonts w:ascii="Arial" w:cs="Arial" w:eastAsia="Arial" w:hAnsi="Arial"/>
                <w:sz w:val="12"/>
                <w:szCs w:val="12"/>
                <w:color w:val="0000EE"/>
              </w:rPr>
              <w:t>99.</w:t>
            </w:r>
            <w:r>
              <w:rPr>
                <w:rFonts w:ascii="Arial" w:cs="Arial" w:eastAsia="Arial" w:hAnsi="Arial"/>
                <w:sz w:val="12"/>
                <w:szCs w:val="12"/>
                <w:u w:val="single" w:color="auto"/>
                <w:color w:val="0000EE"/>
              </w:rPr>
              <w:t>1</w:t>
            </w:r>
          </w:p>
        </w:tc>
        <w:tc>
          <w:tcPr>
            <w:tcW w:w="220" w:type="dxa"/>
            <w:vAlign w:val="bottom"/>
          </w:tcPr>
          <w:p>
            <w:pPr>
              <w:spacing w:after="0"/>
              <w:rPr>
                <w:sz w:val="21"/>
                <w:szCs w:val="21"/>
                <w:color w:val="auto"/>
              </w:rPr>
            </w:pPr>
          </w:p>
        </w:tc>
        <w:tc>
          <w:tcPr>
            <w:tcW w:w="10180" w:type="dxa"/>
            <w:vAlign w:val="bottom"/>
            <w:gridSpan w:val="2"/>
          </w:tcPr>
          <w:p>
            <w:pPr>
              <w:spacing w:after="0"/>
              <w:rPr>
                <w:sz w:val="20"/>
                <w:szCs w:val="20"/>
                <w:color w:val="auto"/>
              </w:rPr>
            </w:pPr>
            <w:r>
              <w:rPr>
                <w:rFonts w:ascii="Arial" w:cs="Arial" w:eastAsia="Arial" w:hAnsi="Arial"/>
                <w:sz w:val="12"/>
                <w:szCs w:val="12"/>
                <w:color w:val="0000EE"/>
              </w:rPr>
              <w:t>Investor Presentation of Century Therapeutics, Inc., dated November 10, 2022</w:t>
            </w: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95"/>
        </w:trPr>
        <w:tc>
          <w:tcPr>
            <w:tcW w:w="200" w:type="dxa"/>
            <w:vAlign w:val="bottom"/>
          </w:tcPr>
          <w:p>
            <w:pPr>
              <w:spacing w:after="0"/>
              <w:rPr>
                <w:sz w:val="20"/>
                <w:szCs w:val="20"/>
                <w:color w:val="auto"/>
              </w:rPr>
            </w:pPr>
            <w:r>
              <w:rPr>
                <w:rFonts w:ascii="Arial" w:cs="Arial" w:eastAsia="Arial" w:hAnsi="Arial"/>
                <w:sz w:val="12"/>
                <w:szCs w:val="12"/>
                <w:color w:val="auto"/>
                <w:w w:val="89"/>
              </w:rPr>
              <w:t>104</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Osvaldo Flores, Ph.D.</w:t>
            </w:r>
          </w:p>
        </w:tc>
      </w:tr>
      <w:tr>
        <w:trPr>
          <w:trHeight w:val="133"/>
        </w:trPr>
        <w:tc>
          <w:tcPr>
            <w:tcW w:w="56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5080" w:type="dxa"/>
            <w:vAlign w:val="bottom"/>
          </w:tcPr>
          <w:p>
            <w:pPr>
              <w:spacing w:after="0" w:line="133" w:lineRule="exact"/>
              <w:rPr>
                <w:sz w:val="20"/>
                <w:szCs w:val="20"/>
                <w:color w:val="auto"/>
              </w:rPr>
            </w:pPr>
            <w:r>
              <w:rPr>
                <w:rFonts w:ascii="Arial" w:cs="Arial" w:eastAsia="Arial" w:hAnsi="Arial"/>
                <w:sz w:val="12"/>
                <w:szCs w:val="12"/>
                <w:color w:val="auto"/>
              </w:rPr>
              <w:t>Osvaldo Flores, Ph.D.</w:t>
            </w:r>
          </w:p>
        </w:tc>
      </w:t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Title:</w:t>
            </w:r>
          </w:p>
        </w:tc>
        <w:tc>
          <w:tcPr>
            <w:tcW w:w="508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3" w:name="page4"/>
    <w:bookmarkEnd w:id="3"/>
    <w:p>
      <w:pPr>
        <w:ind w:left="8960"/>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116205</wp:posOffset>
            </wp:positionV>
            <wp:extent cx="6943725" cy="4097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0" w:num="1">
            <w:col w:w="9580"/>
          </w:cols>
          <w:pgMar w:left="1440" w:top="280" w:right="87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4169410</wp:posOffset>
            </wp:positionV>
            <wp:extent cx="6800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6943725" cy="4097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43725" cy="40976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2022-11-10T19:26:47Z</dcterms:created>
  <dcterms:modified xsi:type="dcterms:W3CDTF">2022-11-10T19:26:47Z</dcterms:modified>
</cp:coreProperties>
</file>