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Riva Alessandro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20, 2025, or (b) the next annual meeting of stockholders, in each case subject to the Reporting Person's continued service through the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06/21/2024</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ind w:right="3159" w:firstLine="808"/>
        <w:spacing w:after="0" w:line="241" w:lineRule="auto"/>
        <w:tabs>
          <w:tab w:leader="none" w:pos="11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20th day of June,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Alessandro Riva</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Alessandro Riva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17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2024-06-21T16:18:37Z</dcterms:created>
  <dcterms:modified xsi:type="dcterms:W3CDTF">2024-06-21T16:18:37Z</dcterms:modified>
</cp:coreProperties>
</file>