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65"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-206375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SECURITIES AND EXCHANGE COMMISSION</w:t>
      </w:r>
    </w:p>
    <w:p>
      <w:pPr>
        <w:spacing w:after="0" w:line="1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62230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8"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pacing w:after="0" w:line="243" w:lineRule="exact"/>
        <w:rPr>
          <w:sz w:val="24"/>
          <w:szCs w:val="24"/>
          <w:color w:val="auto"/>
        </w:rPr>
      </w:pPr>
    </w:p>
    <w:p>
      <w:pPr>
        <w:ind w:left="10"/>
        <w:spacing w:after="0"/>
        <w:rPr>
          <w:sz w:val="20"/>
          <w:szCs w:val="20"/>
          <w:color w:val="auto"/>
        </w:rPr>
      </w:pPr>
      <w:r>
        <w:rPr>
          <w:rFonts w:ascii="Arial" w:cs="Arial" w:eastAsia="Arial" w:hAnsi="Arial"/>
          <w:sz w:val="13"/>
          <w:szCs w:val="13"/>
          <w:b w:val="1"/>
          <w:bCs w:val="1"/>
          <w:color w:val="auto"/>
        </w:rPr>
        <w:t>(Mark One)</w:t>
      </w:r>
    </w:p>
    <w:p>
      <w:pPr>
        <w:spacing w:after="0" w:line="52" w:lineRule="exact"/>
        <w:rPr>
          <w:sz w:val="24"/>
          <w:szCs w:val="24"/>
          <w:color w:val="auto"/>
        </w:rPr>
      </w:pPr>
    </w:p>
    <w:p>
      <w:pPr>
        <w:ind w:left="370" w:hanging="370"/>
        <w:spacing w:after="0"/>
        <w:tabs>
          <w:tab w:leader="none" w:pos="37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54"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 the quarterly period ended March 31, 2022</w:t>
      </w:r>
    </w:p>
    <w:p>
      <w:pPr>
        <w:spacing w:after="0" w:line="2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5" w:lineRule="exact"/>
        <w:rPr>
          <w:sz w:val="24"/>
          <w:szCs w:val="24"/>
          <w:color w:val="auto"/>
        </w:rPr>
      </w:pPr>
    </w:p>
    <w:p>
      <w:pPr>
        <w:ind w:left="370" w:hanging="370"/>
        <w:spacing w:after="0"/>
        <w:tabs>
          <w:tab w:leader="none" w:pos="37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3" w:lineRule="exact"/>
        <w:rPr>
          <w:rFonts w:ascii="MS PGothic" w:cs="MS PGothic" w:eastAsia="MS PGothic" w:hAnsi="MS PGothic"/>
          <w:sz w:val="16"/>
          <w:szCs w:val="16"/>
          <w:color w:val="auto"/>
          <w:highlight w:val="black"/>
        </w:rPr>
      </w:pPr>
    </w:p>
    <w:p>
      <w:pPr>
        <w:ind w:left="271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For the transition period from _______ to _______</w:t>
      </w:r>
    </w:p>
    <w:p>
      <w:pPr>
        <w:spacing w:after="0" w:line="59" w:lineRule="exact"/>
        <w:rPr>
          <w:rFonts w:ascii="MS PGothic" w:cs="MS PGothic" w:eastAsia="MS PGothic" w:hAnsi="MS PGothic"/>
          <w:sz w:val="16"/>
          <w:szCs w:val="16"/>
          <w:color w:val="auto"/>
          <w:highlight w:val="black"/>
        </w:rPr>
      </w:pPr>
    </w:p>
    <w:p>
      <w:pPr>
        <w:ind w:left="371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001-40498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87"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Century Therapeutics, Inc.</w:t>
      </w:r>
    </w:p>
    <w:p>
      <w:pPr>
        <w:spacing w:after="0" w:line="4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64" w:lineRule="exact"/>
        <w:rPr>
          <w:sz w:val="24"/>
          <w:szCs w:val="24"/>
          <w:color w:val="auto"/>
        </w:rPr>
      </w:pPr>
    </w:p>
    <w:tbl>
      <w:tblPr>
        <w:tblLayout w:type="fixed"/>
        <w:tblInd w:w="1270" w:type="dxa"/>
        <w:tblCellMar>
          <w:top w:w="0" w:type="dxa"/>
          <w:left w:w="0" w:type="dxa"/>
          <w:bottom w:w="0" w:type="dxa"/>
          <w:right w:w="0" w:type="dxa"/>
        </w:tblCellMar>
      </w:tblPr>
      <w:tr>
        <w:trPr>
          <w:trHeight w:val="189"/>
        </w:trPr>
        <w:tc>
          <w:tcPr>
            <w:tcW w:w="4540" w:type="dxa"/>
            <w:vAlign w:val="bottom"/>
          </w:tcPr>
          <w:p>
            <w:pPr>
              <w:jc w:val="center"/>
              <w:ind w:right="1419"/>
              <w:spacing w:after="0"/>
              <w:rPr>
                <w:sz w:val="20"/>
                <w:szCs w:val="20"/>
                <w:color w:val="auto"/>
              </w:rPr>
            </w:pPr>
            <w:r>
              <w:rPr>
                <w:rFonts w:ascii="Arial" w:cs="Arial" w:eastAsia="Arial" w:hAnsi="Arial"/>
                <w:sz w:val="16"/>
                <w:szCs w:val="16"/>
                <w:b w:val="1"/>
                <w:bCs w:val="1"/>
                <w:color w:val="auto"/>
              </w:rPr>
              <w:t>Delaware</w:t>
            </w:r>
          </w:p>
        </w:tc>
        <w:tc>
          <w:tcPr>
            <w:tcW w:w="2880" w:type="dxa"/>
            <w:vAlign w:val="bottom"/>
          </w:tcPr>
          <w:p>
            <w:pPr>
              <w:jc w:val="right"/>
              <w:ind w:right="159"/>
              <w:spacing w:after="0"/>
              <w:rPr>
                <w:sz w:val="20"/>
                <w:szCs w:val="20"/>
                <w:color w:val="auto"/>
              </w:rPr>
            </w:pPr>
            <w:r>
              <w:rPr>
                <w:rFonts w:ascii="Arial" w:cs="Arial" w:eastAsia="Arial" w:hAnsi="Arial"/>
                <w:sz w:val="16"/>
                <w:szCs w:val="16"/>
                <w:b w:val="1"/>
                <w:bCs w:val="1"/>
                <w:color w:val="auto"/>
              </w:rPr>
              <w:t>84-2040295</w:t>
            </w:r>
          </w:p>
        </w:tc>
      </w:tr>
      <w:tr>
        <w:trPr>
          <w:trHeight w:val="189"/>
        </w:trPr>
        <w:tc>
          <w:tcPr>
            <w:tcW w:w="4540" w:type="dxa"/>
            <w:vAlign w:val="bottom"/>
          </w:tcPr>
          <w:p>
            <w:pPr>
              <w:jc w:val="center"/>
              <w:ind w:right="1439"/>
              <w:spacing w:after="0"/>
              <w:rPr>
                <w:sz w:val="20"/>
                <w:szCs w:val="20"/>
                <w:color w:val="auto"/>
              </w:rPr>
            </w:pPr>
            <w:r>
              <w:rPr>
                <w:rFonts w:ascii="Arial" w:cs="Arial" w:eastAsia="Arial" w:hAnsi="Arial"/>
                <w:sz w:val="16"/>
                <w:szCs w:val="16"/>
                <w:b w:val="1"/>
                <w:bCs w:val="1"/>
                <w:color w:val="auto"/>
              </w:rPr>
              <w:t>(State or other jurisdiction of</w:t>
            </w:r>
          </w:p>
        </w:tc>
        <w:tc>
          <w:tcPr>
            <w:tcW w:w="2880" w:type="dxa"/>
            <w:vAlign w:val="bottom"/>
          </w:tcPr>
          <w:p>
            <w:pPr>
              <w:jc w:val="center"/>
              <w:ind w:left="1439"/>
              <w:spacing w:after="0"/>
              <w:rPr>
                <w:sz w:val="20"/>
                <w:szCs w:val="20"/>
                <w:color w:val="auto"/>
              </w:rPr>
            </w:pPr>
            <w:r>
              <w:rPr>
                <w:rFonts w:ascii="Arial" w:cs="Arial" w:eastAsia="Arial" w:hAnsi="Arial"/>
                <w:sz w:val="16"/>
                <w:szCs w:val="16"/>
                <w:b w:val="1"/>
                <w:bCs w:val="1"/>
                <w:color w:val="auto"/>
              </w:rPr>
              <w:t>(I.R.S. Employer</w:t>
            </w:r>
          </w:p>
        </w:tc>
      </w:tr>
      <w:tr>
        <w:trPr>
          <w:trHeight w:val="189"/>
        </w:trPr>
        <w:tc>
          <w:tcPr>
            <w:tcW w:w="4540" w:type="dxa"/>
            <w:vAlign w:val="bottom"/>
          </w:tcPr>
          <w:p>
            <w:pPr>
              <w:jc w:val="center"/>
              <w:ind w:right="1419"/>
              <w:spacing w:after="0"/>
              <w:rPr>
                <w:sz w:val="20"/>
                <w:szCs w:val="20"/>
                <w:color w:val="auto"/>
              </w:rPr>
            </w:pPr>
            <w:r>
              <w:rPr>
                <w:rFonts w:ascii="Arial" w:cs="Arial" w:eastAsia="Arial" w:hAnsi="Arial"/>
                <w:sz w:val="16"/>
                <w:szCs w:val="16"/>
                <w:b w:val="1"/>
                <w:bCs w:val="1"/>
                <w:color w:val="auto"/>
              </w:rPr>
              <w:t>incorporation or organization)</w:t>
            </w:r>
          </w:p>
        </w:tc>
        <w:tc>
          <w:tcPr>
            <w:tcW w:w="2880" w:type="dxa"/>
            <w:vAlign w:val="bottom"/>
          </w:tcPr>
          <w:p>
            <w:pPr>
              <w:jc w:val="center"/>
              <w:ind w:left="1439"/>
              <w:spacing w:after="0"/>
              <w:rPr>
                <w:sz w:val="20"/>
                <w:szCs w:val="20"/>
                <w:color w:val="auto"/>
              </w:rPr>
            </w:pPr>
            <w:r>
              <w:rPr>
                <w:rFonts w:ascii="Arial" w:cs="Arial" w:eastAsia="Arial" w:hAnsi="Arial"/>
                <w:sz w:val="16"/>
                <w:szCs w:val="16"/>
                <w:b w:val="1"/>
                <w:bCs w:val="1"/>
                <w:color w:val="auto"/>
              </w:rPr>
              <w:t>Identification No.)</w:t>
            </w:r>
          </w:p>
        </w:tc>
      </w:tr>
      <w:tr>
        <w:trPr>
          <w:trHeight w:val="189"/>
        </w:trPr>
        <w:tc>
          <w:tcPr>
            <w:tcW w:w="4540" w:type="dxa"/>
            <w:vAlign w:val="bottom"/>
          </w:tcPr>
          <w:p>
            <w:pPr>
              <w:jc w:val="center"/>
              <w:ind w:right="1419"/>
              <w:spacing w:after="0"/>
              <w:rPr>
                <w:sz w:val="20"/>
                <w:szCs w:val="20"/>
                <w:color w:val="auto"/>
              </w:rPr>
            </w:pPr>
            <w:r>
              <w:rPr>
                <w:rFonts w:ascii="Arial" w:cs="Arial" w:eastAsia="Arial" w:hAnsi="Arial"/>
                <w:sz w:val="16"/>
                <w:szCs w:val="16"/>
                <w:b w:val="1"/>
                <w:bCs w:val="1"/>
                <w:color w:val="auto"/>
              </w:rPr>
              <w:t>3675 Market Street</w:t>
            </w:r>
          </w:p>
        </w:tc>
        <w:tc>
          <w:tcPr>
            <w:tcW w:w="2880" w:type="dxa"/>
            <w:vAlign w:val="bottom"/>
          </w:tcPr>
          <w:p>
            <w:pPr>
              <w:spacing w:after="0"/>
              <w:rPr>
                <w:sz w:val="16"/>
                <w:szCs w:val="16"/>
                <w:color w:val="auto"/>
              </w:rPr>
            </w:pPr>
          </w:p>
        </w:tc>
      </w:tr>
      <w:tr>
        <w:trPr>
          <w:trHeight w:val="189"/>
        </w:trPr>
        <w:tc>
          <w:tcPr>
            <w:tcW w:w="4540" w:type="dxa"/>
            <w:vAlign w:val="bottom"/>
          </w:tcPr>
          <w:p>
            <w:pPr>
              <w:jc w:val="center"/>
              <w:ind w:right="1419"/>
              <w:spacing w:after="0"/>
              <w:rPr>
                <w:sz w:val="20"/>
                <w:szCs w:val="20"/>
                <w:color w:val="auto"/>
              </w:rPr>
            </w:pPr>
            <w:r>
              <w:rPr>
                <w:rFonts w:ascii="Arial" w:cs="Arial" w:eastAsia="Arial" w:hAnsi="Arial"/>
                <w:sz w:val="16"/>
                <w:szCs w:val="16"/>
                <w:b w:val="1"/>
                <w:bCs w:val="1"/>
                <w:color w:val="auto"/>
              </w:rPr>
              <w:t>Philadelphia, Pennsylvania</w:t>
            </w:r>
          </w:p>
        </w:tc>
        <w:tc>
          <w:tcPr>
            <w:tcW w:w="2880" w:type="dxa"/>
            <w:vAlign w:val="bottom"/>
          </w:tcPr>
          <w:p>
            <w:pPr>
              <w:jc w:val="right"/>
              <w:ind w:right="379"/>
              <w:spacing w:after="0"/>
              <w:rPr>
                <w:sz w:val="20"/>
                <w:szCs w:val="20"/>
                <w:color w:val="auto"/>
              </w:rPr>
            </w:pPr>
            <w:r>
              <w:rPr>
                <w:rFonts w:ascii="Arial" w:cs="Arial" w:eastAsia="Arial" w:hAnsi="Arial"/>
                <w:sz w:val="16"/>
                <w:szCs w:val="16"/>
                <w:b w:val="1"/>
                <w:bCs w:val="1"/>
                <w:color w:val="auto"/>
              </w:rPr>
              <w:t>19104</w:t>
            </w:r>
          </w:p>
        </w:tc>
      </w:tr>
      <w:tr>
        <w:trPr>
          <w:trHeight w:val="223"/>
        </w:trPr>
        <w:tc>
          <w:tcPr>
            <w:tcW w:w="4540" w:type="dxa"/>
            <w:vAlign w:val="bottom"/>
          </w:tcPr>
          <w:p>
            <w:pPr>
              <w:jc w:val="center"/>
              <w:ind w:right="1439"/>
              <w:spacing w:after="0"/>
              <w:rPr>
                <w:sz w:val="20"/>
                <w:szCs w:val="20"/>
                <w:color w:val="auto"/>
              </w:rPr>
            </w:pPr>
            <w:r>
              <w:rPr>
                <w:rFonts w:ascii="Arial" w:cs="Arial" w:eastAsia="Arial" w:hAnsi="Arial"/>
                <w:sz w:val="16"/>
                <w:szCs w:val="16"/>
                <w:b w:val="1"/>
                <w:bCs w:val="1"/>
                <w:color w:val="auto"/>
              </w:rPr>
              <w:t>(Address of principal executive offices)</w:t>
            </w:r>
          </w:p>
        </w:tc>
        <w:tc>
          <w:tcPr>
            <w:tcW w:w="2880" w:type="dxa"/>
            <w:vAlign w:val="bottom"/>
          </w:tcPr>
          <w:p>
            <w:pPr>
              <w:jc w:val="center"/>
              <w:ind w:left="1439"/>
              <w:spacing w:after="0"/>
              <w:rPr>
                <w:sz w:val="20"/>
                <w:szCs w:val="20"/>
                <w:color w:val="auto"/>
              </w:rPr>
            </w:pPr>
            <w:r>
              <w:rPr>
                <w:rFonts w:ascii="Arial" w:cs="Arial" w:eastAsia="Arial" w:hAnsi="Arial"/>
                <w:sz w:val="16"/>
                <w:szCs w:val="16"/>
                <w:b w:val="1"/>
                <w:bCs w:val="1"/>
                <w:color w:val="auto"/>
              </w:rPr>
              <w:t>(Zip Code)</w:t>
            </w:r>
          </w:p>
        </w:tc>
      </w:tr>
    </w:tbl>
    <w:p>
      <w:pPr>
        <w:spacing w:after="0" w:line="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(267) 817-5790</w:t>
      </w:r>
    </w:p>
    <w:p>
      <w:pPr>
        <w:spacing w:after="0" w:line="2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34"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Not applicable</w:t>
      </w:r>
    </w:p>
    <w:p>
      <w:pPr>
        <w:spacing w:after="0" w:line="4" w:lineRule="exact"/>
        <w:rPr>
          <w:sz w:val="24"/>
          <w:szCs w:val="24"/>
          <w:color w:val="auto"/>
        </w:rPr>
      </w:pPr>
    </w:p>
    <w:p>
      <w:pPr>
        <w:ind w:left="2650"/>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52" w:lineRule="exact"/>
        <w:rPr>
          <w:sz w:val="24"/>
          <w:szCs w:val="24"/>
          <w:color w:val="auto"/>
        </w:rPr>
      </w:pPr>
    </w:p>
    <w:p>
      <w:pPr>
        <w:ind w:left="1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1"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3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200" w:type="dxa"/>
            <w:vAlign w:val="bottom"/>
            <w:vMerge w:val="restart"/>
          </w:tcPr>
          <w:p>
            <w:pPr>
              <w:spacing w:after="0"/>
              <w:rPr>
                <w:sz w:val="12"/>
                <w:szCs w:val="12"/>
                <w:color w:val="auto"/>
              </w:rPr>
            </w:pPr>
          </w:p>
        </w:tc>
        <w:tc>
          <w:tcPr>
            <w:tcW w:w="35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Trading</w:t>
            </w:r>
          </w:p>
        </w:tc>
        <w:tc>
          <w:tcPr>
            <w:tcW w:w="3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53"/>
        </w:trPr>
        <w:tc>
          <w:tcPr>
            <w:tcW w:w="33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Symbol(s)</w:t>
            </w:r>
          </w:p>
        </w:tc>
        <w:tc>
          <w:tcPr>
            <w:tcW w:w="200" w:type="dxa"/>
            <w:vAlign w:val="bottom"/>
          </w:tcPr>
          <w:p>
            <w:pPr>
              <w:spacing w:after="0"/>
              <w:rPr>
                <w:sz w:val="13"/>
                <w:szCs w:val="13"/>
                <w:color w:val="auto"/>
              </w:rPr>
            </w:pPr>
          </w:p>
        </w:tc>
        <w:tc>
          <w:tcPr>
            <w:tcW w:w="30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380" w:type="dxa"/>
            <w:vAlign w:val="bottom"/>
          </w:tcPr>
          <w:p>
            <w:pPr>
              <w:jc w:val="center"/>
              <w:spacing w:after="0"/>
              <w:rPr>
                <w:sz w:val="20"/>
                <w:szCs w:val="20"/>
                <w:color w:val="auto"/>
              </w:rPr>
            </w:pPr>
            <w:r>
              <w:rPr>
                <w:rFonts w:ascii="Arial" w:cs="Arial" w:eastAsia="Arial" w:hAnsi="Arial"/>
                <w:sz w:val="16"/>
                <w:szCs w:val="16"/>
                <w:color w:val="auto"/>
              </w:rPr>
              <w:t>Common Stock, $0.0001 par value per share</w:t>
            </w:r>
          </w:p>
        </w:tc>
        <w:tc>
          <w:tcPr>
            <w:tcW w:w="200" w:type="dxa"/>
            <w:vAlign w:val="bottom"/>
          </w:tcPr>
          <w:p>
            <w:pPr>
              <w:spacing w:after="0"/>
              <w:rPr>
                <w:sz w:val="18"/>
                <w:szCs w:val="18"/>
                <w:color w:val="auto"/>
              </w:rPr>
            </w:pPr>
          </w:p>
        </w:tc>
        <w:tc>
          <w:tcPr>
            <w:tcW w:w="3580" w:type="dxa"/>
            <w:vAlign w:val="bottom"/>
            <w:gridSpan w:val="2"/>
          </w:tcPr>
          <w:p>
            <w:pPr>
              <w:jc w:val="center"/>
              <w:ind w:right="220"/>
              <w:spacing w:after="0"/>
              <w:rPr>
                <w:sz w:val="20"/>
                <w:szCs w:val="20"/>
                <w:color w:val="auto"/>
              </w:rPr>
            </w:pPr>
            <w:r>
              <w:rPr>
                <w:rFonts w:ascii="Arial" w:cs="Arial" w:eastAsia="Arial" w:hAnsi="Arial"/>
                <w:sz w:val="13"/>
                <w:szCs w:val="13"/>
                <w:color w:val="auto"/>
                <w:w w:val="92"/>
              </w:rPr>
              <w:t>IPSC</w:t>
            </w:r>
          </w:p>
        </w:tc>
        <w:tc>
          <w:tcPr>
            <w:tcW w:w="3060" w:type="dxa"/>
            <w:vAlign w:val="bottom"/>
          </w:tcPr>
          <w:p>
            <w:pPr>
              <w:jc w:val="center"/>
              <w:spacing w:after="0"/>
              <w:rPr>
                <w:sz w:val="20"/>
                <w:szCs w:val="20"/>
                <w:color w:val="auto"/>
              </w:rPr>
            </w:pPr>
            <w:r>
              <w:rPr>
                <w:rFonts w:ascii="Arial" w:cs="Arial" w:eastAsia="Arial" w:hAnsi="Arial"/>
                <w:sz w:val="13"/>
                <w:szCs w:val="13"/>
                <w:color w:val="auto"/>
                <w:w w:val="96"/>
              </w:rPr>
              <w:t>The Nasdaq Global Select Market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10" w:right="40"/>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left="10" w:right="360"/>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left="10" w:right="100"/>
        <w:spacing w:after="0" w:line="25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920"/>
              <w:spacing w:after="0"/>
              <w:rPr>
                <w:sz w:val="20"/>
                <w:szCs w:val="20"/>
                <w:color w:val="auto"/>
              </w:rPr>
            </w:pPr>
            <w:r>
              <w:rPr>
                <w:rFonts w:ascii="Arial" w:cs="Arial" w:eastAsia="Arial" w:hAnsi="Arial"/>
                <w:sz w:val="16"/>
                <w:szCs w:val="16"/>
                <w:color w:val="auto"/>
              </w:rPr>
              <w:t>Accelerated filer</w:t>
            </w:r>
          </w:p>
        </w:tc>
        <w:tc>
          <w:tcPr>
            <w:tcW w:w="5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gridSpan w:val="2"/>
          </w:tcPr>
          <w:p>
            <w:pPr>
              <w:jc w:val="right"/>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spacing w:after="0"/>
              <w:rPr>
                <w:sz w:val="22"/>
                <w:szCs w:val="22"/>
                <w:color w:val="auto"/>
              </w:rPr>
            </w:pPr>
          </w:p>
        </w:tc>
        <w:tc>
          <w:tcPr>
            <w:tcW w:w="540" w:type="dxa"/>
            <w:vAlign w:val="bottom"/>
          </w:tcPr>
          <w:p>
            <w:pPr>
              <w:spacing w:after="0"/>
              <w:rPr>
                <w:sz w:val="22"/>
                <w:szCs w:val="22"/>
                <w:color w:val="auto"/>
              </w:rPr>
            </w:pPr>
          </w:p>
        </w:tc>
      </w:tr>
    </w:tbl>
    <w:p>
      <w:pPr>
        <w:spacing w:after="0" w:line="14" w:lineRule="exact"/>
        <w:rPr>
          <w:sz w:val="24"/>
          <w:szCs w:val="24"/>
          <w:color w:val="auto"/>
        </w:rPr>
      </w:pPr>
    </w:p>
    <w:p>
      <w:pPr>
        <w:ind w:left="10" w:right="30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10" w:right="1140"/>
        <w:spacing w:after="0" w:line="24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12, 2022, the registrant had 58,850,286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481330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35560</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78740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00" w:type="dxa"/>
            <w:vAlign w:val="bottom"/>
            <w:gridSpan w:val="6"/>
            <w:vMerge w:val="restart"/>
          </w:tcPr>
          <w:p>
            <w:pPr>
              <w:spacing w:after="0"/>
              <w:rPr>
                <w:sz w:val="20"/>
                <w:szCs w:val="20"/>
                <w:color w:val="auto"/>
              </w:rPr>
            </w:pPr>
            <w:r>
              <w:rPr>
                <w:rFonts w:ascii="Arial" w:cs="Arial" w:eastAsia="Arial" w:hAnsi="Arial"/>
                <w:sz w:val="18"/>
                <w:szCs w:val="18"/>
                <w:b w:val="1"/>
                <w:bCs w:val="1"/>
                <w:color w:val="0000EE"/>
              </w:rPr>
              <w:t>PART I.</w:t>
            </w:r>
          </w:p>
        </w:tc>
        <w:tc>
          <w:tcPr>
            <w:tcW w:w="7360" w:type="dxa"/>
            <w:vAlign w:val="bottom"/>
            <w:gridSpan w:val="21"/>
            <w:vMerge w:val="restart"/>
          </w:tcPr>
          <w:p>
            <w:pPr>
              <w:spacing w:after="0"/>
              <w:rPr>
                <w:sz w:val="20"/>
                <w:szCs w:val="20"/>
                <w:color w:val="auto"/>
              </w:rPr>
            </w:pPr>
            <w:r>
              <w:rPr>
                <w:rFonts w:ascii="Arial" w:cs="Arial" w:eastAsia="Arial" w:hAnsi="Arial"/>
                <w:sz w:val="18"/>
                <w:szCs w:val="18"/>
                <w:b w:val="1"/>
                <w:bCs w:val="1"/>
                <w:color w:val="0000EE"/>
              </w:rPr>
              <w:t>FINANCIAL INFORMATION</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00" w:type="dxa"/>
            <w:vAlign w:val="bottom"/>
            <w:gridSpan w:val="6"/>
            <w:vMerge w:val="continue"/>
          </w:tcPr>
          <w:p>
            <w:pPr>
              <w:spacing w:after="0"/>
              <w:rPr>
                <w:sz w:val="15"/>
                <w:szCs w:val="15"/>
                <w:color w:val="auto"/>
              </w:rPr>
            </w:pPr>
          </w:p>
        </w:tc>
        <w:tc>
          <w:tcPr>
            <w:tcW w:w="7360" w:type="dxa"/>
            <w:vAlign w:val="bottom"/>
            <w:gridSpan w:val="21"/>
            <w:vMerge w:val="continue"/>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8"/>
              </w:rPr>
              <w:t>Item 1.</w:t>
            </w:r>
          </w:p>
        </w:tc>
        <w:tc>
          <w:tcPr>
            <w:tcW w:w="60" w:type="dxa"/>
            <w:vAlign w:val="bottom"/>
            <w:tcBorders>
              <w:top w:val="single" w:sz="8" w:color="0000EE"/>
            </w:tcBorders>
          </w:tcPr>
          <w:p>
            <w:pPr>
              <w:spacing w:after="0"/>
              <w:rPr>
                <w:sz w:val="17"/>
                <w:szCs w:val="17"/>
                <w:color w:val="auto"/>
              </w:rPr>
            </w:pPr>
          </w:p>
        </w:tc>
        <w:tc>
          <w:tcPr>
            <w:tcW w:w="280" w:type="dxa"/>
            <w:vAlign w:val="bottom"/>
            <w:gridSpan w:val="4"/>
          </w:tcPr>
          <w:p>
            <w:pPr>
              <w:spacing w:after="0"/>
              <w:rPr>
                <w:sz w:val="17"/>
                <w:szCs w:val="17"/>
                <w:color w:val="auto"/>
              </w:rPr>
            </w:pPr>
          </w:p>
        </w:tc>
        <w:tc>
          <w:tcPr>
            <w:tcW w:w="226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Financial Statements:</w:t>
            </w:r>
          </w:p>
        </w:tc>
        <w:tc>
          <w:tcPr>
            <w:tcW w:w="5100" w:type="dxa"/>
            <w:vAlign w:val="bottom"/>
            <w:gridSpan w:val="12"/>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4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9"/>
              </w:rPr>
              <w:t>Consolidated Balance Sheets as of March 31, 2022 (unaudited) and December 31, 2021</w:t>
            </w:r>
          </w:p>
        </w:tc>
        <w:tc>
          <w:tcPr>
            <w:tcW w:w="320" w:type="dxa"/>
            <w:vAlign w:val="bottom"/>
            <w:gridSpan w:val="3"/>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Consolidated Statements of Operations and Comprehensive Loss for the three months</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ended March 31, 2022 and 2021 (unaudited)</w:t>
            </w:r>
          </w:p>
        </w:tc>
        <w:tc>
          <w:tcPr>
            <w:tcW w:w="332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Consolidated Statements of Changes in Convertible Preferred Stock and Stockholders’</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40" w:type="dxa"/>
            <w:vAlign w:val="bottom"/>
            <w:tcBorders>
              <w:top w:val="single" w:sz="8" w:color="0000EE"/>
              <w:bottom w:val="single" w:sz="8" w:color="0000EE"/>
            </w:tcBorders>
            <w:gridSpan w:val="15"/>
          </w:tcPr>
          <w:p>
            <w:pPr>
              <w:spacing w:after="0" w:line="182" w:lineRule="exact"/>
              <w:rPr>
                <w:sz w:val="20"/>
                <w:szCs w:val="20"/>
                <w:color w:val="auto"/>
              </w:rPr>
            </w:pPr>
            <w:r>
              <w:rPr>
                <w:rFonts w:ascii="Arial" w:cs="Arial" w:eastAsia="Arial" w:hAnsi="Arial"/>
                <w:sz w:val="18"/>
                <w:szCs w:val="18"/>
                <w:color w:val="0000EE"/>
                <w:w w:val="99"/>
              </w:rPr>
              <w:t>Equity (Deficit) for the three months ended March 31, 2022 and 2021 (unaudited)</w:t>
            </w:r>
          </w:p>
        </w:tc>
        <w:tc>
          <w:tcPr>
            <w:tcW w:w="460" w:type="dxa"/>
            <w:vAlign w:val="bottom"/>
            <w:tcBorders>
              <w:top w:val="single" w:sz="8" w:color="0000EE"/>
            </w:tcBorders>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Consolidated Statements of Cash Flows for the three months ended March 31, 2022 and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8"/>
              </w:rPr>
              <w:t>2021 (unaudited)</w:t>
            </w:r>
          </w:p>
        </w:tc>
        <w:tc>
          <w:tcPr>
            <w:tcW w:w="5700" w:type="dxa"/>
            <w:vAlign w:val="bottom"/>
            <w:tcBorders>
              <w:top w:val="single" w:sz="8" w:color="0000EE"/>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Notes to Unaudited Consolidated Financial Statements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sz w:val="20"/>
                <w:szCs w:val="20"/>
                <w:color w:val="auto"/>
              </w:rPr>
            </w:pPr>
            <w:r>
              <w:rPr>
                <w:rFonts w:ascii="Arial" w:cs="Arial" w:eastAsia="Arial" w:hAnsi="Arial"/>
                <w:sz w:val="18"/>
                <w:szCs w:val="18"/>
                <w:color w:val="0000EE"/>
                <w:w w:val="98"/>
              </w:rPr>
              <w:t>Item 2.</w:t>
            </w:r>
          </w:p>
        </w:tc>
        <w:tc>
          <w:tcPr>
            <w:tcW w:w="340" w:type="dxa"/>
            <w:vAlign w:val="bottom"/>
            <w:gridSpan w:val="5"/>
            <w:vMerge w:val="restart"/>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34</w:t>
            </w:r>
          </w:p>
        </w:tc>
        <w:tc>
          <w:tcPr>
            <w:tcW w:w="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vMerge w:val="continue"/>
          </w:tcPr>
          <w:p>
            <w:pPr>
              <w:spacing w:after="0"/>
              <w:rPr>
                <w:sz w:val="17"/>
                <w:szCs w:val="17"/>
                <w:color w:val="auto"/>
              </w:rPr>
            </w:pPr>
          </w:p>
        </w:tc>
        <w:tc>
          <w:tcPr>
            <w:tcW w:w="340" w:type="dxa"/>
            <w:vAlign w:val="bottom"/>
            <w:gridSpan w:val="5"/>
            <w:vMerge w:val="continue"/>
          </w:tcPr>
          <w:p>
            <w:pPr>
              <w:spacing w:after="0"/>
              <w:rPr>
                <w:sz w:val="17"/>
                <w:szCs w:val="17"/>
                <w:color w:val="auto"/>
              </w:rPr>
            </w:pPr>
          </w:p>
        </w:tc>
        <w:tc>
          <w:tcPr>
            <w:tcW w:w="708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2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8"/>
              </w:rPr>
              <w:t>Item 3.</w:t>
            </w:r>
          </w:p>
        </w:tc>
        <w:tc>
          <w:tcPr>
            <w:tcW w:w="340" w:type="dxa"/>
            <w:vAlign w:val="bottom"/>
            <w:gridSpan w:val="5"/>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8"/>
              </w:rPr>
              <w:t>Item 4.</w:t>
            </w:r>
          </w:p>
        </w:tc>
        <w:tc>
          <w:tcPr>
            <w:tcW w:w="340" w:type="dxa"/>
            <w:vAlign w:val="bottom"/>
            <w:gridSpan w:val="5"/>
          </w:tcPr>
          <w:p>
            <w:pPr>
              <w:spacing w:after="0"/>
              <w:rPr>
                <w:sz w:val="17"/>
                <w:szCs w:val="17"/>
                <w:color w:val="auto"/>
              </w:rPr>
            </w:pPr>
          </w:p>
        </w:tc>
        <w:tc>
          <w:tcPr>
            <w:tcW w:w="470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Controls and Procedures</w:t>
            </w:r>
          </w:p>
        </w:tc>
        <w:tc>
          <w:tcPr>
            <w:tcW w:w="2660" w:type="dxa"/>
            <w:vAlign w:val="bottom"/>
            <w:gridSpan w:val="8"/>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8"/>
              </w:rPr>
              <w:t>PART II.</w:t>
            </w:r>
          </w:p>
        </w:tc>
        <w:tc>
          <w:tcPr>
            <w:tcW w:w="200" w:type="dxa"/>
            <w:vAlign w:val="bottom"/>
            <w:gridSpan w:val="2"/>
          </w:tcPr>
          <w:p>
            <w:pPr>
              <w:spacing w:after="0"/>
              <w:rPr>
                <w:sz w:val="24"/>
                <w:szCs w:val="24"/>
                <w:color w:val="auto"/>
              </w:rPr>
            </w:pPr>
          </w:p>
        </w:tc>
        <w:tc>
          <w:tcPr>
            <w:tcW w:w="19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0000EE"/>
                <w:w w:val="99"/>
              </w:rPr>
              <w:t>OTHER INFORMATION</w:t>
            </w:r>
          </w:p>
        </w:tc>
        <w:tc>
          <w:tcPr>
            <w:tcW w:w="5380" w:type="dxa"/>
            <w:vAlign w:val="bottom"/>
            <w:gridSpan w:val="13"/>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8"/>
              </w:rPr>
              <w:t>Item 1.</w:t>
            </w:r>
          </w:p>
        </w:tc>
        <w:tc>
          <w:tcPr>
            <w:tcW w:w="340" w:type="dxa"/>
            <w:vAlign w:val="bottom"/>
            <w:gridSpan w:val="5"/>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Legal Proceedings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8"/>
              </w:rPr>
              <w:t>Item 1A.</w:t>
            </w:r>
          </w:p>
        </w:tc>
        <w:tc>
          <w:tcPr>
            <w:tcW w:w="220" w:type="dxa"/>
            <w:vAlign w:val="bottom"/>
            <w:gridSpan w:val="3"/>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7"/>
              </w:rPr>
              <w:t>Risk Factors</w:t>
            </w:r>
          </w:p>
        </w:tc>
        <w:tc>
          <w:tcPr>
            <w:tcW w:w="6360" w:type="dxa"/>
            <w:vAlign w:val="bottom"/>
            <w:gridSpan w:val="19"/>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8"/>
              </w:rPr>
              <w:t>Item 2.</w:t>
            </w:r>
          </w:p>
        </w:tc>
        <w:tc>
          <w:tcPr>
            <w:tcW w:w="340" w:type="dxa"/>
            <w:vAlign w:val="bottom"/>
            <w:gridSpan w:val="5"/>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8"/>
              </w:rPr>
              <w:t>Item 3.</w:t>
            </w:r>
          </w:p>
        </w:tc>
        <w:tc>
          <w:tcPr>
            <w:tcW w:w="340" w:type="dxa"/>
            <w:vAlign w:val="bottom"/>
            <w:gridSpan w:val="5"/>
          </w:tcPr>
          <w:p>
            <w:pPr>
              <w:spacing w:after="0"/>
              <w:rPr>
                <w:sz w:val="17"/>
                <w:szCs w:val="17"/>
                <w:color w:val="auto"/>
              </w:rPr>
            </w:pPr>
          </w:p>
        </w:tc>
        <w:tc>
          <w:tcPr>
            <w:tcW w:w="484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2520" w:type="dxa"/>
            <w:vAlign w:val="bottom"/>
            <w:gridSpan w:val="7"/>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8"/>
              </w:rPr>
              <w:t>Item 4.</w:t>
            </w:r>
          </w:p>
        </w:tc>
        <w:tc>
          <w:tcPr>
            <w:tcW w:w="340" w:type="dxa"/>
            <w:vAlign w:val="bottom"/>
            <w:gridSpan w:val="5"/>
          </w:tcPr>
          <w:p>
            <w:pPr>
              <w:spacing w:after="0"/>
              <w:rPr>
                <w:sz w:val="17"/>
                <w:szCs w:val="17"/>
                <w:color w:val="auto"/>
              </w:rPr>
            </w:pPr>
          </w:p>
        </w:tc>
        <w:tc>
          <w:tcPr>
            <w:tcW w:w="254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Mine Safety Disclosures</w:t>
            </w:r>
          </w:p>
        </w:tc>
        <w:tc>
          <w:tcPr>
            <w:tcW w:w="4820" w:type="dxa"/>
            <w:vAlign w:val="bottom"/>
            <w:gridSpan w:val="11"/>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8"/>
              </w:rPr>
              <w:t>Item 5.</w:t>
            </w:r>
          </w:p>
        </w:tc>
        <w:tc>
          <w:tcPr>
            <w:tcW w:w="340" w:type="dxa"/>
            <w:vAlign w:val="bottom"/>
            <w:gridSpan w:val="5"/>
          </w:tcPr>
          <w:p>
            <w:pPr>
              <w:spacing w:after="0"/>
              <w:rPr>
                <w:sz w:val="17"/>
                <w:szCs w:val="17"/>
                <w:color w:val="auto"/>
              </w:rPr>
            </w:pPr>
          </w:p>
        </w:tc>
        <w:tc>
          <w:tcPr>
            <w:tcW w:w="140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8"/>
              </w:rPr>
              <w:t>Other Information</w:t>
            </w:r>
          </w:p>
        </w:tc>
        <w:tc>
          <w:tcPr>
            <w:tcW w:w="520" w:type="dxa"/>
            <w:vAlign w:val="bottom"/>
            <w:tcBorders>
              <w:top w:val="single" w:sz="8" w:color="0000EE"/>
            </w:tcBorders>
            <w:gridSpan w:val="3"/>
          </w:tcPr>
          <w:p>
            <w:pPr>
              <w:spacing w:after="0"/>
              <w:rPr>
                <w:sz w:val="17"/>
                <w:szCs w:val="17"/>
                <w:color w:val="auto"/>
              </w:rPr>
            </w:pPr>
          </w:p>
        </w:tc>
        <w:tc>
          <w:tcPr>
            <w:tcW w:w="5440" w:type="dxa"/>
            <w:vAlign w:val="bottom"/>
            <w:gridSpan w:val="14"/>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8"/>
              </w:rPr>
              <w:t>Item 6.</w:t>
            </w:r>
          </w:p>
        </w:tc>
        <w:tc>
          <w:tcPr>
            <w:tcW w:w="340" w:type="dxa"/>
            <w:vAlign w:val="bottom"/>
            <w:gridSpan w:val="5"/>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Exhibits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51</w:t>
            </w:r>
          </w:p>
        </w:tc>
        <w:tc>
          <w:tcPr>
            <w:tcW w:w="0" w:type="dxa"/>
            <w:vAlign w:val="bottom"/>
          </w:tcPr>
          <w:p>
            <w:pPr>
              <w:spacing w:after="0" w:line="20" w:lineRule="exact"/>
              <w:rPr>
                <w:sz w:val="1"/>
                <w:szCs w:val="1"/>
                <w:color w:val="auto"/>
              </w:rPr>
            </w:pPr>
          </w:p>
        </w:tc>
      </w:tr>
      <w:tr>
        <w:trPr>
          <w:trHeight w:val="196"/>
        </w:trPr>
        <w:tc>
          <w:tcPr>
            <w:tcW w:w="900" w:type="dxa"/>
            <w:vAlign w:val="bottom"/>
            <w:gridSpan w:val="6"/>
          </w:tcPr>
          <w:p>
            <w:pPr>
              <w:spacing w:after="0" w:line="196" w:lineRule="exact"/>
              <w:rPr>
                <w:sz w:val="20"/>
                <w:szCs w:val="20"/>
                <w:color w:val="auto"/>
              </w:rPr>
            </w:pPr>
            <w:r>
              <w:rPr>
                <w:rFonts w:ascii="Arial" w:cs="Arial" w:eastAsia="Arial" w:hAnsi="Arial"/>
                <w:sz w:val="18"/>
                <w:szCs w:val="18"/>
                <w:color w:val="0000EE"/>
              </w:rPr>
              <w:t>Signatures</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facts, included in this Quarterly Report on Form 10-Q regarding our strategy, future operations, future financial position, future revenues, projected costs, prospects, plans and objectives of management are forward-looking statements. The words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45"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40" w:lineRule="exact"/>
        <w:rPr>
          <w:sz w:val="20"/>
          <w:szCs w:val="20"/>
          <w:color w:val="auto"/>
        </w:rPr>
      </w:pPr>
    </w:p>
    <w:p>
      <w:pPr>
        <w:ind w:left="720" w:right="1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113" w:lineRule="exact"/>
        <w:rPr>
          <w:rFonts w:ascii="Times New Roman" w:cs="Times New Roman" w:eastAsia="Times New Roman" w:hAnsi="Times New Roman"/>
          <w:sz w:val="18"/>
          <w:szCs w:val="18"/>
          <w:color w:val="auto"/>
        </w:rPr>
      </w:pPr>
    </w:p>
    <w:p>
      <w:pPr>
        <w:ind w:left="720" w:right="45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preclinical nature of our business and our ability to successfully advance our current and future product candidates through development activities, preclinical studies, and clinical trials;</w:t>
      </w:r>
    </w:p>
    <w:p>
      <w:pPr>
        <w:spacing w:after="0" w:line="127" w:lineRule="exact"/>
        <w:rPr>
          <w:rFonts w:ascii="Times New Roman" w:cs="Times New Roman" w:eastAsia="Times New Roman" w:hAnsi="Times New Roman"/>
          <w:sz w:val="18"/>
          <w:szCs w:val="18"/>
          <w:color w:val="auto"/>
        </w:rPr>
      </w:pPr>
    </w:p>
    <w:p>
      <w:pPr>
        <w:ind w:left="720" w:right="69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113"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13" w:lineRule="exact"/>
        <w:rPr>
          <w:rFonts w:ascii="Times New Roman" w:cs="Times New Roman" w:eastAsia="Times New Roman" w:hAnsi="Times New Roman"/>
          <w:sz w:val="18"/>
          <w:szCs w:val="18"/>
          <w:color w:val="auto"/>
        </w:rPr>
      </w:pPr>
    </w:p>
    <w:p>
      <w:pPr>
        <w:ind w:left="720" w:right="33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the COVID 19 pandemic, including the emergence of new variants of COVID-19, and measures taken to contain its spread ultimately impact our business, including development activities, preclinical studies, future clinical trials, supply chain and labor force;</w:t>
      </w:r>
    </w:p>
    <w:p>
      <w:pPr>
        <w:spacing w:after="0" w:line="143" w:lineRule="exact"/>
        <w:rPr>
          <w:rFonts w:ascii="Times New Roman" w:cs="Times New Roman" w:eastAsia="Times New Roman" w:hAnsi="Times New Roman"/>
          <w:sz w:val="18"/>
          <w:szCs w:val="18"/>
          <w:color w:val="auto"/>
        </w:rPr>
      </w:pPr>
    </w:p>
    <w:p>
      <w:pPr>
        <w:ind w:left="720" w:right="4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dependence on the success of our product candidates, in particular CNTY-101, CNTY-103, and CNTY-102;</w:t>
      </w:r>
    </w:p>
    <w:p>
      <w:pPr>
        <w:spacing w:after="0" w:line="113" w:lineRule="exact"/>
        <w:rPr>
          <w:rFonts w:ascii="Times New Roman" w:cs="Times New Roman" w:eastAsia="Times New Roman" w:hAnsi="Times New Roman"/>
          <w:sz w:val="18"/>
          <w:szCs w:val="18"/>
          <w:color w:val="auto"/>
        </w:rPr>
      </w:pPr>
    </w:p>
    <w:p>
      <w:pPr>
        <w:ind w:left="720" w:right="11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novelty of our approach to immuno-oncology treatment of cancer, utilizing iPSC-derived natural killer cells, or iNK cells, and iPSC-derived T cells, or iT cells, and the challenges we will face due to the novel nature of such technology;</w:t>
      </w:r>
    </w:p>
    <w:p>
      <w:pPr>
        <w:spacing w:after="0" w:line="13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become available;</w:t>
      </w:r>
    </w:p>
    <w:p>
      <w:pPr>
        <w:spacing w:after="0" w:line="197" w:lineRule="exact"/>
        <w:rPr>
          <w:rFonts w:ascii="Times New Roman" w:cs="Times New Roman" w:eastAsia="Times New Roman" w:hAnsi="Times New Roman"/>
          <w:sz w:val="18"/>
          <w:szCs w:val="18"/>
          <w:color w:val="auto"/>
        </w:rPr>
      </w:pPr>
    </w:p>
    <w:p>
      <w:pPr>
        <w:ind w:left="720" w:right="7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the maintenance of our collaborative relationship with FUJIFILM Cellular Dynamics Inc., or FCDI, for access to key differentiation and reprogramming technology for the manufacturing and development of our product candidates;</w:t>
      </w:r>
    </w:p>
    <w:p>
      <w:pPr>
        <w:spacing w:after="0" w:line="130" w:lineRule="exact"/>
        <w:rPr>
          <w:rFonts w:ascii="Times New Roman" w:cs="Times New Roman" w:eastAsia="Times New Roman" w:hAnsi="Times New Roman"/>
          <w:sz w:val="18"/>
          <w:szCs w:val="18"/>
          <w:color w:val="auto"/>
        </w:rPr>
      </w:pPr>
    </w:p>
    <w:p>
      <w:pPr>
        <w:ind w:left="720" w:right="2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progress, success, cost, and timing of our development activities, preclinical studies and future clinical trials;</w:t>
      </w:r>
    </w:p>
    <w:p>
      <w:pPr>
        <w:spacing w:after="0" w:line="113" w:lineRule="exact"/>
        <w:rPr>
          <w:rFonts w:ascii="Times New Roman" w:cs="Times New Roman" w:eastAsia="Times New Roman" w:hAnsi="Times New Roman"/>
          <w:sz w:val="18"/>
          <w:szCs w:val="18"/>
          <w:color w:val="auto"/>
        </w:rPr>
      </w:pPr>
    </w:p>
    <w:p>
      <w:pPr>
        <w:ind w:left="720" w:right="9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our future investigational new drug, or IND, applications and the likelihood of, and our ability to obtain and maintain, regulatory clearance of such IND applications for our product candidates;</w:t>
      </w:r>
    </w:p>
    <w:p>
      <w:pPr>
        <w:spacing w:after="0" w:line="127"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15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spacing w:after="0" w:line="143" w:lineRule="exact"/>
        <w:rPr>
          <w:rFonts w:ascii="Times New Roman" w:cs="Times New Roman" w:eastAsia="Times New Roman" w:hAnsi="Times New Roman"/>
          <w:sz w:val="18"/>
          <w:szCs w:val="18"/>
          <w:color w:val="auto"/>
        </w:rPr>
      </w:pPr>
    </w:p>
    <w:p>
      <w:pPr>
        <w:ind w:left="720" w:right="2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the maintenance of our collaborative relationship with Bristol-Myers Squibb Company, or Bristol-Myers Squibb, in connection with the furtherance of our collaboration programs;</w:t>
      </w:r>
    </w:p>
    <w:p>
      <w:pPr>
        <w:spacing w:after="0" w:line="113" w:lineRule="exact"/>
        <w:rPr>
          <w:rFonts w:ascii="Times New Roman" w:cs="Times New Roman" w:eastAsia="Times New Roman" w:hAnsi="Times New Roman"/>
          <w:sz w:val="18"/>
          <w:szCs w:val="18"/>
          <w:color w:val="auto"/>
        </w:rPr>
      </w:pPr>
    </w:p>
    <w:p>
      <w:pPr>
        <w:ind w:left="720" w:right="79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future clinical trials as well as third-party suppliers and manufacturers;</w:t>
      </w:r>
    </w:p>
    <w:p>
      <w:pPr>
        <w:spacing w:after="0" w:line="130" w:lineRule="exact"/>
        <w:rPr>
          <w:rFonts w:ascii="Times New Roman" w:cs="Times New Roman" w:eastAsia="Times New Roman" w:hAnsi="Times New Roman"/>
          <w:sz w:val="18"/>
          <w:szCs w:val="18"/>
          <w:color w:val="auto"/>
        </w:rPr>
      </w:pPr>
    </w:p>
    <w:p>
      <w:pPr>
        <w:ind w:left="720" w:right="13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127" w:lineRule="exact"/>
        <w:rPr>
          <w:rFonts w:ascii="Times New Roman" w:cs="Times New Roman" w:eastAsia="Times New Roman" w:hAnsi="Times New Roman"/>
          <w:sz w:val="18"/>
          <w:szCs w:val="18"/>
          <w:color w:val="auto"/>
        </w:rPr>
      </w:pPr>
    </w:p>
    <w:p>
      <w:pPr>
        <w:ind w:left="720" w:right="45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 opinion and scrutiny of cell-based immuno-oncology therapies for treating cancer and its potential impact on public perception of our company and product candidates;</w:t>
      </w:r>
    </w:p>
    <w:p>
      <w:pPr>
        <w:spacing w:after="0" w:line="113"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13"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127" w:lineRule="exact"/>
        <w:rPr>
          <w:rFonts w:ascii="Times New Roman" w:cs="Times New Roman" w:eastAsia="Times New Roman" w:hAnsi="Times New Roman"/>
          <w:sz w:val="18"/>
          <w:szCs w:val="18"/>
          <w:color w:val="auto"/>
        </w:rPr>
      </w:pPr>
    </w:p>
    <w:p>
      <w:pPr>
        <w:ind w:left="720" w:right="4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183" w:lineRule="exact"/>
        <w:rPr>
          <w:rFonts w:ascii="Times New Roman" w:cs="Times New Roman" w:eastAsia="Times New Roman" w:hAnsi="Times New Roman"/>
          <w:sz w:val="18"/>
          <w:szCs w:val="18"/>
          <w:color w:val="auto"/>
        </w:rPr>
      </w:pPr>
    </w:p>
    <w:p>
      <w:pPr>
        <w:ind w:left="720" w:right="17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14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recruit and retain key members of management and other clinical and scientific personnel;</w:t>
      </w:r>
    </w:p>
    <w:p>
      <w:pPr>
        <w:spacing w:after="0" w:line="183" w:lineRule="exact"/>
        <w:rPr>
          <w:rFonts w:ascii="Times New Roman" w:cs="Times New Roman" w:eastAsia="Times New Roman" w:hAnsi="Times New Roman"/>
          <w:sz w:val="18"/>
          <w:szCs w:val="18"/>
          <w:color w:val="auto"/>
        </w:rPr>
      </w:pPr>
    </w:p>
    <w:p>
      <w:pPr>
        <w:ind w:left="720" w:right="1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volatility of capital markets and other macroeconomic factors, including due to geopolitical tensions or the outbreak of hostilities or war; and</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 and</w:t>
      </w:r>
    </w:p>
    <w:p>
      <w:pPr>
        <w:spacing w:after="0" w:line="197"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uncertainties, including those described under the caption “Risk factors” in our Annual Report on Form 10-K for the year ended December 31, 2021.</w:t>
      </w:r>
    </w:p>
    <w:p>
      <w:pPr>
        <w:spacing w:after="0" w:line="11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You should refer to the section titled “Risk Factors” set forth in Part I, Item 1A of our Annual Report on Form 10-K for the year ended December 31, 2021 for a discussion of important factors that may cause our actual results to differ materially from those expressed or implied by our forward-looking statements. Furthermore, if our forward-looking statements prove to be inaccurate, the inaccuracy may be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59"/>
        <w:spacing w:after="0" w:line="271" w:lineRule="auto"/>
        <w:rPr>
          <w:sz w:val="20"/>
          <w:szCs w:val="20"/>
          <w:color w:val="auto"/>
        </w:rPr>
      </w:pPr>
      <w:r>
        <w:rPr>
          <w:rFonts w:ascii="Arial" w:cs="Arial" w:eastAsia="Arial" w:hAnsi="Arial"/>
          <w:sz w:val="18"/>
          <w:szCs w:val="18"/>
          <w:color w:val="auto"/>
        </w:rPr>
        <w:t>material. Except as required by law, we undertake no obligation to publicly update any forward-looking statements, whether as a result of new information, future events or otherwise.</w:t>
      </w:r>
    </w:p>
    <w:p>
      <w:pPr>
        <w:spacing w:after="0" w:line="127"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You should read this Quarterly Report on Form 10-Q completely and with the understanding that our actual future results may be materially different from what we expect. We intend the forward-looking statements contained in this Quarterly Report on Form 10-Q to be covered by the safe harbor provisions for forward-looking statements contained in Section 27A of the Securities Act of 1933, as amended, or the Securities Act, and Section 21E of the Securities Exchange Act of 1934,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I—FINANCIAL INFORMATION</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12"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CONSOLIDATED BALANCE SHEETS</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b w:val="1"/>
          <w:bCs w:val="1"/>
          <w:color w:val="auto"/>
        </w:rPr>
        <w:t>In thousands, except share amounts)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31"/>
        </w:trPr>
        <w:tc>
          <w:tcPr>
            <w:tcW w:w="6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220"/>
              <w:spacing w:after="0" w:line="131" w:lineRule="exact"/>
              <w:rPr>
                <w:sz w:val="20"/>
                <w:szCs w:val="20"/>
                <w:color w:val="auto"/>
              </w:rPr>
            </w:pPr>
            <w:r>
              <w:rPr>
                <w:rFonts w:ascii="Arial" w:cs="Arial" w:eastAsia="Arial" w:hAnsi="Arial"/>
                <w:sz w:val="13"/>
                <w:szCs w:val="13"/>
                <w:color w:val="auto"/>
              </w:rPr>
              <w:t>March 31, 2022</w:t>
            </w:r>
          </w:p>
        </w:tc>
        <w:tc>
          <w:tcPr>
            <w:tcW w:w="1160" w:type="dxa"/>
            <w:vAlign w:val="bottom"/>
            <w:tcBorders>
              <w:top w:val="single" w:sz="8" w:color="auto"/>
            </w:tcBorders>
            <w:gridSpan w:val="2"/>
          </w:tcPr>
          <w:p>
            <w:pPr>
              <w:ind w:left="20"/>
              <w:spacing w:after="0" w:line="131" w:lineRule="exact"/>
              <w:rPr>
                <w:sz w:val="20"/>
                <w:szCs w:val="20"/>
                <w:color w:val="auto"/>
              </w:rPr>
            </w:pPr>
            <w:r>
              <w:rPr>
                <w:rFonts w:ascii="Arial" w:cs="Arial" w:eastAsia="Arial" w:hAnsi="Arial"/>
                <w:sz w:val="13"/>
                <w:szCs w:val="13"/>
                <w:color w:val="auto"/>
                <w:w w:val="98"/>
              </w:rPr>
              <w:t>December 31, 2021</w:t>
            </w:r>
          </w:p>
        </w:tc>
        <w:tc>
          <w:tcPr>
            <w:tcW w:w="20" w:type="dxa"/>
            <w:vAlign w:val="bottom"/>
          </w:tcPr>
          <w:p>
            <w:pPr>
              <w:spacing w:after="0"/>
              <w:rPr>
                <w:sz w:val="11"/>
                <w:szCs w:val="11"/>
                <w:color w:val="auto"/>
              </w:rPr>
            </w:pPr>
          </w:p>
        </w:tc>
      </w:tr>
      <w:tr>
        <w:trPr>
          <w:trHeight w:val="153"/>
        </w:trPr>
        <w:tc>
          <w:tcPr>
            <w:tcW w:w="6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(unaudited)</w:t>
            </w: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9"/>
        </w:trPr>
        <w:tc>
          <w:tcPr>
            <w:tcW w:w="64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Assets</w:t>
            </w:r>
          </w:p>
        </w:tc>
        <w:tc>
          <w:tcPr>
            <w:tcW w:w="16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35"/>
        </w:trPr>
        <w:tc>
          <w:tcPr>
            <w:tcW w:w="6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Current assets</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6400" w:type="dxa"/>
            <w:vAlign w:val="bottom"/>
          </w:tcPr>
          <w:p>
            <w:pPr>
              <w:ind w:left="120"/>
              <w:spacing w:after="0" w:line="135" w:lineRule="exact"/>
              <w:rPr>
                <w:sz w:val="20"/>
                <w:szCs w:val="20"/>
                <w:color w:val="auto"/>
              </w:rPr>
            </w:pPr>
            <w:r>
              <w:rPr>
                <w:rFonts w:ascii="Arial" w:cs="Arial" w:eastAsia="Arial" w:hAnsi="Arial"/>
                <w:sz w:val="13"/>
                <w:szCs w:val="13"/>
                <w:color w:val="auto"/>
              </w:rPr>
              <w:t>Cash and cash equivalents</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126,039</w:t>
            </w:r>
          </w:p>
        </w:tc>
        <w:tc>
          <w:tcPr>
            <w:tcW w:w="180" w:type="dxa"/>
            <w:vAlign w:val="bottom"/>
          </w:tcPr>
          <w:p>
            <w:pPr>
              <w:spacing w:after="0"/>
              <w:rPr>
                <w:sz w:val="11"/>
                <w:szCs w:val="11"/>
                <w:color w:val="auto"/>
              </w:rPr>
            </w:pPr>
          </w:p>
        </w:tc>
        <w:tc>
          <w:tcPr>
            <w:tcW w:w="3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56,445</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Short-term investments</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234,981</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166,434</w:t>
            </w:r>
          </w:p>
        </w:tc>
        <w:tc>
          <w:tcPr>
            <w:tcW w:w="20" w:type="dxa"/>
            <w:vAlign w:val="bottom"/>
            <w:shd w:val="clear" w:color="auto" w:fill="CCEEFF"/>
          </w:tcPr>
          <w:p>
            <w:pPr>
              <w:spacing w:after="0"/>
              <w:rPr>
                <w:sz w:val="11"/>
                <w:szCs w:val="11"/>
                <w:color w:val="auto"/>
              </w:rPr>
            </w:pPr>
          </w:p>
        </w:tc>
      </w:tr>
      <w:tr>
        <w:trPr>
          <w:trHeight w:val="135"/>
        </w:trPr>
        <w:tc>
          <w:tcPr>
            <w:tcW w:w="6400" w:type="dxa"/>
            <w:vAlign w:val="bottom"/>
          </w:tcPr>
          <w:p>
            <w:pPr>
              <w:ind w:left="120"/>
              <w:spacing w:after="0" w:line="135" w:lineRule="exact"/>
              <w:rPr>
                <w:sz w:val="20"/>
                <w:szCs w:val="20"/>
                <w:color w:val="auto"/>
              </w:rPr>
            </w:pPr>
            <w:r>
              <w:rPr>
                <w:rFonts w:ascii="Arial" w:cs="Arial" w:eastAsia="Arial" w:hAnsi="Arial"/>
                <w:sz w:val="13"/>
                <w:szCs w:val="13"/>
                <w:color w:val="auto"/>
              </w:rPr>
              <w:t>Escrow deposits, current</w:t>
            </w: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502</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502</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16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3,740</w:t>
            </w:r>
          </w:p>
        </w:tc>
        <w:tc>
          <w:tcPr>
            <w:tcW w:w="1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4,773</w:t>
            </w:r>
          </w:p>
        </w:tc>
        <w:tc>
          <w:tcPr>
            <w:tcW w:w="20" w:type="dxa"/>
            <w:vAlign w:val="bottom"/>
            <w:shd w:val="clear" w:color="auto" w:fill="CCEEFF"/>
          </w:tcPr>
          <w:p>
            <w:pPr>
              <w:spacing w:after="0"/>
              <w:rPr>
                <w:sz w:val="11"/>
                <w:szCs w:val="11"/>
                <w:color w:val="auto"/>
              </w:rPr>
            </w:pPr>
          </w:p>
        </w:tc>
      </w:tr>
      <w:tr>
        <w:trPr>
          <w:trHeight w:val="129"/>
        </w:trPr>
        <w:tc>
          <w:tcPr>
            <w:tcW w:w="6400" w:type="dxa"/>
            <w:vAlign w:val="bottom"/>
          </w:tcPr>
          <w:p>
            <w:pPr>
              <w:ind w:left="20"/>
              <w:spacing w:after="0" w:line="129" w:lineRule="exact"/>
              <w:rPr>
                <w:sz w:val="20"/>
                <w:szCs w:val="20"/>
                <w:color w:val="auto"/>
              </w:rPr>
            </w:pPr>
            <w:r>
              <w:rPr>
                <w:rFonts w:ascii="Arial" w:cs="Arial" w:eastAsia="Arial" w:hAnsi="Arial"/>
                <w:sz w:val="13"/>
                <w:szCs w:val="13"/>
                <w:color w:val="auto"/>
              </w:rPr>
              <w:t>Total current assets</w:t>
            </w:r>
          </w:p>
        </w:tc>
        <w:tc>
          <w:tcPr>
            <w:tcW w:w="16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Arial" w:cs="Arial" w:eastAsia="Arial" w:hAnsi="Arial"/>
                <w:sz w:val="13"/>
                <w:szCs w:val="13"/>
                <w:color w:val="auto"/>
              </w:rPr>
              <w:t>365,262</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228,154</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6400" w:type="dxa"/>
            <w:vAlign w:val="bottom"/>
          </w:tcPr>
          <w:p>
            <w:pPr>
              <w:ind w:left="20"/>
              <w:spacing w:after="0" w:line="135" w:lineRule="exact"/>
              <w:rPr>
                <w:sz w:val="20"/>
                <w:szCs w:val="20"/>
                <w:color w:val="auto"/>
              </w:rPr>
            </w:pPr>
            <w:r>
              <w:rPr>
                <w:rFonts w:ascii="Arial" w:cs="Arial" w:eastAsia="Arial" w:hAnsi="Arial"/>
                <w:sz w:val="13"/>
                <w:szCs w:val="13"/>
                <w:color w:val="auto"/>
              </w:rPr>
              <w:t>Property and equipment, net</w:t>
            </w: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64,681</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57,967</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Operating lease right-of-use assets</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11,670</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11,854</w:t>
            </w:r>
          </w:p>
        </w:tc>
        <w:tc>
          <w:tcPr>
            <w:tcW w:w="20" w:type="dxa"/>
            <w:vAlign w:val="bottom"/>
            <w:shd w:val="clear" w:color="auto" w:fill="CCEEFF"/>
          </w:tcPr>
          <w:p>
            <w:pPr>
              <w:spacing w:after="0"/>
              <w:rPr>
                <w:sz w:val="11"/>
                <w:szCs w:val="11"/>
                <w:color w:val="auto"/>
              </w:rPr>
            </w:pPr>
          </w:p>
        </w:tc>
      </w:tr>
      <w:tr>
        <w:trPr>
          <w:trHeight w:val="135"/>
        </w:trPr>
        <w:tc>
          <w:tcPr>
            <w:tcW w:w="6400" w:type="dxa"/>
            <w:vAlign w:val="bottom"/>
          </w:tcPr>
          <w:p>
            <w:pPr>
              <w:ind w:left="20"/>
              <w:spacing w:after="0" w:line="135" w:lineRule="exact"/>
              <w:rPr>
                <w:sz w:val="20"/>
                <w:szCs w:val="20"/>
                <w:color w:val="auto"/>
              </w:rPr>
            </w:pPr>
            <w:r>
              <w:rPr>
                <w:rFonts w:ascii="Arial" w:cs="Arial" w:eastAsia="Arial" w:hAnsi="Arial"/>
                <w:sz w:val="13"/>
                <w:szCs w:val="13"/>
                <w:color w:val="auto"/>
              </w:rPr>
              <w:t>Restricted cash</w:t>
            </w: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1,717</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1,717</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Escrow deposits, non-current</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w:t>
            </w:r>
          </w:p>
        </w:tc>
        <w:tc>
          <w:tcPr>
            <w:tcW w:w="20" w:type="dxa"/>
            <w:vAlign w:val="bottom"/>
            <w:shd w:val="clear" w:color="auto" w:fill="CCEEFF"/>
          </w:tcPr>
          <w:p>
            <w:pPr>
              <w:spacing w:after="0"/>
              <w:rPr>
                <w:sz w:val="11"/>
                <w:szCs w:val="11"/>
                <w:color w:val="auto"/>
              </w:rPr>
            </w:pPr>
          </w:p>
        </w:tc>
      </w:tr>
      <w:tr>
        <w:trPr>
          <w:trHeight w:val="135"/>
        </w:trPr>
        <w:tc>
          <w:tcPr>
            <w:tcW w:w="6400" w:type="dxa"/>
            <w:vAlign w:val="bottom"/>
          </w:tcPr>
          <w:p>
            <w:pPr>
              <w:ind w:left="20"/>
              <w:spacing w:after="0" w:line="135" w:lineRule="exact"/>
              <w:rPr>
                <w:sz w:val="20"/>
                <w:szCs w:val="20"/>
                <w:color w:val="auto"/>
              </w:rPr>
            </w:pPr>
            <w:r>
              <w:rPr>
                <w:rFonts w:ascii="Arial" w:cs="Arial" w:eastAsia="Arial" w:hAnsi="Arial"/>
                <w:sz w:val="13"/>
                <w:szCs w:val="13"/>
                <w:color w:val="auto"/>
              </w:rPr>
              <w:t>Long-term investments</w:t>
            </w: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105,360</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135,914</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Security deposits</w:t>
            </w:r>
          </w:p>
        </w:tc>
        <w:tc>
          <w:tcPr>
            <w:tcW w:w="16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1,523</w:t>
            </w:r>
          </w:p>
        </w:tc>
        <w:tc>
          <w:tcPr>
            <w:tcW w:w="1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1,549</w:t>
            </w:r>
          </w:p>
        </w:tc>
        <w:tc>
          <w:tcPr>
            <w:tcW w:w="20" w:type="dxa"/>
            <w:vAlign w:val="bottom"/>
            <w:shd w:val="clear" w:color="auto" w:fill="CCEEFF"/>
          </w:tcPr>
          <w:p>
            <w:pPr>
              <w:spacing w:after="0"/>
              <w:rPr>
                <w:sz w:val="11"/>
                <w:szCs w:val="11"/>
                <w:color w:val="auto"/>
              </w:rPr>
            </w:pPr>
          </w:p>
        </w:tc>
      </w:tr>
      <w:tr>
        <w:trPr>
          <w:trHeight w:val="168"/>
        </w:trPr>
        <w:tc>
          <w:tcPr>
            <w:tcW w:w="640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Total assets</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550,308</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437,375</w:t>
            </w:r>
          </w:p>
        </w:tc>
        <w:tc>
          <w:tcPr>
            <w:tcW w:w="20" w:type="dxa"/>
            <w:vAlign w:val="bottom"/>
            <w:tcBorders>
              <w:bottom w:val="single" w:sz="8" w:color="CCEEFF"/>
            </w:tcBorders>
          </w:tcPr>
          <w:p>
            <w:pPr>
              <w:spacing w:after="0"/>
              <w:rPr>
                <w:sz w:val="14"/>
                <w:szCs w:val="14"/>
                <w:color w:val="auto"/>
              </w:rPr>
            </w:pPr>
          </w:p>
        </w:tc>
      </w:tr>
      <w:tr>
        <w:trPr>
          <w:trHeight w:val="115"/>
        </w:trPr>
        <w:tc>
          <w:tcPr>
            <w:tcW w:w="6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35"/>
        </w:trPr>
        <w:tc>
          <w:tcPr>
            <w:tcW w:w="64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Liabilities, convertible preferred stock, and stockholders’ equity</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6400" w:type="dxa"/>
            <w:vAlign w:val="bottom"/>
          </w:tcPr>
          <w:p>
            <w:pPr>
              <w:ind w:left="20"/>
              <w:spacing w:after="0" w:line="135" w:lineRule="exact"/>
              <w:rPr>
                <w:sz w:val="20"/>
                <w:szCs w:val="20"/>
                <w:color w:val="auto"/>
              </w:rPr>
            </w:pPr>
            <w:r>
              <w:rPr>
                <w:rFonts w:ascii="Arial" w:cs="Arial" w:eastAsia="Arial" w:hAnsi="Arial"/>
                <w:sz w:val="13"/>
                <w:szCs w:val="13"/>
                <w:color w:val="auto"/>
              </w:rPr>
              <w:t>Current liabilities</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Accounts payable</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9,893</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7,596</w:t>
            </w:r>
          </w:p>
        </w:tc>
        <w:tc>
          <w:tcPr>
            <w:tcW w:w="20" w:type="dxa"/>
            <w:vAlign w:val="bottom"/>
            <w:shd w:val="clear" w:color="auto" w:fill="CCEEFF"/>
          </w:tcPr>
          <w:p>
            <w:pPr>
              <w:spacing w:after="0"/>
              <w:rPr>
                <w:sz w:val="11"/>
                <w:szCs w:val="11"/>
                <w:color w:val="auto"/>
              </w:rPr>
            </w:pPr>
          </w:p>
        </w:tc>
      </w:tr>
      <w:tr>
        <w:trPr>
          <w:trHeight w:val="135"/>
        </w:trPr>
        <w:tc>
          <w:tcPr>
            <w:tcW w:w="6400" w:type="dxa"/>
            <w:vAlign w:val="bottom"/>
          </w:tcPr>
          <w:p>
            <w:pPr>
              <w:ind w:left="120"/>
              <w:spacing w:after="0" w:line="135" w:lineRule="exact"/>
              <w:rPr>
                <w:sz w:val="20"/>
                <w:szCs w:val="20"/>
                <w:color w:val="auto"/>
              </w:rPr>
            </w:pPr>
            <w:r>
              <w:rPr>
                <w:rFonts w:ascii="Arial" w:cs="Arial" w:eastAsia="Arial" w:hAnsi="Arial"/>
                <w:sz w:val="13"/>
                <w:szCs w:val="13"/>
                <w:color w:val="auto"/>
              </w:rPr>
              <w:t>Accrued expenses and other liabilities</w:t>
            </w: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4,847</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6,040</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Deposit liability</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857</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980</w:t>
            </w:r>
          </w:p>
        </w:tc>
        <w:tc>
          <w:tcPr>
            <w:tcW w:w="20" w:type="dxa"/>
            <w:vAlign w:val="bottom"/>
            <w:shd w:val="clear" w:color="auto" w:fill="CCEEFF"/>
          </w:tcPr>
          <w:p>
            <w:pPr>
              <w:spacing w:after="0"/>
              <w:rPr>
                <w:sz w:val="11"/>
                <w:szCs w:val="11"/>
                <w:color w:val="auto"/>
              </w:rPr>
            </w:pPr>
          </w:p>
        </w:tc>
      </w:tr>
      <w:tr>
        <w:trPr>
          <w:trHeight w:val="135"/>
        </w:trPr>
        <w:tc>
          <w:tcPr>
            <w:tcW w:w="6400" w:type="dxa"/>
            <w:vAlign w:val="bottom"/>
          </w:tcPr>
          <w:p>
            <w:pPr>
              <w:ind w:left="120"/>
              <w:spacing w:after="0" w:line="135" w:lineRule="exact"/>
              <w:rPr>
                <w:sz w:val="20"/>
                <w:szCs w:val="20"/>
                <w:color w:val="auto"/>
              </w:rPr>
            </w:pPr>
            <w:r>
              <w:rPr>
                <w:rFonts w:ascii="Arial" w:cs="Arial" w:eastAsia="Arial" w:hAnsi="Arial"/>
                <w:sz w:val="13"/>
                <w:szCs w:val="13"/>
                <w:color w:val="auto"/>
              </w:rPr>
              <w:t>Long-term debt, current</w:t>
            </w:r>
          </w:p>
        </w:tc>
        <w:tc>
          <w:tcPr>
            <w:tcW w:w="16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1,039</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Deferred revenue, current</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6,379</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r>
      <w:tr>
        <w:trPr>
          <w:trHeight w:val="129"/>
        </w:trPr>
        <w:tc>
          <w:tcPr>
            <w:tcW w:w="6400" w:type="dxa"/>
            <w:vAlign w:val="bottom"/>
          </w:tcPr>
          <w:p>
            <w:pPr>
              <w:ind w:left="20"/>
              <w:spacing w:after="0" w:line="129" w:lineRule="exact"/>
              <w:rPr>
                <w:sz w:val="20"/>
                <w:szCs w:val="20"/>
                <w:color w:val="auto"/>
              </w:rPr>
            </w:pPr>
            <w:r>
              <w:rPr>
                <w:rFonts w:ascii="Arial" w:cs="Arial" w:eastAsia="Arial" w:hAnsi="Arial"/>
                <w:sz w:val="13"/>
                <w:szCs w:val="13"/>
                <w:color w:val="auto"/>
              </w:rPr>
              <w:t>Total current liabilities</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21,976</w:t>
            </w:r>
          </w:p>
        </w:tc>
        <w:tc>
          <w:tcPr>
            <w:tcW w:w="1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15,655</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6400" w:type="dxa"/>
            <w:vAlign w:val="bottom"/>
          </w:tcPr>
          <w:p>
            <w:pPr>
              <w:ind w:left="20"/>
              <w:spacing w:after="0" w:line="135" w:lineRule="exact"/>
              <w:rPr>
                <w:sz w:val="20"/>
                <w:szCs w:val="20"/>
                <w:color w:val="auto"/>
              </w:rPr>
            </w:pPr>
            <w:r>
              <w:rPr>
                <w:rFonts w:ascii="Arial" w:cs="Arial" w:eastAsia="Arial" w:hAnsi="Arial"/>
                <w:sz w:val="13"/>
                <w:szCs w:val="13"/>
                <w:color w:val="auto"/>
              </w:rPr>
              <w:t>Operating lease liability, long term</w:t>
            </w: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14,430</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14,559</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Deposit liability, non-current</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1,470</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2,020</w:t>
            </w:r>
          </w:p>
        </w:tc>
        <w:tc>
          <w:tcPr>
            <w:tcW w:w="20" w:type="dxa"/>
            <w:vAlign w:val="bottom"/>
            <w:shd w:val="clear" w:color="auto" w:fill="CCEEFF"/>
          </w:tcPr>
          <w:p>
            <w:pPr>
              <w:spacing w:after="0"/>
              <w:rPr>
                <w:sz w:val="11"/>
                <w:szCs w:val="11"/>
                <w:color w:val="auto"/>
              </w:rPr>
            </w:pPr>
          </w:p>
        </w:tc>
      </w:tr>
      <w:tr>
        <w:trPr>
          <w:trHeight w:val="135"/>
        </w:trPr>
        <w:tc>
          <w:tcPr>
            <w:tcW w:w="6400" w:type="dxa"/>
            <w:vAlign w:val="bottom"/>
          </w:tcPr>
          <w:p>
            <w:pPr>
              <w:ind w:left="20"/>
              <w:spacing w:after="0" w:line="135" w:lineRule="exact"/>
              <w:rPr>
                <w:sz w:val="20"/>
                <w:szCs w:val="20"/>
                <w:color w:val="auto"/>
              </w:rPr>
            </w:pPr>
            <w:r>
              <w:rPr>
                <w:rFonts w:ascii="Arial" w:cs="Arial" w:eastAsia="Arial" w:hAnsi="Arial"/>
                <w:sz w:val="13"/>
                <w:szCs w:val="13"/>
                <w:color w:val="auto"/>
              </w:rPr>
              <w:t>Deferred revenue, non-current</w:t>
            </w: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115,750</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r>
      <w:tr>
        <w:trPr>
          <w:trHeight w:val="135"/>
        </w:trPr>
        <w:tc>
          <w:tcPr>
            <w:tcW w:w="6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Long-term debt, net</w:t>
            </w:r>
          </w:p>
        </w:tc>
        <w:tc>
          <w:tcPr>
            <w:tcW w:w="16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10,018</w:t>
            </w:r>
          </w:p>
        </w:tc>
        <w:tc>
          <w:tcPr>
            <w:tcW w:w="1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8,903</w:t>
            </w:r>
          </w:p>
        </w:tc>
        <w:tc>
          <w:tcPr>
            <w:tcW w:w="20" w:type="dxa"/>
            <w:vAlign w:val="bottom"/>
            <w:shd w:val="clear" w:color="auto" w:fill="CCEEFF"/>
          </w:tcPr>
          <w:p>
            <w:pPr>
              <w:spacing w:after="0"/>
              <w:rPr>
                <w:sz w:val="11"/>
                <w:szCs w:val="11"/>
                <w:color w:val="auto"/>
              </w:rPr>
            </w:pPr>
          </w:p>
        </w:tc>
      </w:tr>
      <w:tr>
        <w:trPr>
          <w:trHeight w:val="168"/>
        </w:trPr>
        <w:tc>
          <w:tcPr>
            <w:tcW w:w="640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Total liabilities</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163,644</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41,137</w:t>
            </w:r>
          </w:p>
        </w:tc>
        <w:tc>
          <w:tcPr>
            <w:tcW w:w="20" w:type="dxa"/>
            <w:vAlign w:val="bottom"/>
            <w:tcBorders>
              <w:bottom w:val="single" w:sz="8" w:color="CCEEFF"/>
            </w:tcBorders>
          </w:tcPr>
          <w:p>
            <w:pPr>
              <w:spacing w:after="0"/>
              <w:rPr>
                <w:sz w:val="14"/>
                <w:szCs w:val="14"/>
                <w:color w:val="auto"/>
              </w:rPr>
            </w:pPr>
          </w:p>
        </w:tc>
      </w:tr>
      <w:tr>
        <w:trPr>
          <w:trHeight w:val="115"/>
        </w:trPr>
        <w:tc>
          <w:tcPr>
            <w:tcW w:w="6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35"/>
        </w:trPr>
        <w:tc>
          <w:tcPr>
            <w:tcW w:w="6400" w:type="dxa"/>
            <w:vAlign w:val="bottom"/>
          </w:tcPr>
          <w:p>
            <w:pPr>
              <w:ind w:left="20"/>
              <w:spacing w:after="0" w:line="135" w:lineRule="exact"/>
              <w:rPr>
                <w:sz w:val="20"/>
                <w:szCs w:val="20"/>
                <w:color w:val="auto"/>
              </w:rPr>
            </w:pPr>
            <w:r>
              <w:rPr>
                <w:rFonts w:ascii="Arial" w:cs="Arial" w:eastAsia="Arial" w:hAnsi="Arial"/>
                <w:sz w:val="13"/>
                <w:szCs w:val="13"/>
                <w:color w:val="auto"/>
              </w:rPr>
              <w:t>Commitments and contingencies (Note 12)</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Stockholders' equity:</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17"/>
        </w:trPr>
        <w:tc>
          <w:tcPr>
            <w:tcW w:w="6400" w:type="dxa"/>
            <w:vAlign w:val="bottom"/>
          </w:tcPr>
          <w:p>
            <w:pPr>
              <w:ind w:left="20"/>
              <w:spacing w:after="0" w:line="117" w:lineRule="exact"/>
              <w:rPr>
                <w:sz w:val="20"/>
                <w:szCs w:val="20"/>
                <w:color w:val="auto"/>
              </w:rPr>
            </w:pPr>
            <w:r>
              <w:rPr>
                <w:rFonts w:ascii="Arial" w:cs="Arial" w:eastAsia="Arial" w:hAnsi="Arial"/>
                <w:sz w:val="13"/>
                <w:szCs w:val="13"/>
                <w:color w:val="auto"/>
                <w:w w:val="99"/>
              </w:rPr>
              <w:t>Preferred stock, $ 0.0001 par value, 10,000,000 shares authorized at March 31, 2022 and December 31, 2021,</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6400" w:type="dxa"/>
            <w:vAlign w:val="bottom"/>
          </w:tcPr>
          <w:p>
            <w:pPr>
              <w:ind w:left="20"/>
              <w:spacing w:after="0"/>
              <w:rPr>
                <w:sz w:val="20"/>
                <w:szCs w:val="20"/>
                <w:color w:val="auto"/>
              </w:rPr>
            </w:pPr>
            <w:r>
              <w:rPr>
                <w:rFonts w:ascii="Arial" w:cs="Arial" w:eastAsia="Arial" w:hAnsi="Arial"/>
                <w:sz w:val="13"/>
                <w:szCs w:val="13"/>
                <w:color w:val="auto"/>
              </w:rPr>
              <w:t>respectively, and 0 shares issued and outstanding at March 31, 2022 and December 31, 2021, respectively</w:t>
            </w:r>
          </w:p>
        </w:tc>
        <w:tc>
          <w:tcPr>
            <w:tcW w:w="16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17"/>
        </w:trPr>
        <w:tc>
          <w:tcPr>
            <w:tcW w:w="640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rPr>
              <w:t>Common stock, $0.0001 par value, 300,000,000 shares authorized at March 31, 2022 and December 31,</w:t>
            </w: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35"/>
        </w:trPr>
        <w:tc>
          <w:tcPr>
            <w:tcW w:w="6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2021, respectively; 57,586,030 and 55,005,523 shares issued and outstanding at March 31, 2022 and</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53"/>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December 31, 2021, respectively</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13"/>
                <w:szCs w:val="13"/>
                <w:color w:val="auto"/>
              </w:rPr>
            </w:pPr>
          </w:p>
        </w:tc>
      </w:tr>
      <w:tr>
        <w:trPr>
          <w:trHeight w:val="135"/>
        </w:trPr>
        <w:tc>
          <w:tcPr>
            <w:tcW w:w="6400" w:type="dxa"/>
            <w:vAlign w:val="bottom"/>
          </w:tcPr>
          <w:p>
            <w:pPr>
              <w:ind w:left="20"/>
              <w:spacing w:after="0" w:line="135" w:lineRule="exact"/>
              <w:rPr>
                <w:sz w:val="20"/>
                <w:szCs w:val="20"/>
                <w:color w:val="auto"/>
              </w:rPr>
            </w:pPr>
            <w:r>
              <w:rPr>
                <w:rFonts w:ascii="Arial" w:cs="Arial" w:eastAsia="Arial" w:hAnsi="Arial"/>
                <w:sz w:val="13"/>
                <w:szCs w:val="13"/>
                <w:color w:val="auto"/>
              </w:rPr>
              <w:t>Additional paid-in capital</w:t>
            </w: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814,979</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785,049</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Accumulated deficit</w:t>
            </w:r>
          </w:p>
        </w:tc>
        <w:tc>
          <w:tcPr>
            <w:tcW w:w="1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(425,679)</w:t>
            </w:r>
          </w:p>
        </w:tc>
        <w:tc>
          <w:tcPr>
            <w:tcW w:w="3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(388,166)</w:t>
            </w:r>
          </w:p>
        </w:tc>
      </w:tr>
      <w:tr>
        <w:trPr>
          <w:trHeight w:val="135"/>
        </w:trPr>
        <w:tc>
          <w:tcPr>
            <w:tcW w:w="6400" w:type="dxa"/>
            <w:vAlign w:val="bottom"/>
          </w:tcPr>
          <w:p>
            <w:pPr>
              <w:ind w:left="20"/>
              <w:spacing w:after="0" w:line="135" w:lineRule="exact"/>
              <w:rPr>
                <w:sz w:val="20"/>
                <w:szCs w:val="20"/>
                <w:color w:val="auto"/>
              </w:rPr>
            </w:pPr>
            <w:r>
              <w:rPr>
                <w:rFonts w:ascii="Arial" w:cs="Arial" w:eastAsia="Arial" w:hAnsi="Arial"/>
                <w:sz w:val="13"/>
                <w:szCs w:val="13"/>
                <w:color w:val="auto"/>
              </w:rPr>
              <w:t>Accumulated other comprehensive loss</w:t>
            </w:r>
          </w:p>
        </w:tc>
        <w:tc>
          <w:tcPr>
            <w:tcW w:w="160" w:type="dxa"/>
            <w:vAlign w:val="bottom"/>
          </w:tcPr>
          <w:p>
            <w:pPr>
              <w:spacing w:after="0"/>
              <w:rPr>
                <w:sz w:val="11"/>
                <w:szCs w:val="11"/>
                <w:color w:val="auto"/>
              </w:rPr>
            </w:pPr>
          </w:p>
        </w:tc>
        <w:tc>
          <w:tcPr>
            <w:tcW w:w="11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(2,642)</w:t>
            </w:r>
          </w:p>
        </w:tc>
        <w:tc>
          <w:tcPr>
            <w:tcW w:w="340" w:type="dxa"/>
            <w:vAlign w:val="bottom"/>
          </w:tcPr>
          <w:p>
            <w:pPr>
              <w:spacing w:after="0"/>
              <w:rPr>
                <w:sz w:val="11"/>
                <w:szCs w:val="11"/>
                <w:color w:val="auto"/>
              </w:rPr>
            </w:pPr>
          </w:p>
        </w:tc>
        <w:tc>
          <w:tcPr>
            <w:tcW w:w="8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(650)</w:t>
            </w:r>
          </w:p>
        </w:tc>
      </w:tr>
      <w:tr>
        <w:trPr>
          <w:trHeight w:val="128"/>
        </w:trPr>
        <w:tc>
          <w:tcPr>
            <w:tcW w:w="64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386,664</w:t>
            </w:r>
          </w:p>
        </w:tc>
        <w:tc>
          <w:tcPr>
            <w:tcW w:w="1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396,238</w:t>
            </w:r>
          </w:p>
        </w:tc>
        <w:tc>
          <w:tcPr>
            <w:tcW w:w="20" w:type="dxa"/>
            <w:vAlign w:val="bottom"/>
            <w:tcBorders>
              <w:top w:val="single" w:sz="8" w:color="CCEEFF"/>
            </w:tcBorders>
            <w:shd w:val="clear" w:color="auto" w:fill="CCEEFF"/>
          </w:tcPr>
          <w:p>
            <w:pPr>
              <w:spacing w:after="0"/>
              <w:rPr>
                <w:sz w:val="11"/>
                <w:szCs w:val="11"/>
                <w:color w:val="auto"/>
              </w:rPr>
            </w:pPr>
          </w:p>
        </w:tc>
      </w:tr>
      <w:tr>
        <w:trPr>
          <w:trHeight w:val="129"/>
        </w:trPr>
        <w:tc>
          <w:tcPr>
            <w:tcW w:w="640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Total liabilities and stockholders’ equity</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550,308</w:t>
            </w:r>
          </w:p>
        </w:tc>
        <w:tc>
          <w:tcPr>
            <w:tcW w:w="180" w:type="dxa"/>
            <w:vAlign w:val="bottom"/>
          </w:tcPr>
          <w:p>
            <w:pPr>
              <w:spacing w:after="0"/>
              <w:rPr>
                <w:sz w:val="11"/>
                <w:szCs w:val="11"/>
                <w:color w:val="auto"/>
              </w:rPr>
            </w:pPr>
          </w:p>
        </w:tc>
        <w:tc>
          <w:tcPr>
            <w:tcW w:w="3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437,375</w:t>
            </w:r>
          </w:p>
        </w:tc>
        <w:tc>
          <w:tcPr>
            <w:tcW w:w="20" w:type="dxa"/>
            <w:vAlign w:val="bottom"/>
          </w:tcPr>
          <w:p>
            <w:pPr>
              <w:spacing w:after="0"/>
              <w:rPr>
                <w:sz w:val="11"/>
                <w:szCs w:val="1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86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Three Months Ended</w:t>
            </w: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Three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March 31, 2022</w:t>
            </w:r>
          </w:p>
        </w:tc>
        <w:tc>
          <w:tcPr>
            <w:tcW w:w="26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March 31, 2021</w:t>
            </w: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Collaboration revenue</w:t>
            </w:r>
          </w:p>
        </w:tc>
        <w:tc>
          <w:tcPr>
            <w:tcW w:w="260" w:type="dxa"/>
            <w:vAlign w:val="bottom"/>
            <w:tcBorders>
              <w:top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1,058</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21,196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15,374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7,298</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In-process research and development</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38,494</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Loss from operations</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(37,436)</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(314)</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253</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Total other expense</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Loss before provision for income taxes</w:t>
            </w:r>
          </w:p>
        </w:tc>
        <w:tc>
          <w:tcPr>
            <w:tcW w:w="26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(37,497)</w:t>
            </w:r>
          </w:p>
        </w:tc>
        <w:tc>
          <w:tcPr>
            <w:tcW w:w="2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(18,348)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6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260" w:type="dxa"/>
            <w:vAlign w:val="bottom"/>
            <w:tcBorders>
              <w:top w:val="single" w:sz="8" w:color="auto"/>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(37,513)</w:t>
            </w:r>
          </w:p>
        </w:tc>
        <w:tc>
          <w:tcPr>
            <w:tcW w:w="16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(18,348)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60" w:type="dxa"/>
            <w:vAlign w:val="bottom"/>
          </w:tcPr>
          <w:p>
            <w:pPr>
              <w:ind w:left="20"/>
              <w:spacing w:after="0" w:line="183" w:lineRule="exact"/>
              <w:rPr>
                <w:sz w:val="20"/>
                <w:szCs w:val="20"/>
                <w:color w:val="auto"/>
              </w:rPr>
            </w:pPr>
            <w:r>
              <w:rPr>
                <w:rFonts w:ascii="Arial" w:cs="Arial" w:eastAsia="Arial" w:hAnsi="Arial"/>
                <w:sz w:val="18"/>
                <w:szCs w:val="18"/>
                <w:color w:val="auto"/>
              </w:rPr>
              <w:t>Net loss per common share</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6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(0.66)</w:t>
            </w:r>
          </w:p>
        </w:tc>
        <w:tc>
          <w:tcPr>
            <w:tcW w:w="2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184"/>
        </w:trPr>
        <w:tc>
          <w:tcPr>
            <w:tcW w:w="58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Weighted average common shares outstanding</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57,051,539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(37,513)</w:t>
            </w:r>
          </w:p>
        </w:tc>
        <w:tc>
          <w:tcPr>
            <w:tcW w:w="2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120"/>
              <w:spacing w:after="0" w:line="202" w:lineRule="exact"/>
              <w:rPr>
                <w:sz w:val="20"/>
                <w:szCs w:val="20"/>
                <w:color w:val="auto"/>
              </w:rPr>
            </w:pPr>
            <w:r>
              <w:rPr>
                <w:rFonts w:ascii="Arial" w:cs="Arial" w:eastAsia="Arial" w:hAnsi="Arial"/>
                <w:sz w:val="18"/>
                <w:szCs w:val="18"/>
                <w:color w:val="auto"/>
              </w:rPr>
              <w:t>Unrealized loss on investments</w:t>
            </w:r>
          </w:p>
        </w:tc>
        <w:tc>
          <w:tcPr>
            <w:tcW w:w="26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(1,986)</w:t>
            </w:r>
          </w:p>
        </w:tc>
        <w:tc>
          <w:tcPr>
            <w:tcW w:w="2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Foreign currency translation</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(39,505)</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(18,371)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60"/>
        <w:spacing w:after="0"/>
        <w:rPr>
          <w:sz w:val="20"/>
          <w:szCs w:val="20"/>
          <w:color w:val="auto"/>
        </w:rPr>
      </w:pPr>
      <w:r>
        <w:rPr>
          <w:rFonts w:ascii="Arial" w:cs="Arial" w:eastAsia="Arial" w:hAnsi="Arial"/>
          <w:sz w:val="22"/>
          <w:szCs w:val="22"/>
          <w:b w:val="1"/>
          <w:bCs w:val="1"/>
          <w:color w:val="auto"/>
        </w:rPr>
        <w:t>CENTURY THERAPEUTICS, INC.</w:t>
      </w:r>
    </w:p>
    <w:p>
      <w:pPr>
        <w:spacing w:after="0" w:line="12" w:lineRule="exact"/>
        <w:rPr>
          <w:sz w:val="20"/>
          <w:szCs w:val="20"/>
          <w:color w:val="auto"/>
        </w:rPr>
      </w:pPr>
    </w:p>
    <w:p>
      <w:pPr>
        <w:jc w:val="center"/>
        <w:ind w:right="460"/>
        <w:spacing w:after="0"/>
        <w:rPr>
          <w:sz w:val="20"/>
          <w:szCs w:val="20"/>
          <w:color w:val="auto"/>
        </w:rPr>
      </w:pPr>
      <w:r>
        <w:rPr>
          <w:rFonts w:ascii="Arial" w:cs="Arial" w:eastAsia="Arial" w:hAnsi="Arial"/>
          <w:sz w:val="21"/>
          <w:szCs w:val="21"/>
          <w:b w:val="1"/>
          <w:bCs w:val="1"/>
          <w:color w:val="auto"/>
        </w:rPr>
        <w:t>CONSOLIDATED STATEMENTS OF CHANGES IN CONVERTIBLE PREFERRED STOCK AND</w:t>
      </w:r>
    </w:p>
    <w:p>
      <w:pPr>
        <w:jc w:val="center"/>
        <w:ind w:right="460"/>
        <w:spacing w:after="0"/>
        <w:rPr>
          <w:sz w:val="20"/>
          <w:szCs w:val="20"/>
          <w:color w:val="auto"/>
        </w:rPr>
      </w:pPr>
      <w:r>
        <w:rPr>
          <w:rFonts w:ascii="Arial" w:cs="Arial" w:eastAsia="Arial" w:hAnsi="Arial"/>
          <w:sz w:val="22"/>
          <w:szCs w:val="22"/>
          <w:b w:val="1"/>
          <w:bCs w:val="1"/>
          <w:color w:val="auto"/>
        </w:rPr>
        <w:t>STOCKHOLDERS’ EQUITY (DEFICIT)</w:t>
      </w:r>
    </w:p>
    <w:p>
      <w:pPr>
        <w:jc w:val="center"/>
        <w:ind w:right="460"/>
        <w:spacing w:after="0"/>
        <w:rPr>
          <w:sz w:val="20"/>
          <w:szCs w:val="20"/>
          <w:color w:val="auto"/>
        </w:rPr>
      </w:pPr>
      <w:r>
        <w:rPr>
          <w:rFonts w:ascii="Arial" w:cs="Arial" w:eastAsia="Arial" w:hAnsi="Arial"/>
          <w:sz w:val="25"/>
          <w:szCs w:val="25"/>
          <w:b w:val="1"/>
          <w:bCs w:val="1"/>
          <w:color w:val="auto"/>
        </w:rPr>
        <w:t>(Unaudited)</w:t>
      </w:r>
    </w:p>
    <w:p>
      <w:pPr>
        <w:spacing w:after="0" w:line="10" w:lineRule="exact"/>
        <w:rPr>
          <w:sz w:val="20"/>
          <w:szCs w:val="20"/>
          <w:color w:val="auto"/>
        </w:rPr>
      </w:pPr>
    </w:p>
    <w:p>
      <w:pPr>
        <w:jc w:val="center"/>
        <w:ind w:right="460"/>
        <w:spacing w:after="0"/>
        <w:rPr>
          <w:sz w:val="20"/>
          <w:szCs w:val="20"/>
          <w:color w:val="auto"/>
        </w:rPr>
      </w:pPr>
      <w:r>
        <w:rPr>
          <w:rFonts w:ascii="Arial" w:cs="Arial" w:eastAsia="Arial" w:hAnsi="Arial"/>
          <w:sz w:val="25"/>
          <w:szCs w:val="25"/>
          <w:b w:val="1"/>
          <w:bCs w:val="1"/>
          <w:color w:val="auto"/>
        </w:rPr>
        <w:t>(In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color w:val="auto"/>
              </w:rPr>
              <w:t>Series A</w:t>
            </w: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gridSpan w:val="4"/>
          </w:tcPr>
          <w:p>
            <w:pPr>
              <w:jc w:val="right"/>
              <w:ind w:right="140"/>
              <w:spacing w:after="0"/>
              <w:rPr>
                <w:sz w:val="20"/>
                <w:szCs w:val="20"/>
                <w:color w:val="auto"/>
              </w:rPr>
            </w:pPr>
            <w:r>
              <w:rPr>
                <w:rFonts w:ascii="Arial" w:cs="Arial" w:eastAsia="Arial" w:hAnsi="Arial"/>
                <w:sz w:val="11"/>
                <w:szCs w:val="11"/>
                <w:color w:val="auto"/>
              </w:rPr>
              <w:t>Series B</w:t>
            </w:r>
          </w:p>
        </w:tc>
        <w:tc>
          <w:tcPr>
            <w:tcW w:w="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gridSpan w:val="4"/>
          </w:tcPr>
          <w:p>
            <w:pPr>
              <w:jc w:val="right"/>
              <w:spacing w:after="0"/>
              <w:rPr>
                <w:sz w:val="20"/>
                <w:szCs w:val="20"/>
                <w:color w:val="auto"/>
              </w:rPr>
            </w:pPr>
            <w:r>
              <w:rPr>
                <w:rFonts w:ascii="Arial" w:cs="Arial" w:eastAsia="Arial" w:hAnsi="Arial"/>
                <w:sz w:val="11"/>
                <w:szCs w:val="11"/>
                <w:color w:val="auto"/>
              </w:rPr>
              <w:t>Series C</w:t>
            </w:r>
          </w:p>
        </w:tc>
        <w:tc>
          <w:tcPr>
            <w:tcW w:w="80" w:type="dxa"/>
            <w:vAlign w:val="bottom"/>
            <w:tcBorders>
              <w:top w:val="single" w:sz="8" w:color="auto"/>
              <w:right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gridSpan w:val="5"/>
          </w:tcPr>
          <w:p>
            <w:pPr>
              <w:jc w:val="right"/>
              <w:ind w:right="80"/>
              <w:spacing w:after="0"/>
              <w:rPr>
                <w:sz w:val="20"/>
                <w:szCs w:val="20"/>
                <w:color w:val="auto"/>
              </w:rPr>
            </w:pPr>
            <w:r>
              <w:rPr>
                <w:rFonts w:ascii="Arial" w:cs="Arial" w:eastAsia="Arial" w:hAnsi="Arial"/>
                <w:sz w:val="11"/>
                <w:szCs w:val="11"/>
                <w:color w:val="auto"/>
                <w:w w:val="97"/>
              </w:rPr>
              <w:t>Accumulated</w:t>
            </w: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Convertible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5"/>
          </w:tcPr>
          <w:p>
            <w:pPr>
              <w:jc w:val="right"/>
              <w:ind w:right="140"/>
              <w:spacing w:after="0" w:line="122" w:lineRule="exact"/>
              <w:rPr>
                <w:sz w:val="20"/>
                <w:szCs w:val="20"/>
                <w:color w:val="auto"/>
              </w:rPr>
            </w:pPr>
            <w:r>
              <w:rPr>
                <w:rFonts w:ascii="Arial" w:cs="Arial" w:eastAsia="Arial" w:hAnsi="Arial"/>
                <w:sz w:val="11"/>
                <w:szCs w:val="11"/>
                <w:color w:val="auto"/>
              </w:rPr>
              <w:t>Convertible</w:t>
            </w:r>
          </w:p>
        </w:tc>
        <w:tc>
          <w:tcPr>
            <w:tcW w:w="80" w:type="dxa"/>
            <w:vAlign w:val="bottom"/>
          </w:tcPr>
          <w:p>
            <w:pPr>
              <w:spacing w:after="0"/>
              <w:rPr>
                <w:sz w:val="10"/>
                <w:szCs w:val="10"/>
                <w:color w:val="auto"/>
              </w:rPr>
            </w:pPr>
          </w:p>
        </w:tc>
        <w:tc>
          <w:tcPr>
            <w:tcW w:w="78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Convertible</w:t>
            </w:r>
          </w:p>
        </w:tc>
        <w:tc>
          <w:tcPr>
            <w:tcW w:w="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Additional</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5"/>
          </w:tcPr>
          <w:p>
            <w:pPr>
              <w:jc w:val="right"/>
              <w:ind w:right="80"/>
              <w:spacing w:after="0" w:line="122" w:lineRule="exact"/>
              <w:rPr>
                <w:sz w:val="20"/>
                <w:szCs w:val="20"/>
                <w:color w:val="auto"/>
              </w:rPr>
            </w:pPr>
            <w:r>
              <w:rPr>
                <w:rFonts w:ascii="Arial" w:cs="Arial" w:eastAsia="Arial" w:hAnsi="Arial"/>
                <w:sz w:val="11"/>
                <w:szCs w:val="11"/>
                <w:color w:val="auto"/>
              </w:rPr>
              <w:t>Other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6"/>
          </w:tcPr>
          <w:p>
            <w:pPr>
              <w:jc w:val="right"/>
              <w:spacing w:after="0"/>
              <w:rPr>
                <w:sz w:val="20"/>
                <w:szCs w:val="20"/>
                <w:color w:val="auto"/>
              </w:rPr>
            </w:pPr>
            <w:r>
              <w:rPr>
                <w:rFonts w:ascii="Arial" w:cs="Arial" w:eastAsia="Arial" w:hAnsi="Arial"/>
                <w:sz w:val="11"/>
                <w:szCs w:val="11"/>
                <w:color w:val="auto"/>
              </w:rPr>
              <w:t>Preferred Stock</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5"/>
          </w:tcPr>
          <w:p>
            <w:pPr>
              <w:jc w:val="right"/>
              <w:ind w:right="140"/>
              <w:spacing w:after="0"/>
              <w:rPr>
                <w:sz w:val="20"/>
                <w:szCs w:val="20"/>
                <w:color w:val="auto"/>
              </w:rPr>
            </w:pPr>
            <w:r>
              <w:rPr>
                <w:rFonts w:ascii="Arial" w:cs="Arial" w:eastAsia="Arial" w:hAnsi="Arial"/>
                <w:sz w:val="11"/>
                <w:szCs w:val="11"/>
                <w:color w:val="auto"/>
              </w:rPr>
              <w:t>Preferred Stock</w:t>
            </w:r>
          </w:p>
        </w:tc>
        <w:tc>
          <w:tcPr>
            <w:tcW w:w="80" w:type="dxa"/>
            <w:vAlign w:val="bottom"/>
          </w:tcPr>
          <w:p>
            <w:pPr>
              <w:spacing w:after="0"/>
              <w:rPr>
                <w:sz w:val="11"/>
                <w:szCs w:val="11"/>
                <w:color w:val="auto"/>
              </w:rPr>
            </w:pPr>
          </w:p>
        </w:tc>
        <w:tc>
          <w:tcPr>
            <w:tcW w:w="780" w:type="dxa"/>
            <w:vAlign w:val="bottom"/>
            <w:gridSpan w:val="5"/>
          </w:tcPr>
          <w:p>
            <w:pPr>
              <w:jc w:val="right"/>
              <w:spacing w:after="0"/>
              <w:rPr>
                <w:sz w:val="20"/>
                <w:szCs w:val="20"/>
                <w:color w:val="auto"/>
              </w:rPr>
            </w:pPr>
            <w:r>
              <w:rPr>
                <w:rFonts w:ascii="Arial" w:cs="Arial" w:eastAsia="Arial" w:hAnsi="Arial"/>
                <w:sz w:val="11"/>
                <w:szCs w:val="11"/>
                <w:color w:val="auto"/>
                <w:w w:val="94"/>
              </w:rPr>
              <w:t>Preferred Stock</w:t>
            </w:r>
          </w:p>
        </w:tc>
        <w:tc>
          <w:tcPr>
            <w:tcW w:w="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jc w:val="right"/>
              <w:spacing w:after="0"/>
              <w:rPr>
                <w:sz w:val="20"/>
                <w:szCs w:val="20"/>
                <w:color w:val="auto"/>
              </w:rPr>
            </w:pPr>
            <w:r>
              <w:rPr>
                <w:rFonts w:ascii="Arial" w:cs="Arial" w:eastAsia="Arial" w:hAnsi="Arial"/>
                <w:sz w:val="11"/>
                <w:szCs w:val="11"/>
                <w:color w:val="auto"/>
              </w:rPr>
              <w:t>Common Stock</w:t>
            </w:r>
          </w:p>
        </w:tc>
        <w:tc>
          <w:tcPr>
            <w:tcW w:w="60" w:type="dxa"/>
            <w:vAlign w:val="bottom"/>
          </w:tcPr>
          <w:p>
            <w:pPr>
              <w:spacing w:after="0"/>
              <w:rPr>
                <w:sz w:val="11"/>
                <w:szCs w:val="11"/>
                <w:color w:val="auto"/>
              </w:rPr>
            </w:pPr>
          </w:p>
        </w:tc>
        <w:tc>
          <w:tcPr>
            <w:tcW w:w="520" w:type="dxa"/>
            <w:vAlign w:val="bottom"/>
            <w:gridSpan w:val="4"/>
          </w:tcPr>
          <w:p>
            <w:pPr>
              <w:jc w:val="right"/>
              <w:spacing w:after="0"/>
              <w:rPr>
                <w:sz w:val="20"/>
                <w:szCs w:val="20"/>
                <w:color w:val="auto"/>
              </w:rPr>
            </w:pPr>
            <w:r>
              <w:rPr>
                <w:rFonts w:ascii="Arial" w:cs="Arial" w:eastAsia="Arial" w:hAnsi="Arial"/>
                <w:sz w:val="11"/>
                <w:szCs w:val="11"/>
                <w:color w:val="auto"/>
              </w:rPr>
              <w:t>Paid-in</w:t>
            </w:r>
          </w:p>
        </w:tc>
        <w:tc>
          <w:tcPr>
            <w:tcW w:w="680" w:type="dxa"/>
            <w:vAlign w:val="bottom"/>
            <w:gridSpan w:val="5"/>
          </w:tcPr>
          <w:p>
            <w:pPr>
              <w:jc w:val="right"/>
              <w:ind w:right="20"/>
              <w:spacing w:after="0"/>
              <w:rPr>
                <w:sz w:val="20"/>
                <w:szCs w:val="20"/>
                <w:color w:val="auto"/>
              </w:rPr>
            </w:pPr>
            <w:r>
              <w:rPr>
                <w:rFonts w:ascii="Arial" w:cs="Arial" w:eastAsia="Arial" w:hAnsi="Arial"/>
                <w:sz w:val="11"/>
                <w:szCs w:val="11"/>
                <w:color w:val="auto"/>
              </w:rPr>
              <w:t>Subscription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1"/>
                <w:szCs w:val="11"/>
                <w:color w:val="auto"/>
                <w:w w:val="97"/>
              </w:rPr>
              <w:t>Accumulated</w:t>
            </w:r>
          </w:p>
        </w:tc>
        <w:tc>
          <w:tcPr>
            <w:tcW w:w="880" w:type="dxa"/>
            <w:vAlign w:val="bottom"/>
            <w:gridSpan w:val="7"/>
          </w:tcPr>
          <w:p>
            <w:pPr>
              <w:ind w:left="60"/>
              <w:spacing w:after="0"/>
              <w:rPr>
                <w:sz w:val="20"/>
                <w:szCs w:val="20"/>
                <w:color w:val="auto"/>
              </w:rPr>
            </w:pPr>
            <w:r>
              <w:rPr>
                <w:rFonts w:ascii="Arial" w:cs="Arial" w:eastAsia="Arial" w:hAnsi="Arial"/>
                <w:sz w:val="11"/>
                <w:szCs w:val="11"/>
                <w:color w:val="auto"/>
              </w:rPr>
              <w:t>Comprehensive</w:t>
            </w:r>
          </w:p>
        </w:tc>
        <w:tc>
          <w:tcPr>
            <w:tcW w:w="100" w:type="dxa"/>
            <w:vAlign w:val="bottom"/>
          </w:tcPr>
          <w:p>
            <w:pPr>
              <w:spacing w:after="0"/>
              <w:rPr>
                <w:sz w:val="11"/>
                <w:szCs w:val="11"/>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1"/>
                <w:szCs w:val="11"/>
                <w:color w:val="auto"/>
                <w:w w:val="96"/>
              </w:rPr>
              <w:t>Stockholders’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Borders>
              <w:top w:val="single" w:sz="8" w:color="auto"/>
            </w:tcBorders>
            <w:gridSpan w:val="3"/>
          </w:tcPr>
          <w:p>
            <w:pPr>
              <w:jc w:val="right"/>
              <w:spacing w:after="0" w:line="115" w:lineRule="exact"/>
              <w:rPr>
                <w:sz w:val="20"/>
                <w:szCs w:val="20"/>
                <w:color w:val="auto"/>
              </w:rPr>
            </w:pPr>
            <w:r>
              <w:rPr>
                <w:rFonts w:ascii="Arial" w:cs="Arial" w:eastAsia="Arial" w:hAnsi="Arial"/>
                <w:sz w:val="11"/>
                <w:szCs w:val="11"/>
                <w:color w:val="auto"/>
                <w:w w:val="97"/>
              </w:rPr>
              <w:t>Shares</w:t>
            </w: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Amount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w w:val="91"/>
              </w:rPr>
              <w:t>Shares</w:t>
            </w: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w w:val="94"/>
              </w:rPr>
              <w:t>Amount</w:t>
            </w:r>
          </w:p>
        </w:tc>
        <w:tc>
          <w:tcPr>
            <w:tcW w:w="100" w:type="dxa"/>
            <w:vAlign w:val="bottom"/>
          </w:tcPr>
          <w:p>
            <w:pPr>
              <w:spacing w:after="0"/>
              <w:rPr>
                <w:sz w:val="10"/>
                <w:szCs w:val="10"/>
                <w:color w:val="auto"/>
              </w:rPr>
            </w:pPr>
          </w:p>
        </w:tc>
        <w:tc>
          <w:tcPr>
            <w:tcW w:w="36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w w:val="85"/>
              </w:rPr>
              <w:t>Shares</w:t>
            </w: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3"/>
          </w:tcPr>
          <w:p>
            <w:pPr>
              <w:jc w:val="right"/>
              <w:spacing w:after="0" w:line="115" w:lineRule="exact"/>
              <w:rPr>
                <w:sz w:val="20"/>
                <w:szCs w:val="20"/>
                <w:color w:val="auto"/>
              </w:rPr>
            </w:pPr>
            <w:r>
              <w:rPr>
                <w:rFonts w:ascii="Arial" w:cs="Arial" w:eastAsia="Arial" w:hAnsi="Arial"/>
                <w:sz w:val="11"/>
                <w:szCs w:val="11"/>
                <w:color w:val="auto"/>
                <w:w w:val="94"/>
              </w:rPr>
              <w:t>Amount</w:t>
            </w:r>
          </w:p>
        </w:tc>
        <w:tc>
          <w:tcPr>
            <w:tcW w:w="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w w:val="91"/>
              </w:rPr>
              <w:t>Shares</w:t>
            </w: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4"/>
          </w:tcPr>
          <w:p>
            <w:pPr>
              <w:jc w:val="right"/>
              <w:spacing w:after="0" w:line="115" w:lineRule="exact"/>
              <w:rPr>
                <w:sz w:val="20"/>
                <w:szCs w:val="20"/>
                <w:color w:val="auto"/>
              </w:rPr>
            </w:pPr>
            <w:r>
              <w:rPr>
                <w:rFonts w:ascii="Arial" w:cs="Arial" w:eastAsia="Arial" w:hAnsi="Arial"/>
                <w:sz w:val="11"/>
                <w:szCs w:val="11"/>
                <w:color w:val="auto"/>
                <w:w w:val="94"/>
              </w:rPr>
              <w:t>Amount</w:t>
            </w:r>
          </w:p>
        </w:tc>
        <w:tc>
          <w:tcPr>
            <w:tcW w:w="60" w:type="dxa"/>
            <w:vAlign w:val="bottom"/>
          </w:tcPr>
          <w:p>
            <w:pPr>
              <w:spacing w:after="0"/>
              <w:rPr>
                <w:sz w:val="10"/>
                <w:szCs w:val="10"/>
                <w:color w:val="auto"/>
              </w:rPr>
            </w:pPr>
          </w:p>
        </w:tc>
        <w:tc>
          <w:tcPr>
            <w:tcW w:w="520" w:type="dxa"/>
            <w:vAlign w:val="bottom"/>
            <w:gridSpan w:val="4"/>
          </w:tcPr>
          <w:p>
            <w:pPr>
              <w:jc w:val="right"/>
              <w:spacing w:after="0" w:line="115" w:lineRule="exact"/>
              <w:rPr>
                <w:sz w:val="20"/>
                <w:szCs w:val="20"/>
                <w:color w:val="auto"/>
              </w:rPr>
            </w:pPr>
            <w:r>
              <w:rPr>
                <w:rFonts w:ascii="Arial" w:cs="Arial" w:eastAsia="Arial" w:hAnsi="Arial"/>
                <w:sz w:val="11"/>
                <w:szCs w:val="11"/>
                <w:color w:val="auto"/>
              </w:rPr>
              <w:t>Capital</w:t>
            </w:r>
          </w:p>
        </w:tc>
        <w:tc>
          <w:tcPr>
            <w:tcW w:w="60" w:type="dxa"/>
            <w:vAlign w:val="bottom"/>
          </w:tcPr>
          <w:p>
            <w:pPr>
              <w:spacing w:after="0"/>
              <w:rPr>
                <w:sz w:val="10"/>
                <w:szCs w:val="10"/>
                <w:color w:val="auto"/>
              </w:rPr>
            </w:pPr>
          </w:p>
        </w:tc>
        <w:tc>
          <w:tcPr>
            <w:tcW w:w="620" w:type="dxa"/>
            <w:vAlign w:val="bottom"/>
            <w:gridSpan w:val="4"/>
          </w:tcPr>
          <w:p>
            <w:pPr>
              <w:jc w:val="right"/>
              <w:ind w:right="40"/>
              <w:spacing w:after="0" w:line="115" w:lineRule="exact"/>
              <w:rPr>
                <w:sz w:val="20"/>
                <w:szCs w:val="20"/>
                <w:color w:val="auto"/>
              </w:rPr>
            </w:pPr>
            <w:r>
              <w:rPr>
                <w:rFonts w:ascii="Arial" w:cs="Arial" w:eastAsia="Arial" w:hAnsi="Arial"/>
                <w:sz w:val="11"/>
                <w:szCs w:val="11"/>
                <w:color w:val="auto"/>
              </w:rPr>
              <w:t>Receivable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4"/>
          </w:tcPr>
          <w:p>
            <w:pPr>
              <w:jc w:val="right"/>
              <w:ind w:right="40"/>
              <w:spacing w:after="0" w:line="115" w:lineRule="exact"/>
              <w:rPr>
                <w:sz w:val="20"/>
                <w:szCs w:val="20"/>
                <w:color w:val="auto"/>
              </w:rPr>
            </w:pPr>
            <w:r>
              <w:rPr>
                <w:rFonts w:ascii="Arial" w:cs="Arial" w:eastAsia="Arial" w:hAnsi="Arial"/>
                <w:sz w:val="11"/>
                <w:szCs w:val="11"/>
                <w:color w:val="auto"/>
              </w:rPr>
              <w:t>Deficit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5"/>
          </w:tcPr>
          <w:p>
            <w:pPr>
              <w:jc w:val="right"/>
              <w:ind w:right="80"/>
              <w:spacing w:after="0" w:line="115" w:lineRule="exact"/>
              <w:rPr>
                <w:sz w:val="20"/>
                <w:szCs w:val="20"/>
                <w:color w:val="auto"/>
              </w:rPr>
            </w:pPr>
            <w:r>
              <w:rPr>
                <w:rFonts w:ascii="Arial" w:cs="Arial" w:eastAsia="Arial" w:hAnsi="Arial"/>
                <w:sz w:val="11"/>
                <w:szCs w:val="11"/>
                <w:color w:val="auto"/>
              </w:rPr>
              <w:t>Loss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gridSpan w:val="2"/>
          </w:tcPr>
          <w:p>
            <w:pPr>
              <w:jc w:val="right"/>
              <w:ind w:right="40"/>
              <w:spacing w:after="0" w:line="115" w:lineRule="exact"/>
              <w:rPr>
                <w:sz w:val="20"/>
                <w:szCs w:val="20"/>
                <w:color w:val="auto"/>
              </w:rPr>
            </w:pPr>
            <w:r>
              <w:rPr>
                <w:rFonts w:ascii="Arial" w:cs="Arial" w:eastAsia="Arial" w:hAnsi="Arial"/>
                <w:sz w:val="11"/>
                <w:szCs w:val="11"/>
                <w:color w:val="auto"/>
              </w:rPr>
              <w:t>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40" w:type="dxa"/>
            <w:vAlign w:val="bottom"/>
            <w:tcBorders>
              <w:top w:val="single" w:sz="8" w:color="CCEEFF"/>
            </w:tcBorders>
            <w:gridSpan w:val="3"/>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2021</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top w:val="single" w:sz="8" w:color="auto"/>
            </w:tcBorders>
            <w:gridSpan w:val="2"/>
            <w:shd w:val="clear" w:color="auto" w:fill="CCEEFF"/>
          </w:tcPr>
          <w:p>
            <w:pPr>
              <w:ind w:left="60"/>
              <w:spacing w:after="0" w:line="115" w:lineRule="exact"/>
              <w:rPr>
                <w:sz w:val="20"/>
                <w:szCs w:val="20"/>
                <w:color w:val="auto"/>
              </w:rPr>
            </w:pPr>
            <w:r>
              <w:rPr>
                <w:rFonts w:ascii="Arial" w:cs="Arial" w:eastAsia="Arial" w:hAnsi="Arial"/>
                <w:sz w:val="11"/>
                <w:szCs w:val="11"/>
                <w:b w:val="1"/>
                <w:bCs w:val="1"/>
                <w:color w:val="auto"/>
              </w:rPr>
              <w:t>$</w:t>
            </w:r>
          </w:p>
        </w:tc>
        <w:tc>
          <w:tcPr>
            <w:tcW w:w="320" w:type="dxa"/>
            <w:vAlign w:val="bottom"/>
            <w:tcBorders>
              <w:top w:val="single" w:sz="8" w:color="auto"/>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3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220" w:type="dxa"/>
            <w:vAlign w:val="bottom"/>
            <w:tcBorders>
              <w:top w:val="single" w:sz="8" w:color="auto"/>
              <w:right w:val="single" w:sz="8" w:color="CCEEFF"/>
            </w:tcBorders>
            <w:gridSpan w:val="2"/>
            <w:shd w:val="clear" w:color="auto" w:fill="CCEEFF"/>
          </w:tcPr>
          <w:p>
            <w:pPr>
              <w:jc w:val="right"/>
              <w:ind w:right="46"/>
              <w:spacing w:after="0" w:line="115" w:lineRule="exact"/>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gridSpan w:val="4"/>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4"/>
              </w:rPr>
              <w:t>55,005,523</w:t>
            </w:r>
          </w:p>
        </w:tc>
        <w:tc>
          <w:tcPr>
            <w:tcW w:w="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w:t>
            </w:r>
          </w:p>
        </w:tc>
        <w:tc>
          <w:tcPr>
            <w:tcW w:w="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gridSpan w:val="4"/>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3"/>
              </w:rPr>
              <w:t>$ 785,049</w:t>
            </w: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gridSpan w:val="2"/>
            <w:shd w:val="clear" w:color="auto" w:fill="CCEEFF"/>
          </w:tcPr>
          <w:p>
            <w:pPr>
              <w:jc w:val="right"/>
              <w:ind w:right="40"/>
              <w:spacing w:after="0" w:line="115" w:lineRule="exact"/>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tcBorders>
            <w:gridSpan w:val="4"/>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(388,166)</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00" w:type="dxa"/>
            <w:vAlign w:val="bottom"/>
            <w:tcBorders>
              <w:top w:val="single" w:sz="8" w:color="auto"/>
            </w:tcBorders>
            <w:gridSpan w:val="4"/>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(650)</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5"/>
                <w:szCs w:val="5"/>
                <w:b w:val="1"/>
                <w:bCs w:val="1"/>
                <w:color w:val="auto"/>
                <w:w w:val="70"/>
              </w:rPr>
              <w:t>$</w:t>
            </w:r>
          </w:p>
        </w:tc>
        <w:tc>
          <w:tcPr>
            <w:tcW w:w="620" w:type="dxa"/>
            <w:vAlign w:val="bottom"/>
            <w:tcBorders>
              <w:top w:val="single" w:sz="8" w:color="auto"/>
            </w:tcBorders>
            <w:gridSpan w:val="3"/>
            <w:shd w:val="clear" w:color="auto" w:fill="CCEEFF"/>
          </w:tcPr>
          <w:p>
            <w:pPr>
              <w:jc w:val="right"/>
              <w:ind w:right="40"/>
              <w:spacing w:after="0" w:line="115" w:lineRule="exact"/>
              <w:rPr>
                <w:sz w:val="20"/>
                <w:szCs w:val="20"/>
                <w:color w:val="auto"/>
              </w:rPr>
            </w:pPr>
            <w:r>
              <w:rPr>
                <w:rFonts w:ascii="Arial" w:cs="Arial" w:eastAsia="Arial" w:hAnsi="Arial"/>
                <w:sz w:val="11"/>
                <w:szCs w:val="11"/>
                <w:b w:val="1"/>
                <w:bCs w:val="1"/>
                <w:color w:val="auto"/>
              </w:rPr>
              <w:t>396,238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40" w:type="dxa"/>
            <w:vAlign w:val="bottom"/>
            <w:gridSpan w:val="8"/>
          </w:tcPr>
          <w:p>
            <w:pPr>
              <w:spacing w:after="0" w:line="122" w:lineRule="exact"/>
              <w:rPr>
                <w:sz w:val="20"/>
                <w:szCs w:val="20"/>
                <w:color w:val="auto"/>
              </w:rPr>
            </w:pPr>
            <w:r>
              <w:rPr>
                <w:rFonts w:ascii="Arial" w:cs="Arial" w:eastAsia="Arial" w:hAnsi="Arial"/>
                <w:sz w:val="11"/>
                <w:szCs w:val="11"/>
                <w:color w:val="auto"/>
              </w:rPr>
              <w:t>Issuance of stock to collaboration partner</w:t>
            </w:r>
          </w:p>
        </w:tc>
        <w:tc>
          <w:tcPr>
            <w:tcW w:w="2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right w:val="single" w:sz="8" w:color="auto"/>
            </w:tcBorders>
          </w:tcPr>
          <w:p>
            <w:pPr>
              <w:spacing w:after="0"/>
              <w:rPr>
                <w:sz w:val="10"/>
                <w:szCs w:val="10"/>
                <w:color w:val="auto"/>
              </w:rPr>
            </w:pPr>
          </w:p>
        </w:tc>
        <w:tc>
          <w:tcPr>
            <w:tcW w:w="62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2,160,760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58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26,812</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gridSpan w:val="4"/>
          </w:tcPr>
          <w:p>
            <w:pPr>
              <w:jc w:val="right"/>
              <w:ind w:right="80"/>
              <w:spacing w:after="0" w:line="122" w:lineRule="exact"/>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tcPr>
          <w:p>
            <w:pPr>
              <w:jc w:val="right"/>
              <w:ind w:right="40"/>
              <w:spacing w:after="0" w:line="122" w:lineRule="exact"/>
              <w:rPr>
                <w:sz w:val="20"/>
                <w:szCs w:val="20"/>
                <w:color w:val="auto"/>
              </w:rPr>
            </w:pPr>
            <w:r>
              <w:rPr>
                <w:rFonts w:ascii="Arial" w:cs="Arial" w:eastAsia="Arial" w:hAnsi="Arial"/>
                <w:sz w:val="11"/>
                <w:szCs w:val="11"/>
                <w:b w:val="1"/>
                <w:bCs w:val="1"/>
                <w:color w:val="auto"/>
              </w:rPr>
              <w:t>26,813</w:t>
            </w:r>
          </w:p>
        </w:tc>
        <w:tc>
          <w:tcPr>
            <w:tcW w:w="0" w:type="dxa"/>
            <w:vAlign w:val="bottom"/>
          </w:tcPr>
          <w:p>
            <w:pPr>
              <w:spacing w:after="0"/>
              <w:rPr>
                <w:sz w:val="1"/>
                <w:szCs w:val="1"/>
                <w:color w:val="auto"/>
              </w:rPr>
            </w:pPr>
          </w:p>
        </w:tc>
      </w:tr>
      <w:tr>
        <w:trPr>
          <w:trHeight w:val="108"/>
        </w:trPr>
        <w:tc>
          <w:tcPr>
            <w:tcW w:w="3000" w:type="dxa"/>
            <w:vAlign w:val="bottom"/>
            <w:tcBorders>
              <w:right w:val="single" w:sz="8" w:color="CCEEFF"/>
            </w:tcBorders>
            <w:gridSpan w:val="14"/>
          </w:tcPr>
          <w:p>
            <w:pPr>
              <w:spacing w:after="0"/>
              <w:rPr>
                <w:sz w:val="20"/>
                <w:szCs w:val="20"/>
                <w:color w:val="auto"/>
              </w:rPr>
            </w:pPr>
            <w:r>
              <w:rPr>
                <w:rFonts w:ascii="Arial" w:cs="Arial" w:eastAsia="Arial" w:hAnsi="Arial"/>
                <w:sz w:val="11"/>
                <w:szCs w:val="11"/>
                <w:color w:val="auto"/>
              </w:rPr>
              <w:t>Issuance of common stock upon the</w:t>
            </w:r>
          </w:p>
        </w:tc>
        <w:tc>
          <w:tcPr>
            <w:tcW w:w="1100" w:type="dxa"/>
            <w:vAlign w:val="bottom"/>
            <w:tcBorders>
              <w:right w:val="single" w:sz="8" w:color="CCEEFF"/>
            </w:tcBorders>
            <w:gridSpan w:val="7"/>
            <w:shd w:val="clear" w:color="auto" w:fill="CCEEFF"/>
          </w:tcPr>
          <w:p>
            <w:pPr>
              <w:spacing w:after="0"/>
              <w:rPr>
                <w:sz w:val="9"/>
                <w:szCs w:val="9"/>
                <w:color w:val="auto"/>
              </w:rPr>
            </w:pPr>
          </w:p>
        </w:tc>
        <w:tc>
          <w:tcPr>
            <w:tcW w:w="580" w:type="dxa"/>
            <w:vAlign w:val="bottom"/>
            <w:tcBorders>
              <w:right w:val="single" w:sz="8" w:color="CCEEFF"/>
            </w:tcBorders>
            <w:gridSpan w:val="4"/>
            <w:shd w:val="clear" w:color="auto" w:fill="CCEEFF"/>
          </w:tcPr>
          <w:p>
            <w:pPr>
              <w:spacing w:after="0"/>
              <w:rPr>
                <w:sz w:val="9"/>
                <w:szCs w:val="9"/>
                <w:color w:val="auto"/>
              </w:rPr>
            </w:pPr>
          </w:p>
        </w:tc>
        <w:tc>
          <w:tcPr>
            <w:tcW w:w="360" w:type="dxa"/>
            <w:vAlign w:val="bottom"/>
            <w:tcBorders>
              <w:right w:val="single" w:sz="8" w:color="auto"/>
            </w:tcBorders>
            <w:gridSpan w:val="3"/>
            <w:shd w:val="clear" w:color="auto" w:fill="CCEEFF"/>
          </w:tcPr>
          <w:p>
            <w:pPr>
              <w:spacing w:after="0"/>
              <w:rPr>
                <w:sz w:val="9"/>
                <w:szCs w:val="9"/>
                <w:color w:val="auto"/>
              </w:rPr>
            </w:pPr>
          </w:p>
        </w:tc>
        <w:tc>
          <w:tcPr>
            <w:tcW w:w="4860" w:type="dxa"/>
            <w:vAlign w:val="bottom"/>
            <w:gridSpan w:val="3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exercise of stock options</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85,396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65</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65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40" w:type="dxa"/>
            <w:vAlign w:val="bottom"/>
            <w:gridSpan w:val="3"/>
          </w:tcPr>
          <w:p>
            <w:pPr>
              <w:spacing w:after="0" w:line="122" w:lineRule="exact"/>
              <w:rPr>
                <w:sz w:val="20"/>
                <w:szCs w:val="20"/>
                <w:color w:val="auto"/>
              </w:rPr>
            </w:pPr>
            <w:r>
              <w:rPr>
                <w:rFonts w:ascii="Arial" w:cs="Arial" w:eastAsia="Arial" w:hAnsi="Arial"/>
                <w:sz w:val="11"/>
                <w:szCs w:val="11"/>
                <w:color w:val="auto"/>
              </w:rPr>
              <w:t>Vesting of restricted stock</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gridSpan w:val="3"/>
          </w:tcPr>
          <w:p>
            <w:pPr>
              <w:jc w:val="right"/>
              <w:spacing w:after="0" w:line="122" w:lineRule="exact"/>
              <w:rPr>
                <w:sz w:val="20"/>
                <w:szCs w:val="20"/>
                <w:color w:val="auto"/>
              </w:rPr>
            </w:pPr>
            <w:r>
              <w:rPr>
                <w:rFonts w:ascii="Arial" w:cs="Arial" w:eastAsia="Arial" w:hAnsi="Arial"/>
                <w:sz w:val="11"/>
                <w:szCs w:val="11"/>
                <w:color w:val="auto"/>
                <w:w w:val="90"/>
              </w:rPr>
              <w:t>161,159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gridSpan w:val="4"/>
          </w:tcPr>
          <w:p>
            <w:pPr>
              <w:jc w:val="right"/>
              <w:ind w:right="80"/>
              <w:spacing w:after="0" w:line="122" w:lineRule="exact"/>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gridSpan w:val="2"/>
          </w:tcPr>
          <w:p>
            <w:pPr>
              <w:jc w:val="right"/>
              <w:ind w:right="40"/>
              <w:spacing w:after="0" w:line="12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6"/>
            <w:shd w:val="clear" w:color="auto" w:fill="CCEEFF"/>
          </w:tcPr>
          <w:p>
            <w:pPr>
              <w:spacing w:after="0" w:line="122" w:lineRule="exact"/>
              <w:rPr>
                <w:sz w:val="20"/>
                <w:szCs w:val="20"/>
                <w:color w:val="auto"/>
              </w:rPr>
            </w:pPr>
            <w:r>
              <w:rPr>
                <w:rFonts w:ascii="Arial" w:cs="Arial" w:eastAsia="Arial" w:hAnsi="Arial"/>
                <w:sz w:val="11"/>
                <w:szCs w:val="11"/>
                <w:color w:val="auto"/>
                <w:w w:val="96"/>
              </w:rPr>
              <w:t>Vesting of early exercise stock options</w:t>
            </w: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CCEEFF"/>
            </w:tcBorders>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173,192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673</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gridSpan w:val="4"/>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b w:val="1"/>
                <w:bCs w:val="1"/>
                <w:color w:val="auto"/>
              </w:rPr>
              <w:t>673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40" w:type="dxa"/>
            <w:vAlign w:val="bottom"/>
            <w:gridSpan w:val="3"/>
          </w:tcPr>
          <w:p>
            <w:pPr>
              <w:spacing w:after="0" w:line="122" w:lineRule="exact"/>
              <w:rPr>
                <w:sz w:val="20"/>
                <w:szCs w:val="20"/>
                <w:color w:val="auto"/>
              </w:rPr>
            </w:pPr>
            <w:r>
              <w:rPr>
                <w:rFonts w:ascii="Arial" w:cs="Arial" w:eastAsia="Arial" w:hAnsi="Arial"/>
                <w:sz w:val="11"/>
                <w:szCs w:val="11"/>
                <w:color w:val="auto"/>
              </w:rPr>
              <w:t>Stock based compensation</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gridSpan w:val="3"/>
          </w:tcPr>
          <w:p>
            <w:pPr>
              <w:jc w:val="right"/>
              <w:spacing w:after="0" w:line="122" w:lineRule="exact"/>
              <w:rPr>
                <w:sz w:val="20"/>
                <w:szCs w:val="20"/>
                <w:color w:val="auto"/>
              </w:rPr>
            </w:pPr>
            <w:r>
              <w:rPr>
                <w:rFonts w:ascii="Arial" w:cs="Arial" w:eastAsia="Arial" w:hAnsi="Arial"/>
                <w:sz w:val="11"/>
                <w:szCs w:val="11"/>
                <w:color w:val="auto"/>
                <w:w w:val="94"/>
              </w:rPr>
              <w:t>2,380</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gridSpan w:val="4"/>
          </w:tcPr>
          <w:p>
            <w:pPr>
              <w:jc w:val="right"/>
              <w:ind w:right="80"/>
              <w:spacing w:after="0" w:line="122" w:lineRule="exact"/>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tcPr>
          <w:p>
            <w:pPr>
              <w:jc w:val="right"/>
              <w:ind w:right="40"/>
              <w:spacing w:after="0" w:line="122" w:lineRule="exact"/>
              <w:rPr>
                <w:sz w:val="20"/>
                <w:szCs w:val="20"/>
                <w:color w:val="auto"/>
              </w:rPr>
            </w:pPr>
            <w:r>
              <w:rPr>
                <w:rFonts w:ascii="Arial" w:cs="Arial" w:eastAsia="Arial" w:hAnsi="Arial"/>
                <w:sz w:val="11"/>
                <w:szCs w:val="11"/>
                <w:b w:val="1"/>
                <w:bCs w:val="1"/>
                <w:color w:val="auto"/>
              </w:rPr>
              <w:t>2,380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4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CCEEFF"/>
            </w:tcBorders>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(1,986)</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(1,986)</w:t>
            </w:r>
          </w:p>
        </w:tc>
        <w:tc>
          <w:tcPr>
            <w:tcW w:w="0" w:type="dxa"/>
            <w:vAlign w:val="bottom"/>
          </w:tcPr>
          <w:p>
            <w:pPr>
              <w:spacing w:after="0"/>
              <w:rPr>
                <w:sz w:val="1"/>
                <w:szCs w:val="1"/>
                <w:color w:val="auto"/>
              </w:rPr>
            </w:pPr>
          </w:p>
        </w:tc>
      </w:tr>
      <w:tr>
        <w:trPr>
          <w:trHeight w:val="121"/>
        </w:trPr>
        <w:tc>
          <w:tcPr>
            <w:tcW w:w="2260" w:type="dxa"/>
            <w:vAlign w:val="bottom"/>
            <w:gridSpan w:val="9"/>
          </w:tcPr>
          <w:p>
            <w:pPr>
              <w:spacing w:after="0"/>
              <w:rPr>
                <w:sz w:val="20"/>
                <w:szCs w:val="20"/>
                <w:color w:val="auto"/>
              </w:rPr>
            </w:pPr>
            <w:r>
              <w:rPr>
                <w:rFonts w:ascii="Arial" w:cs="Arial" w:eastAsia="Arial" w:hAnsi="Arial"/>
                <w:sz w:val="11"/>
                <w:szCs w:val="11"/>
                <w:color w:val="auto"/>
              </w:rPr>
              <w:t>Foreign currency translation</w:t>
            </w:r>
          </w:p>
        </w:tc>
        <w:tc>
          <w:tcPr>
            <w:tcW w:w="420" w:type="dxa"/>
            <w:vAlign w:val="bottom"/>
            <w:gridSpan w:val="4"/>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440" w:type="dxa"/>
            <w:vAlign w:val="bottom"/>
            <w:gridSpan w:val="3"/>
          </w:tcPr>
          <w:p>
            <w:pPr>
              <w:jc w:val="right"/>
              <w:ind w:right="106"/>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3"/>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4"/>
          </w:tcPr>
          <w:p>
            <w:pPr>
              <w:jc w:val="right"/>
              <w:ind w:right="286"/>
              <w:spacing w:after="0" w:line="122" w:lineRule="exact"/>
              <w:rPr>
                <w:sz w:val="20"/>
                <w:szCs w:val="20"/>
                <w:color w:val="auto"/>
              </w:rPr>
            </w:pPr>
            <w:r>
              <w:rPr>
                <w:rFonts w:ascii="Arial" w:cs="Arial" w:eastAsia="Arial" w:hAnsi="Arial"/>
                <w:sz w:val="11"/>
                <w:szCs w:val="11"/>
                <w:color w:val="auto"/>
              </w:rPr>
              <w:t>—</w:t>
            </w:r>
          </w:p>
        </w:tc>
        <w:tc>
          <w:tcPr>
            <w:tcW w:w="280" w:type="dxa"/>
            <w:vAlign w:val="bottom"/>
            <w:tcBorders>
              <w:right w:val="single" w:sz="8" w:color="auto"/>
            </w:tcBorders>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9"/>
          </w:tcPr>
          <w:p>
            <w:pPr>
              <w:spacing w:after="0"/>
              <w:rPr>
                <w:sz w:val="20"/>
                <w:szCs w:val="20"/>
                <w:color w:val="auto"/>
              </w:rPr>
            </w:pPr>
            <w:r>
              <w:rPr>
                <w:rFonts w:ascii="Arial" w:cs="Arial" w:eastAsia="Arial" w:hAnsi="Arial"/>
                <w:sz w:val="11"/>
                <w:szCs w:val="11"/>
                <w:color w:val="auto"/>
              </w:rPr>
              <w:t>—</w:t>
            </w:r>
          </w:p>
        </w:tc>
        <w:tc>
          <w:tcPr>
            <w:tcW w:w="640" w:type="dxa"/>
            <w:vAlign w:val="bottom"/>
            <w:gridSpan w:val="5"/>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4"/>
          </w:tcPr>
          <w:p>
            <w:pPr>
              <w:jc w:val="right"/>
              <w:ind w:right="486"/>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6"/>
          </w:tcPr>
          <w:p>
            <w:pPr>
              <w:jc w:val="right"/>
              <w:ind w:right="606"/>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5"/>
          </w:tcPr>
          <w:p>
            <w:pPr>
              <w:jc w:val="right"/>
              <w:ind w:right="666"/>
              <w:spacing w:after="0" w:line="122" w:lineRule="exact"/>
              <w:rPr>
                <w:sz w:val="20"/>
                <w:szCs w:val="20"/>
                <w:color w:val="auto"/>
              </w:rPr>
            </w:pPr>
            <w:r>
              <w:rPr>
                <w:rFonts w:ascii="Arial" w:cs="Arial" w:eastAsia="Arial" w:hAnsi="Arial"/>
                <w:sz w:val="11"/>
                <w:szCs w:val="11"/>
                <w:color w:val="auto"/>
              </w:rPr>
              <w:t>—</w:t>
            </w:r>
          </w:p>
        </w:tc>
        <w:tc>
          <w:tcPr>
            <w:tcW w:w="380" w:type="dxa"/>
            <w:vAlign w:val="bottom"/>
            <w:gridSpan w:val="6"/>
          </w:tcPr>
          <w:p>
            <w:pPr>
              <w:jc w:val="right"/>
              <w:ind w:right="184"/>
              <w:spacing w:after="0" w:line="122" w:lineRule="exact"/>
              <w:rPr>
                <w:sz w:val="20"/>
                <w:szCs w:val="20"/>
                <w:color w:val="auto"/>
              </w:rPr>
            </w:pPr>
            <w:r>
              <w:rPr>
                <w:rFonts w:ascii="Arial" w:cs="Arial" w:eastAsia="Arial" w:hAnsi="Arial"/>
                <w:sz w:val="11"/>
                <w:szCs w:val="11"/>
                <w:color w:val="auto"/>
              </w:rPr>
              <w:t>(6)</w:t>
            </w:r>
          </w:p>
        </w:tc>
        <w:tc>
          <w:tcPr>
            <w:tcW w:w="620" w:type="dxa"/>
            <w:vAlign w:val="bottom"/>
            <w:gridSpan w:val="3"/>
          </w:tcPr>
          <w:p>
            <w:pPr>
              <w:jc w:val="right"/>
              <w:spacing w:after="0" w:line="122" w:lineRule="exact"/>
              <w:rPr>
                <w:sz w:val="20"/>
                <w:szCs w:val="20"/>
                <w:color w:val="auto"/>
              </w:rPr>
            </w:pPr>
            <w:r>
              <w:rPr>
                <w:rFonts w:ascii="Arial" w:cs="Arial" w:eastAsia="Arial" w:hAnsi="Arial"/>
                <w:sz w:val="11"/>
                <w:szCs w:val="11"/>
                <w:b w:val="1"/>
                <w:bCs w:val="1"/>
                <w:color w:val="auto"/>
              </w:rPr>
              <w:t>(6)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40" w:type="dxa"/>
            <w:vAlign w:val="bottom"/>
            <w:tcBorders>
              <w:bottom w:val="single" w:sz="8" w:color="CCEEFF"/>
            </w:tcBorders>
            <w:gridSpan w:val="8"/>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420" w:type="dxa"/>
            <w:vAlign w:val="bottom"/>
            <w:tcBorders>
              <w:bottom w:val="single" w:sz="8" w:color="CCEEFF"/>
            </w:tcBorders>
            <w:gridSpan w:val="4"/>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320" w:type="dxa"/>
            <w:vAlign w:val="bottom"/>
            <w:tcBorders>
              <w:bottom w:val="single" w:sz="8" w:color="CCEEFF"/>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right w:val="single" w:sz="8" w:color="CCEEFF"/>
            </w:tcBorders>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tcBorders>
              <w:bottom w:val="single" w:sz="8" w:color="CCEEFF"/>
              <w:right w:val="single" w:sz="8" w:color="CCEEFF"/>
            </w:tcBorders>
            <w:gridSpan w:val="4"/>
            <w:shd w:val="clear" w:color="auto" w:fill="CCEEFF"/>
          </w:tcPr>
          <w:p>
            <w:pPr>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CCEEFF"/>
              <w:right w:val="single" w:sz="8" w:color="auto"/>
            </w:tcBorders>
            <w:gridSpan w:val="3"/>
            <w:shd w:val="clear" w:color="auto" w:fill="CCEEFF"/>
          </w:tcPr>
          <w:p>
            <w:pPr>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auto"/>
            </w:tcBorders>
            <w:gridSpan w:val="5"/>
            <w:shd w:val="clear" w:color="auto" w:fill="CCEEFF"/>
          </w:tcPr>
          <w:p>
            <w:pPr>
              <w:jc w:val="right"/>
              <w:ind w:right="720"/>
              <w:spacing w:after="0"/>
              <w:rPr>
                <w:sz w:val="20"/>
                <w:szCs w:val="20"/>
                <w:color w:val="auto"/>
              </w:rPr>
            </w:pPr>
            <w:r>
              <w:rPr>
                <w:rFonts w:ascii="Arial" w:cs="Arial" w:eastAsia="Arial" w:hAnsi="Arial"/>
                <w:sz w:val="11"/>
                <w:szCs w:val="11"/>
                <w:color w:val="auto"/>
              </w:rPr>
              <w:t>(37,513)</w:t>
            </w:r>
          </w:p>
        </w:tc>
        <w:tc>
          <w:tcPr>
            <w:tcW w:w="6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gridSpan w:val="2"/>
            <w:shd w:val="clear" w:color="auto" w:fill="CCEEFF"/>
          </w:tcPr>
          <w:p>
            <w:pPr>
              <w:spacing w:after="0"/>
              <w:rPr>
                <w:sz w:val="10"/>
                <w:szCs w:val="10"/>
                <w:color w:val="auto"/>
              </w:rPr>
            </w:pPr>
          </w:p>
        </w:tc>
        <w:tc>
          <w:tcPr>
            <w:tcW w:w="280" w:type="dxa"/>
            <w:vAlign w:val="bottom"/>
            <w:tcBorders>
              <w:bottom w:val="single" w:sz="8" w:color="auto"/>
            </w:tcBorders>
            <w:gridSpan w:val="2"/>
            <w:shd w:val="clear" w:color="auto" w:fill="CCEEFF"/>
          </w:tcPr>
          <w:p>
            <w:pPr>
              <w:spacing w:after="0"/>
              <w:rPr>
                <w:sz w:val="10"/>
                <w:szCs w:val="10"/>
                <w:color w:val="auto"/>
              </w:rPr>
            </w:pPr>
          </w:p>
        </w:tc>
        <w:tc>
          <w:tcPr>
            <w:tcW w:w="420" w:type="dxa"/>
            <w:vAlign w:val="bottom"/>
            <w:tcBorders>
              <w:bottom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w w:val="97"/>
              </w:rPr>
              <w:t>(37,513)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Balance, March 31, 2022</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6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18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w:t>
            </w:r>
          </w:p>
        </w:tc>
        <w:tc>
          <w:tcPr>
            <w:tcW w:w="32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18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420" w:type="dxa"/>
            <w:vAlign w:val="bottom"/>
            <w:gridSpan w:val="2"/>
          </w:tcPr>
          <w:p>
            <w:pPr>
              <w:jc w:val="right"/>
              <w:ind w:right="140"/>
              <w:spacing w:after="0" w:line="102"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2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220" w:type="dxa"/>
            <w:vAlign w:val="bottom"/>
            <w:gridSpan w:val="2"/>
          </w:tcPr>
          <w:p>
            <w:pPr>
              <w:jc w:val="right"/>
              <w:ind w:right="46"/>
              <w:spacing w:after="0" w:line="102"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20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Borders>
              <w:top w:val="single" w:sz="8" w:color="auto"/>
            </w:tcBorders>
            <w:gridSpan w:val="4"/>
          </w:tcPr>
          <w:p>
            <w:pPr>
              <w:jc w:val="right"/>
              <w:spacing w:after="0" w:line="102" w:lineRule="exact"/>
              <w:rPr>
                <w:sz w:val="20"/>
                <w:szCs w:val="20"/>
                <w:color w:val="auto"/>
              </w:rPr>
            </w:pPr>
            <w:r>
              <w:rPr>
                <w:rFonts w:ascii="Arial" w:cs="Arial" w:eastAsia="Arial" w:hAnsi="Arial"/>
                <w:sz w:val="11"/>
                <w:szCs w:val="11"/>
                <w:b w:val="1"/>
                <w:bCs w:val="1"/>
                <w:color w:val="auto"/>
                <w:w w:val="94"/>
              </w:rPr>
              <w:t>57,586,030</w:t>
            </w:r>
          </w:p>
        </w:tc>
        <w:tc>
          <w:tcPr>
            <w:tcW w:w="80" w:type="dxa"/>
            <w:vAlign w:val="bottom"/>
          </w:tcPr>
          <w:p>
            <w:pPr>
              <w:spacing w:after="0"/>
              <w:rPr>
                <w:sz w:val="8"/>
                <w:szCs w:val="8"/>
                <w:color w:val="auto"/>
              </w:rPr>
            </w:pPr>
          </w:p>
        </w:tc>
        <w:tc>
          <w:tcPr>
            <w:tcW w:w="6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w w:val="71"/>
              </w:rPr>
              <w:t>$</w:t>
            </w:r>
          </w:p>
        </w:tc>
        <w:tc>
          <w:tcPr>
            <w:tcW w:w="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6</w:t>
            </w:r>
          </w:p>
        </w:tc>
        <w:tc>
          <w:tcPr>
            <w:tcW w:w="60" w:type="dxa"/>
            <w:vAlign w:val="bottom"/>
          </w:tcPr>
          <w:p>
            <w:pPr>
              <w:spacing w:after="0"/>
              <w:rPr>
                <w:sz w:val="8"/>
                <w:szCs w:val="8"/>
                <w:color w:val="auto"/>
              </w:rPr>
            </w:pPr>
          </w:p>
        </w:tc>
        <w:tc>
          <w:tcPr>
            <w:tcW w:w="520" w:type="dxa"/>
            <w:vAlign w:val="bottom"/>
            <w:tcBorders>
              <w:top w:val="single" w:sz="8" w:color="auto"/>
            </w:tcBorders>
            <w:gridSpan w:val="4"/>
          </w:tcPr>
          <w:p>
            <w:pPr>
              <w:jc w:val="right"/>
              <w:spacing w:after="0" w:line="102" w:lineRule="exact"/>
              <w:rPr>
                <w:sz w:val="20"/>
                <w:szCs w:val="20"/>
                <w:color w:val="auto"/>
              </w:rPr>
            </w:pPr>
            <w:r>
              <w:rPr>
                <w:rFonts w:ascii="Arial" w:cs="Arial" w:eastAsia="Arial" w:hAnsi="Arial"/>
                <w:sz w:val="11"/>
                <w:szCs w:val="11"/>
                <w:b w:val="1"/>
                <w:bCs w:val="1"/>
                <w:color w:val="auto"/>
                <w:w w:val="93"/>
              </w:rPr>
              <w:t>$ 814,979</w:t>
            </w:r>
          </w:p>
        </w:tc>
        <w:tc>
          <w:tcPr>
            <w:tcW w:w="60" w:type="dxa"/>
            <w:vAlign w:val="bottom"/>
          </w:tcPr>
          <w:p>
            <w:pPr>
              <w:spacing w:after="0"/>
              <w:rPr>
                <w:sz w:val="8"/>
                <w:szCs w:val="8"/>
                <w:color w:val="auto"/>
              </w:rPr>
            </w:pPr>
          </w:p>
        </w:tc>
        <w:tc>
          <w:tcPr>
            <w:tcW w:w="380" w:type="dxa"/>
            <w:vAlign w:val="bottom"/>
            <w:tcBorders>
              <w:top w:val="single" w:sz="8" w:color="auto"/>
            </w:tcBorders>
          </w:tcPr>
          <w:p>
            <w:pPr>
              <w:jc w:val="right"/>
              <w:ind w:right="267"/>
              <w:spacing w:after="0" w:line="102" w:lineRule="exact"/>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gridSpan w:val="2"/>
          </w:tcPr>
          <w:p>
            <w:pPr>
              <w:jc w:val="right"/>
              <w:ind w:right="40"/>
              <w:spacing w:after="0" w:line="102"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40" w:type="dxa"/>
            <w:vAlign w:val="bottom"/>
            <w:tcBorders>
              <w:top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tcBorders>
            <w:gridSpan w:val="4"/>
          </w:tcPr>
          <w:p>
            <w:pPr>
              <w:jc w:val="right"/>
              <w:spacing w:after="0" w:line="102" w:lineRule="exact"/>
              <w:rPr>
                <w:sz w:val="20"/>
                <w:szCs w:val="20"/>
                <w:color w:val="auto"/>
              </w:rPr>
            </w:pPr>
            <w:r>
              <w:rPr>
                <w:rFonts w:ascii="Arial" w:cs="Arial" w:eastAsia="Arial" w:hAnsi="Arial"/>
                <w:sz w:val="11"/>
                <w:szCs w:val="11"/>
                <w:b w:val="1"/>
                <w:bCs w:val="1"/>
                <w:color w:val="auto"/>
              </w:rPr>
              <w:t>(425,679)</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b w:val="1"/>
                <w:bCs w:val="1"/>
                <w:color w:val="auto"/>
              </w:rPr>
              <w:t>$</w:t>
            </w:r>
          </w:p>
        </w:tc>
        <w:tc>
          <w:tcPr>
            <w:tcW w:w="700" w:type="dxa"/>
            <w:vAlign w:val="bottom"/>
            <w:tcBorders>
              <w:top w:val="single" w:sz="8" w:color="auto"/>
            </w:tcBorders>
            <w:gridSpan w:val="4"/>
          </w:tcPr>
          <w:p>
            <w:pPr>
              <w:jc w:val="right"/>
              <w:spacing w:after="0" w:line="102" w:lineRule="exact"/>
              <w:rPr>
                <w:sz w:val="20"/>
                <w:szCs w:val="20"/>
                <w:color w:val="auto"/>
              </w:rPr>
            </w:pPr>
            <w:r>
              <w:rPr>
                <w:rFonts w:ascii="Arial" w:cs="Arial" w:eastAsia="Arial" w:hAnsi="Arial"/>
                <w:sz w:val="11"/>
                <w:szCs w:val="11"/>
                <w:b w:val="1"/>
                <w:bCs w:val="1"/>
                <w:color w:val="auto"/>
              </w:rPr>
              <w:t>(2,642)</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jc w:val="right"/>
              <w:ind w:right="4"/>
              <w:spacing w:after="0"/>
              <w:rPr>
                <w:sz w:val="20"/>
                <w:szCs w:val="20"/>
                <w:color w:val="auto"/>
              </w:rPr>
            </w:pPr>
            <w:r>
              <w:rPr>
                <w:rFonts w:ascii="Arial" w:cs="Arial" w:eastAsia="Arial" w:hAnsi="Arial"/>
                <w:sz w:val="5"/>
                <w:szCs w:val="5"/>
                <w:b w:val="1"/>
                <w:bCs w:val="1"/>
                <w:color w:val="auto"/>
                <w:w w:val="70"/>
              </w:rPr>
              <w:t>$</w:t>
            </w:r>
          </w:p>
        </w:tc>
        <w:tc>
          <w:tcPr>
            <w:tcW w:w="200" w:type="dxa"/>
            <w:vAlign w:val="bottom"/>
            <w:tcBorders>
              <w:top w:val="single" w:sz="8" w:color="auto"/>
            </w:tcBorders>
          </w:tcPr>
          <w:p>
            <w:pPr>
              <w:spacing w:after="0"/>
              <w:rPr>
                <w:sz w:val="8"/>
                <w:szCs w:val="8"/>
                <w:color w:val="auto"/>
              </w:rPr>
            </w:pPr>
          </w:p>
        </w:tc>
        <w:tc>
          <w:tcPr>
            <w:tcW w:w="420" w:type="dxa"/>
            <w:vAlign w:val="bottom"/>
            <w:gridSpan w:val="2"/>
          </w:tcPr>
          <w:p>
            <w:pPr>
              <w:jc w:val="right"/>
              <w:ind w:right="40"/>
              <w:spacing w:after="0" w:line="102" w:lineRule="exact"/>
              <w:rPr>
                <w:sz w:val="20"/>
                <w:szCs w:val="20"/>
                <w:color w:val="auto"/>
              </w:rPr>
            </w:pPr>
            <w:r>
              <w:rPr>
                <w:rFonts w:ascii="Arial" w:cs="Arial" w:eastAsia="Arial" w:hAnsi="Arial"/>
                <w:sz w:val="11"/>
                <w:szCs w:val="11"/>
                <w:b w:val="1"/>
                <w:bCs w:val="1"/>
                <w:color w:val="auto"/>
                <w:w w:val="90"/>
              </w:rPr>
              <w:t>386,664</w:t>
            </w:r>
          </w:p>
        </w:tc>
        <w:tc>
          <w:tcPr>
            <w:tcW w:w="0" w:type="dxa"/>
            <w:vAlign w:val="bottom"/>
          </w:tcPr>
          <w:p>
            <w:pPr>
              <w:spacing w:after="0"/>
              <w:rPr>
                <w:sz w:val="1"/>
                <w:szCs w:val="1"/>
                <w:color w:val="auto"/>
              </w:rPr>
            </w:pPr>
          </w:p>
        </w:tc>
      </w:tr>
      <w:tr>
        <w:trPr>
          <w:trHeight w:val="20"/>
        </w:trPr>
        <w:tc>
          <w:tcPr>
            <w:tcW w:w="2100" w:type="dxa"/>
            <w:vAlign w:val="bottom"/>
            <w:gridSpan w:val="8"/>
          </w:tcPr>
          <w:p>
            <w:pPr>
              <w:spacing w:after="0" w:line="20" w:lineRule="exact"/>
              <w:rPr>
                <w:sz w:val="1"/>
                <w:szCs w:val="1"/>
                <w:color w:val="auto"/>
              </w:rPr>
            </w:pPr>
          </w:p>
        </w:tc>
        <w:tc>
          <w:tcPr>
            <w:tcW w:w="40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900" w:type="dxa"/>
            <w:vAlign w:val="bottom"/>
            <w:gridSpan w:val="66"/>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20" w:type="dxa"/>
            <w:vAlign w:val="bottom"/>
            <w:gridSpan w:val="15"/>
          </w:tcPr>
          <w:p>
            <w:pPr>
              <w:spacing w:after="0"/>
              <w:rPr>
                <w:sz w:val="20"/>
                <w:szCs w:val="20"/>
                <w:color w:val="auto"/>
              </w:rPr>
            </w:pPr>
            <w:r>
              <w:rPr>
                <w:rFonts w:ascii="Arial" w:cs="Arial" w:eastAsia="Arial" w:hAnsi="Arial"/>
                <w:sz w:val="11"/>
                <w:szCs w:val="11"/>
                <w:color w:val="auto"/>
              </w:rPr>
              <w:t>Series A</w:t>
            </w:r>
          </w:p>
        </w:tc>
        <w:tc>
          <w:tcPr>
            <w:tcW w:w="1160" w:type="dxa"/>
            <w:vAlign w:val="bottom"/>
            <w:gridSpan w:val="7"/>
          </w:tcPr>
          <w:p>
            <w:pPr>
              <w:jc w:val="right"/>
              <w:ind w:right="646"/>
              <w:spacing w:after="0"/>
              <w:rPr>
                <w:sz w:val="20"/>
                <w:szCs w:val="20"/>
                <w:color w:val="auto"/>
              </w:rPr>
            </w:pPr>
            <w:r>
              <w:rPr>
                <w:rFonts w:ascii="Arial" w:cs="Arial" w:eastAsia="Arial" w:hAnsi="Arial"/>
                <w:sz w:val="11"/>
                <w:szCs w:val="11"/>
                <w:color w:val="auto"/>
              </w:rPr>
              <w:t>Series B</w:t>
            </w:r>
          </w:p>
        </w:tc>
        <w:tc>
          <w:tcPr>
            <w:tcW w:w="500" w:type="dxa"/>
            <w:vAlign w:val="bottom"/>
            <w:tcBorders>
              <w:right w:val="single" w:sz="8" w:color="auto"/>
            </w:tcBorders>
            <w:gridSpan w:val="3"/>
          </w:tcPr>
          <w:p>
            <w:pPr>
              <w:jc w:val="right"/>
              <w:ind w:right="6"/>
              <w:spacing w:after="0"/>
              <w:rPr>
                <w:sz w:val="20"/>
                <w:szCs w:val="20"/>
                <w:color w:val="auto"/>
              </w:rPr>
            </w:pPr>
            <w:r>
              <w:rPr>
                <w:rFonts w:ascii="Arial" w:cs="Arial" w:eastAsia="Arial" w:hAnsi="Arial"/>
                <w:sz w:val="11"/>
                <w:szCs w:val="11"/>
                <w:color w:val="auto"/>
                <w:w w:val="99"/>
              </w:rPr>
              <w:t>Series C</w:t>
            </w:r>
          </w:p>
        </w:tc>
        <w:tc>
          <w:tcPr>
            <w:tcW w:w="5220" w:type="dxa"/>
            <w:vAlign w:val="bottom"/>
            <w:gridSpan w:val="41"/>
          </w:tcPr>
          <w:p>
            <w:pPr>
              <w:spacing w:after="0"/>
              <w:rPr>
                <w:sz w:val="20"/>
                <w:szCs w:val="20"/>
                <w:color w:val="auto"/>
              </w:rPr>
            </w:pPr>
            <w:r>
              <w:rPr>
                <w:rFonts w:ascii="Arial" w:cs="Arial" w:eastAsia="Arial" w:hAnsi="Arial"/>
                <w:sz w:val="11"/>
                <w:szCs w:val="11"/>
                <w:color w:val="auto"/>
              </w:rPr>
              <w:t>Accumulated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gridSpan w:val="5"/>
          </w:tcPr>
          <w:p>
            <w:pPr>
              <w:jc w:val="right"/>
              <w:spacing w:after="0" w:line="122" w:lineRule="exact"/>
              <w:rPr>
                <w:sz w:val="20"/>
                <w:szCs w:val="20"/>
                <w:color w:val="auto"/>
              </w:rPr>
            </w:pPr>
            <w:r>
              <w:rPr>
                <w:rFonts w:ascii="Arial" w:cs="Arial" w:eastAsia="Arial" w:hAnsi="Arial"/>
                <w:sz w:val="11"/>
                <w:szCs w:val="11"/>
                <w:color w:val="auto"/>
                <w:w w:val="96"/>
              </w:rPr>
              <w:t>Convertible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Convertible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gridSpan w:val="4"/>
          </w:tcPr>
          <w:p>
            <w:pPr>
              <w:jc w:val="right"/>
              <w:ind w:right="6"/>
              <w:spacing w:after="0" w:line="122" w:lineRule="exact"/>
              <w:rPr>
                <w:sz w:val="20"/>
                <w:szCs w:val="20"/>
                <w:color w:val="auto"/>
              </w:rPr>
            </w:pPr>
            <w:r>
              <w:rPr>
                <w:rFonts w:ascii="Arial" w:cs="Arial" w:eastAsia="Arial" w:hAnsi="Arial"/>
                <w:sz w:val="11"/>
                <w:szCs w:val="11"/>
                <w:color w:val="auto"/>
                <w:w w:val="89"/>
              </w:rPr>
              <w:t>Convertible</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3"/>
          </w:tcPr>
          <w:p>
            <w:pPr>
              <w:jc w:val="right"/>
              <w:ind w:right="6"/>
              <w:spacing w:after="0" w:line="122" w:lineRule="exact"/>
              <w:rPr>
                <w:sz w:val="20"/>
                <w:szCs w:val="20"/>
                <w:color w:val="auto"/>
              </w:rPr>
            </w:pPr>
            <w:r>
              <w:rPr>
                <w:rFonts w:ascii="Arial" w:cs="Arial" w:eastAsia="Arial" w:hAnsi="Arial"/>
                <w:sz w:val="11"/>
                <w:szCs w:val="11"/>
                <w:color w:val="auto"/>
                <w:w w:val="90"/>
              </w:rPr>
              <w:t>Additional</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Other</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w w:val="97"/>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color w:val="auto"/>
              </w:rPr>
              <w:t>Preferred Stock</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color w:val="auto"/>
              </w:rPr>
              <w:t>Preferred Stock</w:t>
            </w: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gridSpan w:val="6"/>
          </w:tcPr>
          <w:p>
            <w:pPr>
              <w:jc w:val="right"/>
              <w:ind w:right="6"/>
              <w:spacing w:after="0"/>
              <w:rPr>
                <w:sz w:val="20"/>
                <w:szCs w:val="20"/>
                <w:color w:val="auto"/>
              </w:rPr>
            </w:pPr>
            <w:r>
              <w:rPr>
                <w:rFonts w:ascii="Arial" w:cs="Arial" w:eastAsia="Arial" w:hAnsi="Arial"/>
                <w:sz w:val="11"/>
                <w:szCs w:val="11"/>
                <w:color w:val="auto"/>
              </w:rPr>
              <w:t>Preferred Stock</w:t>
            </w:r>
          </w:p>
        </w:tc>
        <w:tc>
          <w:tcPr>
            <w:tcW w:w="80" w:type="dxa"/>
            <w:vAlign w:val="bottom"/>
          </w:tcPr>
          <w:p>
            <w:pPr>
              <w:spacing w:after="0"/>
              <w:rPr>
                <w:sz w:val="11"/>
                <w:szCs w:val="11"/>
                <w:color w:val="auto"/>
              </w:rPr>
            </w:pPr>
          </w:p>
        </w:tc>
        <w:tc>
          <w:tcPr>
            <w:tcW w:w="900" w:type="dxa"/>
            <w:vAlign w:val="bottom"/>
            <w:tcBorders>
              <w:bottom w:val="single" w:sz="8" w:color="auto"/>
            </w:tcBorders>
            <w:gridSpan w:val="7"/>
          </w:tcPr>
          <w:p>
            <w:pPr>
              <w:jc w:val="right"/>
              <w:spacing w:after="0"/>
              <w:rPr>
                <w:sz w:val="20"/>
                <w:szCs w:val="20"/>
                <w:color w:val="auto"/>
              </w:rPr>
            </w:pPr>
            <w:r>
              <w:rPr>
                <w:rFonts w:ascii="Arial" w:cs="Arial" w:eastAsia="Arial" w:hAnsi="Arial"/>
                <w:sz w:val="11"/>
                <w:szCs w:val="11"/>
                <w:color w:val="auto"/>
              </w:rPr>
              <w:t>Common Stock</w:t>
            </w: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0" w:type="dxa"/>
            <w:vAlign w:val="bottom"/>
            <w:gridSpan w:val="20"/>
          </w:tcPr>
          <w:p>
            <w:pPr>
              <w:jc w:val="right"/>
              <w:spacing w:after="0"/>
              <w:rPr>
                <w:sz w:val="20"/>
                <w:szCs w:val="20"/>
                <w:color w:val="auto"/>
              </w:rPr>
            </w:pPr>
            <w:r>
              <w:rPr>
                <w:rFonts w:ascii="Arial" w:cs="Arial" w:eastAsia="Arial" w:hAnsi="Arial"/>
                <w:sz w:val="11"/>
                <w:szCs w:val="11"/>
                <w:color w:val="auto"/>
              </w:rPr>
              <w:t>Paid-in   Subscription   Accumulated   Comprehensive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5"/>
          </w:tcPr>
          <w:p>
            <w:pPr>
              <w:jc w:val="right"/>
              <w:ind w:right="160"/>
              <w:spacing w:after="0"/>
              <w:rPr>
                <w:sz w:val="20"/>
                <w:szCs w:val="20"/>
                <w:color w:val="auto"/>
              </w:rPr>
            </w:pPr>
            <w:r>
              <w:rPr>
                <w:rFonts w:ascii="Arial" w:cs="Arial" w:eastAsia="Arial" w:hAnsi="Arial"/>
                <w:sz w:val="11"/>
                <w:szCs w:val="11"/>
                <w:color w:val="auto"/>
                <w:w w:val="93"/>
              </w:rPr>
              <w:t>Stockholders’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Shares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tcPr>
          <w:p>
            <w:pPr>
              <w:jc w:val="right"/>
              <w:spacing w:after="0" w:line="115" w:lineRule="exact"/>
              <w:rPr>
                <w:sz w:val="20"/>
                <w:szCs w:val="20"/>
                <w:color w:val="auto"/>
              </w:rPr>
            </w:pPr>
            <w:r>
              <w:rPr>
                <w:rFonts w:ascii="Arial" w:cs="Arial" w:eastAsia="Arial" w:hAnsi="Arial"/>
                <w:sz w:val="11"/>
                <w:szCs w:val="11"/>
                <w:color w:val="auto"/>
                <w:w w:val="94"/>
              </w:rPr>
              <w:t>Amount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ind w:left="20"/>
              <w:spacing w:after="0" w:line="115" w:lineRule="exact"/>
              <w:rPr>
                <w:sz w:val="20"/>
                <w:szCs w:val="20"/>
                <w:color w:val="auto"/>
              </w:rPr>
            </w:pPr>
            <w:r>
              <w:rPr>
                <w:rFonts w:ascii="Arial" w:cs="Arial" w:eastAsia="Arial" w:hAnsi="Arial"/>
                <w:sz w:val="11"/>
                <w:szCs w:val="11"/>
                <w:color w:val="auto"/>
              </w:rPr>
              <w:t>Shares</w:t>
            </w:r>
          </w:p>
        </w:tc>
        <w:tc>
          <w:tcPr>
            <w:tcW w:w="20" w:type="dxa"/>
            <w:vAlign w:val="bottom"/>
          </w:tcPr>
          <w:p>
            <w:pPr>
              <w:spacing w:after="0"/>
              <w:rPr>
                <w:sz w:val="10"/>
                <w:szCs w:val="10"/>
                <w:color w:val="auto"/>
              </w:rPr>
            </w:pPr>
          </w:p>
        </w:tc>
        <w:tc>
          <w:tcPr>
            <w:tcW w:w="4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right"/>
              <w:ind w:right="40"/>
              <w:spacing w:after="0" w:line="115" w:lineRule="exact"/>
              <w:rPr>
                <w:sz w:val="20"/>
                <w:szCs w:val="20"/>
                <w:color w:val="auto"/>
              </w:rPr>
            </w:pPr>
            <w:r>
              <w:rPr>
                <w:rFonts w:ascii="Arial" w:cs="Arial" w:eastAsia="Arial" w:hAnsi="Arial"/>
                <w:sz w:val="11"/>
                <w:szCs w:val="11"/>
                <w:color w:val="auto"/>
              </w:rPr>
              <w:t>Shares</w:t>
            </w:r>
          </w:p>
        </w:tc>
        <w:tc>
          <w:tcPr>
            <w:tcW w:w="80" w:type="dxa"/>
            <w:vAlign w:val="bottom"/>
          </w:tcPr>
          <w:p>
            <w:pPr>
              <w:spacing w:after="0"/>
              <w:rPr>
                <w:sz w:val="10"/>
                <w:szCs w:val="10"/>
                <w:color w:val="auto"/>
              </w:rPr>
            </w:pPr>
          </w:p>
        </w:tc>
        <w:tc>
          <w:tcPr>
            <w:tcW w:w="500" w:type="dxa"/>
            <w:vAlign w:val="bottom"/>
            <w:tcBorders>
              <w:right w:val="single" w:sz="8" w:color="auto"/>
            </w:tcBorders>
            <w:gridSpan w:val="3"/>
          </w:tcPr>
          <w:p>
            <w:pPr>
              <w:jc w:val="right"/>
              <w:ind w:right="6"/>
              <w:spacing w:after="0" w:line="115" w:lineRule="exact"/>
              <w:rPr>
                <w:sz w:val="20"/>
                <w:szCs w:val="20"/>
                <w:color w:val="auto"/>
              </w:rPr>
            </w:pPr>
            <w:r>
              <w:rPr>
                <w:rFonts w:ascii="Arial" w:cs="Arial" w:eastAsia="Arial" w:hAnsi="Arial"/>
                <w:sz w:val="11"/>
                <w:szCs w:val="11"/>
                <w:color w:val="auto"/>
              </w:rPr>
              <w:t>Amount</w:t>
            </w:r>
          </w:p>
        </w:tc>
        <w:tc>
          <w:tcPr>
            <w:tcW w:w="80" w:type="dxa"/>
            <w:vAlign w:val="bottom"/>
          </w:tcPr>
          <w:p>
            <w:pPr>
              <w:spacing w:after="0"/>
              <w:rPr>
                <w:sz w:val="10"/>
                <w:szCs w:val="10"/>
                <w:color w:val="auto"/>
              </w:rPr>
            </w:pPr>
          </w:p>
        </w:tc>
        <w:tc>
          <w:tcPr>
            <w:tcW w:w="480" w:type="dxa"/>
            <w:vAlign w:val="bottom"/>
            <w:gridSpan w:val="4"/>
          </w:tcPr>
          <w:p>
            <w:pPr>
              <w:jc w:val="right"/>
              <w:spacing w:after="0" w:line="115" w:lineRule="exact"/>
              <w:rPr>
                <w:sz w:val="20"/>
                <w:szCs w:val="20"/>
                <w:color w:val="auto"/>
              </w:rPr>
            </w:pPr>
            <w:r>
              <w:rPr>
                <w:rFonts w:ascii="Arial" w:cs="Arial" w:eastAsia="Arial" w:hAnsi="Arial"/>
                <w:sz w:val="11"/>
                <w:szCs w:val="11"/>
                <w:color w:val="auto"/>
              </w:rPr>
              <w:t>Shares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Amount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3"/>
          </w:tcPr>
          <w:p>
            <w:pPr>
              <w:jc w:val="right"/>
              <w:ind w:right="6"/>
              <w:spacing w:after="0" w:line="115" w:lineRule="exact"/>
              <w:rPr>
                <w:sz w:val="20"/>
                <w:szCs w:val="20"/>
                <w:color w:val="auto"/>
              </w:rPr>
            </w:pPr>
            <w:r>
              <w:rPr>
                <w:rFonts w:ascii="Arial" w:cs="Arial" w:eastAsia="Arial" w:hAnsi="Arial"/>
                <w:sz w:val="11"/>
                <w:szCs w:val="11"/>
                <w:color w:val="auto"/>
              </w:rPr>
              <w:t>Capital</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Receivable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jc w:val="right"/>
              <w:spacing w:after="0" w:line="115" w:lineRule="exact"/>
              <w:rPr>
                <w:sz w:val="20"/>
                <w:szCs w:val="20"/>
                <w:color w:val="auto"/>
              </w:rPr>
            </w:pPr>
            <w:r>
              <w:rPr>
                <w:rFonts w:ascii="Arial" w:cs="Arial" w:eastAsia="Arial" w:hAnsi="Arial"/>
                <w:sz w:val="11"/>
                <w:szCs w:val="11"/>
                <w:color w:val="auto"/>
              </w:rPr>
              <w:t>Deficit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Loss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Deficit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100" w:type="dxa"/>
            <w:vAlign w:val="bottom"/>
            <w:tcBorders>
              <w:top w:val="single" w:sz="8" w:color="CCEEFF"/>
            </w:tcBorders>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Balance,</w:t>
            </w:r>
          </w:p>
        </w:tc>
        <w:tc>
          <w:tcPr>
            <w:tcW w:w="580" w:type="dxa"/>
            <w:vAlign w:val="bottom"/>
            <w:tcBorders>
              <w:top w:val="single" w:sz="8" w:color="auto"/>
            </w:tcBorders>
            <w:gridSpan w:val="2"/>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gridSpan w:val="3"/>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right w:val="single" w:sz="8" w:color="CCEEFF"/>
            </w:tcBorders>
            <w:gridSpan w:val="4"/>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auto"/>
              <w:right w:val="single" w:sz="8" w:color="CCEEFF"/>
            </w:tcBorders>
            <w:gridSpan w:val="6"/>
            <w:shd w:val="clear" w:color="auto" w:fill="CCEEFF"/>
          </w:tcPr>
          <w:p>
            <w:pPr>
              <w:spacing w:after="0"/>
              <w:rPr>
                <w:sz w:val="7"/>
                <w:szCs w:val="7"/>
                <w:color w:val="auto"/>
              </w:rPr>
            </w:pPr>
          </w:p>
        </w:tc>
        <w:tc>
          <w:tcPr>
            <w:tcW w:w="580" w:type="dxa"/>
            <w:vAlign w:val="bottom"/>
            <w:tcBorders>
              <w:top w:val="single" w:sz="8" w:color="auto"/>
              <w:right w:val="single" w:sz="8" w:color="auto"/>
            </w:tcBorders>
            <w:gridSpan w:val="4"/>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auto"/>
              <w:right w:val="single" w:sz="8" w:color="CCEEFF"/>
            </w:tcBorders>
            <w:gridSpan w:val="2"/>
            <w:shd w:val="clear" w:color="auto" w:fill="CCEEFF"/>
          </w:tcPr>
          <w:p>
            <w:pPr>
              <w:spacing w:after="0"/>
              <w:rPr>
                <w:sz w:val="7"/>
                <w:szCs w:val="7"/>
                <w:color w:val="auto"/>
              </w:rPr>
            </w:pPr>
          </w:p>
        </w:tc>
        <w:tc>
          <w:tcPr>
            <w:tcW w:w="240" w:type="dxa"/>
            <w:vAlign w:val="bottom"/>
            <w:tcBorders>
              <w:top w:val="single" w:sz="8" w:color="auto"/>
            </w:tcBorders>
            <w:gridSpan w:val="3"/>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gridSpan w:val="4"/>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gridSpan w:val="3"/>
            <w:shd w:val="clear" w:color="auto" w:fill="CCEEFF"/>
          </w:tcPr>
          <w:p>
            <w:pPr>
              <w:spacing w:after="0"/>
              <w:rPr>
                <w:sz w:val="7"/>
                <w:szCs w:val="7"/>
                <w:color w:val="auto"/>
              </w:rPr>
            </w:pPr>
          </w:p>
        </w:tc>
        <w:tc>
          <w:tcPr>
            <w:tcW w:w="120" w:type="dxa"/>
            <w:vAlign w:val="bottom"/>
            <w:tcBorders>
              <w:top w:val="single" w:sz="8" w:color="CCEEFF"/>
            </w:tcBorders>
            <w:gridSpan w:val="2"/>
            <w:shd w:val="clear" w:color="auto" w:fill="CCEEFF"/>
          </w:tcPr>
          <w:p>
            <w:pPr>
              <w:spacing w:after="0"/>
              <w:rPr>
                <w:sz w:val="7"/>
                <w:szCs w:val="7"/>
                <w:color w:val="auto"/>
              </w:rPr>
            </w:pPr>
          </w:p>
        </w:tc>
        <w:tc>
          <w:tcPr>
            <w:tcW w:w="640" w:type="dxa"/>
            <w:vAlign w:val="bottom"/>
            <w:tcBorders>
              <w:top w:val="single" w:sz="8" w:color="auto"/>
            </w:tcBorders>
            <w:gridSpan w:val="3"/>
            <w:shd w:val="clear" w:color="auto" w:fill="CCEEFF"/>
          </w:tcPr>
          <w:p>
            <w:pPr>
              <w:spacing w:after="0"/>
              <w:rPr>
                <w:sz w:val="7"/>
                <w:szCs w:val="7"/>
                <w:color w:val="auto"/>
              </w:rPr>
            </w:pPr>
          </w:p>
        </w:tc>
        <w:tc>
          <w:tcPr>
            <w:tcW w:w="140" w:type="dxa"/>
            <w:vAlign w:val="bottom"/>
            <w:tcBorders>
              <w:top w:val="single" w:sz="8" w:color="CCEEFF"/>
            </w:tcBorders>
            <w:gridSpan w:val="2"/>
            <w:shd w:val="clear" w:color="auto" w:fill="CCEEFF"/>
          </w:tcPr>
          <w:p>
            <w:pPr>
              <w:spacing w:after="0"/>
              <w:rPr>
                <w:sz w:val="7"/>
                <w:szCs w:val="7"/>
                <w:color w:val="auto"/>
              </w:rPr>
            </w:pPr>
          </w:p>
        </w:tc>
        <w:tc>
          <w:tcPr>
            <w:tcW w:w="660" w:type="dxa"/>
            <w:vAlign w:val="bottom"/>
            <w:tcBorders>
              <w:top w:val="single" w:sz="8" w:color="auto"/>
            </w:tcBorders>
            <w:gridSpan w:val="4"/>
            <w:shd w:val="clear" w:color="auto" w:fill="CCEEFF"/>
          </w:tcPr>
          <w:p>
            <w:pPr>
              <w:spacing w:after="0"/>
              <w:rPr>
                <w:sz w:val="7"/>
                <w:szCs w:val="7"/>
                <w:color w:val="auto"/>
              </w:rPr>
            </w:pPr>
          </w:p>
        </w:tc>
        <w:tc>
          <w:tcPr>
            <w:tcW w:w="140" w:type="dxa"/>
            <w:vAlign w:val="bottom"/>
            <w:tcBorders>
              <w:top w:val="single" w:sz="8" w:color="CCEEFF"/>
            </w:tcBorders>
            <w:gridSpan w:val="2"/>
            <w:shd w:val="clear" w:color="auto" w:fill="CCEEFF"/>
          </w:tcPr>
          <w:p>
            <w:pPr>
              <w:spacing w:after="0"/>
              <w:rPr>
                <w:sz w:val="7"/>
                <w:szCs w:val="7"/>
                <w:color w:val="auto"/>
              </w:rPr>
            </w:pPr>
          </w:p>
        </w:tc>
        <w:tc>
          <w:tcPr>
            <w:tcW w:w="780" w:type="dxa"/>
            <w:vAlign w:val="bottom"/>
            <w:tcBorders>
              <w:top w:val="single" w:sz="8" w:color="auto"/>
            </w:tcBorders>
            <w:gridSpan w:val="4"/>
            <w:shd w:val="clear" w:color="auto" w:fill="CCEEFF"/>
          </w:tcPr>
          <w:p>
            <w:pPr>
              <w:spacing w:after="0"/>
              <w:rPr>
                <w:sz w:val="7"/>
                <w:szCs w:val="7"/>
                <w:color w:val="auto"/>
              </w:rPr>
            </w:pPr>
          </w:p>
        </w:tc>
        <w:tc>
          <w:tcPr>
            <w:tcW w:w="200" w:type="dxa"/>
            <w:vAlign w:val="bottom"/>
            <w:tcBorders>
              <w:top w:val="single" w:sz="8" w:color="CCEEFF"/>
            </w:tcBorders>
            <w:gridSpan w:val="4"/>
            <w:shd w:val="clear" w:color="auto" w:fill="CCEEFF"/>
          </w:tcPr>
          <w:p>
            <w:pPr>
              <w:spacing w:after="0"/>
              <w:rPr>
                <w:sz w:val="7"/>
                <w:szCs w:val="7"/>
                <w:color w:val="auto"/>
              </w:rPr>
            </w:pPr>
          </w:p>
        </w:tc>
        <w:tc>
          <w:tcPr>
            <w:tcW w:w="680" w:type="dxa"/>
            <w:vAlign w:val="bottom"/>
            <w:tcBorders>
              <w:top w:val="single" w:sz="8" w:color="auto"/>
            </w:tcBorders>
            <w:gridSpan w:val="4"/>
            <w:shd w:val="clear" w:color="auto" w:fill="CCEEFF"/>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December 31, 2020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35,000,000</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34,992</w:t>
            </w:r>
          </w:p>
        </w:tc>
        <w:tc>
          <w:tcPr>
            <w:tcW w:w="740" w:type="dxa"/>
            <w:vAlign w:val="bottom"/>
            <w:tcBorders>
              <w:right w:val="single" w:sz="8" w:color="CCEEFF"/>
            </w:tcBorders>
            <w:gridSpan w:val="5"/>
            <w:shd w:val="clear" w:color="auto" w:fill="CCEEFF"/>
          </w:tcPr>
          <w:p>
            <w:pPr>
              <w:jc w:val="right"/>
              <w:ind w:right="26"/>
              <w:spacing w:after="0"/>
              <w:rPr>
                <w:sz w:val="20"/>
                <w:szCs w:val="20"/>
                <w:color w:val="auto"/>
              </w:rPr>
            </w:pPr>
            <w:r>
              <w:rPr>
                <w:rFonts w:ascii="Arial" w:cs="Arial" w:eastAsia="Arial" w:hAnsi="Arial"/>
                <w:sz w:val="11"/>
                <w:szCs w:val="11"/>
                <w:b w:val="1"/>
                <w:bCs w:val="1"/>
                <w:color w:val="auto"/>
              </w:rPr>
              <w:t>26,143,790</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w w:val="93"/>
              </w:rPr>
              <w:t>$ 144,839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w:t>
            </w:r>
          </w:p>
        </w:tc>
        <w:tc>
          <w:tcPr>
            <w:tcW w:w="360" w:type="dxa"/>
            <w:vAlign w:val="bottom"/>
            <w:gridSpan w:val="2"/>
            <w:shd w:val="clear" w:color="auto" w:fill="CCEEFF"/>
          </w:tcPr>
          <w:p>
            <w:pPr>
              <w:jc w:val="right"/>
              <w:ind w:right="186"/>
              <w:spacing w:after="0"/>
              <w:rPr>
                <w:sz w:val="20"/>
                <w:szCs w:val="20"/>
                <w:color w:val="auto"/>
              </w:rPr>
            </w:pPr>
            <w:r>
              <w:rPr>
                <w:rFonts w:ascii="Arial" w:cs="Arial" w:eastAsia="Arial" w:hAnsi="Arial"/>
                <w:sz w:val="11"/>
                <w:szCs w:val="11"/>
                <w:b w:val="1"/>
                <w:bCs w:val="1"/>
                <w:color w:val="auto"/>
              </w:rPr>
              <w:t>$</w:t>
            </w:r>
          </w:p>
        </w:tc>
        <w:tc>
          <w:tcPr>
            <w:tcW w:w="220" w:type="dxa"/>
            <w:vAlign w:val="bottom"/>
            <w:tcBorders>
              <w:right w:val="single" w:sz="8" w:color="auto"/>
            </w:tcBorders>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1"/>
                <w:szCs w:val="11"/>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1"/>
                <w:szCs w:val="11"/>
                <w:b w:val="1"/>
                <w:bCs w:val="1"/>
                <w:color w:val="auto"/>
                <w:w w:val="93"/>
              </w:rPr>
              <w:t>7,481,861</w:t>
            </w:r>
          </w:p>
        </w:tc>
        <w:tc>
          <w:tcPr>
            <w:tcW w:w="420" w:type="dxa"/>
            <w:vAlign w:val="bottom"/>
            <w:gridSpan w:val="3"/>
            <w:shd w:val="clear" w:color="auto" w:fill="CCEEFF"/>
          </w:tcPr>
          <w:p>
            <w:pPr>
              <w:jc w:val="right"/>
              <w:ind w:right="206"/>
              <w:spacing w:after="0"/>
              <w:rPr>
                <w:sz w:val="20"/>
                <w:szCs w:val="20"/>
                <w:color w:val="auto"/>
              </w:rPr>
            </w:pPr>
            <w:r>
              <w:rPr>
                <w:rFonts w:ascii="Arial" w:cs="Arial" w:eastAsia="Arial" w:hAnsi="Arial"/>
                <w:sz w:val="11"/>
                <w:szCs w:val="11"/>
                <w:b w:val="1"/>
                <w:bCs w:val="1"/>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7"/>
              </w:rPr>
              <w:t>$</w:t>
            </w:r>
          </w:p>
        </w:tc>
        <w:tc>
          <w:tcPr>
            <w:tcW w:w="520" w:type="dxa"/>
            <w:vAlign w:val="bottom"/>
            <w:gridSpan w:val="3"/>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217,832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(31,900)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(292,342)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w:t>
            </w:r>
          </w:p>
        </w:tc>
        <w:tc>
          <w:tcPr>
            <w:tcW w:w="20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(106,412)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680" w:type="dxa"/>
            <w:vAlign w:val="bottom"/>
            <w:tcBorders>
              <w:right w:val="single" w:sz="8" w:color="auto"/>
            </w:tcBorders>
            <w:gridSpan w:val="25"/>
          </w:tcPr>
          <w:p>
            <w:pPr>
              <w:spacing w:after="0"/>
              <w:rPr>
                <w:sz w:val="20"/>
                <w:szCs w:val="20"/>
                <w:color w:val="auto"/>
              </w:rPr>
            </w:pPr>
            <w:r>
              <w:rPr>
                <w:rFonts w:ascii="Arial" w:cs="Arial" w:eastAsia="Arial" w:hAnsi="Arial"/>
                <w:sz w:val="11"/>
                <w:szCs w:val="11"/>
                <w:color w:val="auto"/>
              </w:rPr>
              <w:t>Receipt of</w:t>
            </w:r>
          </w:p>
        </w:tc>
        <w:tc>
          <w:tcPr>
            <w:tcW w:w="5220" w:type="dxa"/>
            <w:vAlign w:val="bottom"/>
            <w:gridSpan w:val="41"/>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680" w:type="dxa"/>
            <w:vAlign w:val="bottom"/>
            <w:tcBorders>
              <w:right w:val="single" w:sz="8" w:color="auto"/>
            </w:tcBorders>
            <w:gridSpan w:val="25"/>
          </w:tcPr>
          <w:p>
            <w:pPr>
              <w:spacing w:after="0" w:line="122" w:lineRule="exact"/>
              <w:rPr>
                <w:sz w:val="20"/>
                <w:szCs w:val="20"/>
                <w:color w:val="auto"/>
              </w:rPr>
            </w:pPr>
            <w:r>
              <w:rPr>
                <w:rFonts w:ascii="Arial" w:cs="Arial" w:eastAsia="Arial" w:hAnsi="Arial"/>
                <w:sz w:val="11"/>
                <w:szCs w:val="11"/>
                <w:color w:val="auto"/>
              </w:rPr>
              <w:t>subscription</w:t>
            </w:r>
          </w:p>
        </w:tc>
        <w:tc>
          <w:tcPr>
            <w:tcW w:w="5220" w:type="dxa"/>
            <w:vAlign w:val="bottom"/>
            <w:gridSpan w:val="41"/>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80" w:type="dxa"/>
            <w:vAlign w:val="bottom"/>
            <w:tcBorders>
              <w:right w:val="single" w:sz="8" w:color="auto"/>
            </w:tcBorders>
            <w:gridSpan w:val="25"/>
          </w:tcPr>
          <w:p>
            <w:pPr>
              <w:spacing w:after="0"/>
              <w:rPr>
                <w:sz w:val="20"/>
                <w:szCs w:val="20"/>
                <w:color w:val="auto"/>
              </w:rPr>
            </w:pPr>
            <w:r>
              <w:rPr>
                <w:rFonts w:ascii="Arial" w:cs="Arial" w:eastAsia="Arial" w:hAnsi="Arial"/>
                <w:sz w:val="11"/>
                <w:szCs w:val="11"/>
                <w:color w:val="auto"/>
              </w:rPr>
              <w:t>receivable</w:t>
            </w:r>
          </w:p>
        </w:tc>
        <w:tc>
          <w:tcPr>
            <w:tcW w:w="4600" w:type="dxa"/>
            <w:vAlign w:val="bottom"/>
            <w:gridSpan w:val="38"/>
          </w:tcPr>
          <w:p>
            <w:pPr>
              <w:jc w:val="right"/>
              <w:ind w:right="4564"/>
              <w:spacing w:after="0"/>
              <w:rPr>
                <w:sz w:val="20"/>
                <w:szCs w:val="20"/>
                <w:color w:val="auto"/>
              </w:rPr>
            </w:pPr>
            <w:r>
              <w:rPr>
                <w:rFonts w:ascii="Arial" w:cs="Arial" w:eastAsia="Arial" w:hAnsi="Arial"/>
                <w:sz w:val="11"/>
                <w:szCs w:val="11"/>
                <w:color w:val="auto"/>
              </w:rPr>
              <w:t>31,900</w:t>
            </w:r>
          </w:p>
        </w:tc>
        <w:tc>
          <w:tcPr>
            <w:tcW w:w="6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31,900</w:t>
            </w:r>
          </w:p>
        </w:tc>
        <w:tc>
          <w:tcPr>
            <w:tcW w:w="0" w:type="dxa"/>
            <w:vAlign w:val="bottom"/>
          </w:tcPr>
          <w:p>
            <w:pPr>
              <w:spacing w:after="0"/>
              <w:rPr>
                <w:sz w:val="1"/>
                <w:szCs w:val="1"/>
                <w:color w:val="auto"/>
              </w:rPr>
            </w:pPr>
          </w:p>
        </w:tc>
      </w:tr>
      <w:tr>
        <w:trPr>
          <w:trHeight w:val="108"/>
        </w:trPr>
        <w:tc>
          <w:tcPr>
            <w:tcW w:w="3000" w:type="dxa"/>
            <w:vAlign w:val="bottom"/>
            <w:tcBorders>
              <w:right w:val="single" w:sz="8" w:color="CCEEFF"/>
            </w:tcBorders>
            <w:gridSpan w:val="14"/>
          </w:tcPr>
          <w:p>
            <w:pPr>
              <w:spacing w:after="0"/>
              <w:rPr>
                <w:sz w:val="20"/>
                <w:szCs w:val="20"/>
                <w:color w:val="auto"/>
              </w:rPr>
            </w:pPr>
            <w:r>
              <w:rPr>
                <w:rFonts w:ascii="Arial" w:cs="Arial" w:eastAsia="Arial" w:hAnsi="Arial"/>
                <w:sz w:val="11"/>
                <w:szCs w:val="11"/>
                <w:color w:val="auto"/>
              </w:rPr>
              <w:t>Issuance of Series</w:t>
            </w:r>
          </w:p>
        </w:tc>
        <w:tc>
          <w:tcPr>
            <w:tcW w:w="1100" w:type="dxa"/>
            <w:vAlign w:val="bottom"/>
            <w:tcBorders>
              <w:right w:val="single" w:sz="8" w:color="CCEEFF"/>
            </w:tcBorders>
            <w:gridSpan w:val="7"/>
            <w:shd w:val="clear" w:color="auto" w:fill="CCEEFF"/>
          </w:tcPr>
          <w:p>
            <w:pPr>
              <w:spacing w:after="0"/>
              <w:rPr>
                <w:sz w:val="9"/>
                <w:szCs w:val="9"/>
                <w:color w:val="auto"/>
              </w:rPr>
            </w:pPr>
          </w:p>
        </w:tc>
        <w:tc>
          <w:tcPr>
            <w:tcW w:w="580" w:type="dxa"/>
            <w:vAlign w:val="bottom"/>
            <w:tcBorders>
              <w:right w:val="single" w:sz="8" w:color="auto"/>
            </w:tcBorders>
            <w:gridSpan w:val="4"/>
            <w:shd w:val="clear" w:color="auto" w:fill="CCEEFF"/>
          </w:tcPr>
          <w:p>
            <w:pPr>
              <w:spacing w:after="0"/>
              <w:rPr>
                <w:sz w:val="9"/>
                <w:szCs w:val="9"/>
                <w:color w:val="auto"/>
              </w:rPr>
            </w:pPr>
          </w:p>
        </w:tc>
        <w:tc>
          <w:tcPr>
            <w:tcW w:w="360" w:type="dxa"/>
            <w:vAlign w:val="bottom"/>
            <w:tcBorders>
              <w:right w:val="single" w:sz="8" w:color="CCEEFF"/>
            </w:tcBorders>
            <w:gridSpan w:val="3"/>
            <w:shd w:val="clear" w:color="auto" w:fill="CCEEFF"/>
          </w:tcPr>
          <w:p>
            <w:pPr>
              <w:spacing w:after="0"/>
              <w:rPr>
                <w:sz w:val="9"/>
                <w:szCs w:val="9"/>
                <w:color w:val="auto"/>
              </w:rPr>
            </w:pPr>
          </w:p>
        </w:tc>
        <w:tc>
          <w:tcPr>
            <w:tcW w:w="4860" w:type="dxa"/>
            <w:vAlign w:val="bottom"/>
            <w:gridSpan w:val="3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000" w:type="dxa"/>
            <w:vAlign w:val="bottom"/>
            <w:tcBorders>
              <w:right w:val="single" w:sz="8" w:color="CCEEFF"/>
            </w:tcBorders>
            <w:gridSpan w:val="14"/>
          </w:tcPr>
          <w:p>
            <w:pPr>
              <w:spacing w:after="0"/>
              <w:rPr>
                <w:sz w:val="20"/>
                <w:szCs w:val="20"/>
                <w:color w:val="auto"/>
              </w:rPr>
            </w:pPr>
            <w:r>
              <w:rPr>
                <w:rFonts w:ascii="Arial" w:cs="Arial" w:eastAsia="Arial" w:hAnsi="Arial"/>
                <w:sz w:val="11"/>
                <w:szCs w:val="11"/>
                <w:color w:val="auto"/>
              </w:rPr>
              <w:t>C preferred stock,</w:t>
            </w:r>
          </w:p>
        </w:tc>
        <w:tc>
          <w:tcPr>
            <w:tcW w:w="1100" w:type="dxa"/>
            <w:vAlign w:val="bottom"/>
            <w:tcBorders>
              <w:right w:val="single" w:sz="8" w:color="CCEEFF"/>
            </w:tcBorders>
            <w:gridSpan w:val="7"/>
            <w:shd w:val="clear" w:color="auto" w:fill="CCEEFF"/>
          </w:tcPr>
          <w:p>
            <w:pPr>
              <w:spacing w:after="0"/>
              <w:rPr>
                <w:sz w:val="10"/>
                <w:szCs w:val="10"/>
                <w:color w:val="auto"/>
              </w:rPr>
            </w:pPr>
          </w:p>
        </w:tc>
        <w:tc>
          <w:tcPr>
            <w:tcW w:w="580" w:type="dxa"/>
            <w:vAlign w:val="bottom"/>
            <w:tcBorders>
              <w:right w:val="single" w:sz="8" w:color="auto"/>
            </w:tcBorders>
            <w:gridSpan w:val="4"/>
            <w:shd w:val="clear" w:color="auto" w:fill="CCEEFF"/>
          </w:tcPr>
          <w:p>
            <w:pPr>
              <w:spacing w:after="0"/>
              <w:rPr>
                <w:sz w:val="10"/>
                <w:szCs w:val="10"/>
                <w:color w:val="auto"/>
              </w:rPr>
            </w:pPr>
          </w:p>
        </w:tc>
        <w:tc>
          <w:tcPr>
            <w:tcW w:w="360" w:type="dxa"/>
            <w:vAlign w:val="bottom"/>
            <w:tcBorders>
              <w:right w:val="single" w:sz="8" w:color="CCEEFF"/>
            </w:tcBorders>
            <w:gridSpan w:val="3"/>
            <w:shd w:val="clear" w:color="auto" w:fill="CCEEFF"/>
          </w:tcPr>
          <w:p>
            <w:pPr>
              <w:spacing w:after="0"/>
              <w:rPr>
                <w:sz w:val="10"/>
                <w:szCs w:val="10"/>
                <w:color w:val="auto"/>
              </w:rPr>
            </w:pPr>
          </w:p>
        </w:tc>
        <w:tc>
          <w:tcPr>
            <w:tcW w:w="4860" w:type="dxa"/>
            <w:vAlign w:val="bottom"/>
            <w:gridSpan w:val="3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Borders>
              <w:right w:val="single" w:sz="8" w:color="CCEEFF"/>
            </w:tcBorders>
            <w:gridSpan w:val="14"/>
          </w:tcPr>
          <w:p>
            <w:pPr>
              <w:spacing w:after="0"/>
              <w:rPr>
                <w:sz w:val="20"/>
                <w:szCs w:val="20"/>
                <w:color w:val="auto"/>
              </w:rPr>
            </w:pPr>
            <w:r>
              <w:rPr>
                <w:rFonts w:ascii="Arial" w:cs="Arial" w:eastAsia="Arial" w:hAnsi="Arial"/>
                <w:sz w:val="11"/>
                <w:szCs w:val="11"/>
                <w:color w:val="auto"/>
              </w:rPr>
              <w:t>net</w:t>
            </w:r>
          </w:p>
        </w:tc>
        <w:tc>
          <w:tcPr>
            <w:tcW w:w="1100" w:type="dxa"/>
            <w:vAlign w:val="bottom"/>
            <w:tcBorders>
              <w:right w:val="single" w:sz="8" w:color="CCEEFF"/>
            </w:tcBorders>
            <w:gridSpan w:val="7"/>
            <w:shd w:val="clear" w:color="auto" w:fill="CCEEFF"/>
          </w:tcPr>
          <w:p>
            <w:pPr>
              <w:jc w:val="right"/>
              <w:ind w:right="1100"/>
              <w:spacing w:after="0"/>
              <w:rPr>
                <w:sz w:val="20"/>
                <w:szCs w:val="20"/>
                <w:color w:val="auto"/>
              </w:rPr>
            </w:pPr>
            <w:r>
              <w:rPr>
                <w:rFonts w:ascii="Arial" w:cs="Arial" w:eastAsia="Arial" w:hAnsi="Arial"/>
                <w:sz w:val="11"/>
                <w:szCs w:val="11"/>
                <w:color w:val="auto"/>
              </w:rPr>
              <w:t>24,721,999</w:t>
            </w:r>
          </w:p>
        </w:tc>
        <w:tc>
          <w:tcPr>
            <w:tcW w:w="580" w:type="dxa"/>
            <w:vAlign w:val="bottom"/>
            <w:tcBorders>
              <w:right w:val="single" w:sz="8" w:color="auto"/>
            </w:tcBorders>
            <w:gridSpan w:val="4"/>
            <w:shd w:val="clear" w:color="auto" w:fill="CCEEFF"/>
          </w:tcPr>
          <w:p>
            <w:pPr>
              <w:jc w:val="right"/>
              <w:ind w:right="6"/>
              <w:spacing w:after="0"/>
              <w:rPr>
                <w:sz w:val="20"/>
                <w:szCs w:val="20"/>
                <w:color w:val="auto"/>
              </w:rPr>
            </w:pPr>
            <w:r>
              <w:rPr>
                <w:rFonts w:ascii="Arial" w:cs="Arial" w:eastAsia="Arial" w:hAnsi="Arial"/>
                <w:sz w:val="11"/>
                <w:szCs w:val="11"/>
                <w:color w:val="auto"/>
              </w:rPr>
              <w:t>159,628</w:t>
            </w:r>
          </w:p>
        </w:tc>
        <w:tc>
          <w:tcPr>
            <w:tcW w:w="360" w:type="dxa"/>
            <w:vAlign w:val="bottom"/>
            <w:tcBorders>
              <w:right w:val="single" w:sz="8" w:color="CCEEFF"/>
            </w:tcBorders>
            <w:gridSpan w:val="3"/>
            <w:shd w:val="clear" w:color="auto" w:fill="CCEEFF"/>
          </w:tcPr>
          <w:p>
            <w:pPr>
              <w:spacing w:after="0"/>
              <w:rPr>
                <w:sz w:val="11"/>
                <w:szCs w:val="11"/>
                <w:color w:val="auto"/>
              </w:rPr>
            </w:pPr>
          </w:p>
        </w:tc>
        <w:tc>
          <w:tcPr>
            <w:tcW w:w="4860" w:type="dxa"/>
            <w:vAlign w:val="bottom"/>
            <w:gridSpan w:val="38"/>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08"/>
        </w:trPr>
        <w:tc>
          <w:tcPr>
            <w:tcW w:w="4680" w:type="dxa"/>
            <w:vAlign w:val="bottom"/>
            <w:tcBorders>
              <w:right w:val="single" w:sz="8" w:color="auto"/>
            </w:tcBorders>
            <w:gridSpan w:val="25"/>
          </w:tcPr>
          <w:p>
            <w:pPr>
              <w:spacing w:after="0"/>
              <w:rPr>
                <w:sz w:val="20"/>
                <w:szCs w:val="20"/>
                <w:color w:val="auto"/>
              </w:rPr>
            </w:pPr>
            <w:r>
              <w:rPr>
                <w:rFonts w:ascii="Arial" w:cs="Arial" w:eastAsia="Arial" w:hAnsi="Arial"/>
                <w:sz w:val="11"/>
                <w:szCs w:val="11"/>
                <w:color w:val="auto"/>
              </w:rPr>
              <w:t>Net assets</w:t>
            </w:r>
          </w:p>
        </w:tc>
        <w:tc>
          <w:tcPr>
            <w:tcW w:w="5220" w:type="dxa"/>
            <w:vAlign w:val="bottom"/>
            <w:gridSpan w:val="41"/>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680" w:type="dxa"/>
            <w:vAlign w:val="bottom"/>
            <w:tcBorders>
              <w:right w:val="single" w:sz="8" w:color="auto"/>
            </w:tcBorders>
            <w:gridSpan w:val="25"/>
          </w:tcPr>
          <w:p>
            <w:pPr>
              <w:spacing w:after="0" w:line="122" w:lineRule="exact"/>
              <w:rPr>
                <w:sz w:val="20"/>
                <w:szCs w:val="20"/>
                <w:color w:val="auto"/>
              </w:rPr>
            </w:pPr>
            <w:r>
              <w:rPr>
                <w:rFonts w:ascii="Arial" w:cs="Arial" w:eastAsia="Arial" w:hAnsi="Arial"/>
                <w:sz w:val="11"/>
                <w:szCs w:val="11"/>
                <w:color w:val="auto"/>
              </w:rPr>
              <w:t>contributed as result</w:t>
            </w:r>
          </w:p>
        </w:tc>
        <w:tc>
          <w:tcPr>
            <w:tcW w:w="5220" w:type="dxa"/>
            <w:vAlign w:val="bottom"/>
            <w:gridSpan w:val="41"/>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80" w:type="dxa"/>
            <w:vAlign w:val="bottom"/>
            <w:tcBorders>
              <w:right w:val="single" w:sz="8" w:color="auto"/>
            </w:tcBorders>
            <w:gridSpan w:val="25"/>
          </w:tcPr>
          <w:p>
            <w:pPr>
              <w:spacing w:after="0"/>
              <w:rPr>
                <w:sz w:val="20"/>
                <w:szCs w:val="20"/>
                <w:color w:val="auto"/>
              </w:rPr>
            </w:pPr>
            <w:r>
              <w:rPr>
                <w:rFonts w:ascii="Arial" w:cs="Arial" w:eastAsia="Arial" w:hAnsi="Arial"/>
                <w:sz w:val="11"/>
                <w:szCs w:val="11"/>
                <w:color w:val="auto"/>
              </w:rPr>
              <w:t>of merger</w:t>
            </w:r>
          </w:p>
        </w:tc>
        <w:tc>
          <w:tcPr>
            <w:tcW w:w="4600" w:type="dxa"/>
            <w:vAlign w:val="bottom"/>
            <w:gridSpan w:val="38"/>
          </w:tcPr>
          <w:p>
            <w:pPr>
              <w:jc w:val="right"/>
              <w:ind w:right="4564"/>
              <w:spacing w:after="0"/>
              <w:rPr>
                <w:sz w:val="20"/>
                <w:szCs w:val="20"/>
                <w:color w:val="auto"/>
              </w:rPr>
            </w:pPr>
            <w:r>
              <w:rPr>
                <w:rFonts w:ascii="Arial" w:cs="Arial" w:eastAsia="Arial" w:hAnsi="Arial"/>
                <w:sz w:val="11"/>
                <w:szCs w:val="11"/>
                <w:color w:val="auto"/>
              </w:rPr>
              <w:t>1,061</w:t>
            </w:r>
          </w:p>
        </w:tc>
        <w:tc>
          <w:tcPr>
            <w:tcW w:w="6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1,061</w:t>
            </w:r>
          </w:p>
        </w:tc>
        <w:tc>
          <w:tcPr>
            <w:tcW w:w="0" w:type="dxa"/>
            <w:vAlign w:val="bottom"/>
          </w:tcPr>
          <w:p>
            <w:pPr>
              <w:spacing w:after="0"/>
              <w:rPr>
                <w:sz w:val="1"/>
                <w:szCs w:val="1"/>
                <w:color w:val="auto"/>
              </w:rPr>
            </w:pPr>
          </w:p>
        </w:tc>
      </w:tr>
      <w:tr>
        <w:trPr>
          <w:trHeight w:val="108"/>
        </w:trPr>
        <w:tc>
          <w:tcPr>
            <w:tcW w:w="3000" w:type="dxa"/>
            <w:vAlign w:val="bottom"/>
            <w:tcBorders>
              <w:right w:val="single" w:sz="8" w:color="CCEEFF"/>
            </w:tcBorders>
            <w:gridSpan w:val="14"/>
          </w:tcPr>
          <w:p>
            <w:pPr>
              <w:spacing w:after="0"/>
              <w:rPr>
                <w:sz w:val="20"/>
                <w:szCs w:val="20"/>
                <w:color w:val="auto"/>
              </w:rPr>
            </w:pPr>
            <w:r>
              <w:rPr>
                <w:rFonts w:ascii="Arial" w:cs="Arial" w:eastAsia="Arial" w:hAnsi="Arial"/>
                <w:sz w:val="11"/>
                <w:szCs w:val="11"/>
                <w:color w:val="auto"/>
              </w:rPr>
              <w:t>Issuance of</w:t>
            </w:r>
          </w:p>
        </w:tc>
        <w:tc>
          <w:tcPr>
            <w:tcW w:w="1100" w:type="dxa"/>
            <w:vAlign w:val="bottom"/>
            <w:tcBorders>
              <w:right w:val="single" w:sz="8" w:color="CCEEFF"/>
            </w:tcBorders>
            <w:gridSpan w:val="7"/>
            <w:shd w:val="clear" w:color="auto" w:fill="CCEEFF"/>
          </w:tcPr>
          <w:p>
            <w:pPr>
              <w:spacing w:after="0"/>
              <w:rPr>
                <w:sz w:val="9"/>
                <w:szCs w:val="9"/>
                <w:color w:val="auto"/>
              </w:rPr>
            </w:pPr>
          </w:p>
        </w:tc>
        <w:tc>
          <w:tcPr>
            <w:tcW w:w="580" w:type="dxa"/>
            <w:vAlign w:val="bottom"/>
            <w:tcBorders>
              <w:right w:val="single" w:sz="8" w:color="auto"/>
            </w:tcBorders>
            <w:gridSpan w:val="4"/>
            <w:shd w:val="clear" w:color="auto" w:fill="CCEEFF"/>
          </w:tcPr>
          <w:p>
            <w:pPr>
              <w:spacing w:after="0"/>
              <w:rPr>
                <w:sz w:val="9"/>
                <w:szCs w:val="9"/>
                <w:color w:val="auto"/>
              </w:rPr>
            </w:pPr>
          </w:p>
        </w:tc>
        <w:tc>
          <w:tcPr>
            <w:tcW w:w="360" w:type="dxa"/>
            <w:vAlign w:val="bottom"/>
            <w:tcBorders>
              <w:right w:val="single" w:sz="8" w:color="CCEEFF"/>
            </w:tcBorders>
            <w:gridSpan w:val="3"/>
            <w:shd w:val="clear" w:color="auto" w:fill="CCEEFF"/>
          </w:tcPr>
          <w:p>
            <w:pPr>
              <w:spacing w:after="0"/>
              <w:rPr>
                <w:sz w:val="9"/>
                <w:szCs w:val="9"/>
                <w:color w:val="auto"/>
              </w:rPr>
            </w:pPr>
          </w:p>
        </w:tc>
        <w:tc>
          <w:tcPr>
            <w:tcW w:w="4860" w:type="dxa"/>
            <w:vAlign w:val="bottom"/>
            <w:gridSpan w:val="3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000" w:type="dxa"/>
            <w:vAlign w:val="bottom"/>
            <w:tcBorders>
              <w:right w:val="single" w:sz="8" w:color="CCEEFF"/>
            </w:tcBorders>
            <w:gridSpan w:val="14"/>
          </w:tcPr>
          <w:p>
            <w:pPr>
              <w:spacing w:after="0"/>
              <w:rPr>
                <w:sz w:val="20"/>
                <w:szCs w:val="20"/>
                <w:color w:val="auto"/>
              </w:rPr>
            </w:pPr>
            <w:r>
              <w:rPr>
                <w:rFonts w:ascii="Arial" w:cs="Arial" w:eastAsia="Arial" w:hAnsi="Arial"/>
                <w:sz w:val="11"/>
                <w:szCs w:val="11"/>
                <w:color w:val="auto"/>
              </w:rPr>
              <w:t>common stock upon</w:t>
            </w:r>
          </w:p>
        </w:tc>
        <w:tc>
          <w:tcPr>
            <w:tcW w:w="1100" w:type="dxa"/>
            <w:vAlign w:val="bottom"/>
            <w:tcBorders>
              <w:right w:val="single" w:sz="8" w:color="CCEEFF"/>
            </w:tcBorders>
            <w:gridSpan w:val="7"/>
            <w:shd w:val="clear" w:color="auto" w:fill="CCEEFF"/>
          </w:tcPr>
          <w:p>
            <w:pPr>
              <w:spacing w:after="0"/>
              <w:rPr>
                <w:sz w:val="10"/>
                <w:szCs w:val="10"/>
                <w:color w:val="auto"/>
              </w:rPr>
            </w:pPr>
          </w:p>
        </w:tc>
        <w:tc>
          <w:tcPr>
            <w:tcW w:w="580" w:type="dxa"/>
            <w:vAlign w:val="bottom"/>
            <w:tcBorders>
              <w:right w:val="single" w:sz="8" w:color="auto"/>
            </w:tcBorders>
            <w:gridSpan w:val="4"/>
            <w:shd w:val="clear" w:color="auto" w:fill="CCEEFF"/>
          </w:tcPr>
          <w:p>
            <w:pPr>
              <w:spacing w:after="0"/>
              <w:rPr>
                <w:sz w:val="10"/>
                <w:szCs w:val="10"/>
                <w:color w:val="auto"/>
              </w:rPr>
            </w:pPr>
          </w:p>
        </w:tc>
        <w:tc>
          <w:tcPr>
            <w:tcW w:w="360" w:type="dxa"/>
            <w:vAlign w:val="bottom"/>
            <w:tcBorders>
              <w:right w:val="single" w:sz="8" w:color="CCEEFF"/>
            </w:tcBorders>
            <w:gridSpan w:val="3"/>
            <w:shd w:val="clear" w:color="auto" w:fill="CCEEFF"/>
          </w:tcPr>
          <w:p>
            <w:pPr>
              <w:spacing w:after="0"/>
              <w:rPr>
                <w:sz w:val="10"/>
                <w:szCs w:val="10"/>
                <w:color w:val="auto"/>
              </w:rPr>
            </w:pPr>
          </w:p>
        </w:tc>
        <w:tc>
          <w:tcPr>
            <w:tcW w:w="4860" w:type="dxa"/>
            <w:vAlign w:val="bottom"/>
            <w:gridSpan w:val="3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tcBorders>
              <w:right w:val="single" w:sz="8" w:color="CCEEFF"/>
            </w:tcBorders>
            <w:gridSpan w:val="14"/>
          </w:tcPr>
          <w:p>
            <w:pPr>
              <w:spacing w:after="0"/>
              <w:rPr>
                <w:sz w:val="20"/>
                <w:szCs w:val="20"/>
                <w:color w:val="auto"/>
              </w:rPr>
            </w:pPr>
            <w:r>
              <w:rPr>
                <w:rFonts w:ascii="Arial" w:cs="Arial" w:eastAsia="Arial" w:hAnsi="Arial"/>
                <w:sz w:val="11"/>
                <w:szCs w:val="11"/>
                <w:color w:val="auto"/>
              </w:rPr>
              <w:t>the exercise of stock</w:t>
            </w:r>
          </w:p>
        </w:tc>
        <w:tc>
          <w:tcPr>
            <w:tcW w:w="1100" w:type="dxa"/>
            <w:vAlign w:val="bottom"/>
            <w:tcBorders>
              <w:right w:val="single" w:sz="8" w:color="CCEEFF"/>
            </w:tcBorders>
            <w:gridSpan w:val="7"/>
            <w:shd w:val="clear" w:color="auto" w:fill="CCEEFF"/>
          </w:tcPr>
          <w:p>
            <w:pPr>
              <w:spacing w:after="0"/>
              <w:rPr>
                <w:sz w:val="10"/>
                <w:szCs w:val="10"/>
                <w:color w:val="auto"/>
              </w:rPr>
            </w:pPr>
          </w:p>
        </w:tc>
        <w:tc>
          <w:tcPr>
            <w:tcW w:w="580" w:type="dxa"/>
            <w:vAlign w:val="bottom"/>
            <w:tcBorders>
              <w:right w:val="single" w:sz="8" w:color="auto"/>
            </w:tcBorders>
            <w:gridSpan w:val="4"/>
            <w:shd w:val="clear" w:color="auto" w:fill="CCEEFF"/>
          </w:tcPr>
          <w:p>
            <w:pPr>
              <w:spacing w:after="0"/>
              <w:rPr>
                <w:sz w:val="10"/>
                <w:szCs w:val="10"/>
                <w:color w:val="auto"/>
              </w:rPr>
            </w:pPr>
          </w:p>
        </w:tc>
        <w:tc>
          <w:tcPr>
            <w:tcW w:w="360" w:type="dxa"/>
            <w:vAlign w:val="bottom"/>
            <w:tcBorders>
              <w:right w:val="single" w:sz="8" w:color="CCEEFF"/>
            </w:tcBorders>
            <w:gridSpan w:val="3"/>
            <w:shd w:val="clear" w:color="auto" w:fill="CCEEFF"/>
          </w:tcPr>
          <w:p>
            <w:pPr>
              <w:spacing w:after="0"/>
              <w:rPr>
                <w:sz w:val="10"/>
                <w:szCs w:val="10"/>
                <w:color w:val="auto"/>
              </w:rPr>
            </w:pPr>
          </w:p>
        </w:tc>
        <w:tc>
          <w:tcPr>
            <w:tcW w:w="4860" w:type="dxa"/>
            <w:vAlign w:val="bottom"/>
            <w:gridSpan w:val="3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Borders>
              <w:right w:val="single" w:sz="8" w:color="CCEEFF"/>
            </w:tcBorders>
            <w:gridSpan w:val="14"/>
          </w:tcPr>
          <w:p>
            <w:pPr>
              <w:spacing w:after="0"/>
              <w:rPr>
                <w:sz w:val="20"/>
                <w:szCs w:val="20"/>
                <w:color w:val="auto"/>
              </w:rPr>
            </w:pPr>
            <w:r>
              <w:rPr>
                <w:rFonts w:ascii="Arial" w:cs="Arial" w:eastAsia="Arial" w:hAnsi="Arial"/>
                <w:sz w:val="11"/>
                <w:szCs w:val="11"/>
                <w:color w:val="auto"/>
              </w:rPr>
              <w:t>options</w:t>
            </w:r>
          </w:p>
        </w:tc>
        <w:tc>
          <w:tcPr>
            <w:tcW w:w="1100" w:type="dxa"/>
            <w:vAlign w:val="bottom"/>
            <w:tcBorders>
              <w:right w:val="single" w:sz="8" w:color="CCEEFF"/>
            </w:tcBorders>
            <w:gridSpan w:val="7"/>
            <w:shd w:val="clear" w:color="auto" w:fill="CCEEFF"/>
          </w:tcPr>
          <w:p>
            <w:pPr>
              <w:spacing w:after="0"/>
              <w:rPr>
                <w:sz w:val="11"/>
                <w:szCs w:val="11"/>
                <w:color w:val="auto"/>
              </w:rPr>
            </w:pPr>
          </w:p>
        </w:tc>
        <w:tc>
          <w:tcPr>
            <w:tcW w:w="580" w:type="dxa"/>
            <w:vAlign w:val="bottom"/>
            <w:tcBorders>
              <w:right w:val="single" w:sz="8" w:color="auto"/>
            </w:tcBorders>
            <w:gridSpan w:val="4"/>
            <w:shd w:val="clear" w:color="auto" w:fill="CCEEFF"/>
          </w:tcPr>
          <w:p>
            <w:pPr>
              <w:spacing w:after="0"/>
              <w:rPr>
                <w:sz w:val="11"/>
                <w:szCs w:val="11"/>
                <w:color w:val="auto"/>
              </w:rPr>
            </w:pPr>
          </w:p>
        </w:tc>
        <w:tc>
          <w:tcPr>
            <w:tcW w:w="980" w:type="dxa"/>
            <w:vAlign w:val="bottom"/>
            <w:gridSpan w:val="8"/>
            <w:shd w:val="clear" w:color="auto" w:fill="CCEEFF"/>
          </w:tcPr>
          <w:p>
            <w:pPr>
              <w:jc w:val="right"/>
              <w:ind w:right="926"/>
              <w:spacing w:after="0"/>
              <w:rPr>
                <w:sz w:val="20"/>
                <w:szCs w:val="20"/>
                <w:color w:val="auto"/>
              </w:rPr>
            </w:pPr>
            <w:r>
              <w:rPr>
                <w:rFonts w:ascii="Arial" w:cs="Arial" w:eastAsia="Arial" w:hAnsi="Arial"/>
                <w:sz w:val="11"/>
                <w:szCs w:val="11"/>
                <w:color w:val="auto"/>
              </w:rPr>
              <w:t>40,790</w:t>
            </w:r>
          </w:p>
        </w:tc>
        <w:tc>
          <w:tcPr>
            <w:tcW w:w="500" w:type="dxa"/>
            <w:vAlign w:val="bottom"/>
            <w:gridSpan w:val="5"/>
            <w:shd w:val="clear" w:color="auto" w:fill="CCEEFF"/>
          </w:tcPr>
          <w:p>
            <w:pPr>
              <w:jc w:val="right"/>
              <w:ind w:right="326"/>
              <w:spacing w:after="0"/>
              <w:rPr>
                <w:sz w:val="20"/>
                <w:szCs w:val="20"/>
                <w:color w:val="auto"/>
              </w:rPr>
            </w:pPr>
            <w:r>
              <w:rPr>
                <w:rFonts w:ascii="Arial" w:cs="Arial" w:eastAsia="Arial" w:hAnsi="Arial"/>
                <w:sz w:val="11"/>
                <w:szCs w:val="11"/>
                <w:b w:val="1"/>
                <w:bCs w:val="1"/>
                <w:color w:val="auto"/>
                <w:w w:val="90"/>
              </w:rPr>
              <w:t>—</w:t>
            </w:r>
          </w:p>
        </w:tc>
        <w:tc>
          <w:tcPr>
            <w:tcW w:w="3120" w:type="dxa"/>
            <w:vAlign w:val="bottom"/>
            <w:gridSpan w:val="25"/>
            <w:shd w:val="clear" w:color="auto" w:fill="CCEEFF"/>
          </w:tcPr>
          <w:p>
            <w:pPr>
              <w:jc w:val="right"/>
              <w:ind w:right="2884"/>
              <w:spacing w:after="0"/>
              <w:rPr>
                <w:sz w:val="20"/>
                <w:szCs w:val="20"/>
                <w:color w:val="auto"/>
              </w:rPr>
            </w:pPr>
            <w:r>
              <w:rPr>
                <w:rFonts w:ascii="Arial" w:cs="Arial" w:eastAsia="Arial" w:hAnsi="Arial"/>
                <w:sz w:val="11"/>
                <w:szCs w:val="11"/>
                <w:color w:val="auto"/>
              </w:rPr>
              <w:t>47</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47</w:t>
            </w:r>
          </w:p>
        </w:tc>
        <w:tc>
          <w:tcPr>
            <w:tcW w:w="0" w:type="dxa"/>
            <w:vAlign w:val="bottom"/>
          </w:tcPr>
          <w:p>
            <w:pPr>
              <w:spacing w:after="0"/>
              <w:rPr>
                <w:sz w:val="1"/>
                <w:szCs w:val="1"/>
                <w:color w:val="auto"/>
              </w:rPr>
            </w:pPr>
          </w:p>
        </w:tc>
      </w:tr>
      <w:tr>
        <w:trPr>
          <w:trHeight w:val="108"/>
        </w:trPr>
        <w:tc>
          <w:tcPr>
            <w:tcW w:w="4680" w:type="dxa"/>
            <w:vAlign w:val="bottom"/>
            <w:tcBorders>
              <w:right w:val="single" w:sz="8" w:color="auto"/>
            </w:tcBorders>
            <w:gridSpan w:val="25"/>
          </w:tcPr>
          <w:p>
            <w:pPr>
              <w:spacing w:after="0"/>
              <w:rPr>
                <w:sz w:val="20"/>
                <w:szCs w:val="20"/>
                <w:color w:val="auto"/>
              </w:rPr>
            </w:pPr>
            <w:r>
              <w:rPr>
                <w:rFonts w:ascii="Arial" w:cs="Arial" w:eastAsia="Arial" w:hAnsi="Arial"/>
                <w:sz w:val="11"/>
                <w:szCs w:val="11"/>
                <w:color w:val="auto"/>
              </w:rPr>
              <w:t>Vesting of restricted</w:t>
            </w:r>
          </w:p>
        </w:tc>
        <w:tc>
          <w:tcPr>
            <w:tcW w:w="5220" w:type="dxa"/>
            <w:vAlign w:val="bottom"/>
            <w:gridSpan w:val="41"/>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680" w:type="dxa"/>
            <w:vAlign w:val="bottom"/>
            <w:tcBorders>
              <w:right w:val="single" w:sz="8" w:color="auto"/>
            </w:tcBorders>
            <w:gridSpan w:val="25"/>
          </w:tcPr>
          <w:p>
            <w:pPr>
              <w:spacing w:after="0"/>
              <w:rPr>
                <w:sz w:val="20"/>
                <w:szCs w:val="20"/>
                <w:color w:val="auto"/>
              </w:rPr>
            </w:pPr>
            <w:r>
              <w:rPr>
                <w:rFonts w:ascii="Arial" w:cs="Arial" w:eastAsia="Arial" w:hAnsi="Arial"/>
                <w:sz w:val="11"/>
                <w:szCs w:val="11"/>
                <w:color w:val="auto"/>
              </w:rPr>
              <w:t>stock</w:t>
            </w:r>
          </w:p>
        </w:tc>
        <w:tc>
          <w:tcPr>
            <w:tcW w:w="980" w:type="dxa"/>
            <w:vAlign w:val="bottom"/>
            <w:gridSpan w:val="8"/>
          </w:tcPr>
          <w:p>
            <w:pPr>
              <w:jc w:val="right"/>
              <w:ind w:right="926"/>
              <w:spacing w:after="0"/>
              <w:rPr>
                <w:sz w:val="20"/>
                <w:szCs w:val="20"/>
                <w:color w:val="auto"/>
              </w:rPr>
            </w:pPr>
            <w:r>
              <w:rPr>
                <w:rFonts w:ascii="Arial" w:cs="Arial" w:eastAsia="Arial" w:hAnsi="Arial"/>
                <w:sz w:val="11"/>
                <w:szCs w:val="11"/>
                <w:color w:val="auto"/>
              </w:rPr>
              <w:t>150,799</w:t>
            </w:r>
          </w:p>
        </w:tc>
        <w:tc>
          <w:tcPr>
            <w:tcW w:w="560" w:type="dxa"/>
            <w:vAlign w:val="bottom"/>
            <w:gridSpan w:val="6"/>
          </w:tcPr>
          <w:p>
            <w:pPr>
              <w:jc w:val="right"/>
              <w:ind w:right="386"/>
              <w:spacing w:after="0"/>
              <w:rPr>
                <w:sz w:val="20"/>
                <w:szCs w:val="20"/>
                <w:color w:val="auto"/>
              </w:rPr>
            </w:pPr>
            <w:r>
              <w:rPr>
                <w:rFonts w:ascii="Arial" w:cs="Arial" w:eastAsia="Arial" w:hAnsi="Arial"/>
                <w:sz w:val="11"/>
                <w:szCs w:val="11"/>
                <w:b w:val="1"/>
                <w:bCs w:val="1"/>
                <w:color w:val="auto"/>
                <w:w w:val="90"/>
              </w:rPr>
              <w:t>—</w:t>
            </w:r>
          </w:p>
        </w:tc>
        <w:tc>
          <w:tcPr>
            <w:tcW w:w="3260" w:type="dxa"/>
            <w:vAlign w:val="bottom"/>
            <w:gridSpan w:val="25"/>
          </w:tcPr>
          <w:p>
            <w:pPr>
              <w:jc w:val="right"/>
              <w:ind w:right="3066"/>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08"/>
        </w:trPr>
        <w:tc>
          <w:tcPr>
            <w:tcW w:w="3000" w:type="dxa"/>
            <w:vAlign w:val="bottom"/>
            <w:tcBorders>
              <w:right w:val="single" w:sz="8" w:color="CCEEFF"/>
            </w:tcBorders>
            <w:gridSpan w:val="14"/>
          </w:tcPr>
          <w:p>
            <w:pPr>
              <w:spacing w:after="0"/>
              <w:rPr>
                <w:sz w:val="20"/>
                <w:szCs w:val="20"/>
                <w:color w:val="auto"/>
              </w:rPr>
            </w:pPr>
            <w:r>
              <w:rPr>
                <w:rFonts w:ascii="Arial" w:cs="Arial" w:eastAsia="Arial" w:hAnsi="Arial"/>
                <w:sz w:val="11"/>
                <w:szCs w:val="11"/>
                <w:color w:val="auto"/>
              </w:rPr>
              <w:t>Vesting of early</w:t>
            </w:r>
          </w:p>
        </w:tc>
        <w:tc>
          <w:tcPr>
            <w:tcW w:w="1100" w:type="dxa"/>
            <w:vAlign w:val="bottom"/>
            <w:tcBorders>
              <w:right w:val="single" w:sz="8" w:color="CCEEFF"/>
            </w:tcBorders>
            <w:gridSpan w:val="7"/>
            <w:shd w:val="clear" w:color="auto" w:fill="CCEEFF"/>
          </w:tcPr>
          <w:p>
            <w:pPr>
              <w:spacing w:after="0"/>
              <w:rPr>
                <w:sz w:val="9"/>
                <w:szCs w:val="9"/>
                <w:color w:val="auto"/>
              </w:rPr>
            </w:pPr>
          </w:p>
        </w:tc>
        <w:tc>
          <w:tcPr>
            <w:tcW w:w="580" w:type="dxa"/>
            <w:vAlign w:val="bottom"/>
            <w:tcBorders>
              <w:right w:val="single" w:sz="8" w:color="auto"/>
            </w:tcBorders>
            <w:gridSpan w:val="4"/>
            <w:shd w:val="clear" w:color="auto" w:fill="CCEEFF"/>
          </w:tcPr>
          <w:p>
            <w:pPr>
              <w:spacing w:after="0"/>
              <w:rPr>
                <w:sz w:val="9"/>
                <w:szCs w:val="9"/>
                <w:color w:val="auto"/>
              </w:rPr>
            </w:pPr>
          </w:p>
        </w:tc>
        <w:tc>
          <w:tcPr>
            <w:tcW w:w="360" w:type="dxa"/>
            <w:vAlign w:val="bottom"/>
            <w:tcBorders>
              <w:right w:val="single" w:sz="8" w:color="CCEEFF"/>
            </w:tcBorders>
            <w:gridSpan w:val="3"/>
            <w:shd w:val="clear" w:color="auto" w:fill="CCEEFF"/>
          </w:tcPr>
          <w:p>
            <w:pPr>
              <w:spacing w:after="0"/>
              <w:rPr>
                <w:sz w:val="9"/>
                <w:szCs w:val="9"/>
                <w:color w:val="auto"/>
              </w:rPr>
            </w:pPr>
          </w:p>
        </w:tc>
        <w:tc>
          <w:tcPr>
            <w:tcW w:w="4860" w:type="dxa"/>
            <w:vAlign w:val="bottom"/>
            <w:gridSpan w:val="3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000" w:type="dxa"/>
            <w:vAlign w:val="bottom"/>
            <w:tcBorders>
              <w:right w:val="single" w:sz="8" w:color="CCEEFF"/>
            </w:tcBorders>
            <w:gridSpan w:val="14"/>
          </w:tcPr>
          <w:p>
            <w:pPr>
              <w:spacing w:after="0"/>
              <w:rPr>
                <w:sz w:val="20"/>
                <w:szCs w:val="20"/>
                <w:color w:val="auto"/>
              </w:rPr>
            </w:pPr>
            <w:r>
              <w:rPr>
                <w:rFonts w:ascii="Arial" w:cs="Arial" w:eastAsia="Arial" w:hAnsi="Arial"/>
                <w:sz w:val="11"/>
                <w:szCs w:val="11"/>
                <w:color w:val="auto"/>
              </w:rPr>
              <w:t>exercise stock</w:t>
            </w:r>
          </w:p>
        </w:tc>
        <w:tc>
          <w:tcPr>
            <w:tcW w:w="1100" w:type="dxa"/>
            <w:vAlign w:val="bottom"/>
            <w:tcBorders>
              <w:right w:val="single" w:sz="8" w:color="CCEEFF"/>
            </w:tcBorders>
            <w:gridSpan w:val="7"/>
            <w:shd w:val="clear" w:color="auto" w:fill="CCEEFF"/>
          </w:tcPr>
          <w:p>
            <w:pPr>
              <w:spacing w:after="0"/>
              <w:rPr>
                <w:sz w:val="10"/>
                <w:szCs w:val="10"/>
                <w:color w:val="auto"/>
              </w:rPr>
            </w:pPr>
          </w:p>
        </w:tc>
        <w:tc>
          <w:tcPr>
            <w:tcW w:w="580" w:type="dxa"/>
            <w:vAlign w:val="bottom"/>
            <w:tcBorders>
              <w:right w:val="single" w:sz="8" w:color="auto"/>
            </w:tcBorders>
            <w:gridSpan w:val="4"/>
            <w:shd w:val="clear" w:color="auto" w:fill="CCEEFF"/>
          </w:tcPr>
          <w:p>
            <w:pPr>
              <w:spacing w:after="0"/>
              <w:rPr>
                <w:sz w:val="10"/>
                <w:szCs w:val="10"/>
                <w:color w:val="auto"/>
              </w:rPr>
            </w:pPr>
          </w:p>
        </w:tc>
        <w:tc>
          <w:tcPr>
            <w:tcW w:w="360" w:type="dxa"/>
            <w:vAlign w:val="bottom"/>
            <w:tcBorders>
              <w:right w:val="single" w:sz="8" w:color="CCEEFF"/>
            </w:tcBorders>
            <w:gridSpan w:val="3"/>
            <w:shd w:val="clear" w:color="auto" w:fill="CCEEFF"/>
          </w:tcPr>
          <w:p>
            <w:pPr>
              <w:spacing w:after="0"/>
              <w:rPr>
                <w:sz w:val="10"/>
                <w:szCs w:val="10"/>
                <w:color w:val="auto"/>
              </w:rPr>
            </w:pPr>
          </w:p>
        </w:tc>
        <w:tc>
          <w:tcPr>
            <w:tcW w:w="4860" w:type="dxa"/>
            <w:vAlign w:val="bottom"/>
            <w:gridSpan w:val="3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Borders>
              <w:right w:val="single" w:sz="8" w:color="CCEEFF"/>
            </w:tcBorders>
            <w:gridSpan w:val="14"/>
          </w:tcPr>
          <w:p>
            <w:pPr>
              <w:spacing w:after="0"/>
              <w:rPr>
                <w:sz w:val="20"/>
                <w:szCs w:val="20"/>
                <w:color w:val="auto"/>
              </w:rPr>
            </w:pPr>
            <w:r>
              <w:rPr>
                <w:rFonts w:ascii="Arial" w:cs="Arial" w:eastAsia="Arial" w:hAnsi="Arial"/>
                <w:sz w:val="11"/>
                <w:szCs w:val="11"/>
                <w:color w:val="auto"/>
              </w:rPr>
              <w:t>options</w:t>
            </w:r>
          </w:p>
        </w:tc>
        <w:tc>
          <w:tcPr>
            <w:tcW w:w="1100" w:type="dxa"/>
            <w:vAlign w:val="bottom"/>
            <w:tcBorders>
              <w:right w:val="single" w:sz="8" w:color="CCEEFF"/>
            </w:tcBorders>
            <w:gridSpan w:val="7"/>
            <w:shd w:val="clear" w:color="auto" w:fill="CCEEFF"/>
          </w:tcPr>
          <w:p>
            <w:pPr>
              <w:spacing w:after="0"/>
              <w:rPr>
                <w:sz w:val="11"/>
                <w:szCs w:val="11"/>
                <w:color w:val="auto"/>
              </w:rPr>
            </w:pPr>
          </w:p>
        </w:tc>
        <w:tc>
          <w:tcPr>
            <w:tcW w:w="580" w:type="dxa"/>
            <w:vAlign w:val="bottom"/>
            <w:tcBorders>
              <w:right w:val="single" w:sz="8" w:color="auto"/>
            </w:tcBorders>
            <w:gridSpan w:val="4"/>
            <w:shd w:val="clear" w:color="auto" w:fill="CCEEFF"/>
          </w:tcPr>
          <w:p>
            <w:pPr>
              <w:spacing w:after="0"/>
              <w:rPr>
                <w:sz w:val="11"/>
                <w:szCs w:val="11"/>
                <w:color w:val="auto"/>
              </w:rPr>
            </w:pPr>
          </w:p>
        </w:tc>
        <w:tc>
          <w:tcPr>
            <w:tcW w:w="980" w:type="dxa"/>
            <w:vAlign w:val="bottom"/>
            <w:gridSpan w:val="8"/>
            <w:shd w:val="clear" w:color="auto" w:fill="CCEEFF"/>
          </w:tcPr>
          <w:p>
            <w:pPr>
              <w:jc w:val="right"/>
              <w:ind w:right="926"/>
              <w:spacing w:after="0"/>
              <w:rPr>
                <w:sz w:val="20"/>
                <w:szCs w:val="20"/>
                <w:color w:val="auto"/>
              </w:rPr>
            </w:pPr>
            <w:r>
              <w:rPr>
                <w:rFonts w:ascii="Arial" w:cs="Arial" w:eastAsia="Arial" w:hAnsi="Arial"/>
                <w:sz w:val="11"/>
                <w:szCs w:val="11"/>
                <w:color w:val="auto"/>
              </w:rPr>
              <w:t>199,083</w:t>
            </w:r>
          </w:p>
        </w:tc>
        <w:tc>
          <w:tcPr>
            <w:tcW w:w="500" w:type="dxa"/>
            <w:vAlign w:val="bottom"/>
            <w:gridSpan w:val="5"/>
            <w:shd w:val="clear" w:color="auto" w:fill="CCEEFF"/>
          </w:tcPr>
          <w:p>
            <w:pPr>
              <w:jc w:val="right"/>
              <w:ind w:right="326"/>
              <w:spacing w:after="0"/>
              <w:rPr>
                <w:sz w:val="20"/>
                <w:szCs w:val="20"/>
                <w:color w:val="auto"/>
              </w:rPr>
            </w:pPr>
            <w:r>
              <w:rPr>
                <w:rFonts w:ascii="Arial" w:cs="Arial" w:eastAsia="Arial" w:hAnsi="Arial"/>
                <w:sz w:val="11"/>
                <w:szCs w:val="11"/>
                <w:b w:val="1"/>
                <w:bCs w:val="1"/>
                <w:color w:val="auto"/>
                <w:w w:val="90"/>
              </w:rPr>
              <w:t>—</w:t>
            </w:r>
          </w:p>
        </w:tc>
        <w:tc>
          <w:tcPr>
            <w:tcW w:w="3120" w:type="dxa"/>
            <w:vAlign w:val="bottom"/>
            <w:gridSpan w:val="25"/>
            <w:shd w:val="clear" w:color="auto" w:fill="CCEEFF"/>
          </w:tcPr>
          <w:p>
            <w:pPr>
              <w:jc w:val="right"/>
              <w:ind w:right="2884"/>
              <w:spacing w:after="0"/>
              <w:rPr>
                <w:sz w:val="20"/>
                <w:szCs w:val="20"/>
                <w:color w:val="auto"/>
              </w:rPr>
            </w:pPr>
            <w:r>
              <w:rPr>
                <w:rFonts w:ascii="Arial" w:cs="Arial" w:eastAsia="Arial" w:hAnsi="Arial"/>
                <w:sz w:val="11"/>
                <w:szCs w:val="11"/>
                <w:color w:val="auto"/>
                <w:w w:val="97"/>
              </w:rPr>
              <w:t>123</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123</w:t>
            </w:r>
          </w:p>
        </w:tc>
        <w:tc>
          <w:tcPr>
            <w:tcW w:w="0" w:type="dxa"/>
            <w:vAlign w:val="bottom"/>
          </w:tcPr>
          <w:p>
            <w:pPr>
              <w:spacing w:after="0"/>
              <w:rPr>
                <w:sz w:val="1"/>
                <w:szCs w:val="1"/>
                <w:color w:val="auto"/>
              </w:rPr>
            </w:pPr>
          </w:p>
        </w:tc>
      </w:tr>
      <w:tr>
        <w:trPr>
          <w:trHeight w:val="108"/>
        </w:trPr>
        <w:tc>
          <w:tcPr>
            <w:tcW w:w="4680" w:type="dxa"/>
            <w:vAlign w:val="bottom"/>
            <w:tcBorders>
              <w:right w:val="single" w:sz="8" w:color="auto"/>
            </w:tcBorders>
            <w:gridSpan w:val="25"/>
          </w:tcPr>
          <w:p>
            <w:pPr>
              <w:spacing w:after="0"/>
              <w:rPr>
                <w:sz w:val="20"/>
                <w:szCs w:val="20"/>
                <w:color w:val="auto"/>
              </w:rPr>
            </w:pPr>
            <w:r>
              <w:rPr>
                <w:rFonts w:ascii="Arial" w:cs="Arial" w:eastAsia="Arial" w:hAnsi="Arial"/>
                <w:sz w:val="11"/>
                <w:szCs w:val="11"/>
                <w:color w:val="auto"/>
              </w:rPr>
              <w:t>Unrealized loss on</w:t>
            </w:r>
          </w:p>
        </w:tc>
        <w:tc>
          <w:tcPr>
            <w:tcW w:w="5220" w:type="dxa"/>
            <w:vAlign w:val="bottom"/>
            <w:gridSpan w:val="41"/>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20" w:type="dxa"/>
            <w:vAlign w:val="bottom"/>
            <w:gridSpan w:val="3"/>
          </w:tcPr>
          <w:p>
            <w:pPr>
              <w:spacing w:after="0"/>
              <w:rPr>
                <w:sz w:val="20"/>
                <w:szCs w:val="20"/>
                <w:color w:val="auto"/>
              </w:rPr>
            </w:pPr>
            <w:r>
              <w:rPr>
                <w:rFonts w:ascii="Arial" w:cs="Arial" w:eastAsia="Arial" w:hAnsi="Arial"/>
                <w:sz w:val="11"/>
                <w:szCs w:val="11"/>
                <w:color w:val="auto"/>
              </w:rPr>
              <w:t>investments</w:t>
            </w:r>
          </w:p>
        </w:tc>
        <w:tc>
          <w:tcPr>
            <w:tcW w:w="720" w:type="dxa"/>
            <w:vAlign w:val="bottom"/>
            <w:gridSpan w:val="4"/>
          </w:tcPr>
          <w:p>
            <w:pPr>
              <w:jc w:val="right"/>
              <w:ind w:right="126"/>
              <w:spacing w:after="0"/>
              <w:rPr>
                <w:sz w:val="20"/>
                <w:szCs w:val="20"/>
                <w:color w:val="auto"/>
              </w:rPr>
            </w:pPr>
            <w:r>
              <w:rPr>
                <w:rFonts w:ascii="Arial" w:cs="Arial" w:eastAsia="Arial" w:hAnsi="Arial"/>
                <w:sz w:val="11"/>
                <w:szCs w:val="11"/>
                <w:color w:val="auto"/>
              </w:rPr>
              <w:t>—</w:t>
            </w:r>
          </w:p>
        </w:tc>
        <w:tc>
          <w:tcPr>
            <w:tcW w:w="840" w:type="dxa"/>
            <w:vAlign w:val="bottom"/>
            <w:gridSpan w:val="6"/>
          </w:tcPr>
          <w:p>
            <w:pPr>
              <w:jc w:val="right"/>
              <w:ind w:right="406"/>
              <w:spacing w:after="0"/>
              <w:rPr>
                <w:sz w:val="20"/>
                <w:szCs w:val="20"/>
                <w:color w:val="auto"/>
              </w:rPr>
            </w:pPr>
            <w:r>
              <w:rPr>
                <w:rFonts w:ascii="Arial" w:cs="Arial" w:eastAsia="Arial" w:hAnsi="Arial"/>
                <w:sz w:val="11"/>
                <w:szCs w:val="11"/>
                <w:color w:val="auto"/>
              </w:rPr>
              <w:t>—</w:t>
            </w:r>
          </w:p>
        </w:tc>
        <w:tc>
          <w:tcPr>
            <w:tcW w:w="440" w:type="dxa"/>
            <w:vAlign w:val="bottom"/>
            <w:gridSpan w:val="3"/>
          </w:tcPr>
          <w:p>
            <w:pPr>
              <w:jc w:val="right"/>
              <w:ind w:right="146"/>
              <w:spacing w:after="0"/>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46"/>
              <w:spacing w:after="0"/>
              <w:rPr>
                <w:sz w:val="20"/>
                <w:szCs w:val="20"/>
                <w:color w:val="auto"/>
              </w:rPr>
            </w:pPr>
            <w:r>
              <w:rPr>
                <w:rFonts w:ascii="Arial" w:cs="Arial" w:eastAsia="Arial" w:hAnsi="Arial"/>
                <w:sz w:val="11"/>
                <w:szCs w:val="11"/>
                <w:color w:val="auto"/>
              </w:rPr>
              <w:t>—</w:t>
            </w:r>
          </w:p>
        </w:tc>
        <w:tc>
          <w:tcPr>
            <w:tcW w:w="780" w:type="dxa"/>
            <w:vAlign w:val="bottom"/>
            <w:gridSpan w:val="4"/>
          </w:tcPr>
          <w:p>
            <w:pPr>
              <w:jc w:val="right"/>
              <w:ind w:right="346"/>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gridSpan w:val="2"/>
          </w:tcPr>
          <w:p>
            <w:pPr>
              <w:jc w:val="right"/>
              <w:ind w:right="6"/>
              <w:spacing w:after="0"/>
              <w:rPr>
                <w:sz w:val="20"/>
                <w:szCs w:val="20"/>
                <w:color w:val="auto"/>
              </w:rPr>
            </w:pPr>
            <w:r>
              <w:rPr>
                <w:rFonts w:ascii="Arial" w:cs="Arial" w:eastAsia="Arial" w:hAnsi="Arial"/>
                <w:sz w:val="11"/>
                <w:szCs w:val="11"/>
                <w:color w:val="auto"/>
              </w:rPr>
              <w:t>—</w:t>
            </w:r>
          </w:p>
        </w:tc>
        <w:tc>
          <w:tcPr>
            <w:tcW w:w="980" w:type="dxa"/>
            <w:vAlign w:val="bottom"/>
            <w:gridSpan w:val="8"/>
          </w:tcPr>
          <w:p>
            <w:pPr>
              <w:spacing w:after="0"/>
              <w:rPr>
                <w:sz w:val="20"/>
                <w:szCs w:val="20"/>
                <w:color w:val="auto"/>
              </w:rPr>
            </w:pPr>
            <w:r>
              <w:rPr>
                <w:rFonts w:ascii="Arial" w:cs="Arial" w:eastAsia="Arial" w:hAnsi="Arial"/>
                <w:sz w:val="11"/>
                <w:szCs w:val="11"/>
                <w:color w:val="auto"/>
              </w:rPr>
              <w:t>—</w:t>
            </w:r>
          </w:p>
        </w:tc>
        <w:tc>
          <w:tcPr>
            <w:tcW w:w="560" w:type="dxa"/>
            <w:vAlign w:val="bottom"/>
            <w:gridSpan w:val="6"/>
          </w:tcPr>
          <w:p>
            <w:pPr>
              <w:jc w:val="right"/>
              <w:ind w:right="386"/>
              <w:spacing w:after="0"/>
              <w:rPr>
                <w:sz w:val="20"/>
                <w:szCs w:val="20"/>
                <w:color w:val="auto"/>
              </w:rPr>
            </w:pPr>
            <w:r>
              <w:rPr>
                <w:rFonts w:ascii="Arial" w:cs="Arial" w:eastAsia="Arial" w:hAnsi="Arial"/>
                <w:sz w:val="11"/>
                <w:szCs w:val="11"/>
                <w:color w:val="auto"/>
                <w:w w:val="90"/>
              </w:rPr>
              <w:t>—</w:t>
            </w:r>
          </w:p>
        </w:tc>
        <w:tc>
          <w:tcPr>
            <w:tcW w:w="580" w:type="dxa"/>
            <w:vAlign w:val="bottom"/>
            <w:gridSpan w:val="5"/>
          </w:tcPr>
          <w:p>
            <w:pPr>
              <w:jc w:val="right"/>
              <w:ind w:right="386"/>
              <w:spacing w:after="0"/>
              <w:rPr>
                <w:sz w:val="20"/>
                <w:szCs w:val="20"/>
                <w:color w:val="auto"/>
              </w:rPr>
            </w:pPr>
            <w:r>
              <w:rPr>
                <w:rFonts w:ascii="Arial" w:cs="Arial" w:eastAsia="Arial" w:hAnsi="Arial"/>
                <w:sz w:val="11"/>
                <w:szCs w:val="11"/>
                <w:color w:val="auto"/>
              </w:rPr>
              <w:t>—</w:t>
            </w:r>
          </w:p>
        </w:tc>
        <w:tc>
          <w:tcPr>
            <w:tcW w:w="740" w:type="dxa"/>
            <w:vAlign w:val="bottom"/>
            <w:gridSpan w:val="6"/>
          </w:tcPr>
          <w:p>
            <w:pPr>
              <w:jc w:val="right"/>
              <w:ind w:right="364"/>
              <w:spacing w:after="0"/>
              <w:rPr>
                <w:sz w:val="20"/>
                <w:szCs w:val="20"/>
                <w:color w:val="auto"/>
              </w:rPr>
            </w:pPr>
            <w:r>
              <w:rPr>
                <w:rFonts w:ascii="Arial" w:cs="Arial" w:eastAsia="Arial" w:hAnsi="Arial"/>
                <w:sz w:val="11"/>
                <w:szCs w:val="11"/>
                <w:color w:val="auto"/>
              </w:rPr>
              <w:t>—</w:t>
            </w:r>
          </w:p>
        </w:tc>
        <w:tc>
          <w:tcPr>
            <w:tcW w:w="840" w:type="dxa"/>
            <w:vAlign w:val="bottom"/>
            <w:gridSpan w:val="6"/>
          </w:tcPr>
          <w:p>
            <w:pPr>
              <w:jc w:val="right"/>
              <w:ind w:right="386"/>
              <w:spacing w:after="0"/>
              <w:rPr>
                <w:sz w:val="20"/>
                <w:szCs w:val="20"/>
                <w:color w:val="auto"/>
              </w:rPr>
            </w:pPr>
            <w:r>
              <w:rPr>
                <w:rFonts w:ascii="Arial" w:cs="Arial" w:eastAsia="Arial" w:hAnsi="Arial"/>
                <w:sz w:val="11"/>
                <w:szCs w:val="11"/>
                <w:color w:val="auto"/>
              </w:rPr>
              <w:t>—</w:t>
            </w:r>
          </w:p>
        </w:tc>
        <w:tc>
          <w:tcPr>
            <w:tcW w:w="900" w:type="dxa"/>
            <w:vAlign w:val="bottom"/>
            <w:gridSpan w:val="7"/>
          </w:tcPr>
          <w:p>
            <w:pPr>
              <w:jc w:val="right"/>
              <w:ind w:right="344"/>
              <w:spacing w:after="0"/>
              <w:rPr>
                <w:sz w:val="20"/>
                <w:szCs w:val="20"/>
                <w:color w:val="auto"/>
              </w:rPr>
            </w:pPr>
            <w:r>
              <w:rPr>
                <w:rFonts w:ascii="Arial" w:cs="Arial" w:eastAsia="Arial" w:hAnsi="Arial"/>
                <w:sz w:val="11"/>
                <w:szCs w:val="11"/>
                <w:color w:val="auto"/>
              </w:rPr>
              <w:t>(27)</w:t>
            </w:r>
          </w:p>
        </w:tc>
        <w:tc>
          <w:tcPr>
            <w:tcW w:w="62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rPr>
              <w:t>(27)</w:t>
            </w:r>
          </w:p>
        </w:tc>
        <w:tc>
          <w:tcPr>
            <w:tcW w:w="0" w:type="dxa"/>
            <w:vAlign w:val="bottom"/>
          </w:tcPr>
          <w:p>
            <w:pPr>
              <w:spacing w:after="0"/>
              <w:rPr>
                <w:sz w:val="1"/>
                <w:szCs w:val="1"/>
                <w:color w:val="auto"/>
              </w:rPr>
            </w:pPr>
          </w:p>
        </w:tc>
      </w:tr>
      <w:tr>
        <w:trPr>
          <w:trHeight w:val="108"/>
        </w:trPr>
        <w:tc>
          <w:tcPr>
            <w:tcW w:w="3000" w:type="dxa"/>
            <w:vAlign w:val="bottom"/>
            <w:tcBorders>
              <w:right w:val="single" w:sz="8" w:color="CCEEFF"/>
            </w:tcBorders>
            <w:gridSpan w:val="14"/>
          </w:tcPr>
          <w:p>
            <w:pPr>
              <w:spacing w:after="0"/>
              <w:rPr>
                <w:sz w:val="20"/>
                <w:szCs w:val="20"/>
                <w:color w:val="auto"/>
              </w:rPr>
            </w:pPr>
            <w:r>
              <w:rPr>
                <w:rFonts w:ascii="Arial" w:cs="Arial" w:eastAsia="Arial" w:hAnsi="Arial"/>
                <w:sz w:val="11"/>
                <w:szCs w:val="11"/>
                <w:color w:val="auto"/>
              </w:rPr>
              <w:t>Foreign currency</w:t>
            </w:r>
          </w:p>
        </w:tc>
        <w:tc>
          <w:tcPr>
            <w:tcW w:w="1100" w:type="dxa"/>
            <w:vAlign w:val="bottom"/>
            <w:tcBorders>
              <w:right w:val="single" w:sz="8" w:color="CCEEFF"/>
            </w:tcBorders>
            <w:gridSpan w:val="7"/>
            <w:shd w:val="clear" w:color="auto" w:fill="CCEEFF"/>
          </w:tcPr>
          <w:p>
            <w:pPr>
              <w:spacing w:after="0"/>
              <w:rPr>
                <w:sz w:val="9"/>
                <w:szCs w:val="9"/>
                <w:color w:val="auto"/>
              </w:rPr>
            </w:pPr>
          </w:p>
        </w:tc>
        <w:tc>
          <w:tcPr>
            <w:tcW w:w="580" w:type="dxa"/>
            <w:vAlign w:val="bottom"/>
            <w:tcBorders>
              <w:right w:val="single" w:sz="8" w:color="auto"/>
            </w:tcBorders>
            <w:gridSpan w:val="4"/>
            <w:shd w:val="clear" w:color="auto" w:fill="CCEEFF"/>
          </w:tcPr>
          <w:p>
            <w:pPr>
              <w:spacing w:after="0"/>
              <w:rPr>
                <w:sz w:val="9"/>
                <w:szCs w:val="9"/>
                <w:color w:val="auto"/>
              </w:rPr>
            </w:pPr>
          </w:p>
        </w:tc>
        <w:tc>
          <w:tcPr>
            <w:tcW w:w="360" w:type="dxa"/>
            <w:vAlign w:val="bottom"/>
            <w:tcBorders>
              <w:right w:val="single" w:sz="8" w:color="CCEEFF"/>
            </w:tcBorders>
            <w:gridSpan w:val="3"/>
            <w:shd w:val="clear" w:color="auto" w:fill="CCEEFF"/>
          </w:tcPr>
          <w:p>
            <w:pPr>
              <w:spacing w:after="0"/>
              <w:rPr>
                <w:sz w:val="9"/>
                <w:szCs w:val="9"/>
                <w:color w:val="auto"/>
              </w:rPr>
            </w:pPr>
          </w:p>
        </w:tc>
        <w:tc>
          <w:tcPr>
            <w:tcW w:w="4860" w:type="dxa"/>
            <w:vAlign w:val="bottom"/>
            <w:gridSpan w:val="3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20" w:type="dxa"/>
            <w:vAlign w:val="bottom"/>
            <w:gridSpan w:val="3"/>
          </w:tcPr>
          <w:p>
            <w:pPr>
              <w:spacing w:after="0"/>
              <w:rPr>
                <w:sz w:val="20"/>
                <w:szCs w:val="20"/>
                <w:color w:val="auto"/>
              </w:rPr>
            </w:pPr>
            <w:r>
              <w:rPr>
                <w:rFonts w:ascii="Arial" w:cs="Arial" w:eastAsia="Arial" w:hAnsi="Arial"/>
                <w:sz w:val="11"/>
                <w:szCs w:val="11"/>
                <w:color w:val="auto"/>
              </w:rPr>
              <w:t>translation</w:t>
            </w:r>
          </w:p>
        </w:tc>
        <w:tc>
          <w:tcPr>
            <w:tcW w:w="720" w:type="dxa"/>
            <w:vAlign w:val="bottom"/>
            <w:gridSpan w:val="4"/>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840" w:type="dxa"/>
            <w:vAlign w:val="bottom"/>
            <w:gridSpan w:val="6"/>
            <w:shd w:val="clear" w:color="auto" w:fill="CCEEFF"/>
          </w:tcPr>
          <w:p>
            <w:pPr>
              <w:jc w:val="right"/>
              <w:ind w:right="406"/>
              <w:spacing w:after="0"/>
              <w:rPr>
                <w:sz w:val="20"/>
                <w:szCs w:val="20"/>
                <w:color w:val="auto"/>
              </w:rPr>
            </w:pPr>
            <w:r>
              <w:rPr>
                <w:rFonts w:ascii="Arial" w:cs="Arial" w:eastAsia="Arial" w:hAnsi="Arial"/>
                <w:sz w:val="11"/>
                <w:szCs w:val="11"/>
                <w:color w:val="auto"/>
              </w:rPr>
              <w:t>—</w:t>
            </w:r>
          </w:p>
        </w:tc>
        <w:tc>
          <w:tcPr>
            <w:tcW w:w="320" w:type="dxa"/>
            <w:vAlign w:val="bottom"/>
            <w:tcBorders>
              <w:right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w:t>
            </w:r>
          </w:p>
        </w:tc>
        <w:tc>
          <w:tcPr>
            <w:tcW w:w="4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tcBorders>
              <w:right w:val="single" w:sz="8" w:color="auto"/>
            </w:tcBorders>
            <w:gridSpan w:val="4"/>
            <w:shd w:val="clear" w:color="auto" w:fill="CCEEFF"/>
          </w:tcPr>
          <w:p>
            <w:pPr>
              <w:spacing w:after="0"/>
              <w:rPr>
                <w:sz w:val="20"/>
                <w:szCs w:val="20"/>
                <w:color w:val="auto"/>
              </w:rPr>
            </w:pPr>
            <w:r>
              <w:rPr>
                <w:rFonts w:ascii="Arial" w:cs="Arial" w:eastAsia="Arial" w:hAnsi="Arial"/>
                <w:sz w:val="11"/>
                <w:szCs w:val="11"/>
                <w:color w:val="auto"/>
              </w:rPr>
              <w:t>—</w:t>
            </w:r>
          </w:p>
        </w:tc>
        <w:tc>
          <w:tcPr>
            <w:tcW w:w="360" w:type="dxa"/>
            <w:vAlign w:val="bottom"/>
            <w:tcBorders>
              <w:right w:val="single" w:sz="8" w:color="CCEEFF"/>
            </w:tcBorders>
            <w:gridSpan w:val="3"/>
            <w:shd w:val="clear" w:color="auto" w:fill="CCEEFF"/>
          </w:tcPr>
          <w:p>
            <w:pPr>
              <w:spacing w:after="0"/>
              <w:rPr>
                <w:sz w:val="11"/>
                <w:szCs w:val="11"/>
                <w:color w:val="auto"/>
              </w:rPr>
            </w:pPr>
          </w:p>
        </w:tc>
        <w:tc>
          <w:tcPr>
            <w:tcW w:w="62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gridSpan w:val="6"/>
            <w:shd w:val="clear" w:color="auto" w:fill="CCEEFF"/>
          </w:tcPr>
          <w:p>
            <w:pPr>
              <w:jc w:val="right"/>
              <w:ind w:right="386"/>
              <w:spacing w:after="0"/>
              <w:rPr>
                <w:sz w:val="20"/>
                <w:szCs w:val="20"/>
                <w:color w:val="auto"/>
              </w:rPr>
            </w:pPr>
            <w:r>
              <w:rPr>
                <w:rFonts w:ascii="Arial" w:cs="Arial" w:eastAsia="Arial" w:hAnsi="Arial"/>
                <w:sz w:val="11"/>
                <w:szCs w:val="11"/>
                <w:color w:val="auto"/>
                <w:w w:val="90"/>
              </w:rPr>
              <w:t>—</w:t>
            </w:r>
          </w:p>
        </w:tc>
        <w:tc>
          <w:tcPr>
            <w:tcW w:w="580" w:type="dxa"/>
            <w:vAlign w:val="bottom"/>
            <w:gridSpan w:val="5"/>
            <w:shd w:val="clear" w:color="auto" w:fill="CCEEFF"/>
          </w:tcPr>
          <w:p>
            <w:pPr>
              <w:jc w:val="right"/>
              <w:ind w:right="386"/>
              <w:spacing w:after="0"/>
              <w:rPr>
                <w:sz w:val="20"/>
                <w:szCs w:val="20"/>
                <w:color w:val="auto"/>
              </w:rPr>
            </w:pPr>
            <w:r>
              <w:rPr>
                <w:rFonts w:ascii="Arial" w:cs="Arial" w:eastAsia="Arial" w:hAnsi="Arial"/>
                <w:sz w:val="11"/>
                <w:szCs w:val="11"/>
                <w:color w:val="auto"/>
              </w:rPr>
              <w:t>—</w:t>
            </w:r>
          </w:p>
        </w:tc>
        <w:tc>
          <w:tcPr>
            <w:tcW w:w="740" w:type="dxa"/>
            <w:vAlign w:val="bottom"/>
            <w:gridSpan w:val="6"/>
            <w:shd w:val="clear" w:color="auto" w:fill="CCEEFF"/>
          </w:tcPr>
          <w:p>
            <w:pPr>
              <w:jc w:val="right"/>
              <w:ind w:right="364"/>
              <w:spacing w:after="0"/>
              <w:rPr>
                <w:sz w:val="20"/>
                <w:szCs w:val="20"/>
                <w:color w:val="auto"/>
              </w:rPr>
            </w:pPr>
            <w:r>
              <w:rPr>
                <w:rFonts w:ascii="Arial" w:cs="Arial" w:eastAsia="Arial" w:hAnsi="Arial"/>
                <w:sz w:val="11"/>
                <w:szCs w:val="11"/>
                <w:color w:val="auto"/>
              </w:rPr>
              <w:t>—</w:t>
            </w:r>
          </w:p>
        </w:tc>
        <w:tc>
          <w:tcPr>
            <w:tcW w:w="840" w:type="dxa"/>
            <w:vAlign w:val="bottom"/>
            <w:gridSpan w:val="6"/>
            <w:shd w:val="clear" w:color="auto" w:fill="CCEEFF"/>
          </w:tcPr>
          <w:p>
            <w:pPr>
              <w:jc w:val="right"/>
              <w:ind w:right="386"/>
              <w:spacing w:after="0"/>
              <w:rPr>
                <w:sz w:val="20"/>
                <w:szCs w:val="20"/>
                <w:color w:val="auto"/>
              </w:rPr>
            </w:pPr>
            <w:r>
              <w:rPr>
                <w:rFonts w:ascii="Arial" w:cs="Arial" w:eastAsia="Arial" w:hAnsi="Arial"/>
                <w:sz w:val="11"/>
                <w:szCs w:val="11"/>
                <w:color w:val="auto"/>
              </w:rPr>
              <w:t>—</w:t>
            </w:r>
          </w:p>
        </w:tc>
        <w:tc>
          <w:tcPr>
            <w:tcW w:w="900" w:type="dxa"/>
            <w:vAlign w:val="bottom"/>
            <w:gridSpan w:val="7"/>
            <w:shd w:val="clear" w:color="auto" w:fill="CCEEFF"/>
          </w:tcPr>
          <w:p>
            <w:pPr>
              <w:jc w:val="right"/>
              <w:ind w:right="384"/>
              <w:spacing w:after="0"/>
              <w:rPr>
                <w:sz w:val="20"/>
                <w:szCs w:val="20"/>
                <w:color w:val="auto"/>
              </w:rPr>
            </w:pPr>
            <w:r>
              <w:rPr>
                <w:rFonts w:ascii="Arial" w:cs="Arial" w:eastAsia="Arial" w:hAnsi="Arial"/>
                <w:sz w:val="11"/>
                <w:szCs w:val="11"/>
                <w:color w:val="auto"/>
              </w:rPr>
              <w:t>4</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108"/>
        </w:trPr>
        <w:tc>
          <w:tcPr>
            <w:tcW w:w="4680" w:type="dxa"/>
            <w:vAlign w:val="bottom"/>
            <w:tcBorders>
              <w:right w:val="single" w:sz="8" w:color="auto"/>
            </w:tcBorders>
            <w:gridSpan w:val="25"/>
          </w:tcPr>
          <w:p>
            <w:pPr>
              <w:spacing w:after="0"/>
              <w:rPr>
                <w:sz w:val="20"/>
                <w:szCs w:val="20"/>
                <w:color w:val="auto"/>
              </w:rPr>
            </w:pPr>
            <w:r>
              <w:rPr>
                <w:rFonts w:ascii="Arial" w:cs="Arial" w:eastAsia="Arial" w:hAnsi="Arial"/>
                <w:sz w:val="11"/>
                <w:szCs w:val="11"/>
                <w:color w:val="auto"/>
              </w:rPr>
              <w:t>Stock based</w:t>
            </w:r>
          </w:p>
        </w:tc>
        <w:tc>
          <w:tcPr>
            <w:tcW w:w="5220" w:type="dxa"/>
            <w:vAlign w:val="bottom"/>
            <w:gridSpan w:val="41"/>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20" w:type="dxa"/>
            <w:vAlign w:val="bottom"/>
            <w:gridSpan w:val="3"/>
          </w:tcPr>
          <w:p>
            <w:pPr>
              <w:spacing w:after="0"/>
              <w:rPr>
                <w:sz w:val="20"/>
                <w:szCs w:val="20"/>
                <w:color w:val="auto"/>
              </w:rPr>
            </w:pPr>
            <w:r>
              <w:rPr>
                <w:rFonts w:ascii="Arial" w:cs="Arial" w:eastAsia="Arial" w:hAnsi="Arial"/>
                <w:sz w:val="11"/>
                <w:szCs w:val="11"/>
                <w:color w:val="auto"/>
              </w:rPr>
              <w:t>compensation</w:t>
            </w:r>
          </w:p>
        </w:tc>
        <w:tc>
          <w:tcPr>
            <w:tcW w:w="720" w:type="dxa"/>
            <w:vAlign w:val="bottom"/>
            <w:gridSpan w:val="4"/>
          </w:tcPr>
          <w:p>
            <w:pPr>
              <w:jc w:val="right"/>
              <w:ind w:right="126"/>
              <w:spacing w:after="0"/>
              <w:rPr>
                <w:sz w:val="20"/>
                <w:szCs w:val="20"/>
                <w:color w:val="auto"/>
              </w:rPr>
            </w:pPr>
            <w:r>
              <w:rPr>
                <w:rFonts w:ascii="Arial" w:cs="Arial" w:eastAsia="Arial" w:hAnsi="Arial"/>
                <w:sz w:val="11"/>
                <w:szCs w:val="11"/>
                <w:color w:val="auto"/>
              </w:rPr>
              <w:t>—</w:t>
            </w:r>
          </w:p>
        </w:tc>
        <w:tc>
          <w:tcPr>
            <w:tcW w:w="840" w:type="dxa"/>
            <w:vAlign w:val="bottom"/>
            <w:gridSpan w:val="6"/>
          </w:tcPr>
          <w:p>
            <w:pPr>
              <w:jc w:val="right"/>
              <w:ind w:right="406"/>
              <w:spacing w:after="0"/>
              <w:rPr>
                <w:sz w:val="20"/>
                <w:szCs w:val="20"/>
                <w:color w:val="auto"/>
              </w:rPr>
            </w:pPr>
            <w:r>
              <w:rPr>
                <w:rFonts w:ascii="Arial" w:cs="Arial" w:eastAsia="Arial" w:hAnsi="Arial"/>
                <w:sz w:val="11"/>
                <w:szCs w:val="11"/>
                <w:color w:val="auto"/>
              </w:rPr>
              <w:t>—</w:t>
            </w:r>
          </w:p>
        </w:tc>
        <w:tc>
          <w:tcPr>
            <w:tcW w:w="440" w:type="dxa"/>
            <w:vAlign w:val="bottom"/>
            <w:gridSpan w:val="3"/>
          </w:tcPr>
          <w:p>
            <w:pPr>
              <w:jc w:val="right"/>
              <w:ind w:right="146"/>
              <w:spacing w:after="0"/>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46"/>
              <w:spacing w:after="0"/>
              <w:rPr>
                <w:sz w:val="20"/>
                <w:szCs w:val="20"/>
                <w:color w:val="auto"/>
              </w:rPr>
            </w:pPr>
            <w:r>
              <w:rPr>
                <w:rFonts w:ascii="Arial" w:cs="Arial" w:eastAsia="Arial" w:hAnsi="Arial"/>
                <w:sz w:val="11"/>
                <w:szCs w:val="11"/>
                <w:color w:val="auto"/>
              </w:rPr>
              <w:t>—</w:t>
            </w:r>
          </w:p>
        </w:tc>
        <w:tc>
          <w:tcPr>
            <w:tcW w:w="780" w:type="dxa"/>
            <w:vAlign w:val="bottom"/>
            <w:gridSpan w:val="4"/>
          </w:tcPr>
          <w:p>
            <w:pPr>
              <w:jc w:val="right"/>
              <w:ind w:right="346"/>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gridSpan w:val="2"/>
          </w:tcPr>
          <w:p>
            <w:pPr>
              <w:jc w:val="right"/>
              <w:ind w:right="6"/>
              <w:spacing w:after="0"/>
              <w:rPr>
                <w:sz w:val="20"/>
                <w:szCs w:val="20"/>
                <w:color w:val="auto"/>
              </w:rPr>
            </w:pPr>
            <w:r>
              <w:rPr>
                <w:rFonts w:ascii="Arial" w:cs="Arial" w:eastAsia="Arial" w:hAnsi="Arial"/>
                <w:sz w:val="11"/>
                <w:szCs w:val="11"/>
                <w:color w:val="auto"/>
              </w:rPr>
              <w:t>—</w:t>
            </w:r>
          </w:p>
        </w:tc>
        <w:tc>
          <w:tcPr>
            <w:tcW w:w="980" w:type="dxa"/>
            <w:vAlign w:val="bottom"/>
            <w:gridSpan w:val="8"/>
          </w:tcPr>
          <w:p>
            <w:pPr>
              <w:spacing w:after="0"/>
              <w:rPr>
                <w:sz w:val="20"/>
                <w:szCs w:val="20"/>
                <w:color w:val="auto"/>
              </w:rPr>
            </w:pPr>
            <w:r>
              <w:rPr>
                <w:rFonts w:ascii="Arial" w:cs="Arial" w:eastAsia="Arial" w:hAnsi="Arial"/>
                <w:sz w:val="11"/>
                <w:szCs w:val="11"/>
                <w:color w:val="auto"/>
              </w:rPr>
              <w:t>—</w:t>
            </w:r>
          </w:p>
        </w:tc>
        <w:tc>
          <w:tcPr>
            <w:tcW w:w="500" w:type="dxa"/>
            <w:vAlign w:val="bottom"/>
            <w:gridSpan w:val="5"/>
          </w:tcPr>
          <w:p>
            <w:pPr>
              <w:jc w:val="right"/>
              <w:ind w:right="326"/>
              <w:spacing w:after="0"/>
              <w:rPr>
                <w:sz w:val="20"/>
                <w:szCs w:val="20"/>
                <w:color w:val="auto"/>
              </w:rPr>
            </w:pPr>
            <w:r>
              <w:rPr>
                <w:rFonts w:ascii="Arial" w:cs="Arial" w:eastAsia="Arial" w:hAnsi="Arial"/>
                <w:sz w:val="11"/>
                <w:szCs w:val="11"/>
                <w:color w:val="auto"/>
                <w:w w:val="90"/>
              </w:rPr>
              <w:t>—</w:t>
            </w:r>
          </w:p>
        </w:tc>
        <w:tc>
          <w:tcPr>
            <w:tcW w:w="640" w:type="dxa"/>
            <w:vAlign w:val="bottom"/>
            <w:gridSpan w:val="6"/>
          </w:tcPr>
          <w:p>
            <w:pPr>
              <w:jc w:val="right"/>
              <w:ind w:right="386"/>
              <w:spacing w:after="0"/>
              <w:rPr>
                <w:sz w:val="20"/>
                <w:szCs w:val="20"/>
                <w:color w:val="auto"/>
              </w:rPr>
            </w:pPr>
            <w:r>
              <w:rPr>
                <w:rFonts w:ascii="Arial" w:cs="Arial" w:eastAsia="Arial" w:hAnsi="Arial"/>
                <w:sz w:val="11"/>
                <w:szCs w:val="11"/>
                <w:color w:val="auto"/>
              </w:rPr>
              <w:t>95</w:t>
            </w:r>
          </w:p>
        </w:tc>
        <w:tc>
          <w:tcPr>
            <w:tcW w:w="740" w:type="dxa"/>
            <w:vAlign w:val="bottom"/>
            <w:gridSpan w:val="6"/>
          </w:tcPr>
          <w:p>
            <w:pPr>
              <w:jc w:val="right"/>
              <w:ind w:right="364"/>
              <w:spacing w:after="0"/>
              <w:rPr>
                <w:sz w:val="20"/>
                <w:szCs w:val="20"/>
                <w:color w:val="auto"/>
              </w:rPr>
            </w:pPr>
            <w:r>
              <w:rPr>
                <w:rFonts w:ascii="Arial" w:cs="Arial" w:eastAsia="Arial" w:hAnsi="Arial"/>
                <w:sz w:val="11"/>
                <w:szCs w:val="11"/>
                <w:color w:val="auto"/>
              </w:rPr>
              <w:t>—</w:t>
            </w:r>
          </w:p>
        </w:tc>
        <w:tc>
          <w:tcPr>
            <w:tcW w:w="840" w:type="dxa"/>
            <w:vAlign w:val="bottom"/>
            <w:gridSpan w:val="6"/>
          </w:tcPr>
          <w:p>
            <w:pPr>
              <w:jc w:val="right"/>
              <w:ind w:right="386"/>
              <w:spacing w:after="0"/>
              <w:rPr>
                <w:sz w:val="20"/>
                <w:szCs w:val="20"/>
                <w:color w:val="auto"/>
              </w:rPr>
            </w:pPr>
            <w:r>
              <w:rPr>
                <w:rFonts w:ascii="Arial" w:cs="Arial" w:eastAsia="Arial" w:hAnsi="Arial"/>
                <w:sz w:val="11"/>
                <w:szCs w:val="11"/>
                <w:color w:val="auto"/>
              </w:rPr>
              <w:t>—</w:t>
            </w:r>
          </w:p>
        </w:tc>
        <w:tc>
          <w:tcPr>
            <w:tcW w:w="900" w:type="dxa"/>
            <w:vAlign w:val="bottom"/>
            <w:gridSpan w:val="7"/>
          </w:tcPr>
          <w:p>
            <w:pPr>
              <w:jc w:val="right"/>
              <w:ind w:right="384"/>
              <w:spacing w:after="0"/>
              <w:rPr>
                <w:sz w:val="20"/>
                <w:szCs w:val="20"/>
                <w:color w:val="auto"/>
              </w:rPr>
            </w:pPr>
            <w:r>
              <w:rPr>
                <w:rFonts w:ascii="Arial" w:cs="Arial" w:eastAsia="Arial" w:hAnsi="Arial"/>
                <w:sz w:val="11"/>
                <w:szCs w:val="11"/>
                <w:color w:val="auto"/>
              </w:rPr>
              <w:t>—</w:t>
            </w:r>
          </w:p>
        </w:tc>
        <w:tc>
          <w:tcPr>
            <w:tcW w:w="6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95</w:t>
            </w:r>
          </w:p>
        </w:tc>
        <w:tc>
          <w:tcPr>
            <w:tcW w:w="0" w:type="dxa"/>
            <w:vAlign w:val="bottom"/>
          </w:tcPr>
          <w:p>
            <w:pPr>
              <w:spacing w:after="0"/>
              <w:rPr>
                <w:sz w:val="1"/>
                <w:szCs w:val="1"/>
                <w:color w:val="auto"/>
              </w:rPr>
            </w:pPr>
          </w:p>
        </w:tc>
      </w:tr>
      <w:tr>
        <w:trPr>
          <w:trHeight w:val="122"/>
        </w:trPr>
        <w:tc>
          <w:tcPr>
            <w:tcW w:w="1120" w:type="dxa"/>
            <w:vAlign w:val="bottom"/>
            <w:gridSpan w:val="3"/>
          </w:tcPr>
          <w:p>
            <w:pPr>
              <w:spacing w:after="0"/>
              <w:rPr>
                <w:sz w:val="20"/>
                <w:szCs w:val="20"/>
                <w:color w:val="auto"/>
              </w:rPr>
            </w:pPr>
            <w:r>
              <w:rPr>
                <w:rFonts w:ascii="Arial" w:cs="Arial" w:eastAsia="Arial" w:hAnsi="Arial"/>
                <w:sz w:val="11"/>
                <w:szCs w:val="11"/>
                <w:color w:val="auto"/>
              </w:rPr>
              <w:t>Net loss</w:t>
            </w:r>
          </w:p>
        </w:tc>
        <w:tc>
          <w:tcPr>
            <w:tcW w:w="580" w:type="dxa"/>
            <w:vAlign w:val="bottom"/>
            <w:tcBorders>
              <w:bottom w:val="single" w:sz="8" w:color="auto"/>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tcBorders>
              <w:bottom w:val="single" w:sz="8" w:color="auto"/>
              <w:right w:val="single" w:sz="8" w:color="CCEEFF"/>
            </w:tcBorders>
            <w:gridSpan w:val="4"/>
            <w:shd w:val="clear" w:color="auto" w:fill="CCEEFF"/>
          </w:tcPr>
          <w:p>
            <w:pPr>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right w:val="single" w:sz="8" w:color="CCEEFF"/>
            </w:tcBorders>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80" w:type="dxa"/>
            <w:vAlign w:val="bottom"/>
            <w:tcBorders>
              <w:bottom w:val="single" w:sz="8" w:color="auto"/>
              <w:right w:val="single" w:sz="8" w:color="CCEEFF"/>
            </w:tcBorders>
            <w:gridSpan w:val="2"/>
            <w:shd w:val="clear" w:color="auto" w:fill="CCEEFF"/>
          </w:tcPr>
          <w:p>
            <w:pPr>
              <w:spacing w:after="0"/>
              <w:rPr>
                <w:sz w:val="10"/>
                <w:szCs w:val="10"/>
                <w:color w:val="auto"/>
              </w:rPr>
            </w:pPr>
          </w:p>
        </w:tc>
        <w:tc>
          <w:tcPr>
            <w:tcW w:w="2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80" w:type="dxa"/>
            <w:vAlign w:val="bottom"/>
            <w:tcBorders>
              <w:bottom w:val="single" w:sz="8" w:color="auto"/>
            </w:tcBorders>
            <w:gridSpan w:val="7"/>
            <w:shd w:val="clear" w:color="auto" w:fill="CCEEFF"/>
          </w:tcPr>
          <w:p>
            <w:pPr>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0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40" w:type="dxa"/>
            <w:vAlign w:val="bottom"/>
            <w:tcBorders>
              <w:bottom w:val="single" w:sz="8" w:color="auto"/>
            </w:tcBorders>
            <w:gridSpan w:val="5"/>
            <w:shd w:val="clear" w:color="auto" w:fill="CCEEFF"/>
          </w:tcPr>
          <w:p>
            <w:pPr>
              <w:jc w:val="right"/>
              <w:ind w:right="686"/>
              <w:spacing w:after="0"/>
              <w:rPr>
                <w:sz w:val="20"/>
                <w:szCs w:val="20"/>
                <w:color w:val="auto"/>
              </w:rPr>
            </w:pPr>
            <w:r>
              <w:rPr>
                <w:rFonts w:ascii="Arial" w:cs="Arial" w:eastAsia="Arial" w:hAnsi="Arial"/>
                <w:sz w:val="11"/>
                <w:szCs w:val="11"/>
                <w:color w:val="auto"/>
              </w:rPr>
              <w:t>(18,348)</w:t>
            </w:r>
          </w:p>
        </w:tc>
        <w:tc>
          <w:tcPr>
            <w:tcW w:w="60" w:type="dxa"/>
            <w:vAlign w:val="bottom"/>
            <w:shd w:val="clear" w:color="auto" w:fill="CCEEFF"/>
          </w:tcPr>
          <w:p>
            <w:pPr>
              <w:spacing w:after="0"/>
              <w:rPr>
                <w:sz w:val="10"/>
                <w:szCs w:val="10"/>
                <w:color w:val="auto"/>
              </w:rPr>
            </w:pPr>
          </w:p>
        </w:tc>
        <w:tc>
          <w:tcPr>
            <w:tcW w:w="86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1"/>
                <w:szCs w:val="11"/>
                <w:color w:val="auto"/>
              </w:rPr>
              <w:t>—</w:t>
            </w:r>
          </w:p>
        </w:tc>
        <w:tc>
          <w:tcPr>
            <w:tcW w:w="140" w:type="dxa"/>
            <w:vAlign w:val="bottom"/>
            <w:gridSpan w:val="2"/>
            <w:shd w:val="clear" w:color="auto" w:fill="CCEEFF"/>
          </w:tcPr>
          <w:p>
            <w:pPr>
              <w:spacing w:after="0"/>
              <w:rPr>
                <w:sz w:val="10"/>
                <w:szCs w:val="10"/>
                <w:color w:val="auto"/>
              </w:rPr>
            </w:pPr>
          </w:p>
        </w:tc>
        <w:tc>
          <w:tcPr>
            <w:tcW w:w="740" w:type="dxa"/>
            <w:vAlign w:val="bottom"/>
            <w:tcBorders>
              <w:bottom w:val="single" w:sz="8" w:color="auto"/>
            </w:tcBorders>
            <w:gridSpan w:val="6"/>
            <w:shd w:val="clear" w:color="auto" w:fill="CCEEFF"/>
          </w:tcPr>
          <w:p>
            <w:pPr>
              <w:jc w:val="right"/>
              <w:ind w:right="686"/>
              <w:spacing w:after="0"/>
              <w:rPr>
                <w:sz w:val="20"/>
                <w:szCs w:val="20"/>
                <w:color w:val="auto"/>
              </w:rPr>
            </w:pPr>
            <w:r>
              <w:rPr>
                <w:rFonts w:ascii="Arial" w:cs="Arial" w:eastAsia="Arial" w:hAnsi="Arial"/>
                <w:sz w:val="11"/>
                <w:szCs w:val="11"/>
                <w:b w:val="1"/>
                <w:bCs w:val="1"/>
                <w:color w:val="auto"/>
              </w:rPr>
              <w:t>(18,348)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40" w:type="dxa"/>
            <w:vAlign w:val="bottom"/>
          </w:tcPr>
          <w:p>
            <w:pPr>
              <w:spacing w:after="0" w:line="89" w:lineRule="exact"/>
              <w:rPr>
                <w:sz w:val="20"/>
                <w:szCs w:val="20"/>
                <w:color w:val="auto"/>
              </w:rPr>
            </w:pPr>
            <w:r>
              <w:rPr>
                <w:rFonts w:ascii="Arial" w:cs="Arial" w:eastAsia="Arial" w:hAnsi="Arial"/>
                <w:sz w:val="10"/>
                <w:szCs w:val="10"/>
                <w:b w:val="1"/>
                <w:bCs w:val="1"/>
                <w:color w:val="auto"/>
              </w:rPr>
              <w:t>Balance,</w:t>
            </w:r>
          </w:p>
        </w:tc>
        <w:tc>
          <w:tcPr>
            <w:tcW w:w="60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35,000,000</w:t>
            </w:r>
          </w:p>
        </w:tc>
        <w:tc>
          <w:tcPr>
            <w:tcW w:w="18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34,992</w:t>
            </w:r>
          </w:p>
        </w:tc>
        <w:tc>
          <w:tcPr>
            <w:tcW w:w="740" w:type="dxa"/>
            <w:vAlign w:val="bottom"/>
            <w:gridSpan w:val="5"/>
            <w:vMerge w:val="restart"/>
          </w:tcPr>
          <w:p>
            <w:pPr>
              <w:jc w:val="right"/>
              <w:ind w:right="26"/>
              <w:spacing w:after="0"/>
              <w:rPr>
                <w:sz w:val="20"/>
                <w:szCs w:val="20"/>
                <w:color w:val="auto"/>
              </w:rPr>
            </w:pPr>
            <w:r>
              <w:rPr>
                <w:rFonts w:ascii="Arial" w:cs="Arial" w:eastAsia="Arial" w:hAnsi="Arial"/>
                <w:sz w:val="11"/>
                <w:szCs w:val="11"/>
                <w:b w:val="1"/>
                <w:bCs w:val="1"/>
                <w:color w:val="auto"/>
              </w:rPr>
              <w:t>26,143,790</w:t>
            </w:r>
          </w:p>
        </w:tc>
        <w:tc>
          <w:tcPr>
            <w:tcW w:w="1100" w:type="dxa"/>
            <w:vAlign w:val="bottom"/>
            <w:gridSpan w:val="7"/>
            <w:vMerge w:val="restart"/>
          </w:tcPr>
          <w:p>
            <w:pPr>
              <w:jc w:val="right"/>
              <w:ind w:right="40"/>
              <w:spacing w:after="0"/>
              <w:rPr>
                <w:sz w:val="20"/>
                <w:szCs w:val="20"/>
                <w:color w:val="auto"/>
              </w:rPr>
            </w:pPr>
            <w:r>
              <w:rPr>
                <w:rFonts w:ascii="Arial" w:cs="Arial" w:eastAsia="Arial" w:hAnsi="Arial"/>
                <w:sz w:val="11"/>
                <w:szCs w:val="11"/>
                <w:b w:val="1"/>
                <w:bCs w:val="1"/>
                <w:u w:val="single" w:color="auto"/>
                <w:color w:val="auto"/>
                <w:w w:val="97"/>
              </w:rPr>
              <w:t>$</w:t>
            </w:r>
            <w:r>
              <w:rPr>
                <w:rFonts w:ascii="Arial" w:cs="Arial" w:eastAsia="Arial" w:hAnsi="Arial"/>
                <w:sz w:val="11"/>
                <w:szCs w:val="11"/>
                <w:b w:val="1"/>
                <w:bCs w:val="1"/>
                <w:color w:val="auto"/>
                <w:w w:val="97"/>
              </w:rPr>
              <w:t xml:space="preserve"> 144,839 24,721,999</w:t>
            </w:r>
          </w:p>
        </w:tc>
        <w:tc>
          <w:tcPr>
            <w:tcW w:w="580" w:type="dxa"/>
            <w:vAlign w:val="bottom"/>
            <w:tcBorders>
              <w:right w:val="single" w:sz="8" w:color="auto"/>
            </w:tcBorders>
            <w:gridSpan w:val="4"/>
            <w:vMerge w:val="restart"/>
          </w:tcPr>
          <w:p>
            <w:pPr>
              <w:jc w:val="right"/>
              <w:ind w:right="6"/>
              <w:spacing w:after="0"/>
              <w:rPr>
                <w:sz w:val="20"/>
                <w:szCs w:val="20"/>
                <w:color w:val="auto"/>
              </w:rPr>
            </w:pPr>
            <w:r>
              <w:rPr>
                <w:rFonts w:ascii="Arial" w:cs="Arial" w:eastAsia="Arial" w:hAnsi="Arial"/>
                <w:sz w:val="11"/>
                <w:szCs w:val="11"/>
                <w:b w:val="1"/>
                <w:bCs w:val="1"/>
                <w:color w:val="auto"/>
              </w:rPr>
              <w:t>$ 159,628</w:t>
            </w:r>
          </w:p>
        </w:tc>
        <w:tc>
          <w:tcPr>
            <w:tcW w:w="80" w:type="dxa"/>
            <w:vAlign w:val="bottom"/>
          </w:tcPr>
          <w:p>
            <w:pPr>
              <w:spacing w:after="0"/>
              <w:rPr>
                <w:sz w:val="7"/>
                <w:szCs w:val="7"/>
                <w:color w:val="auto"/>
              </w:rPr>
            </w:pPr>
          </w:p>
        </w:tc>
        <w:tc>
          <w:tcPr>
            <w:tcW w:w="480" w:type="dxa"/>
            <w:vAlign w:val="bottom"/>
            <w:gridSpan w:val="4"/>
            <w:vMerge w:val="restart"/>
          </w:tcPr>
          <w:p>
            <w:pPr>
              <w:jc w:val="right"/>
              <w:spacing w:after="0"/>
              <w:rPr>
                <w:sz w:val="20"/>
                <w:szCs w:val="20"/>
                <w:color w:val="auto"/>
              </w:rPr>
            </w:pPr>
            <w:r>
              <w:rPr>
                <w:rFonts w:ascii="Arial" w:cs="Arial" w:eastAsia="Arial" w:hAnsi="Arial"/>
                <w:sz w:val="11"/>
                <w:szCs w:val="11"/>
                <w:b w:val="1"/>
                <w:bCs w:val="1"/>
                <w:color w:val="auto"/>
                <w:w w:val="93"/>
              </w:rPr>
              <w:t>7,872,533</w:t>
            </w:r>
          </w:p>
        </w:tc>
        <w:tc>
          <w:tcPr>
            <w:tcW w:w="420" w:type="dxa"/>
            <w:vAlign w:val="bottom"/>
            <w:gridSpan w:val="3"/>
            <w:vMerge w:val="restart"/>
          </w:tcPr>
          <w:p>
            <w:pPr>
              <w:jc w:val="right"/>
              <w:ind w:right="206"/>
              <w:spacing w:after="0"/>
              <w:rPr>
                <w:sz w:val="20"/>
                <w:szCs w:val="20"/>
                <w:color w:val="auto"/>
              </w:rPr>
            </w:pPr>
            <w:r>
              <w:rPr>
                <w:rFonts w:ascii="Arial" w:cs="Arial" w:eastAsia="Arial" w:hAnsi="Arial"/>
                <w:sz w:val="11"/>
                <w:szCs w:val="11"/>
                <w:b w:val="1"/>
                <w:bCs w:val="1"/>
                <w:color w:val="auto"/>
              </w:rPr>
              <w:t>$</w:t>
            </w: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1</w:t>
            </w:r>
          </w:p>
        </w:tc>
        <w:tc>
          <w:tcPr>
            <w:tcW w:w="100" w:type="dxa"/>
            <w:vAlign w:val="bottom"/>
            <w:gridSpan w:val="2"/>
            <w:vMerge w:val="restart"/>
          </w:tcPr>
          <w:p>
            <w:pPr>
              <w:jc w:val="right"/>
              <w:ind w:right="20"/>
              <w:spacing w:after="0"/>
              <w:rPr>
                <w:sz w:val="20"/>
                <w:szCs w:val="20"/>
                <w:color w:val="auto"/>
              </w:rPr>
            </w:pPr>
            <w:r>
              <w:rPr>
                <w:rFonts w:ascii="Arial" w:cs="Arial" w:eastAsia="Arial" w:hAnsi="Arial"/>
                <w:sz w:val="11"/>
                <w:szCs w:val="11"/>
                <w:b w:val="1"/>
                <w:bCs w:val="1"/>
                <w:color w:val="auto"/>
                <w:w w:val="97"/>
              </w:rPr>
              <w:t>$</w:t>
            </w:r>
          </w:p>
        </w:tc>
        <w:tc>
          <w:tcPr>
            <w:tcW w:w="520" w:type="dxa"/>
            <w:vAlign w:val="bottom"/>
            <w:gridSpan w:val="3"/>
            <w:vMerge w:val="restart"/>
          </w:tcPr>
          <w:p>
            <w:pPr>
              <w:jc w:val="right"/>
              <w:ind w:right="6"/>
              <w:spacing w:after="0"/>
              <w:rPr>
                <w:sz w:val="20"/>
                <w:szCs w:val="20"/>
                <w:color w:val="auto"/>
              </w:rPr>
            </w:pPr>
            <w:r>
              <w:rPr>
                <w:rFonts w:ascii="Arial" w:cs="Arial" w:eastAsia="Arial" w:hAnsi="Arial"/>
                <w:sz w:val="11"/>
                <w:szCs w:val="11"/>
                <w:b w:val="1"/>
                <w:bCs w:val="1"/>
                <w:color w:val="auto"/>
              </w:rPr>
              <w:t>219,158</w:t>
            </w:r>
          </w:p>
        </w:tc>
        <w:tc>
          <w:tcPr>
            <w:tcW w:w="1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7"/>
                <w:szCs w:val="7"/>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(310,690)</w:t>
            </w: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(26)</w:t>
            </w:r>
          </w:p>
        </w:tc>
        <w:tc>
          <w:tcPr>
            <w:tcW w:w="200" w:type="dxa"/>
            <w:vAlign w:val="bottom"/>
            <w:gridSpan w:val="4"/>
            <w:vMerge w:val="restart"/>
          </w:tcPr>
          <w:p>
            <w:pPr>
              <w:jc w:val="right"/>
              <w:ind w:right="2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(91,557)</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0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March 31, 2021</w:t>
            </w:r>
          </w:p>
        </w:tc>
        <w:tc>
          <w:tcPr>
            <w:tcW w:w="600" w:type="dxa"/>
            <w:vAlign w:val="bottom"/>
            <w:gridSpan w:val="2"/>
            <w:vMerge w:val="continue"/>
          </w:tcPr>
          <w:p>
            <w:pPr>
              <w:spacing w:after="0"/>
              <w:rPr>
                <w:sz w:val="10"/>
                <w:szCs w:val="10"/>
                <w:color w:val="auto"/>
              </w:rPr>
            </w:pPr>
          </w:p>
        </w:tc>
        <w:tc>
          <w:tcPr>
            <w:tcW w:w="18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740" w:type="dxa"/>
            <w:vAlign w:val="bottom"/>
            <w:gridSpan w:val="5"/>
            <w:vMerge w:val="continue"/>
          </w:tcPr>
          <w:p>
            <w:pPr>
              <w:spacing w:after="0"/>
              <w:rPr>
                <w:sz w:val="10"/>
                <w:szCs w:val="10"/>
                <w:color w:val="auto"/>
              </w:rPr>
            </w:pPr>
          </w:p>
        </w:tc>
        <w:tc>
          <w:tcPr>
            <w:tcW w:w="1100" w:type="dxa"/>
            <w:vAlign w:val="bottom"/>
            <w:gridSpan w:val="7"/>
            <w:vMerge w:val="continue"/>
          </w:tcPr>
          <w:p>
            <w:pPr>
              <w:spacing w:after="0"/>
              <w:rPr>
                <w:sz w:val="10"/>
                <w:szCs w:val="10"/>
                <w:color w:val="auto"/>
              </w:rPr>
            </w:pPr>
          </w:p>
        </w:tc>
        <w:tc>
          <w:tcPr>
            <w:tcW w:w="580" w:type="dxa"/>
            <w:vAlign w:val="bottom"/>
            <w:tcBorders>
              <w:right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4"/>
            <w:vMerge w:val="continue"/>
          </w:tcPr>
          <w:p>
            <w:pPr>
              <w:spacing w:after="0"/>
              <w:rPr>
                <w:sz w:val="10"/>
                <w:szCs w:val="10"/>
                <w:color w:val="auto"/>
              </w:rPr>
            </w:pPr>
          </w:p>
        </w:tc>
        <w:tc>
          <w:tcPr>
            <w:tcW w:w="420" w:type="dxa"/>
            <w:vAlign w:val="bottom"/>
            <w:gridSpan w:val="3"/>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598360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900"/>
          </w:cols>
          <w:pgMar w:left="1220" w:top="512" w:right="77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1500" w:right="1900"/>
        <w:spacing w:after="0" w:line="251" w:lineRule="auto"/>
        <w:rPr>
          <w:sz w:val="20"/>
          <w:szCs w:val="20"/>
          <w:color w:val="auto"/>
        </w:rPr>
      </w:pPr>
      <w:r>
        <w:rPr>
          <w:rFonts w:ascii="Arial" w:cs="Arial" w:eastAsia="Arial" w:hAnsi="Arial"/>
          <w:sz w:val="22"/>
          <w:szCs w:val="22"/>
          <w:b w:val="1"/>
          <w:bCs w:val="1"/>
          <w:color w:val="auto"/>
        </w:rPr>
        <w:t>CENTURY THERAPEUTICS, INC. CONSOLIDATED STATEMENTS OF CASH FLOWS (Unaudited)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color w:val="auto"/>
              </w:rPr>
              <w:t>Three Months Ended</w:t>
            </w:r>
          </w:p>
        </w:tc>
        <w:tc>
          <w:tcPr>
            <w:tcW w:w="1460" w:type="dxa"/>
            <w:vAlign w:val="bottom"/>
            <w:gridSpan w:val="3"/>
          </w:tcPr>
          <w:p>
            <w:pPr>
              <w:jc w:val="right"/>
              <w:ind w:right="100"/>
              <w:spacing w:after="0"/>
              <w:rPr>
                <w:sz w:val="20"/>
                <w:szCs w:val="20"/>
                <w:color w:val="auto"/>
              </w:rPr>
            </w:pPr>
            <w:r>
              <w:rPr>
                <w:rFonts w:ascii="Arial" w:cs="Arial" w:eastAsia="Arial" w:hAnsi="Arial"/>
                <w:sz w:val="14"/>
                <w:szCs w:val="14"/>
                <w:color w:val="auto"/>
              </w:rPr>
              <w:t>Three Months Ended</w:t>
            </w:r>
          </w:p>
        </w:tc>
      </w:tr>
      <w:tr>
        <w:trPr>
          <w:trHeight w:val="162"/>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March 31, 2022</w:t>
            </w: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March 31, 2021</w:t>
            </w:r>
          </w:p>
        </w:tc>
      </w:tr>
      <w:tr>
        <w:trPr>
          <w:trHeight w:val="17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(unaudited)</w:t>
            </w: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(unaudited)</w:t>
            </w:r>
          </w:p>
        </w:tc>
      </w:tr>
      <w:tr>
        <w:trPr>
          <w:trHeight w:val="156"/>
        </w:trPr>
        <w:tc>
          <w:tcPr>
            <w:tcW w:w="586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5860" w:type="dxa"/>
            <w:vAlign w:val="bottom"/>
          </w:tcPr>
          <w:p>
            <w:pPr>
              <w:ind w:left="120"/>
              <w:spacing w:after="0"/>
              <w:rPr>
                <w:sz w:val="20"/>
                <w:szCs w:val="20"/>
                <w:color w:val="auto"/>
              </w:rPr>
            </w:pPr>
            <w:r>
              <w:rPr>
                <w:rFonts w:ascii="Arial" w:cs="Arial" w:eastAsia="Arial" w:hAnsi="Arial"/>
                <w:sz w:val="14"/>
                <w:szCs w:val="14"/>
                <w:color w:val="auto"/>
              </w:rPr>
              <w:t>Net loss</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(37,513)</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(18,348)</w:t>
            </w:r>
          </w:p>
        </w:tc>
      </w:tr>
      <w:tr>
        <w:trPr>
          <w:trHeight w:val="162"/>
        </w:trPr>
        <w:tc>
          <w:tcPr>
            <w:tcW w:w="58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Adjustments to reconcile net loss to net cash used in operating activities:</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586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1,160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718</w:t>
            </w:r>
          </w:p>
        </w:tc>
        <w:tc>
          <w:tcPr>
            <w:tcW w:w="40" w:type="dxa"/>
            <w:vAlign w:val="bottom"/>
          </w:tcPr>
          <w:p>
            <w:pPr>
              <w:spacing w:after="0"/>
              <w:rPr>
                <w:sz w:val="14"/>
                <w:szCs w:val="14"/>
                <w:color w:val="auto"/>
              </w:rPr>
            </w:pPr>
          </w:p>
        </w:tc>
      </w:tr>
      <w:tr>
        <w:trPr>
          <w:trHeight w:val="162"/>
        </w:trPr>
        <w:tc>
          <w:tcPr>
            <w:tcW w:w="5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deferred financing cost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40" w:type="dxa"/>
            <w:vAlign w:val="bottom"/>
            <w:shd w:val="clear" w:color="auto" w:fill="CCEEFF"/>
          </w:tcPr>
          <w:p>
            <w:pPr>
              <w:spacing w:after="0"/>
              <w:rPr>
                <w:sz w:val="14"/>
                <w:szCs w:val="14"/>
                <w:color w:val="auto"/>
              </w:rPr>
            </w:pPr>
          </w:p>
        </w:tc>
      </w:tr>
      <w:tr>
        <w:trPr>
          <w:trHeight w:val="162"/>
        </w:trPr>
        <w:tc>
          <w:tcPr>
            <w:tcW w:w="5860" w:type="dxa"/>
            <w:vAlign w:val="bottom"/>
          </w:tcPr>
          <w:p>
            <w:pPr>
              <w:ind w:left="220"/>
              <w:spacing w:after="0"/>
              <w:rPr>
                <w:sz w:val="20"/>
                <w:szCs w:val="20"/>
                <w:color w:val="auto"/>
              </w:rPr>
            </w:pPr>
            <w:r>
              <w:rPr>
                <w:rFonts w:ascii="Arial" w:cs="Arial" w:eastAsia="Arial" w:hAnsi="Arial"/>
                <w:sz w:val="14"/>
                <w:szCs w:val="14"/>
                <w:color w:val="auto"/>
              </w:rPr>
              <w:t>Non-cash operating lease expense</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188</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230</w:t>
            </w:r>
          </w:p>
        </w:tc>
        <w:tc>
          <w:tcPr>
            <w:tcW w:w="40" w:type="dxa"/>
            <w:vAlign w:val="bottom"/>
          </w:tcPr>
          <w:p>
            <w:pPr>
              <w:spacing w:after="0"/>
              <w:rPr>
                <w:sz w:val="14"/>
                <w:szCs w:val="14"/>
                <w:color w:val="auto"/>
              </w:rPr>
            </w:pPr>
          </w:p>
        </w:tc>
      </w:tr>
      <w:tr>
        <w:trPr>
          <w:trHeight w:val="162"/>
        </w:trPr>
        <w:tc>
          <w:tcPr>
            <w:tcW w:w="5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based compensation</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40" w:type="dxa"/>
            <w:vAlign w:val="bottom"/>
            <w:shd w:val="clear" w:color="auto" w:fill="CCEEFF"/>
          </w:tcPr>
          <w:p>
            <w:pPr>
              <w:spacing w:after="0"/>
              <w:rPr>
                <w:sz w:val="14"/>
                <w:szCs w:val="14"/>
                <w:color w:val="auto"/>
              </w:rPr>
            </w:pPr>
          </w:p>
        </w:tc>
      </w:tr>
      <w:tr>
        <w:trPr>
          <w:trHeight w:val="162"/>
        </w:trPr>
        <w:tc>
          <w:tcPr>
            <w:tcW w:w="5860" w:type="dxa"/>
            <w:vAlign w:val="bottom"/>
          </w:tcPr>
          <w:p>
            <w:pPr>
              <w:ind w:left="120"/>
              <w:spacing w:after="0"/>
              <w:rPr>
                <w:sz w:val="20"/>
                <w:szCs w:val="20"/>
                <w:color w:val="auto"/>
              </w:rPr>
            </w:pPr>
            <w:r>
              <w:rPr>
                <w:rFonts w:ascii="Arial" w:cs="Arial" w:eastAsia="Arial" w:hAnsi="Arial"/>
                <w:sz w:val="14"/>
                <w:szCs w:val="14"/>
                <w:b w:val="1"/>
                <w:bCs w:val="1"/>
                <w:color w:val="auto"/>
              </w:rPr>
              <w:t>Change in operating assets and liabilities:</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Escrow deposit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86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1,033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173</w:t>
            </w:r>
          </w:p>
        </w:tc>
        <w:tc>
          <w:tcPr>
            <w:tcW w:w="40" w:type="dxa"/>
            <w:vAlign w:val="bottom"/>
          </w:tcPr>
          <w:p>
            <w:pPr>
              <w:spacing w:after="0"/>
              <w:rPr>
                <w:sz w:val="14"/>
                <w:szCs w:val="14"/>
                <w:color w:val="auto"/>
              </w:rPr>
            </w:pPr>
          </w:p>
        </w:tc>
      </w:tr>
      <w:tr>
        <w:trPr>
          <w:trHeight w:val="162"/>
        </w:trPr>
        <w:tc>
          <w:tcPr>
            <w:tcW w:w="5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 liability</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(152)</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40" w:type="dxa"/>
            <w:vAlign w:val="bottom"/>
            <w:shd w:val="clear" w:color="auto" w:fill="CCEEFF"/>
          </w:tcPr>
          <w:p>
            <w:pPr>
              <w:spacing w:after="0"/>
              <w:rPr>
                <w:sz w:val="14"/>
                <w:szCs w:val="14"/>
                <w:color w:val="auto"/>
              </w:rPr>
            </w:pPr>
          </w:p>
        </w:tc>
      </w:tr>
      <w:tr>
        <w:trPr>
          <w:trHeight w:val="162"/>
        </w:trPr>
        <w:tc>
          <w:tcPr>
            <w:tcW w:w="5860" w:type="dxa"/>
            <w:vAlign w:val="bottom"/>
          </w:tcPr>
          <w:p>
            <w:pPr>
              <w:ind w:left="220"/>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122,129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(1,503)</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(4,938)</w:t>
            </w:r>
          </w:p>
        </w:tc>
      </w:tr>
      <w:tr>
        <w:trPr>
          <w:trHeight w:val="162"/>
        </w:trPr>
        <w:tc>
          <w:tcPr>
            <w:tcW w:w="5860" w:type="dxa"/>
            <w:vAlign w:val="bottom"/>
          </w:tcPr>
          <w:p>
            <w:pPr>
              <w:ind w:left="220"/>
              <w:spacing w:after="0"/>
              <w:rPr>
                <w:sz w:val="20"/>
                <w:szCs w:val="20"/>
                <w:color w:val="auto"/>
              </w:rPr>
            </w:pPr>
            <w:r>
              <w:rPr>
                <w:rFonts w:ascii="Arial" w:cs="Arial" w:eastAsia="Arial" w:hAnsi="Arial"/>
                <w:sz w:val="14"/>
                <w:szCs w:val="14"/>
                <w:color w:val="auto"/>
              </w:rPr>
              <w:t>Accrued expenses and other liabilities</w:t>
            </w:r>
          </w:p>
        </w:tc>
        <w:tc>
          <w:tcPr>
            <w:tcW w:w="2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(1,170)</w:t>
            </w:r>
          </w:p>
        </w:tc>
        <w:tc>
          <w:tcPr>
            <w:tcW w:w="220" w:type="dxa"/>
            <w:vAlign w:val="bottom"/>
          </w:tcPr>
          <w:p>
            <w:pPr>
              <w:spacing w:after="0"/>
              <w:rPr>
                <w:sz w:val="14"/>
                <w:szCs w:val="1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(311)</w:t>
            </w:r>
          </w:p>
        </w:tc>
      </w:tr>
      <w:tr>
        <w:trPr>
          <w:trHeight w:val="155"/>
        </w:trPr>
        <w:tc>
          <w:tcPr>
            <w:tcW w:w="5860" w:type="dxa"/>
            <w:vAlign w:val="bottom"/>
            <w:tcBorders>
              <w:top w:val="single" w:sz="8" w:color="CCEEFF"/>
            </w:tcBorders>
            <w:shd w:val="clear" w:color="auto" w:fill="CCEEFF"/>
          </w:tcPr>
          <w:p>
            <w:pPr>
              <w:ind w:left="340"/>
              <w:spacing w:after="0" w:line="155" w:lineRule="exact"/>
              <w:rPr>
                <w:sz w:val="20"/>
                <w:szCs w:val="20"/>
                <w:color w:val="auto"/>
              </w:rPr>
            </w:pPr>
            <w:r>
              <w:rPr>
                <w:rFonts w:ascii="Arial" w:cs="Arial" w:eastAsia="Arial" w:hAnsi="Arial"/>
                <w:sz w:val="14"/>
                <w:szCs w:val="14"/>
                <w:b w:val="1"/>
                <w:bCs w:val="1"/>
                <w:color w:val="auto"/>
              </w:rPr>
              <w:t>Net cash provided by (used in) operating activities</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86,753</w:t>
            </w: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(22,179)</w:t>
            </w:r>
          </w:p>
        </w:tc>
        <w:tc>
          <w:tcPr>
            <w:tcW w:w="40" w:type="dxa"/>
            <w:vAlign w:val="bottom"/>
            <w:tcBorders>
              <w:top w:val="single" w:sz="8" w:color="CCEEFF"/>
            </w:tcBorders>
            <w:shd w:val="clear" w:color="auto" w:fill="CCEEFF"/>
          </w:tcPr>
          <w:p>
            <w:pPr>
              <w:spacing w:after="0"/>
              <w:rPr>
                <w:sz w:val="13"/>
                <w:szCs w:val="13"/>
                <w:color w:val="auto"/>
              </w:rPr>
            </w:pPr>
          </w:p>
        </w:tc>
      </w:tr>
      <w:tr>
        <w:trPr>
          <w:trHeight w:val="156"/>
        </w:trPr>
        <w:tc>
          <w:tcPr>
            <w:tcW w:w="5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5860" w:type="dxa"/>
            <w:vAlign w:val="bottom"/>
          </w:tcPr>
          <w:p>
            <w:pPr>
              <w:ind w:left="120"/>
              <w:spacing w:after="0"/>
              <w:rPr>
                <w:sz w:val="20"/>
                <w:szCs w:val="20"/>
                <w:color w:val="auto"/>
              </w:rPr>
            </w:pPr>
            <w:r>
              <w:rPr>
                <w:rFonts w:ascii="Arial" w:cs="Arial" w:eastAsia="Arial" w:hAnsi="Arial"/>
                <w:sz w:val="14"/>
                <w:szCs w:val="14"/>
                <w:color w:val="auto"/>
              </w:rPr>
              <w:t>Acquisition of property and equipment</w:t>
            </w:r>
          </w:p>
        </w:tc>
        <w:tc>
          <w:tcPr>
            <w:tcW w:w="2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(4,067)</w:t>
            </w:r>
          </w:p>
        </w:tc>
        <w:tc>
          <w:tcPr>
            <w:tcW w:w="220" w:type="dxa"/>
            <w:vAlign w:val="bottom"/>
          </w:tcPr>
          <w:p>
            <w:pPr>
              <w:spacing w:after="0"/>
              <w:rPr>
                <w:sz w:val="14"/>
                <w:szCs w:val="1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(1,884)</w:t>
            </w:r>
          </w:p>
        </w:tc>
      </w:tr>
      <w:tr>
        <w:trPr>
          <w:trHeight w:val="162"/>
        </w:trPr>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fixed maturity securities, available for sale</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(103,060)</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(124,850)</w:t>
            </w:r>
          </w:p>
        </w:tc>
      </w:tr>
      <w:tr>
        <w:trPr>
          <w:trHeight w:val="162"/>
        </w:trPr>
        <w:tc>
          <w:tcPr>
            <w:tcW w:w="58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Sale of fixed maturity securities, available for sale</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63,090</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7,700</w:t>
            </w:r>
          </w:p>
        </w:tc>
        <w:tc>
          <w:tcPr>
            <w:tcW w:w="40" w:type="dxa"/>
            <w:vAlign w:val="bottom"/>
            <w:tcBorders>
              <w:bottom w:val="single" w:sz="8" w:color="CCEEFF"/>
            </w:tcBorders>
          </w:tcPr>
          <w:p>
            <w:pPr>
              <w:spacing w:after="0"/>
              <w:rPr>
                <w:sz w:val="14"/>
                <w:szCs w:val="14"/>
                <w:color w:val="auto"/>
              </w:rPr>
            </w:pPr>
          </w:p>
        </w:tc>
      </w:tr>
      <w:tr>
        <w:trPr>
          <w:trHeight w:val="155"/>
        </w:trPr>
        <w:tc>
          <w:tcPr>
            <w:tcW w:w="58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Net cash used in investing activities</w:t>
            </w: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(44,037)</w:t>
            </w:r>
          </w:p>
        </w:tc>
        <w:tc>
          <w:tcPr>
            <w:tcW w:w="1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(119,034)</w:t>
            </w:r>
          </w:p>
        </w:tc>
        <w:tc>
          <w:tcPr>
            <w:tcW w:w="40" w:type="dxa"/>
            <w:vAlign w:val="bottom"/>
            <w:shd w:val="clear" w:color="auto" w:fill="CCEEFF"/>
          </w:tcPr>
          <w:p>
            <w:pPr>
              <w:spacing w:after="0"/>
              <w:rPr>
                <w:sz w:val="13"/>
                <w:szCs w:val="13"/>
                <w:color w:val="auto"/>
              </w:rPr>
            </w:pPr>
          </w:p>
        </w:tc>
      </w:tr>
      <w:tr>
        <w:trPr>
          <w:trHeight w:val="155"/>
        </w:trPr>
        <w:tc>
          <w:tcPr>
            <w:tcW w:w="5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of deferred financing cost</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(554)</w:t>
            </w:r>
          </w:p>
        </w:tc>
      </w:tr>
      <w:tr>
        <w:trPr>
          <w:trHeight w:val="162"/>
        </w:trPr>
        <w:tc>
          <w:tcPr>
            <w:tcW w:w="5860" w:type="dxa"/>
            <w:vAlign w:val="bottom"/>
          </w:tcPr>
          <w:p>
            <w:pPr>
              <w:ind w:left="120"/>
              <w:spacing w:after="0"/>
              <w:rPr>
                <w:sz w:val="20"/>
                <w:szCs w:val="20"/>
                <w:color w:val="auto"/>
              </w:rPr>
            </w:pPr>
            <w:r>
              <w:rPr>
                <w:rFonts w:ascii="Arial" w:cs="Arial" w:eastAsia="Arial" w:hAnsi="Arial"/>
                <w:sz w:val="14"/>
                <w:szCs w:val="14"/>
                <w:color w:val="auto"/>
              </w:rPr>
              <w:t>Proceeds from issuance of common stock</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w:t>
            </w:r>
          </w:p>
        </w:tc>
        <w:tc>
          <w:tcPr>
            <w:tcW w:w="40" w:type="dxa"/>
            <w:vAlign w:val="bottom"/>
          </w:tcPr>
          <w:p>
            <w:pPr>
              <w:spacing w:after="0"/>
              <w:rPr>
                <w:sz w:val="14"/>
                <w:szCs w:val="14"/>
                <w:color w:val="auto"/>
              </w:rPr>
            </w:pPr>
          </w:p>
        </w:tc>
      </w:tr>
      <w:tr>
        <w:trPr>
          <w:trHeight w:val="162"/>
        </w:trPr>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early exercises of common stock options</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40" w:type="dxa"/>
            <w:vAlign w:val="bottom"/>
            <w:shd w:val="clear" w:color="auto" w:fill="CCEEFF"/>
          </w:tcPr>
          <w:p>
            <w:pPr>
              <w:spacing w:after="0"/>
              <w:rPr>
                <w:sz w:val="14"/>
                <w:szCs w:val="14"/>
                <w:color w:val="auto"/>
              </w:rPr>
            </w:pPr>
          </w:p>
        </w:tc>
      </w:tr>
      <w:tr>
        <w:trPr>
          <w:trHeight w:val="162"/>
        </w:trPr>
        <w:tc>
          <w:tcPr>
            <w:tcW w:w="5860" w:type="dxa"/>
            <w:vAlign w:val="bottom"/>
          </w:tcPr>
          <w:p>
            <w:pPr>
              <w:ind w:left="120"/>
              <w:spacing w:after="0"/>
              <w:rPr>
                <w:sz w:val="20"/>
                <w:szCs w:val="20"/>
                <w:color w:val="auto"/>
              </w:rPr>
            </w:pPr>
            <w:r>
              <w:rPr>
                <w:rFonts w:ascii="Arial" w:cs="Arial" w:eastAsia="Arial" w:hAnsi="Arial"/>
                <w:sz w:val="14"/>
                <w:szCs w:val="14"/>
                <w:color w:val="auto"/>
              </w:rPr>
              <w:t>Proceeds from subscription receivable</w:t>
            </w:r>
          </w:p>
        </w:tc>
        <w:tc>
          <w:tcPr>
            <w:tcW w:w="2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31,900</w:t>
            </w:r>
          </w:p>
        </w:tc>
        <w:tc>
          <w:tcPr>
            <w:tcW w:w="40" w:type="dxa"/>
            <w:vAlign w:val="bottom"/>
          </w:tcPr>
          <w:p>
            <w:pPr>
              <w:spacing w:after="0"/>
              <w:rPr>
                <w:sz w:val="14"/>
                <w:szCs w:val="14"/>
                <w:color w:val="auto"/>
              </w:rPr>
            </w:pPr>
          </w:p>
        </w:tc>
      </w:tr>
      <w:tr>
        <w:trPr>
          <w:trHeight w:val="162"/>
        </w:trPr>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issuance of Series C preferred stock, net of issuance costs</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159,628</w:t>
            </w:r>
          </w:p>
        </w:tc>
        <w:tc>
          <w:tcPr>
            <w:tcW w:w="40" w:type="dxa"/>
            <w:vAlign w:val="bottom"/>
            <w:shd w:val="clear" w:color="auto" w:fill="CCEEFF"/>
          </w:tcPr>
          <w:p>
            <w:pPr>
              <w:spacing w:after="0"/>
              <w:rPr>
                <w:sz w:val="14"/>
                <w:szCs w:val="14"/>
                <w:color w:val="auto"/>
              </w:rPr>
            </w:pPr>
          </w:p>
        </w:tc>
      </w:tr>
      <w:tr>
        <w:trPr>
          <w:trHeight w:val="162"/>
        </w:trPr>
        <w:tc>
          <w:tcPr>
            <w:tcW w:w="5860" w:type="dxa"/>
            <w:vAlign w:val="bottom"/>
          </w:tcPr>
          <w:p>
            <w:pPr>
              <w:ind w:left="120"/>
              <w:spacing w:after="0"/>
              <w:rPr>
                <w:sz w:val="20"/>
                <w:szCs w:val="20"/>
                <w:color w:val="auto"/>
              </w:rPr>
            </w:pPr>
            <w:r>
              <w:rPr>
                <w:rFonts w:ascii="Arial" w:cs="Arial" w:eastAsia="Arial" w:hAnsi="Arial"/>
                <w:sz w:val="14"/>
                <w:szCs w:val="14"/>
                <w:color w:val="auto"/>
              </w:rPr>
              <w:t>Cash contributed as a result of merger</w:t>
            </w:r>
          </w:p>
        </w:tc>
        <w:tc>
          <w:tcPr>
            <w:tcW w:w="2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2,326</w:t>
            </w:r>
          </w:p>
        </w:tc>
        <w:tc>
          <w:tcPr>
            <w:tcW w:w="40" w:type="dxa"/>
            <w:vAlign w:val="bottom"/>
          </w:tcPr>
          <w:p>
            <w:pPr>
              <w:spacing w:after="0"/>
              <w:rPr>
                <w:sz w:val="14"/>
                <w:szCs w:val="14"/>
                <w:color w:val="auto"/>
              </w:rPr>
            </w:pPr>
          </w:p>
        </w:tc>
      </w:tr>
      <w:tr>
        <w:trPr>
          <w:trHeight w:val="162"/>
        </w:trPr>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 of common stock to collaboration partner</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26,813</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56"/>
        </w:trPr>
        <w:tc>
          <w:tcPr>
            <w:tcW w:w="586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26,878</w:t>
            </w: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193,485</w:t>
            </w:r>
          </w:p>
        </w:tc>
        <w:tc>
          <w:tcPr>
            <w:tcW w:w="40" w:type="dxa"/>
            <w:vAlign w:val="bottom"/>
          </w:tcPr>
          <w:p>
            <w:pPr>
              <w:spacing w:after="0"/>
              <w:rPr>
                <w:sz w:val="13"/>
                <w:szCs w:val="13"/>
                <w:color w:val="auto"/>
              </w:rPr>
            </w:pPr>
          </w:p>
        </w:tc>
      </w:tr>
      <w:tr>
        <w:trPr>
          <w:trHeight w:val="162"/>
        </w:trPr>
        <w:tc>
          <w:tcPr>
            <w:tcW w:w="58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5"/>
        </w:trPr>
        <w:tc>
          <w:tcPr>
            <w:tcW w:w="5860" w:type="dxa"/>
            <w:vAlign w:val="bottom"/>
          </w:tcPr>
          <w:p>
            <w:pPr>
              <w:ind w:left="340"/>
              <w:spacing w:after="0" w:line="155" w:lineRule="exact"/>
              <w:rPr>
                <w:sz w:val="20"/>
                <w:szCs w:val="20"/>
                <w:color w:val="auto"/>
              </w:rPr>
            </w:pPr>
            <w:r>
              <w:rPr>
                <w:rFonts w:ascii="Arial" w:cs="Arial" w:eastAsia="Arial" w:hAnsi="Arial"/>
                <w:sz w:val="14"/>
                <w:szCs w:val="14"/>
                <w:b w:val="1"/>
                <w:bCs w:val="1"/>
                <w:color w:val="auto"/>
              </w:rPr>
              <w:t>Net increase in cash, cash equivalents, and restricted cash</w:t>
            </w:r>
          </w:p>
        </w:tc>
        <w:tc>
          <w:tcPr>
            <w:tcW w:w="22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69,594</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52,272</w:t>
            </w:r>
          </w:p>
        </w:tc>
        <w:tc>
          <w:tcPr>
            <w:tcW w:w="40" w:type="dxa"/>
            <w:vAlign w:val="bottom"/>
          </w:tcPr>
          <w:p>
            <w:pPr>
              <w:spacing w:after="0"/>
              <w:rPr>
                <w:sz w:val="13"/>
                <w:szCs w:val="13"/>
                <w:color w:val="auto"/>
              </w:rPr>
            </w:pPr>
          </w:p>
        </w:tc>
      </w:tr>
      <w:tr>
        <w:trPr>
          <w:trHeight w:val="162"/>
        </w:trPr>
        <w:tc>
          <w:tcPr>
            <w:tcW w:w="5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58,162</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27,728</w:t>
            </w:r>
          </w:p>
        </w:tc>
        <w:tc>
          <w:tcPr>
            <w:tcW w:w="40" w:type="dxa"/>
            <w:vAlign w:val="bottom"/>
            <w:tcBorders>
              <w:bottom w:val="single" w:sz="8" w:color="CCEEFF"/>
            </w:tcBorders>
          </w:tcPr>
          <w:p>
            <w:pPr>
              <w:spacing w:after="0"/>
              <w:rPr>
                <w:sz w:val="14"/>
                <w:szCs w:val="14"/>
                <w:color w:val="auto"/>
              </w:rPr>
            </w:pPr>
          </w:p>
        </w:tc>
      </w:tr>
      <w:tr>
        <w:trPr>
          <w:trHeight w:val="155"/>
        </w:trPr>
        <w:tc>
          <w:tcPr>
            <w:tcW w:w="5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202"/>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127,756</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80,000</w:t>
            </w:r>
          </w:p>
        </w:tc>
        <w:tc>
          <w:tcPr>
            <w:tcW w:w="40" w:type="dxa"/>
            <w:vAlign w:val="bottom"/>
            <w:tcBorders>
              <w:bottom w:val="single" w:sz="8" w:color="CCEEFF"/>
            </w:tcBorders>
          </w:tcPr>
          <w:p>
            <w:pPr>
              <w:spacing w:after="0"/>
              <w:rPr>
                <w:sz w:val="17"/>
                <w:szCs w:val="17"/>
                <w:color w:val="auto"/>
              </w:rPr>
            </w:pPr>
          </w:p>
        </w:tc>
      </w:tr>
      <w:tr>
        <w:trPr>
          <w:trHeight w:val="143"/>
        </w:trPr>
        <w:tc>
          <w:tcPr>
            <w:tcW w:w="5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2"/>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and non-cash operating activities:</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paid for interest</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w:t>
            </w:r>
          </w:p>
        </w:tc>
        <w:tc>
          <w:tcPr>
            <w:tcW w:w="1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239</w:t>
            </w:r>
          </w:p>
        </w:tc>
        <w:tc>
          <w:tcPr>
            <w:tcW w:w="40" w:type="dxa"/>
            <w:vAlign w:val="bottom"/>
            <w:tcBorders>
              <w:bottom w:val="single" w:sz="8" w:color="CCEEFF"/>
            </w:tcBorders>
            <w:shd w:val="clear" w:color="auto" w:fill="CCEEFF"/>
          </w:tcPr>
          <w:p>
            <w:pPr>
              <w:spacing w:after="0"/>
              <w:rPr>
                <w:sz w:val="14"/>
                <w:szCs w:val="14"/>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5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02"/>
        </w:trPr>
        <w:tc>
          <w:tcPr>
            <w:tcW w:w="5860" w:type="dxa"/>
            <w:vAlign w:val="bottom"/>
          </w:tcPr>
          <w:p>
            <w:pPr>
              <w:ind w:left="180"/>
              <w:spacing w:after="0"/>
              <w:rPr>
                <w:sz w:val="20"/>
                <w:szCs w:val="20"/>
                <w:color w:val="auto"/>
              </w:rPr>
            </w:pPr>
            <w:r>
              <w:rPr>
                <w:rFonts w:ascii="Arial" w:cs="Arial" w:eastAsia="Arial" w:hAnsi="Arial"/>
                <w:sz w:val="14"/>
                <w:szCs w:val="14"/>
                <w:color w:val="auto"/>
              </w:rPr>
              <w:t>Conversion of convertible preferred stock upon initial public offering</w:t>
            </w:r>
          </w:p>
        </w:tc>
        <w:tc>
          <w:tcPr>
            <w:tcW w:w="220" w:type="dxa"/>
            <w:vAlign w:val="bottom"/>
          </w:tcPr>
          <w:p>
            <w:pPr>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4,107</w:t>
            </w:r>
          </w:p>
        </w:tc>
        <w:tc>
          <w:tcPr>
            <w:tcW w:w="40" w:type="dxa"/>
            <w:vAlign w:val="bottom"/>
          </w:tcPr>
          <w:p>
            <w:pPr>
              <w:spacing w:after="0"/>
              <w:rPr>
                <w:sz w:val="17"/>
                <w:szCs w:val="17"/>
                <w:color w:val="auto"/>
              </w:rPr>
            </w:pPr>
          </w:p>
        </w:tc>
      </w:tr>
      <w:tr>
        <w:trPr>
          <w:trHeight w:val="143"/>
        </w:trPr>
        <w:tc>
          <w:tcPr>
            <w:tcW w:w="5860" w:type="dxa"/>
            <w:vAlign w:val="bottom"/>
            <w:tcBorders>
              <w:top w:val="single" w:sz="8" w:color="CCEEFF"/>
              <w:bottom w:val="single" w:sz="8" w:color="CCEEFF"/>
            </w:tcBorders>
            <w:shd w:val="clear" w:color="auto" w:fill="CCEEFF"/>
          </w:tcPr>
          <w:p>
            <w:pPr>
              <w:ind w:left="120"/>
              <w:spacing w:after="0" w:line="143" w:lineRule="exact"/>
              <w:rPr>
                <w:sz w:val="20"/>
                <w:szCs w:val="20"/>
                <w:color w:val="auto"/>
              </w:rPr>
            </w:pPr>
            <w:r>
              <w:rPr>
                <w:rFonts w:ascii="Arial" w:cs="Arial" w:eastAsia="Arial" w:hAnsi="Arial"/>
                <w:sz w:val="14"/>
                <w:szCs w:val="14"/>
                <w:color w:val="auto"/>
              </w:rPr>
              <w:t>Purchase of property and equipment, accrued and unpaid</w:t>
            </w:r>
          </w:p>
        </w:tc>
        <w:tc>
          <w:tcPr>
            <w:tcW w:w="22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3,796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3" w:lineRule="exact"/>
              <w:rPr>
                <w:sz w:val="20"/>
                <w:szCs w:val="20"/>
                <w:color w:val="auto"/>
              </w:rPr>
            </w:pPr>
            <w:r>
              <w:rPr>
                <w:rFonts w:ascii="Arial" w:cs="Arial" w:eastAsia="Arial" w:hAnsi="Arial"/>
                <w:sz w:val="14"/>
                <w:szCs w:val="14"/>
                <w:b w:val="1"/>
                <w:bCs w:val="1"/>
                <w:color w:val="auto"/>
                <w:w w:val="76"/>
              </w:rPr>
              <w:t>$</w:t>
            </w:r>
          </w:p>
        </w:tc>
        <w:tc>
          <w:tcPr>
            <w:tcW w:w="12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1,565</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CENTURY THERAPEUTICS,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jc w:val="center"/>
        <w:ind w:right="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1—Organization and description of the business</w:t>
      </w:r>
    </w:p>
    <w:p>
      <w:pPr>
        <w:spacing w:after="0" w:line="173"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The Company (as defined below) is an innovative biotechnology company developing transformative allogeneic cell therapies to create products for the treatment of both solid tumor and hematological malignancies with significant unmet medical need. Century Therapeutics, Inc. (“Prior Century”), was incorporated in the state of Delaware on March 5, 2018. Since inception, Prior Century has devoted substantially all of its time and efforts to performing research and development activities and raising capital.</w:t>
      </w:r>
    </w:p>
    <w:p>
      <w:pPr>
        <w:spacing w:after="0" w:line="17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June 5, 2019, Century Therapeutics, LLC (the “Company”) was formed by Prior Century and entered into an LLC Agreement (“Agreement”). On June 21, 2019, Prior Century, through the execution of a commitment agreement and other transaction documents (altogether the “Commitment Agreement”) with Bayer Health, LLC (“Bayer”), financed the creation of the Company and amended the Agreement to account for the provisions in the Commitment Agreement that outlined the rights, obligations, and capital contributions of both Bayer and Prior Century in accordance with the newly executed and amended Agreement and related Commitment Agreement (the “Transaction”). The Transaction resulted in Prior Century contributing substantially all of its assets, liabilities, and operations in exchange for a retained 72% equity interest in the Company. Subsequent to June 21, 2019, Prior Century had no significant operations and accounted for its interest in the Company under the equity method of accounting.</w:t>
      </w:r>
    </w:p>
    <w:p>
      <w:pPr>
        <w:spacing w:after="0" w:line="180"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In June 2020, the Company formed Century Therapeutics Canada ULC (“Century Canada”), a wholly owned subsidiary, to acquire the assets of Empirica Therapeutics, Inc. (“Empirica”).</w:t>
      </w:r>
    </w:p>
    <w:p>
      <w:pPr>
        <w:spacing w:after="0" w:line="154"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w:t>
      </w:r>
    </w:p>
    <w:p>
      <w:pPr>
        <w:spacing w:after="0" w:line="176" w:lineRule="exact"/>
        <w:rPr>
          <w:sz w:val="20"/>
          <w:szCs w:val="20"/>
          <w:color w:val="auto"/>
        </w:rPr>
      </w:pPr>
    </w:p>
    <w:p>
      <w:pPr>
        <w:ind w:left="60" w:right="219"/>
        <w:spacing w:after="0" w:line="257" w:lineRule="auto"/>
        <w:rPr>
          <w:sz w:val="20"/>
          <w:szCs w:val="20"/>
          <w:color w:val="auto"/>
        </w:rPr>
      </w:pPr>
      <w:r>
        <w:rPr>
          <w:rFonts w:ascii="Arial" w:cs="Arial" w:eastAsia="Arial" w:hAnsi="Arial"/>
          <w:sz w:val="17"/>
          <w:szCs w:val="17"/>
          <w:color w:val="auto"/>
        </w:rPr>
        <w:t>On June 22, 2021, the Company completed its initial public offering (“IPO”) of 10,550,000 shares of Common Stock. On June 22, 2021, the Company sold an additional 1,582,500 shares of Common Stock from the exercise of the overallotment option granted to the underwriters in the IPO. The public offering price of the shares sold in the IPO was $20.00 per share. The Company raised a total of $242,650 in gross proceeds from the offering, or $221,402 in net proceeds after deducting underwriting discounts and commissions of $16,985 and other offering costs of approximately $4,263. Upon the closing of the offering, all shares of the Company’s redeemable convertible preferred stock automatically converted into 34,126,528 shares of common stock.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169"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The consolidated financial statements include the consolidated financial position and consolidated results of operations of the Company and Century Canada. All intercompany balances and transactions have been eliminated in consolidation.</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169"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biotechnology and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pharmaceutical industries. These risks include, but are not limited to, the uncertainty of availability of additional financing and the uncertainty of achieving future profitability.</w:t>
      </w:r>
    </w:p>
    <w:p>
      <w:pPr>
        <w:spacing w:after="0" w:line="8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Since inception, the Company has incurred net losses. During the three months ended March 31, 2022, the Company incurred a net loss of $37,513 and for the three months ended March 31, 2022, received $86,753 of cash from operations. Cash and cash equivalents and short and long-term investments were $466,380 at March 31, 2022. Management expects to incur additional losses in the future to fund its operations and conduct product research and development and recognizes the need to raise additional capital to fully implement its business plan. The Company believes it has adequate cash and financial resources to operate for at-least the next 12 months from the date of issuance of these consolidated financial statements.</w:t>
      </w:r>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2—Summary of significant accounting policies and basis of presentation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16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(“GAAP”) for interim financial information and with the interim period reporting requirements of Form 10-Q and Article 10 of Regulation S-X. The consolidated balance sheet as of March 31, 2022, the consolidated statements of operations and comprehensive loss, and consolidated statements of convertible preferred stock and stockholders’ equity (deficit) for the three months ended March 31, 2022 and 2021, and the consolidated statements of cash flows for the three months ended March 31, 2022 and 2021 are unaudited, but, in the opinion of management, include all adjustments, consisting only of normal recurring adjustments, which the Company considers necessary for a fair presentation of the financial position, operating results and cash flows for the periods presented. The results for any interim period are not necessarily indicative of results for the year ending December 31, 2022 or for any other subsequent interim period. The consolidated balance sheet at December 31, 2021 has been derived from the Company’s audited consolidated financial statements.</w:t>
      </w:r>
    </w:p>
    <w:p>
      <w:pPr>
        <w:spacing w:after="0" w:line="3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Merger and capital restructuring</w:t>
      </w:r>
    </w:p>
    <w:p>
      <w:pPr>
        <w:spacing w:after="0" w:line="16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Upon the conversion of Century Therapeutics, LLC to a corporation and the merger of the newly converted corporation with Prior Century, the existing capital structure of Century Therapeutics, LLC was restructured with no consideration transferred. In accordance with ASC 505-10-S99-4, such a restructuring requires retroactive effect within the balance sheets presented. As such, the Company retroactively adjusted its consolidated balance sheets to cancel the existing LLC units and give effect to their conversion into capital stock of the Company as if those effects happened as of January 1, 2020. See Note 10 for further information on the Company’s capital restructuring.</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Reverse Stock Split</w:t>
      </w:r>
    </w:p>
    <w:p>
      <w:pPr>
        <w:spacing w:after="0" w:line="183"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June 2021, the Company’s Board of Directors approved an amendment to the Company’s amended and restated certificate of incorporation to effect a 2.5161-for-1 reverse stock split of the Company’s common stock, which was effected on June 11, 2021. Stockholders entitled to fractional shares as a result of the reverse stock split will receive a cash payment in lieu of receiving fractional shares. The par value of the common stock was not adjusted as a result of the reverse stock split. Shares of common stock underlying outstanding stock options and other equity instruments were proportionately reduced and the respective exercise prices, if applicable, were proportionately increased in accordance with the terms of the appropriate securities agreements. Shares of common stock reserved for issuance upon the conversion of the convertible preferred stock were proportionately reduced and the respective conversion prices were proportionately increased. All common share and per share data have been retrospectively revised to reflect the reverse stock split.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information</w:t>
      </w:r>
    </w:p>
    <w:p>
      <w:pPr>
        <w:spacing w:after="0" w:line="183"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169" w:lineRule="exact"/>
        <w:rPr>
          <w:sz w:val="20"/>
          <w:szCs w:val="20"/>
          <w:color w:val="auto"/>
        </w:rPr>
      </w:pPr>
    </w:p>
    <w:p>
      <w:pPr>
        <w:ind w:left="60" w:right="99"/>
        <w:spacing w:after="0" w:line="256"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the estimation of the incremental borrowing rate for operating leases and standalone selling prices of performance obligations in collaboration agreements. If actual results differ from the Company’s estimates, or to the extent these estimates are adjusted in future periods, the Company’s results of operations could either benefit from, or be adversely affected by, any such change in estimate.</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169"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March 31, 2022 and December 31, 2021, the Company has not experienced any losses on its deposits of cash and cash equivalents.</w:t>
      </w:r>
    </w:p>
    <w:p>
      <w:pPr>
        <w:spacing w:after="0" w:line="138" w:lineRule="exact"/>
        <w:rPr>
          <w:sz w:val="20"/>
          <w:szCs w:val="20"/>
          <w:color w:val="auto"/>
        </w:rPr>
      </w:pPr>
    </w:p>
    <w:p>
      <w:pPr>
        <w:ind w:left="60" w:right="459"/>
        <w:spacing w:after="0" w:line="244"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149" w:lineRule="exact"/>
        <w:rPr>
          <w:sz w:val="20"/>
          <w:szCs w:val="20"/>
          <w:color w:val="auto"/>
        </w:rPr>
      </w:pPr>
    </w:p>
    <w:p>
      <w:pPr>
        <w:ind w:left="60" w:right="159"/>
        <w:spacing w:after="0" w:line="266" w:lineRule="auto"/>
        <w:rPr>
          <w:sz w:val="20"/>
          <w:szCs w:val="20"/>
          <w:color w:val="auto"/>
        </w:rPr>
      </w:pPr>
      <w:r>
        <w:rPr>
          <w:rFonts w:ascii="Arial" w:cs="Arial" w:eastAsia="Arial" w:hAnsi="Arial"/>
          <w:sz w:val="17"/>
          <w:szCs w:val="17"/>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159"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Vaccines were introduced late in the fourth quarter of 2020 and became widely available by the end of the first quarter of 2021. While the vaccines have proven effective in reducing the severity and mortality of COVID-19 including the variants that have evolved to date, the overall vaccination rate in the United States may not have reached the level required for herd immunity. Certain variants of COVID-19, such as the delta and omicron variants, have proven to be more easily spread than earlier variants. The incomplete vaccination rate, and the emergence of new variants which could prove resistant to existing vaccines could again result in major disruptions to businesses and markets worldwide. The Company continues to monitor the impact of the COVID-19 outbreak closely. The extent to which the COVID-19 outbreak will impact its operations or financial results is uncertain.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69"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44" w:lineRule="exact"/>
        <w:rPr>
          <w:sz w:val="20"/>
          <w:szCs w:val="20"/>
          <w:color w:val="auto"/>
        </w:rPr>
      </w:pPr>
    </w:p>
    <w:p>
      <w:pPr>
        <w:ind w:left="700" w:right="359" w:hanging="647"/>
        <w:spacing w:after="0" w:line="271" w:lineRule="auto"/>
        <w:rPr>
          <w:sz w:val="20"/>
          <w:szCs w:val="20"/>
          <w:color w:val="auto"/>
        </w:rPr>
      </w:pPr>
      <w:r>
        <w:rPr>
          <w:rFonts w:ascii="Arial" w:cs="Arial" w:eastAsia="Arial" w:hAnsi="Arial"/>
          <w:sz w:val="18"/>
          <w:szCs w:val="18"/>
          <w:color w:val="auto"/>
        </w:rPr>
        <w:t>Level 1 Inputs that reflect unadjusted quoted prices in active markets for identical assets or liabilities that the Company has the ability to access at the measurement date;</w:t>
      </w:r>
    </w:p>
    <w:p>
      <w:pPr>
        <w:spacing w:after="0" w:line="113" w:lineRule="exact"/>
        <w:rPr>
          <w:sz w:val="20"/>
          <w:szCs w:val="20"/>
          <w:color w:val="auto"/>
        </w:rPr>
      </w:pPr>
    </w:p>
    <w:p>
      <w:pPr>
        <w:ind w:left="700" w:right="279" w:hanging="647"/>
        <w:spacing w:after="0" w:line="271" w:lineRule="auto"/>
        <w:rPr>
          <w:sz w:val="20"/>
          <w:szCs w:val="20"/>
          <w:color w:val="auto"/>
        </w:rPr>
      </w:pPr>
      <w:r>
        <w:rPr>
          <w:rFonts w:ascii="Arial" w:cs="Arial" w:eastAsia="Arial" w:hAnsi="Arial"/>
          <w:sz w:val="18"/>
          <w:szCs w:val="18"/>
          <w:color w:val="auto"/>
        </w:rPr>
        <w:t>Level 2 Inputs other than quoted prices that are observable for the asset or liability either directly or indirectly, including inputs in markets that are not considered to be active;</w:t>
      </w:r>
    </w:p>
    <w:p>
      <w:pPr>
        <w:spacing w:after="0" w:line="113" w:lineRule="exact"/>
        <w:rPr>
          <w:sz w:val="20"/>
          <w:szCs w:val="20"/>
          <w:color w:val="auto"/>
        </w:rPr>
      </w:pPr>
    </w:p>
    <w:p>
      <w:pPr>
        <w:ind w:left="700" w:right="239" w:hanging="647"/>
        <w:spacing w:after="0" w:line="271" w:lineRule="auto"/>
        <w:rPr>
          <w:sz w:val="20"/>
          <w:szCs w:val="20"/>
          <w:color w:val="auto"/>
        </w:rPr>
      </w:pPr>
      <w:r>
        <w:rPr>
          <w:rFonts w:ascii="Arial" w:cs="Arial" w:eastAsia="Arial" w:hAnsi="Arial"/>
          <w:sz w:val="18"/>
          <w:szCs w:val="18"/>
          <w:color w:val="auto"/>
        </w:rPr>
        <w:t>Level 3 Inputs are unobservable in which there is little or no market data available, which require the reporting entity to develop its own assumptions that are unobservable.</w:t>
      </w:r>
    </w:p>
    <w:p>
      <w:pPr>
        <w:spacing w:after="0" w:line="113"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169"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Management considers all highly liquid investments with an insignificant interest rate risk and original maturities of three months or less to be cash equivalents.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183" w:lineRule="exact"/>
        <w:rPr>
          <w:sz w:val="20"/>
          <w:szCs w:val="20"/>
          <w:color w:val="auto"/>
        </w:rPr>
      </w:pPr>
    </w:p>
    <w:p>
      <w:pPr>
        <w:ind w:left="60" w:right="279"/>
        <w:spacing w:after="0" w:line="301" w:lineRule="auto"/>
        <w:rPr>
          <w:sz w:val="20"/>
          <w:szCs w:val="20"/>
          <w:color w:val="auto"/>
        </w:rPr>
      </w:pPr>
      <w:r>
        <w:rPr>
          <w:rFonts w:ascii="Arial" w:cs="Arial" w:eastAsia="Arial" w:hAnsi="Arial"/>
          <w:sz w:val="17"/>
          <w:szCs w:val="17"/>
          <w:color w:val="auto"/>
        </w:rPr>
        <w:t>As of March 31, 2022 and December 31, 2021, the Company had $1,717 in cash on deposit to secure certain lease commitments. Restricted cash is recorded separately in the Company’s consolidated balance sheets.</w:t>
      </w:r>
    </w:p>
    <w:p>
      <w:pPr>
        <w:spacing w:after="0" w:line="90"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The following provides a reconciliation of the Company’s cash, cash equivalents, and restricted cash as reported in the consolidated balance sheets to the amounts reported in the consolidated statements of cash flows: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color w:val="auto"/>
              </w:rPr>
              <w:t>March 31, 2022   December 31, 2021</w:t>
            </w:r>
          </w:p>
        </w:tc>
      </w:tr>
      <w:tr>
        <w:trPr>
          <w:trHeight w:val="196"/>
        </w:trPr>
        <w:tc>
          <w:tcPr>
            <w:tcW w:w="62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126,039</w:t>
            </w: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center"/>
              <w:ind w:right="21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56,445</w:t>
            </w:r>
          </w:p>
        </w:tc>
      </w:tr>
      <w:tr>
        <w:trPr>
          <w:trHeight w:val="203"/>
        </w:trPr>
        <w:tc>
          <w:tcPr>
            <w:tcW w:w="62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1,717</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1,717</w:t>
            </w:r>
          </w:p>
        </w:tc>
      </w:tr>
      <w:tr>
        <w:trPr>
          <w:trHeight w:val="196"/>
        </w:trPr>
        <w:tc>
          <w:tcPr>
            <w:tcW w:w="6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cash equivalents, and restricted cash</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127,756</w:t>
            </w: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center"/>
              <w:ind w:right="21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58,162</w:t>
            </w:r>
          </w:p>
        </w:tc>
      </w:tr>
      <w:tr>
        <w:trPr>
          <w:trHeight w:val="20"/>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Investments</w:t>
      </w:r>
    </w:p>
    <w:p>
      <w:pPr>
        <w:spacing w:after="0" w:line="210"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Unrealized gains and losses on investments are recorded in other comprehensive income (loss) on the consolidated statements of operations and comprehensive loss.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w:t>
      </w:r>
    </w:p>
    <w:p>
      <w:pPr>
        <w:sectPr>
          <w:pgSz w:w="11900" w:h="16838" w:orient="portrait"/>
          <w:cols w:equalWidth="0" w:num="1">
            <w:col w:w="9019"/>
          </w:cols>
          <w:pgMar w:left="1440" w:top="512"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99"/>
        <w:spacing w:after="0" w:line="271" w:lineRule="auto"/>
        <w:rPr>
          <w:sz w:val="20"/>
          <w:szCs w:val="20"/>
          <w:color w:val="auto"/>
        </w:rPr>
      </w:pPr>
      <w:r>
        <w:rPr>
          <w:rFonts w:ascii="Arial" w:cs="Arial" w:eastAsia="Arial" w:hAnsi="Arial"/>
          <w:sz w:val="18"/>
          <w:szCs w:val="18"/>
          <w:color w:val="auto"/>
        </w:rPr>
        <w:t>three months that mature within one year of the balance sheet date are classified as short-term, while investments with a maturity date greater than one year are classified as long-term.</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and equipment, net</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 Construction in progress includes direct cost related to the construction of leasehold improvements and is stated at original cost. Such costs are not depreciated until the asset is completed and placed into service. Once the asset is placed into service, these capitalized costs will be allocated to leasehold improvements and will be depreciated over the shorter of the asset’s useful life or the remaining term of the lease.</w:t>
      </w:r>
    </w:p>
    <w:p>
      <w:pPr>
        <w:spacing w:after="0" w:line="185"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with alternative future use, and the cost of services provided by outside contractors. All costs associated with research and development are expensed as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1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Employees, consultants and members of the board of directors of the Company have received stock options and restricted stock of the Company. The Company recognizes the cost of the stock-based compensation incurred as its employees and board members vest in the awards. 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 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188"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Black-Scholes requires inputs based on certain subjective assumptions, including (i) the expected stock price volatility, (ii) the expected term of the award, (iii) the risk-free interest rate and (iv) expected dividends. Due to the lack of a public market for the Company’s common stock prior to its IPO and lack of company-specific historical and implied volatility data, the Company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to calculate the expected term for options granted to employees and board members whereby the expected term equals the arithmetic average of the vesting term and the original contractual term of the options due to its lack of sufficient historical data. The risk-free interest rate is based on U.S. Treasury securities with a</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210"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The Company has issued warrants that have been recognized as equity, and the fair value is recorded into additional paid-in capital in the accompanying consolidated balance sheets. Warrants are accounted for in accordance with applicable accounting guidance provided in ASC Topic 815, Derivatives and Hedging— Contracts in Entity’s Own Equity, as either derivative liabilities or as equity instruments depending on the specific terms of the warrant agreement. The Company’s warrants issued are in connection with its long-term debt and in connection with services provided by consultants, and are equity classified on the accompanying consolidated balance sheets. Equity classified warrants are accounted for at fair value on the issuance date, using Black Scholes, with no changes in fair value recognized after the issuance date.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translation</w:t>
      </w:r>
    </w:p>
    <w:p>
      <w:pPr>
        <w:spacing w:after="0" w:line="183" w:lineRule="exact"/>
        <w:rPr>
          <w:sz w:val="20"/>
          <w:szCs w:val="20"/>
          <w:color w:val="auto"/>
        </w:rPr>
      </w:pPr>
    </w:p>
    <w:p>
      <w:pPr>
        <w:ind w:left="60" w:right="339"/>
        <w:spacing w:after="0"/>
        <w:rPr>
          <w:sz w:val="20"/>
          <w:szCs w:val="20"/>
          <w:color w:val="auto"/>
        </w:rPr>
      </w:pPr>
      <w:r>
        <w:rPr>
          <w:rFonts w:ascii="Arial" w:cs="Arial" w:eastAsia="Arial" w:hAnsi="Arial"/>
          <w:sz w:val="18"/>
          <w:szCs w:val="18"/>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140" w:lineRule="exact"/>
        <w:rPr>
          <w:sz w:val="20"/>
          <w:szCs w:val="20"/>
          <w:color w:val="auto"/>
        </w:rPr>
      </w:pPr>
    </w:p>
    <w:p>
      <w:pPr>
        <w:jc w:val="both"/>
        <w:ind w:left="60" w:right="259"/>
        <w:spacing w:after="0" w:line="275" w:lineRule="auto"/>
        <w:rPr>
          <w:sz w:val="20"/>
          <w:szCs w:val="20"/>
          <w:color w:val="auto"/>
        </w:rPr>
      </w:pPr>
      <w:r>
        <w:rPr>
          <w:rFonts w:ascii="Arial" w:cs="Arial" w:eastAsia="Arial" w:hAnsi="Arial"/>
          <w:sz w:val="17"/>
          <w:szCs w:val="17"/>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Basic and diluted net loss per common shares</w:t>
      </w:r>
    </w:p>
    <w:p>
      <w:pPr>
        <w:spacing w:after="0" w:line="183"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Basic net loss per common share is computed by dividing net loss applicable to common shareholders by the weighted-average number of common shares outstanding during the period. The Company computes diluted net loss per common share by dividing the net loss applicable to common shareholders by the sum of the weighted- average number of common shares outstanding during the period plus the potential dilutive effects of its warrants, convertible preferred stock (in 2021) restricted stock and stock options to purchase common shares, but such items are excluded if their effect is anti-dilutive. Because the impact of these items are anti-dilutive during periods of net loss, there were no differences between the Company’s basic and diluted net loss per common share for the three months ended March 31, 2022 and 2021.</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exercised options</w:t>
      </w:r>
    </w:p>
    <w:p>
      <w:pPr>
        <w:spacing w:after="0" w:line="16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Company allowed certain of its employees and its consultants to exercise options granted under the 2018 Plan (Note 16) prior to vesting and prior to its IPO. The shares related to early exercised stock options are subject to the Company’s repurchase right upon termination of employment or services at the lesser of the original purchase price or fair market value at the time of repurchase. In order to vest, the holders are required to provide continued service to the Company. The early exercise by an employee or consultant of a stock option is not considered to be a substantive exercise for accounting purposes, and therefore, the payment received by the employer for the exercise price is recognized as a liability. For accounting purposes, unvested early exercised shares are not considered issued and outstanding and therefore not reflected as issued and outstanding in the accompanying consolidated balance sheets or the consolidated statements of changes in convertible preferred stock and stockholders’ equity (deficit) until the awards vest. The deposits received are initially recorded in deposit liability. The liabilities are reclassified to common stock and additional paid-in-capital as the repurchase right lapses. At March 31, 2022 and December 31, 2021, there were $2,327</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and $3,000, respectively, recorded in deposit liability related to shares held by employees and nonemployees that were subject to repurchase.</w:t>
      </w:r>
    </w:p>
    <w:p>
      <w:pPr>
        <w:spacing w:after="0" w:line="127" w:lineRule="exact"/>
        <w:rPr>
          <w:sz w:val="20"/>
          <w:szCs w:val="20"/>
          <w:color w:val="auto"/>
        </w:rPr>
      </w:pPr>
    </w:p>
    <w:p>
      <w:pPr>
        <w:jc w:val="both"/>
        <w:ind w:left="60" w:right="179"/>
        <w:spacing w:after="0" w:line="253" w:lineRule="auto"/>
        <w:rPr>
          <w:sz w:val="20"/>
          <w:szCs w:val="20"/>
          <w:color w:val="auto"/>
        </w:rPr>
      </w:pPr>
      <w:r>
        <w:rPr>
          <w:rFonts w:ascii="Arial" w:cs="Arial" w:eastAsia="Arial" w:hAnsi="Arial"/>
          <w:sz w:val="18"/>
          <w:szCs w:val="18"/>
          <w:color w:val="auto"/>
        </w:rPr>
        <w:t>All shares that were early exercised by the executives of the Company are considered legally issued, however, for accounting purposes, only vested shares are considered issued. Below is a reconciliation of shares issued and outstanding:</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color w:val="231F20"/>
              </w:rPr>
              <w:t>March 31, 2022</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231F20"/>
              </w:rPr>
              <w:t>December 31, 2021</w:t>
            </w:r>
          </w:p>
        </w:tc>
      </w:tr>
      <w:tr>
        <w:trPr>
          <w:trHeight w:val="196"/>
        </w:trPr>
        <w:tc>
          <w:tcPr>
            <w:tcW w:w="61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shares legally outstanding</w:t>
            </w:r>
          </w:p>
        </w:tc>
        <w:tc>
          <w:tcPr>
            <w:tcW w:w="1180" w:type="dxa"/>
            <w:vAlign w:val="bottom"/>
            <w:tcBorders>
              <w:top w:val="single" w:sz="8" w:color="231F20"/>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58,880,054</w:t>
            </w:r>
          </w:p>
        </w:tc>
        <w:tc>
          <w:tcPr>
            <w:tcW w:w="1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231F20"/>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56,633,898</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Less: unvested early exercised shares</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231F20"/>
              </w:rPr>
              <w:t>(773,394)</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231F20"/>
              </w:rPr>
              <w:t>(946,586)</w:t>
            </w:r>
          </w:p>
        </w:tc>
      </w:tr>
      <w:tr>
        <w:trPr>
          <w:trHeight w:val="203"/>
        </w:trPr>
        <w:tc>
          <w:tcPr>
            <w:tcW w:w="6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unvested restricted stock</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231F20"/>
              </w:rPr>
              <w:t>(520,630)</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(681,789)</w:t>
            </w:r>
          </w:p>
        </w:tc>
      </w:tr>
      <w:tr>
        <w:trPr>
          <w:trHeight w:val="196"/>
        </w:trPr>
        <w:tc>
          <w:tcPr>
            <w:tcW w:w="6100" w:type="dxa"/>
            <w:vAlign w:val="bottom"/>
          </w:tcPr>
          <w:p>
            <w:pPr>
              <w:ind w:left="20"/>
              <w:spacing w:after="0" w:line="196" w:lineRule="exact"/>
              <w:rPr>
                <w:sz w:val="20"/>
                <w:szCs w:val="20"/>
                <w:color w:val="auto"/>
              </w:rPr>
            </w:pPr>
            <w:r>
              <w:rPr>
                <w:rFonts w:ascii="Arial" w:cs="Arial" w:eastAsia="Arial" w:hAnsi="Arial"/>
                <w:sz w:val="18"/>
                <w:szCs w:val="18"/>
                <w:color w:val="auto"/>
              </w:rPr>
              <w:t>Total shares issued and outstanding</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57,586,030</w:t>
            </w:r>
          </w:p>
        </w:tc>
        <w:tc>
          <w:tcPr>
            <w:tcW w:w="18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55,005,523</w:t>
            </w:r>
          </w:p>
        </w:tc>
      </w:tr>
      <w:tr>
        <w:trPr>
          <w:trHeight w:val="20"/>
        </w:trPr>
        <w:tc>
          <w:tcPr>
            <w:tcW w:w="6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w:t>
      </w:r>
    </w:p>
    <w:p>
      <w:pPr>
        <w:spacing w:after="0" w:line="169"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In 2018, the Company issued 1,704,256 restricted stock awards at a purchase price of $0.03 per share. In 2019, the Company issued 850,312 restricted stock awards at a weighted average purchase price of $0.70 per share. In October 2019, the Company repurchased 298,080 shares at $1.03 per share. In 2021, the Company issued 194,320 restricted stock awards. As of March 31, 2022, the number of restricted stock awards vested were 1,930,178. For accounting purposes, unvested restricted stock awards are not considered issued and outstanding and therefore are not reflected as issued and outstanding in the accompanying consolidated balance sheets or the consolidated statements of changes in convertible preferred stock and stockholders’ equity (deficit) until the awards vest. The Company recorded stock-based compensation expense for these awards of $272 and $39, respectively, for the three months ended March 31, 2022 and 2021, in the statements of operations and comprehensive loss.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16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 The Company recognizes deferred tax assets to the extent that the Company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 The Company records uncertain tax positions in accordance with 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The Company recognizes interest and penalties related to unrecognized tax benefits on the income tax expense line in the accompanying consolidated statement of operations and comprehensive loss. As of March 31, 2022 and December 31, 2021, no accrued interest or penalties are included on the related tax liability line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183"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The Company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136"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The Company recognizes revenue in accordance with ASC Topic 606, Revenue from Contracts with Customers, or ASC 606. This standard applies to all contracts with customers. When an agreement falls under the scope of other standards, such as ASC Topic 808, Collaborative Arrangements, or 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spacing w:after="0" w:line="138"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the Company satisfies each performance obligation.</w:t>
      </w:r>
    </w:p>
    <w:p>
      <w:pPr>
        <w:spacing w:after="0" w:line="156"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As part of the accounting for these arrangements, the Company must use its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The Company also applies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non-current.</w:t>
      </w:r>
    </w:p>
    <w:p>
      <w:pPr>
        <w:spacing w:after="0" w:line="13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not determined to represent a material right, no transaction price is allocated to these options and the Company will account for these options at that time they are exercised. If the customer options are determined to represent a material right, the material right is recognized as a separate performance obligation at the outset of the arrangement.</w:t>
      </w:r>
    </w:p>
    <w:p>
      <w:pPr>
        <w:spacing w:after="0" w:line="140" w:lineRule="exact"/>
        <w:rPr>
          <w:sz w:val="20"/>
          <w:szCs w:val="20"/>
          <w:color w:val="auto"/>
        </w:rPr>
      </w:pPr>
    </w:p>
    <w:p>
      <w:pPr>
        <w:ind w:left="60" w:right="159"/>
        <w:spacing w:after="0" w:line="261" w:lineRule="auto"/>
        <w:rPr>
          <w:sz w:val="20"/>
          <w:szCs w:val="20"/>
          <w:color w:val="auto"/>
        </w:rPr>
      </w:pPr>
      <w:r>
        <w:rPr>
          <w:rFonts w:ascii="Arial" w:cs="Arial" w:eastAsia="Arial" w:hAnsi="Arial"/>
          <w:sz w:val="17"/>
          <w:szCs w:val="17"/>
          <w:color w:val="auto"/>
        </w:rPr>
        <w:t>The promises under the Company’s collaboration agreements may include research and development services to be performed by the Company for or on behalf of the customer. Amounts allocated to these performance obligations are recognized as the Company performs these obligations, and revenue is measured based on an inputs method of costs incurred to date of budgeted costs. Under certain circumstances, the Company may be reimbursed for certain expenses incurred under the research and development services.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21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June 2016, the FASB issued ASU 2016-13, Financial Instruments - Credit Losses: Measurement of Credit Losses of Financial Instruments (ASC 326). The guidance is effective for the Company beginning January 1, 2023 and it changes how entities account for credit losses on the financial assets and other instruments that are not measured at fair value through net income, including available-for-sale debt securities. The Company is currently evaluating the impact of the new standard on its consolidated financial statements.</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3—Initial capitalization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June 21, 2019, Prior Century and Bayer entered into a Commitment Agreement to initially capitalize the</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Company. The Commitment Agreement called for capital contributions from Prior Century and Bayer as follows: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Century Capital Contributions</w:t>
      </w:r>
    </w:p>
    <w:p>
      <w:pPr>
        <w:spacing w:after="0" w:line="183"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In exchange for issuing 67,226,891 common units to Prior Century, the Company acquired substantially all of Prior Century’s assets, assumed all of its liabilities and assumed the operations of Prior Century.</w:t>
      </w:r>
    </w:p>
    <w:p>
      <w:pPr>
        <w:spacing w:after="0" w:line="113" w:lineRule="exact"/>
        <w:rPr>
          <w:sz w:val="20"/>
          <w:szCs w:val="20"/>
          <w:color w:val="auto"/>
        </w:rPr>
      </w:pPr>
    </w:p>
    <w:p>
      <w:pPr>
        <w:ind w:left="60" w:right="319"/>
        <w:spacing w:after="0" w:line="245" w:lineRule="auto"/>
        <w:rPr>
          <w:sz w:val="20"/>
          <w:szCs w:val="20"/>
          <w:color w:val="auto"/>
        </w:rPr>
      </w:pPr>
      <w:r>
        <w:rPr>
          <w:rFonts w:ascii="Arial" w:cs="Arial" w:eastAsia="Arial" w:hAnsi="Arial"/>
          <w:sz w:val="18"/>
          <w:szCs w:val="18"/>
          <w:color w:val="auto"/>
        </w:rPr>
        <w:t>In exchange for issuing 67,226,891 common units to Prior Century, the Company acquired substantially all of Prior Century’s assets, assumed all of its liabilities and assumed the operations of Prior Century.</w:t>
      </w:r>
    </w:p>
    <w:p>
      <w:pPr>
        <w:ind w:left="60" w:right="139"/>
        <w:spacing w:after="0" w:line="238" w:lineRule="auto"/>
        <w:rPr>
          <w:sz w:val="20"/>
          <w:szCs w:val="20"/>
          <w:color w:val="auto"/>
        </w:rPr>
      </w:pPr>
      <w:r>
        <w:rPr>
          <w:rFonts w:ascii="Arial" w:cs="Arial" w:eastAsia="Arial" w:hAnsi="Arial"/>
          <w:sz w:val="18"/>
          <w:szCs w:val="18"/>
          <w:color w:val="auto"/>
        </w:rPr>
        <w:t>The Company evaluated the acquisition under the guidance within ASU 2017-01, “Clarifying the Definition of a Business</w:t>
      </w:r>
      <w:r>
        <w:rPr>
          <w:rFonts w:ascii="Arial" w:cs="Arial" w:eastAsia="Arial" w:hAnsi="Arial"/>
          <w:sz w:val="18"/>
          <w:szCs w:val="18"/>
          <w:i w:val="1"/>
          <w:iCs w:val="1"/>
          <w:color w:val="auto"/>
        </w:rPr>
        <w:t>”</w:t>
      </w:r>
      <w:r>
        <w:rPr>
          <w:rFonts w:ascii="Arial" w:cs="Arial" w:eastAsia="Arial" w:hAnsi="Arial"/>
          <w:sz w:val="18"/>
          <w:szCs w:val="18"/>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assets acquired were concentrated in an in-process research and development (“IPR&amp;D”) asset. In an asset acquisition, the total transaction cost is allocated between the acquired identified tangible and intangible assets based on relative fair value.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Total transaction costs for the assets acquired were $252,107, which was the fair value of the equity interests issued to Prior Century, with no additional capitalizable transaction costs. Equity issuance costs related to Prior Century were $407, which were recorded as a reduction to members’ equity. The relative fair value allocation was as follows:</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40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As of June 21, 2019</w:t>
            </w:r>
          </w:p>
        </w:tc>
      </w:tr>
      <w:tr>
        <w:trPr>
          <w:trHeight w:val="196"/>
        </w:trPr>
        <w:tc>
          <w:tcPr>
            <w:tcW w:w="7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25,163</w:t>
            </w:r>
          </w:p>
        </w:tc>
      </w:tr>
      <w:tr>
        <w:trPr>
          <w:trHeight w:val="203"/>
        </w:trPr>
        <w:tc>
          <w:tcPr>
            <w:tcW w:w="7400" w:type="dxa"/>
            <w:vAlign w:val="bottom"/>
          </w:tcPr>
          <w:p>
            <w:pPr>
              <w:ind w:left="20"/>
              <w:spacing w:after="0" w:line="202" w:lineRule="exact"/>
              <w:rPr>
                <w:sz w:val="20"/>
                <w:szCs w:val="20"/>
                <w:color w:val="auto"/>
              </w:rPr>
            </w:pPr>
            <w:r>
              <w:rPr>
                <w:rFonts w:ascii="Arial" w:cs="Arial" w:eastAsia="Arial" w:hAnsi="Arial"/>
                <w:sz w:val="18"/>
                <w:szCs w:val="18"/>
                <w:color w:val="auto"/>
              </w:rPr>
              <w:t>IPR&amp;D</w:t>
            </w: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225,946</w:t>
            </w:r>
          </w:p>
        </w:tc>
      </w:tr>
      <w:tr>
        <w:trPr>
          <w:trHeight w:val="203"/>
        </w:trPr>
        <w:tc>
          <w:tcPr>
            <w:tcW w:w="7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1,034</w:t>
            </w:r>
          </w:p>
        </w:tc>
      </w:tr>
      <w:tr>
        <w:trPr>
          <w:trHeight w:val="203"/>
        </w:trPr>
        <w:tc>
          <w:tcPr>
            <w:tcW w:w="7400" w:type="dxa"/>
            <w:vAlign w:val="bottom"/>
          </w:tcPr>
          <w:p>
            <w:pPr>
              <w:ind w:left="20"/>
              <w:spacing w:after="0" w:line="202" w:lineRule="exact"/>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578</w:t>
            </w:r>
          </w:p>
        </w:tc>
      </w:tr>
      <w:tr>
        <w:trPr>
          <w:trHeight w:val="203"/>
        </w:trPr>
        <w:tc>
          <w:tcPr>
            <w:tcW w:w="7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669</w:t>
            </w:r>
          </w:p>
        </w:tc>
      </w:tr>
      <w:tr>
        <w:trPr>
          <w:trHeight w:val="203"/>
        </w:trPr>
        <w:tc>
          <w:tcPr>
            <w:tcW w:w="74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(1,283)</w:t>
            </w:r>
          </w:p>
        </w:tc>
      </w:tr>
      <w:tr>
        <w:trPr>
          <w:trHeight w:val="196"/>
        </w:trPr>
        <w:tc>
          <w:tcPr>
            <w:tcW w:w="74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252,107</w:t>
            </w:r>
          </w:p>
        </w:tc>
      </w:tr>
      <w:tr>
        <w:trPr>
          <w:trHeight w:val="20"/>
        </w:trPr>
        <w:tc>
          <w:tcPr>
            <w:tcW w:w="7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99"/>
        <w:spacing w:after="0" w:line="242" w:lineRule="auto"/>
        <w:rPr>
          <w:sz w:val="20"/>
          <w:szCs w:val="20"/>
          <w:color w:val="auto"/>
        </w:rPr>
      </w:pPr>
      <w:r>
        <w:rPr>
          <w:rFonts w:ascii="Arial" w:cs="Arial" w:eastAsia="Arial" w:hAnsi="Arial"/>
          <w:sz w:val="18"/>
          <w:szCs w:val="18"/>
          <w:color w:val="auto"/>
        </w:rPr>
        <w:t>Under the asset acquisition model, an entity that acquires IPR&amp;D assets follows the guidance in ASC 730, which requires that both tangible and intangible identifiable research and development assets with no alternative future use be initially allocated a portion of the consideration transferred and then charged to expense at the acquisition date. The IPR&amp;D asset acquired was Prior Century’s comprehensive allogenic cell therapy platform. As the IPR&amp;D asset has no alternative future use to the Company, the Company charged $225,946 to expense within its consolidated statements of operations in 2019.</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Capital Contributions</w:t>
      </w:r>
    </w:p>
    <w:p>
      <w:pPr>
        <w:spacing w:after="0" w:line="183"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In accordance with the Commitment Agreement, Bayer agreed to provide an aggregate cash capital contribution of $ 215,000. The Bayer cash commitment was split into capital contributions of $145,000 (“Tranche 1”) and $70,000 (“Tranche 2”). Tranche 2 was eliminated in connection with the Series C preferred financing. See Note 10.</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Rights</w:t>
      </w:r>
    </w:p>
    <w:p>
      <w:pPr>
        <w:spacing w:after="0" w:line="210" w:lineRule="exact"/>
        <w:rPr>
          <w:sz w:val="20"/>
          <w:szCs w:val="20"/>
          <w:color w:val="auto"/>
        </w:rPr>
      </w:pPr>
    </w:p>
    <w:p>
      <w:pPr>
        <w:ind w:left="60" w:right="559"/>
        <w:spacing w:after="0" w:line="253" w:lineRule="auto"/>
        <w:rPr>
          <w:sz w:val="20"/>
          <w:szCs w:val="20"/>
          <w:color w:val="auto"/>
        </w:rPr>
      </w:pPr>
      <w:r>
        <w:rPr>
          <w:rFonts w:ascii="Arial" w:cs="Arial" w:eastAsia="Arial" w:hAnsi="Arial"/>
          <w:sz w:val="18"/>
          <w:szCs w:val="18"/>
          <w:color w:val="auto"/>
        </w:rPr>
        <w:t>In connection with the Commitment Agreement, Bayer was granted approval and veto rights over certain decisions related to the operations of the Company through its manager representation on the Company’s Board of Managers. Prior Century held similar rights.</w:t>
      </w:r>
    </w:p>
    <w:p>
      <w:pPr>
        <w:spacing w:after="0" w:line="155" w:lineRule="exact"/>
        <w:rPr>
          <w:sz w:val="20"/>
          <w:szCs w:val="20"/>
          <w:color w:val="auto"/>
        </w:rPr>
      </w:pPr>
    </w:p>
    <w:p>
      <w:pPr>
        <w:ind w:left="60" w:right="819"/>
        <w:spacing w:after="0" w:line="271" w:lineRule="auto"/>
        <w:rPr>
          <w:sz w:val="20"/>
          <w:szCs w:val="20"/>
          <w:color w:val="auto"/>
        </w:rPr>
      </w:pPr>
      <w:r>
        <w:rPr>
          <w:rFonts w:ascii="Arial" w:cs="Arial" w:eastAsia="Arial" w:hAnsi="Arial"/>
          <w:sz w:val="18"/>
          <w:szCs w:val="18"/>
          <w:color w:val="auto"/>
        </w:rPr>
        <w:t>Tranche 1 was funded in exchange for 26,143,790 common units, with $75,000 paid at closing and the remaining $70,000 due upon the Company meeting certain development milestones or in 3 years.</w:t>
      </w:r>
    </w:p>
    <w:p>
      <w:pPr>
        <w:spacing w:after="0" w:line="140" w:lineRule="exact"/>
        <w:rPr>
          <w:sz w:val="20"/>
          <w:szCs w:val="20"/>
          <w:color w:val="auto"/>
        </w:rPr>
      </w:pPr>
    </w:p>
    <w:p>
      <w:pPr>
        <w:ind w:left="60" w:right="259"/>
        <w:spacing w:after="0" w:line="241" w:lineRule="auto"/>
        <w:rPr>
          <w:sz w:val="20"/>
          <w:szCs w:val="20"/>
          <w:color w:val="auto"/>
        </w:rPr>
      </w:pPr>
      <w:r>
        <w:rPr>
          <w:rFonts w:ascii="Arial" w:cs="Arial" w:eastAsia="Arial" w:hAnsi="Arial"/>
          <w:sz w:val="18"/>
          <w:szCs w:val="18"/>
          <w:color w:val="auto"/>
        </w:rPr>
        <w:t>During 2019, the Company received $74,839 from Tranche 1, net of equity issuance costs of $161. The Company accounted for the $70,000 as a subscription receivable, which was recorded as contra-equity within its consolidated statements of changes in convertible preferred stock and stockholders’ equity (deficit).</w:t>
      </w:r>
    </w:p>
    <w:p>
      <w:pPr>
        <w:spacing w:after="0" w:line="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On June 18, 2020, the Company, Prior Century and Bayer executed an amendment to the Commitment Agreement to modify the terms for the Company to receive the remaining Tranche 1 subscription receivable of $70,000. In November 2020, the Company received proceeds of $ 38,100 of the Tranche 1 subscription receivable. The remaining $31,900 was received in January 2021. The Commitment Agreement terminated in connection with the Series C Preferred financing, and Bayer has no obligation to invest any additional amounts. In addition, upon the closing of the Company’s IPO and the conversion of the Company’s preferred stock into common stock in connection therewith, all approval, veto and representation rights held by Bayer and other holders of preferred stock terminated.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Option Agreement</w:t>
      </w:r>
    </w:p>
    <w:p>
      <w:pPr>
        <w:spacing w:after="0" w:line="21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As a condition of the Tranche 1 closing, Bayer and Prior Century were required to enter into an Option Agreement, pursuant to which Bayer was provided the right of first refusal to acquire certain products researched and developed by the Company. Bayer’s right of first refusal is exercisable with respect to up to four products. Subject to certain exceptions, Bayer may only exercise these option rights in a non-sequential and alternating manner, and such rights are subject to additional limitations.</w:t>
      </w: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4—Asset purchase by Century Therapeutics Canada ULC</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June 9, 2020, Century Canada and the Company entered into an agreement with Empirica, a company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focused on the development of adoptive immunotherapies against aggressive and treatment-resistant forms of</w:t>
      </w:r>
    </w:p>
    <w:p>
      <w:pPr>
        <w:ind w:left="60"/>
        <w:spacing w:after="0" w:line="234" w:lineRule="auto"/>
        <w:rPr>
          <w:sz w:val="20"/>
          <w:szCs w:val="20"/>
          <w:color w:val="auto"/>
        </w:rPr>
      </w:pPr>
      <w:r>
        <w:rPr>
          <w:rFonts w:ascii="Arial" w:cs="Arial" w:eastAsia="Arial" w:hAnsi="Arial"/>
          <w:sz w:val="18"/>
          <w:szCs w:val="18"/>
          <w:color w:val="auto"/>
        </w:rPr>
        <w:t>cancers, including glioblastoma and brain metastasis. Under the terms of the Empirica Agreement, the</w:t>
      </w:r>
    </w:p>
    <w:p>
      <w:pPr>
        <w:ind w:left="60"/>
        <w:spacing w:after="0" w:line="235" w:lineRule="auto"/>
        <w:rPr>
          <w:sz w:val="20"/>
          <w:szCs w:val="20"/>
          <w:color w:val="auto"/>
        </w:rPr>
      </w:pPr>
      <w:r>
        <w:rPr>
          <w:rFonts w:ascii="Arial" w:cs="Arial" w:eastAsia="Arial" w:hAnsi="Arial"/>
          <w:sz w:val="18"/>
          <w:szCs w:val="18"/>
          <w:color w:val="auto"/>
        </w:rPr>
        <w:t>Company acquired an IPR&amp;D asset. Cash of $4,519 was paid at closing and transaction expenses totaled</w:t>
      </w:r>
    </w:p>
    <w:p>
      <w:pPr>
        <w:ind w:left="60"/>
        <w:spacing w:after="0" w:line="235" w:lineRule="auto"/>
        <w:rPr>
          <w:sz w:val="20"/>
          <w:szCs w:val="20"/>
          <w:color w:val="auto"/>
        </w:rPr>
      </w:pPr>
      <w:r>
        <w:rPr>
          <w:rFonts w:ascii="Arial" w:cs="Arial" w:eastAsia="Arial" w:hAnsi="Arial"/>
          <w:sz w:val="18"/>
          <w:szCs w:val="18"/>
          <w:color w:val="auto"/>
        </w:rPr>
        <w:t>$203. The Company also deposited $1,506 in escrow (the “Escrow Deposit”). Release of the Escrow Deposit is</w:t>
      </w:r>
    </w:p>
    <w:p>
      <w:pPr>
        <w:ind w:left="60"/>
        <w:spacing w:after="0" w:line="235" w:lineRule="auto"/>
        <w:rPr>
          <w:sz w:val="20"/>
          <w:szCs w:val="20"/>
          <w:color w:val="auto"/>
        </w:rPr>
      </w:pPr>
      <w:r>
        <w:rPr>
          <w:rFonts w:ascii="Arial" w:cs="Arial" w:eastAsia="Arial" w:hAnsi="Arial"/>
          <w:sz w:val="18"/>
          <w:szCs w:val="18"/>
          <w:color w:val="auto"/>
        </w:rPr>
        <w:t>subject to the terms of a promissory note, which provides for the funds to be released in equal annual</w:t>
      </w:r>
    </w:p>
    <w:p>
      <w:pPr>
        <w:ind w:left="60"/>
        <w:spacing w:after="0" w:line="235" w:lineRule="auto"/>
        <w:rPr>
          <w:sz w:val="20"/>
          <w:szCs w:val="20"/>
          <w:color w:val="auto"/>
        </w:rPr>
      </w:pPr>
      <w:r>
        <w:rPr>
          <w:rFonts w:ascii="Arial" w:cs="Arial" w:eastAsia="Arial" w:hAnsi="Arial"/>
          <w:sz w:val="18"/>
          <w:szCs w:val="18"/>
          <w:color w:val="auto"/>
        </w:rPr>
        <w:t>installments over a three-year period related to continuing services by certain Empirica shareholders who are</w:t>
      </w:r>
    </w:p>
    <w:p>
      <w:pPr>
        <w:ind w:left="60"/>
        <w:spacing w:after="0" w:line="234" w:lineRule="auto"/>
        <w:rPr>
          <w:sz w:val="20"/>
          <w:szCs w:val="20"/>
          <w:color w:val="auto"/>
        </w:rPr>
      </w:pPr>
      <w:r>
        <w:rPr>
          <w:rFonts w:ascii="Arial" w:cs="Arial" w:eastAsia="Arial" w:hAnsi="Arial"/>
          <w:sz w:val="18"/>
          <w:szCs w:val="18"/>
          <w:color w:val="auto"/>
        </w:rPr>
        <w:t>employed by the Company. In July 2021, the first annual installment of $523 was released from the Escrow</w:t>
      </w:r>
    </w:p>
    <w:p>
      <w:pPr>
        <w:ind w:left="60"/>
        <w:spacing w:after="0" w:line="235" w:lineRule="auto"/>
        <w:rPr>
          <w:sz w:val="20"/>
          <w:szCs w:val="20"/>
          <w:color w:val="auto"/>
        </w:rPr>
      </w:pPr>
      <w:r>
        <w:rPr>
          <w:rFonts w:ascii="Arial" w:cs="Arial" w:eastAsia="Arial" w:hAnsi="Arial"/>
          <w:sz w:val="18"/>
          <w:szCs w:val="18"/>
          <w:color w:val="auto"/>
        </w:rPr>
        <w:t>Deposit. As of March 31, 2022 and December 31, 2021, accrued compensation expense on the promissory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was $387 and $261 which is presented within escrow deposits on the consolidated balance sheets.</w:t>
      </w:r>
    </w:p>
    <w:p>
      <w:pPr>
        <w:spacing w:after="0" w:line="153"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The Company evaluated the acquisition under the guidance within ASU 2017-01, “Clarifying the Definition of a Business</w:t>
      </w:r>
      <w:r>
        <w:rPr>
          <w:rFonts w:ascii="Arial" w:cs="Arial" w:eastAsia="Arial" w:hAnsi="Arial"/>
          <w:sz w:val="18"/>
          <w:szCs w:val="18"/>
          <w:i w:val="1"/>
          <w:iCs w:val="1"/>
          <w:color w:val="auto"/>
        </w:rPr>
        <w:t>”</w:t>
      </w:r>
      <w:r>
        <w:rPr>
          <w:rFonts w:ascii="Arial" w:cs="Arial" w:eastAsia="Arial" w:hAnsi="Arial"/>
          <w:sz w:val="18"/>
          <w:szCs w:val="18"/>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 acquired was concentrated in an IPR&amp;D asset.</w:t>
      </w:r>
    </w:p>
    <w:p>
      <w:pPr>
        <w:spacing w:after="0" w:line="34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5—Financial instruments and fair value measurements</w:t>
      </w:r>
    </w:p>
    <w:p>
      <w:pPr>
        <w:spacing w:after="0" w:line="173"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March 31, 2022, by level within the fair value hierarchy:</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220" w:type="dxa"/>
            <w:vAlign w:val="bottom"/>
            <w:tcBorders>
              <w:top w:val="single" w:sz="8" w:color="auto"/>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4"/>
                <w:szCs w:val="14"/>
                <w:color w:val="auto"/>
              </w:rPr>
              <w:t>Level 1</w:t>
            </w:r>
          </w:p>
        </w:tc>
        <w:tc>
          <w:tcPr>
            <w:tcW w:w="104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4"/>
                <w:szCs w:val="14"/>
                <w:color w:val="auto"/>
              </w:rPr>
              <w:t>Level 2</w:t>
            </w:r>
          </w:p>
        </w:tc>
        <w:tc>
          <w:tcPr>
            <w:tcW w:w="72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4"/>
                <w:szCs w:val="14"/>
                <w:color w:val="auto"/>
              </w:rPr>
              <w:t>Level 3</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6"/>
        </w:trPr>
        <w:tc>
          <w:tcPr>
            <w:tcW w:w="5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$ 120,656</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$ 120,656</w:t>
            </w:r>
          </w:p>
        </w:tc>
      </w:tr>
      <w:tr>
        <w:trPr>
          <w:trHeight w:val="203"/>
        </w:trPr>
        <w:tc>
          <w:tcPr>
            <w:tcW w:w="5220" w:type="dxa"/>
            <w:vAlign w:val="bottom"/>
          </w:tcPr>
          <w:p>
            <w:pPr>
              <w:ind w:left="20"/>
              <w:spacing w:after="0" w:line="202" w:lineRule="exact"/>
              <w:rPr>
                <w:sz w:val="20"/>
                <w:szCs w:val="20"/>
                <w:color w:val="auto"/>
              </w:rPr>
            </w:pPr>
            <w:r>
              <w:rPr>
                <w:rFonts w:ascii="Arial" w:cs="Arial" w:eastAsia="Arial" w:hAnsi="Arial"/>
                <w:sz w:val="18"/>
                <w:szCs w:val="18"/>
                <w:color w:val="auto"/>
              </w:rPr>
              <w:t>U.S. Treasury</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102,746</w:t>
            </w:r>
          </w:p>
        </w:tc>
        <w:tc>
          <w:tcPr>
            <w:tcW w:w="16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102,746</w:t>
            </w:r>
          </w:p>
        </w:tc>
      </w:tr>
      <w:tr>
        <w:trPr>
          <w:trHeight w:val="203"/>
        </w:trPr>
        <w:tc>
          <w:tcPr>
            <w:tcW w:w="5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237,595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237,595</w:t>
            </w:r>
          </w:p>
        </w:tc>
      </w:tr>
      <w:tr>
        <w:trPr>
          <w:trHeight w:val="196"/>
        </w:trPr>
        <w:tc>
          <w:tcPr>
            <w:tcW w:w="52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$ 223,402</w:t>
            </w:r>
          </w:p>
        </w:tc>
        <w:tc>
          <w:tcPr>
            <w:tcW w:w="1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$ 237,595</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$ 460,997</w:t>
            </w:r>
          </w:p>
        </w:tc>
      </w:tr>
      <w:tr>
        <w:trPr>
          <w:trHeight w:val="20"/>
        </w:trPr>
        <w:tc>
          <w:tcPr>
            <w:tcW w:w="5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11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2021, by level within the fair value hierarchy:</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24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Level 1</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Level 2</w:t>
            </w:r>
          </w:p>
        </w:tc>
        <w:tc>
          <w:tcPr>
            <w:tcW w:w="70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4"/>
                <w:szCs w:val="14"/>
                <w:color w:val="auto"/>
              </w:rPr>
              <w:t>Level 3</w:t>
            </w:r>
          </w:p>
        </w:tc>
        <w:tc>
          <w:tcPr>
            <w:tcW w:w="2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6"/>
        </w:trPr>
        <w:tc>
          <w:tcPr>
            <w:tcW w:w="5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52,882</w:t>
            </w:r>
          </w:p>
        </w:tc>
        <w:tc>
          <w:tcPr>
            <w:tcW w:w="104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52,882</w:t>
            </w: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U.S. Treasury</w:t>
            </w:r>
          </w:p>
        </w:tc>
        <w:tc>
          <w:tcPr>
            <w:tcW w:w="14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79,752</w:t>
            </w:r>
          </w:p>
        </w:tc>
        <w:tc>
          <w:tcPr>
            <w:tcW w:w="10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79,752</w:t>
            </w: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222,596</w:t>
            </w:r>
          </w:p>
        </w:tc>
        <w:tc>
          <w:tcPr>
            <w:tcW w:w="3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222,596</w:t>
            </w:r>
          </w:p>
        </w:tc>
      </w:tr>
      <w:tr>
        <w:trPr>
          <w:trHeight w:val="236"/>
        </w:trPr>
        <w:tc>
          <w:tcPr>
            <w:tcW w:w="52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132,634</w:t>
            </w:r>
          </w:p>
        </w:tc>
        <w:tc>
          <w:tcPr>
            <w:tcW w:w="10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$ 222,596</w:t>
            </w:r>
          </w:p>
        </w:tc>
        <w:tc>
          <w:tcPr>
            <w:tcW w:w="30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355,230</w:t>
            </w:r>
          </w:p>
        </w:tc>
      </w:tr>
    </w:tbl>
    <w:p>
      <w:pPr>
        <w:spacing w:after="0" w:line="184"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There were no transfers between levels during the period ended March 31, 2022. The Company uses the services of its investment manager, which uses widely accepted models for assumptions in valuing securities with inputs from major third-party data providers.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color w:val="auto"/>
        </w:rPr>
        <w:t>The Company classifies all of its investments in fixed maturity debt securities as available-for-sale and, accordingly, are carried at estimated fair value.</w:t>
      </w:r>
    </w:p>
    <w:p>
      <w:pPr>
        <w:spacing w:after="0" w:line="127"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March 31, 2022:</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9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Gross</w:t>
            </w: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color w:val="auto"/>
              </w:rPr>
              <w:t>Gross</w:t>
            </w:r>
          </w:p>
        </w:tc>
        <w:tc>
          <w:tcPr>
            <w:tcW w:w="880" w:type="dxa"/>
            <w:vAlign w:val="bottom"/>
            <w:tcBorders>
              <w:top w:val="single" w:sz="8" w:color="auto"/>
            </w:tcBorders>
          </w:tcPr>
          <w:p>
            <w:pPr>
              <w:spacing w:after="0"/>
              <w:rPr>
                <w:sz w:val="14"/>
                <w:szCs w:val="14"/>
                <w:color w:val="auto"/>
              </w:rPr>
            </w:pPr>
          </w:p>
        </w:tc>
      </w:tr>
      <w:tr>
        <w:trPr>
          <w:trHeight w:val="162"/>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Unrealized</w:t>
            </w:r>
          </w:p>
        </w:tc>
        <w:tc>
          <w:tcPr>
            <w:tcW w:w="980" w:type="dxa"/>
            <w:vAlign w:val="bottom"/>
            <w:gridSpan w:val="3"/>
          </w:tcPr>
          <w:p>
            <w:pPr>
              <w:ind w:left="60"/>
              <w:spacing w:after="0"/>
              <w:rPr>
                <w:sz w:val="20"/>
                <w:szCs w:val="20"/>
                <w:color w:val="auto"/>
              </w:rPr>
            </w:pPr>
            <w:r>
              <w:rPr>
                <w:rFonts w:ascii="Arial" w:cs="Arial" w:eastAsia="Arial" w:hAnsi="Arial"/>
                <w:sz w:val="14"/>
                <w:szCs w:val="14"/>
                <w:color w:val="auto"/>
              </w:rPr>
              <w:t>Unrealized</w:t>
            </w:r>
          </w:p>
        </w:tc>
        <w:tc>
          <w:tcPr>
            <w:tcW w:w="880" w:type="dxa"/>
            <w:vAlign w:val="bottom"/>
          </w:tcPr>
          <w:p>
            <w:pPr>
              <w:spacing w:after="0"/>
              <w:rPr>
                <w:sz w:val="14"/>
                <w:szCs w:val="14"/>
                <w:color w:val="auto"/>
              </w:rPr>
            </w:pPr>
          </w:p>
        </w:tc>
      </w:tr>
      <w:tr>
        <w:trPr>
          <w:trHeight w:val="171"/>
        </w:trPr>
        <w:tc>
          <w:tcPr>
            <w:tcW w:w="492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Amortized Cost</w:t>
            </w:r>
          </w:p>
        </w:tc>
        <w:tc>
          <w:tcPr>
            <w:tcW w:w="2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Gains</w:t>
            </w:r>
          </w:p>
        </w:tc>
        <w:tc>
          <w:tcPr>
            <w:tcW w:w="18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color w:val="auto"/>
              </w:rPr>
              <w:t>Losses</w:t>
            </w:r>
          </w:p>
        </w:tc>
        <w:tc>
          <w:tcPr>
            <w:tcW w:w="88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49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 Treasury</w:t>
            </w: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104,173</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(1,427)</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$ 102,746</w:t>
            </w:r>
          </w:p>
        </w:tc>
      </w:tr>
      <w:tr>
        <w:trPr>
          <w:trHeight w:val="203"/>
        </w:trPr>
        <w:tc>
          <w:tcPr>
            <w:tcW w:w="492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238,747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8"/>
              </w:rPr>
              <w:t>(1,155)</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237,595</w:t>
            </w:r>
          </w:p>
        </w:tc>
      </w:tr>
      <w:tr>
        <w:trPr>
          <w:trHeight w:val="196"/>
        </w:trPr>
        <w:tc>
          <w:tcPr>
            <w:tcW w:w="49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342,920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(2,582)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$ 340,341</w:t>
            </w: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both"/>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2021:</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0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Gross</w:t>
            </w:r>
          </w:p>
        </w:tc>
        <w:tc>
          <w:tcPr>
            <w:tcW w:w="2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Gross</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62"/>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color w:val="auto"/>
              </w:rPr>
              <w:t>Unrealized</w:t>
            </w:r>
          </w:p>
        </w:tc>
        <w:tc>
          <w:tcPr>
            <w:tcW w:w="920" w:type="dxa"/>
            <w:vAlign w:val="bottom"/>
            <w:gridSpan w:val="5"/>
          </w:tcPr>
          <w:p>
            <w:pPr>
              <w:jc w:val="right"/>
              <w:ind w:right="200"/>
              <w:spacing w:after="0"/>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Amortized Cost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color w:val="auto"/>
              </w:rPr>
              <w:t>Gains</w:t>
            </w:r>
          </w:p>
        </w:tc>
        <w:tc>
          <w:tcPr>
            <w:tcW w:w="240" w:type="dxa"/>
            <w:vAlign w:val="bottom"/>
          </w:tcPr>
          <w:p>
            <w:pPr>
              <w:spacing w:after="0"/>
              <w:rPr>
                <w:sz w:val="14"/>
                <w:szCs w:val="14"/>
                <w:color w:val="auto"/>
              </w:rPr>
            </w:pPr>
          </w:p>
        </w:tc>
        <w:tc>
          <w:tcPr>
            <w:tcW w:w="680" w:type="dxa"/>
            <w:vAlign w:val="bottom"/>
            <w:gridSpan w:val="4"/>
          </w:tcPr>
          <w:p>
            <w:pPr>
              <w:jc w:val="right"/>
              <w:ind w:right="20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5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 Treasury</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80,052</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gridSpan w:val="3"/>
            <w:shd w:val="clear" w:color="auto" w:fill="CCEEFF"/>
          </w:tcPr>
          <w:p>
            <w:pPr>
              <w:jc w:val="center"/>
              <w:ind w:left="15"/>
              <w:spacing w:after="0" w:line="196" w:lineRule="exact"/>
              <w:rPr>
                <w:sz w:val="20"/>
                <w:szCs w:val="20"/>
                <w:color w:val="auto"/>
              </w:rPr>
            </w:pPr>
            <w:r>
              <w:rPr>
                <w:rFonts w:ascii="Arial" w:cs="Arial" w:eastAsia="Arial" w:hAnsi="Arial"/>
                <w:sz w:val="18"/>
                <w:szCs w:val="18"/>
                <w:color w:val="auto"/>
                <w:w w:val="99"/>
              </w:rPr>
              <w:t>(300)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79,752</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222,898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80" w:type="dxa"/>
            <w:vAlign w:val="bottom"/>
            <w:gridSpan w:val="4"/>
          </w:tcPr>
          <w:p>
            <w:pPr>
              <w:jc w:val="center"/>
              <w:ind w:right="60"/>
              <w:spacing w:after="0" w:line="202" w:lineRule="exact"/>
              <w:rPr>
                <w:sz w:val="20"/>
                <w:szCs w:val="20"/>
                <w:color w:val="auto"/>
              </w:rPr>
            </w:pPr>
            <w:r>
              <w:rPr>
                <w:rFonts w:ascii="Arial" w:cs="Arial" w:eastAsia="Arial" w:hAnsi="Arial"/>
                <w:sz w:val="18"/>
                <w:szCs w:val="18"/>
                <w:color w:val="auto"/>
                <w:w w:val="99"/>
              </w:rPr>
              <w:t>(302)</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222,596</w:t>
            </w:r>
          </w:p>
        </w:tc>
      </w:tr>
      <w:tr>
        <w:trPr>
          <w:trHeight w:val="196"/>
        </w:trPr>
        <w:tc>
          <w:tcPr>
            <w:tcW w:w="50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302,950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gridSpan w:val="3"/>
            <w:shd w:val="clear" w:color="auto" w:fill="CCEEFF"/>
          </w:tcPr>
          <w:p>
            <w:pPr>
              <w:jc w:val="center"/>
              <w:ind w:left="15"/>
              <w:spacing w:after="0" w:line="196" w:lineRule="exact"/>
              <w:rPr>
                <w:sz w:val="20"/>
                <w:szCs w:val="20"/>
                <w:color w:val="auto"/>
              </w:rPr>
            </w:pPr>
            <w:r>
              <w:rPr>
                <w:rFonts w:ascii="Arial" w:cs="Arial" w:eastAsia="Arial" w:hAnsi="Arial"/>
                <w:sz w:val="18"/>
                <w:szCs w:val="18"/>
                <w:color w:val="auto"/>
                <w:w w:val="99"/>
              </w:rPr>
              <w:t>(602)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302,348</w:t>
            </w:r>
          </w:p>
        </w:tc>
      </w:tr>
      <w:tr>
        <w:trPr>
          <w:trHeight w:val="20"/>
        </w:trPr>
        <w:tc>
          <w:tcPr>
            <w:tcW w:w="50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03"/>
        </w:trPr>
        <w:tc>
          <w:tcPr>
            <w:tcW w:w="7340" w:type="dxa"/>
            <w:vAlign w:val="bottom"/>
            <w:gridSpan w:val="9"/>
          </w:tcPr>
          <w:p>
            <w:pPr>
              <w:ind w:left="20"/>
              <w:spacing w:after="0"/>
              <w:rPr>
                <w:sz w:val="20"/>
                <w:szCs w:val="20"/>
                <w:color w:val="auto"/>
              </w:rPr>
            </w:pPr>
            <w:r>
              <w:rPr>
                <w:rFonts w:ascii="Arial" w:cs="Arial" w:eastAsia="Arial" w:hAnsi="Arial"/>
                <w:sz w:val="18"/>
                <w:szCs w:val="18"/>
                <w:color w:val="auto"/>
              </w:rPr>
              <w:t>The following table provides the maturities of our fixed maturity available-for-sale securities: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8"/>
        </w:trPr>
        <w:tc>
          <w:tcPr>
            <w:tcW w:w="50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10"/>
          </w:tcPr>
          <w:p>
            <w:pPr>
              <w:spacing w:after="0"/>
              <w:rPr>
                <w:sz w:val="17"/>
                <w:szCs w:val="17"/>
                <w:color w:val="auto"/>
              </w:rPr>
            </w:pPr>
          </w:p>
        </w:tc>
      </w:tr>
      <w:tr>
        <w:trPr>
          <w:trHeight w:val="155"/>
        </w:trPr>
        <w:tc>
          <w:tcPr>
            <w:tcW w:w="5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gridSpan w:val="10"/>
          </w:tcPr>
          <w:p>
            <w:pPr>
              <w:ind w:left="20"/>
              <w:spacing w:after="0" w:line="155" w:lineRule="exact"/>
              <w:rPr>
                <w:sz w:val="20"/>
                <w:szCs w:val="20"/>
                <w:color w:val="auto"/>
              </w:rPr>
            </w:pPr>
            <w:r>
              <w:rPr>
                <w:rFonts w:ascii="Arial" w:cs="Arial" w:eastAsia="Arial" w:hAnsi="Arial"/>
                <w:sz w:val="14"/>
                <w:szCs w:val="14"/>
                <w:color w:val="auto"/>
              </w:rPr>
              <w:t>March 31, 2022    December 31, 2021</w:t>
            </w:r>
          </w:p>
        </w:tc>
      </w:tr>
      <w:tr>
        <w:trPr>
          <w:trHeight w:val="196"/>
        </w:trPr>
        <w:tc>
          <w:tcPr>
            <w:tcW w:w="5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Less than one year</w:t>
            </w: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234,981</w:t>
            </w: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166,434</w:t>
            </w:r>
          </w:p>
        </w:tc>
      </w:tr>
      <w:tr>
        <w:trPr>
          <w:trHeight w:val="203"/>
        </w:trPr>
        <w:tc>
          <w:tcPr>
            <w:tcW w:w="50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One to five years</w:t>
            </w: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105,360</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135,914</w:t>
            </w:r>
          </w:p>
        </w:tc>
      </w:tr>
      <w:tr>
        <w:trPr>
          <w:trHeight w:val="196"/>
        </w:trPr>
        <w:tc>
          <w:tcPr>
            <w:tcW w:w="5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340,341</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302,348</w:t>
            </w:r>
          </w:p>
        </w:tc>
      </w:tr>
    </w:tbl>
    <w:p>
      <w:pPr>
        <w:spacing w:after="0" w:line="184"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6—Prepaid expenses and other current assets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prepaid expenses and other current assets: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8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color w:val="auto"/>
              </w:rPr>
              <w:t>March 31,</w:t>
            </w:r>
          </w:p>
        </w:tc>
        <w:tc>
          <w:tcPr>
            <w:tcW w:w="10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December 31,</w:t>
            </w:r>
          </w:p>
        </w:tc>
      </w:tr>
      <w:tr>
        <w:trPr>
          <w:trHeight w:val="171"/>
        </w:trPr>
        <w:tc>
          <w:tcPr>
            <w:tcW w:w="68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r>
        <w:trPr>
          <w:trHeight w:val="196"/>
        </w:trPr>
        <w:tc>
          <w:tcPr>
            <w:tcW w:w="6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487</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Insurance</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817</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1,606</w:t>
            </w:r>
          </w:p>
        </w:tc>
      </w:tr>
      <w:tr>
        <w:trPr>
          <w:trHeight w:val="203"/>
        </w:trPr>
        <w:tc>
          <w:tcPr>
            <w:tcW w:w="6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Software licenses and other</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1,761</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2,033</w:t>
            </w: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Reimbursement receivable</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247</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r>
      <w:tr>
        <w:trPr>
          <w:trHeight w:val="203"/>
        </w:trPr>
        <w:tc>
          <w:tcPr>
            <w:tcW w:w="6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Warranties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w:t>
            </w: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r>
      <w:tr>
        <w:trPr>
          <w:trHeight w:val="196"/>
        </w:trPr>
        <w:tc>
          <w:tcPr>
            <w:tcW w:w="68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3,740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4,773</w:t>
            </w: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7—Property and equipment, net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The following is a summary of property and equipment, net:</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8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March 31,</w:t>
            </w: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December 31,</w:t>
            </w:r>
          </w:p>
        </w:tc>
      </w:tr>
      <w:tr>
        <w:trPr>
          <w:trHeight w:val="171"/>
        </w:trPr>
        <w:tc>
          <w:tcPr>
            <w:tcW w:w="6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r>
        <w:trPr>
          <w:trHeight w:val="196"/>
        </w:trPr>
        <w:tc>
          <w:tcPr>
            <w:tcW w:w="6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Lab equipment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21,200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18,114</w:t>
            </w:r>
          </w:p>
        </w:tc>
      </w:tr>
      <w:tr>
        <w:trPr>
          <w:trHeight w:val="203"/>
        </w:trPr>
        <w:tc>
          <w:tcPr>
            <w:tcW w:w="684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8,365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8,365</w:t>
            </w:r>
          </w:p>
        </w:tc>
      </w:tr>
      <w:tr>
        <w:trPr>
          <w:trHeight w:val="203"/>
        </w:trPr>
        <w:tc>
          <w:tcPr>
            <w:tcW w:w="6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35,920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32,836</w:t>
            </w:r>
          </w:p>
        </w:tc>
      </w:tr>
      <w:tr>
        <w:trPr>
          <w:trHeight w:val="203"/>
        </w:trPr>
        <w:tc>
          <w:tcPr>
            <w:tcW w:w="6840" w:type="dxa"/>
            <w:vAlign w:val="bottom"/>
          </w:tcPr>
          <w:p>
            <w:pPr>
              <w:ind w:left="20"/>
              <w:spacing w:after="0" w:line="202" w:lineRule="exact"/>
              <w:rPr>
                <w:sz w:val="20"/>
                <w:szCs w:val="20"/>
                <w:color w:val="auto"/>
              </w:rPr>
            </w:pPr>
            <w:r>
              <w:rPr>
                <w:rFonts w:ascii="Arial" w:cs="Arial" w:eastAsia="Arial" w:hAnsi="Arial"/>
                <w:sz w:val="18"/>
                <w:szCs w:val="18"/>
                <w:color w:val="auto"/>
              </w:rPr>
              <w:t>Computer software and equipment</w:t>
            </w: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4,192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2,623</w:t>
            </w:r>
          </w:p>
        </w:tc>
      </w:tr>
      <w:tr>
        <w:trPr>
          <w:trHeight w:val="203"/>
        </w:trPr>
        <w:tc>
          <w:tcPr>
            <w:tcW w:w="6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1,491</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1,358</w:t>
            </w:r>
          </w:p>
        </w:tc>
      </w:tr>
      <w:tr>
        <w:trPr>
          <w:trHeight w:val="196"/>
        </w:trPr>
        <w:tc>
          <w:tcPr>
            <w:tcW w:w="684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71,168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63,296</w:t>
            </w:r>
          </w:p>
        </w:tc>
      </w:tr>
      <w:tr>
        <w:trPr>
          <w:trHeight w:val="203"/>
        </w:trPr>
        <w:tc>
          <w:tcPr>
            <w:tcW w:w="6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(6,487)</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(5,329)</w:t>
            </w:r>
          </w:p>
        </w:tc>
      </w:tr>
      <w:tr>
        <w:trPr>
          <w:trHeight w:val="196"/>
        </w:trPr>
        <w:tc>
          <w:tcPr>
            <w:tcW w:w="6840" w:type="dxa"/>
            <w:vAlign w:val="bottom"/>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64,681</w:t>
            </w: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57,967</w:t>
            </w:r>
          </w:p>
        </w:tc>
      </w:tr>
      <w:tr>
        <w:trPr>
          <w:trHeight w:val="20"/>
        </w:trPr>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099"/>
        <w:spacing w:after="0" w:line="271" w:lineRule="auto"/>
        <w:rPr>
          <w:sz w:val="20"/>
          <w:szCs w:val="20"/>
          <w:color w:val="auto"/>
        </w:rPr>
      </w:pPr>
      <w:r>
        <w:rPr>
          <w:rFonts w:ascii="Arial" w:cs="Arial" w:eastAsia="Arial" w:hAnsi="Arial"/>
          <w:sz w:val="18"/>
          <w:szCs w:val="18"/>
          <w:color w:val="auto"/>
        </w:rPr>
        <w:t>Depreciation expense was $1,160 and $718 for the three months ended March 31, 2022 and 2021, respectively.</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8—Accrued expenses and other liabilities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accrued expenses: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8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color w:val="auto"/>
              </w:rPr>
              <w:t>March 31,</w:t>
            </w: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December 31,</w:t>
            </w:r>
          </w:p>
        </w:tc>
      </w:tr>
      <w:tr>
        <w:trPr>
          <w:trHeight w:val="171"/>
        </w:trPr>
        <w:tc>
          <w:tcPr>
            <w:tcW w:w="68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r>
        <w:trPr>
          <w:trHeight w:val="196"/>
        </w:trPr>
        <w:tc>
          <w:tcPr>
            <w:tcW w:w="6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Payroll and bonuses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1,447</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4,445</w:t>
            </w: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r>
      <w:tr>
        <w:trPr>
          <w:trHeight w:val="203"/>
        </w:trPr>
        <w:tc>
          <w:tcPr>
            <w:tcW w:w="6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Professional and legal fees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2,479</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796</w:t>
            </w: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w:t>
            </w: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592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r>
      <w:tr>
        <w:trPr>
          <w:trHeight w:val="203"/>
        </w:trPr>
        <w:tc>
          <w:tcPr>
            <w:tcW w:w="6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r>
      <w:tr>
        <w:trPr>
          <w:trHeight w:val="196"/>
        </w:trPr>
        <w:tc>
          <w:tcPr>
            <w:tcW w:w="6820" w:type="dxa"/>
            <w:vAlign w:val="bottom"/>
          </w:tcPr>
          <w:p>
            <w:pPr>
              <w:ind w:left="20"/>
              <w:spacing w:after="0" w:line="196" w:lineRule="exact"/>
              <w:rPr>
                <w:sz w:val="20"/>
                <w:szCs w:val="20"/>
                <w:color w:val="auto"/>
              </w:rPr>
            </w:pPr>
            <w:r>
              <w:rPr>
                <w:rFonts w:ascii="Arial" w:cs="Arial" w:eastAsia="Arial" w:hAnsi="Arial"/>
                <w:sz w:val="18"/>
                <w:szCs w:val="18"/>
                <w:color w:val="auto"/>
              </w:rPr>
              <w:t>Total accrued expenses and other liabilities</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4,847</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6,040</w:t>
            </w: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9—Long-term debt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the Company’s indebtedness:</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340" w:type="dxa"/>
            <w:vAlign w:val="bottom"/>
            <w:tcBorders>
              <w:top w:val="single" w:sz="8" w:color="auto"/>
            </w:tcBorders>
          </w:tcPr>
          <w:p>
            <w:pPr>
              <w:spacing w:after="0"/>
              <w:rPr>
                <w:sz w:val="15"/>
                <w:szCs w:val="15"/>
                <w:color w:val="auto"/>
              </w:rPr>
            </w:pPr>
          </w:p>
        </w:tc>
        <w:tc>
          <w:tcPr>
            <w:tcW w:w="2560" w:type="dxa"/>
            <w:vAlign w:val="bottom"/>
            <w:tcBorders>
              <w:top w:val="single" w:sz="8" w:color="auto"/>
            </w:tcBorders>
            <w:gridSpan w:val="5"/>
          </w:tcPr>
          <w:p>
            <w:pPr>
              <w:spacing w:after="0"/>
              <w:rPr>
                <w:sz w:val="20"/>
                <w:szCs w:val="20"/>
                <w:color w:val="auto"/>
              </w:rPr>
            </w:pPr>
            <w:r>
              <w:rPr>
                <w:rFonts w:ascii="Arial" w:cs="Arial" w:eastAsia="Arial" w:hAnsi="Arial"/>
                <w:sz w:val="14"/>
                <w:szCs w:val="14"/>
                <w:color w:val="auto"/>
              </w:rPr>
              <w:t>March 31, 2022   December 31, 2021</w:t>
            </w: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Principal</w:t>
            </w: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Plus: End of term fee</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Debt discount attributable to warrants, net of accretion</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r>
      <w:tr>
        <w:trPr>
          <w:trHeight w:val="184"/>
        </w:trPr>
        <w:tc>
          <w:tcPr>
            <w:tcW w:w="6340" w:type="dxa"/>
            <w:vAlign w:val="bottom"/>
          </w:tcPr>
          <w:p>
            <w:pPr>
              <w:spacing w:after="0" w:line="183" w:lineRule="exact"/>
              <w:rPr>
                <w:sz w:val="20"/>
                <w:szCs w:val="20"/>
                <w:color w:val="auto"/>
              </w:rPr>
            </w:pPr>
            <w:r>
              <w:rPr>
                <w:rFonts w:ascii="Arial" w:cs="Arial" w:eastAsia="Arial" w:hAnsi="Arial"/>
                <w:sz w:val="18"/>
                <w:szCs w:val="18"/>
                <w:color w:val="auto"/>
              </w:rPr>
              <w:t>Less: Unamortized deferred financing cost and end of term fee, net of</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1"/>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accretion</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r>
      <w:tr>
        <w:trPr>
          <w:trHeight w:val="196"/>
        </w:trPr>
        <w:tc>
          <w:tcPr>
            <w:tcW w:w="63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w:t>
            </w:r>
          </w:p>
        </w:tc>
        <w:tc>
          <w:tcPr>
            <w:tcW w:w="2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10,018</w:t>
            </w: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9,942</w:t>
            </w:r>
          </w:p>
        </w:tc>
      </w:tr>
      <w:tr>
        <w:trPr>
          <w:trHeight w:val="20"/>
        </w:trPr>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September 14, 2020, the Company entered into a $10,000 Term Loan Agreement (the “Loan Agreement”) with Hercules Capital, Inc. (“Hercules”). Pursuant to the terms of the Loan Agreement, the Company borrowed $10,000 (the “Tranche 1 Advance”) from the lenders at closing. Beginning January 1, 2021 and upon the achievement of certain development milestones and continuing through September 30, 2021 the Company may borrow an additional $10,000 (the “Tranche 2 Advance”). The remaining $10,000 tranche (“Tranche 3 Advance”) is subject to Hercules’ investment committee’s sole discretion.</w:t>
      </w:r>
    </w:p>
    <w:p>
      <w:pPr>
        <w:spacing w:after="0" w:line="179"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The Loan Agreement has a four-year term, a minimum cash covenant and an interest-only period of up to 24 months. If the Tranche 2 Advance is not drawn or the Company has achieved certain development milestones by September 30, 2021, then there is no minimum cash requirement. As of March 31, 2022, there is no longer a minimum cash requirement since the Company has achieved certain development milestones</w:t>
      </w:r>
    </w:p>
    <w:p>
      <w:pPr>
        <w:sectPr>
          <w:pgSz w:w="11900" w:h="16838" w:orient="portrait"/>
          <w:cols w:equalWidth="0" w:num="1">
            <w:col w:w="9019"/>
          </w:cols>
          <w:pgMar w:left="1440" w:top="512"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Arial" w:cs="Arial" w:eastAsia="Arial" w:hAnsi="Arial"/>
          <w:sz w:val="17"/>
          <w:szCs w:val="17"/>
          <w:color w:val="auto"/>
        </w:rPr>
        <w:t xml:space="preserve">and did not draw down the Tranche 2 Advance. The Company was in compliance with all provisions of the Loan Agreement as of March 31, 2022. Amounts borrowed under the Loan Agreement accrue interest at a floating rate per annum (based on a year of 360 days) equal to (i) the sum of (a) the greater of 6.30% plus (b) the prime rate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on the last business day of the month that immediately precedes the month in which the interest will accrue or (ii) 9.55%. The interest rate as of March 31, 2022 was 9.55%.</w:t>
      </w:r>
    </w:p>
    <w:p>
      <w:pPr>
        <w:spacing w:after="0" w:line="139" w:lineRule="exact"/>
        <w:rPr>
          <w:sz w:val="20"/>
          <w:szCs w:val="20"/>
          <w:color w:val="auto"/>
        </w:rPr>
      </w:pPr>
    </w:p>
    <w:p>
      <w:pPr>
        <w:ind w:left="60" w:right="279"/>
        <w:spacing w:after="0" w:line="242" w:lineRule="auto"/>
        <w:rPr>
          <w:sz w:val="20"/>
          <w:szCs w:val="20"/>
          <w:color w:val="auto"/>
        </w:rPr>
      </w:pPr>
      <w:r>
        <w:rPr>
          <w:rFonts w:ascii="Arial" w:cs="Arial" w:eastAsia="Arial" w:hAnsi="Arial"/>
          <w:sz w:val="18"/>
          <w:szCs w:val="18"/>
          <w:color w:val="auto"/>
        </w:rPr>
        <w:t>The Company incurred $ 410 in deferred financing costs. The Company is also required to pay the lenders an end of term fee of 3.95% of loan proceeds upon repayment or prepayment of any loans made under the Loan Agreement. The end of term fee is being recognized as interest expense and accreted over the term of the Loan Agreement using the effective interest method. The Company is also required to pay Hercules a prepayment charge equal to 2.00% of the loan amounts prepaid during the interest-only period and 1.00% thereafter on any loans made under the Loan Agreement.</w:t>
      </w:r>
    </w:p>
    <w:p>
      <w:pPr>
        <w:spacing w:after="0" w:line="138"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In May 2022, the Company entered into a First Amendment (the “Amendment”) to the Loan Agreement. The amendment provides for, among other things, to extend the maturity date by which principal amounts owed under the Loan Agreement are payable to May 1, 2023 and for the Company to maintain a monthly minimum unrestricted cash balance of $25,000.</w:t>
      </w:r>
    </w:p>
    <w:p>
      <w:pPr>
        <w:spacing w:after="0" w:line="133"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The Company granted Hercules a lien on substantially all of the Company’s assets, excluding intellectual property.</w:t>
      </w:r>
    </w:p>
    <w:p>
      <w:pPr>
        <w:spacing w:after="0" w:line="127"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Company issued to Hercules warrants to purchase up to an aggregate of 16,112 shares of common stock. The warrants are exercisable for a period of ten years from the date of the issuance of each warrant at a per share exercise price equal to $13.96,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 liability on the consolidated balance sheet and amortized to interest expense. If the Company borrows on the remaining two tranche advances outlined above, the Company will be required to issue warrants to Hercules equal to 2.25% of the aggregate amount funded.</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of the Loan Agreement is as follows: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0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For the Three</w:t>
            </w: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For the Three</w:t>
            </w:r>
          </w:p>
        </w:tc>
      </w:tr>
      <w:tr>
        <w:trPr>
          <w:trHeight w:val="162"/>
        </w:trPr>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Months Ended</w:t>
            </w:r>
          </w:p>
        </w:tc>
        <w:tc>
          <w:tcPr>
            <w:tcW w:w="16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Months Ended</w:t>
            </w:r>
          </w:p>
        </w:tc>
      </w:tr>
      <w:tr>
        <w:trPr>
          <w:trHeight w:val="171"/>
        </w:trPr>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March 31, 2022</w:t>
            </w:r>
          </w:p>
        </w:tc>
        <w:tc>
          <w:tcPr>
            <w:tcW w:w="16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March 31, 2021</w:t>
            </w:r>
          </w:p>
        </w:tc>
      </w:tr>
      <w:tr>
        <w:trPr>
          <w:trHeight w:val="196"/>
        </w:trPr>
        <w:tc>
          <w:tcPr>
            <w:tcW w:w="60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expense</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w:t>
            </w: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60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Amortization of debt issuance costs, including end of term fee accretion</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tcPr>
          <w:p>
            <w:pPr>
              <w:spacing w:after="0"/>
              <w:rPr>
                <w:sz w:val="17"/>
                <w:szCs w:val="17"/>
                <w:color w:val="auto"/>
              </w:rPr>
            </w:pPr>
          </w:p>
        </w:tc>
      </w:tr>
      <w:tr>
        <w:trPr>
          <w:trHeight w:val="196"/>
        </w:trPr>
        <w:tc>
          <w:tcPr>
            <w:tcW w:w="60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Included in accrued expenses in the accompanying consolidated balance sheets as of March 31, 2022 and December 31, 2021 was $82 of accrued interest.</w:t>
      </w:r>
    </w:p>
    <w:p>
      <w:pPr>
        <w:spacing w:after="0" w:line="113" w:lineRule="exact"/>
        <w:rPr>
          <w:sz w:val="20"/>
          <w:szCs w:val="20"/>
          <w:color w:val="auto"/>
        </w:rPr>
      </w:pPr>
    </w:p>
    <w:p>
      <w:pPr>
        <w:ind w:left="60" w:right="519"/>
        <w:spacing w:after="0" w:line="271" w:lineRule="auto"/>
        <w:rPr>
          <w:sz w:val="20"/>
          <w:szCs w:val="20"/>
          <w:color w:val="auto"/>
        </w:rPr>
      </w:pPr>
      <w:r>
        <w:rPr>
          <w:rFonts w:ascii="Arial" w:cs="Arial" w:eastAsia="Arial" w:hAnsi="Arial"/>
          <w:sz w:val="18"/>
          <w:szCs w:val="18"/>
          <w:color w:val="auto"/>
        </w:rPr>
        <w:t>Future principal payments due (including the end of term fee) under the Loan Agreement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109220</wp:posOffset>
            </wp:positionV>
            <wp:extent cx="56489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Principal Payments</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jc w:val="right"/>
              <w:ind w:right="2590"/>
              <w:spacing w:after="0" w:line="196" w:lineRule="exact"/>
              <w:rPr>
                <w:sz w:val="20"/>
                <w:szCs w:val="20"/>
                <w:color w:val="auto"/>
              </w:rPr>
            </w:pPr>
            <w:r>
              <w:rPr>
                <w:rFonts w:ascii="Arial" w:cs="Arial" w:eastAsia="Arial" w:hAnsi="Arial"/>
                <w:sz w:val="18"/>
                <w:szCs w:val="18"/>
                <w:color w:val="231F20"/>
                <w:w w:val="99"/>
              </w:rPr>
              <w:t>2022</w:t>
            </w:r>
          </w:p>
        </w:tc>
        <w:tc>
          <w:tcPr>
            <w:tcW w:w="4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jc w:val="right"/>
              <w:ind w:right="2590"/>
              <w:spacing w:after="0" w:line="202" w:lineRule="exact"/>
              <w:rPr>
                <w:sz w:val="20"/>
                <w:szCs w:val="20"/>
                <w:color w:val="auto"/>
              </w:rPr>
            </w:pPr>
            <w:r>
              <w:rPr>
                <w:rFonts w:ascii="Arial" w:cs="Arial" w:eastAsia="Arial" w:hAnsi="Arial"/>
                <w:sz w:val="18"/>
                <w:szCs w:val="18"/>
                <w:color w:val="231F20"/>
                <w:w w:val="99"/>
              </w:rPr>
              <w:t>2023</w:t>
            </w:r>
          </w:p>
        </w:tc>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231F20"/>
              </w:rPr>
              <w:t>6,550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jc w:val="right"/>
              <w:ind w:right="2590"/>
              <w:spacing w:after="0" w:line="202" w:lineRule="exact"/>
              <w:rPr>
                <w:sz w:val="20"/>
                <w:szCs w:val="20"/>
                <w:color w:val="auto"/>
              </w:rPr>
            </w:pPr>
            <w:r>
              <w:rPr>
                <w:rFonts w:ascii="Arial" w:cs="Arial" w:eastAsia="Arial" w:hAnsi="Arial"/>
                <w:sz w:val="18"/>
                <w:szCs w:val="18"/>
                <w:color w:val="231F20"/>
                <w:w w:val="99"/>
              </w:rPr>
              <w:t>2024</w:t>
            </w:r>
          </w:p>
        </w:tc>
        <w:tc>
          <w:tcPr>
            <w:tcW w:w="44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3,845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tcPr>
          <w:p>
            <w:pPr>
              <w:jc w:val="right"/>
              <w:ind w:right="1170"/>
              <w:spacing w:after="0" w:line="196" w:lineRule="exact"/>
              <w:rPr>
                <w:sz w:val="20"/>
                <w:szCs w:val="20"/>
                <w:color w:val="auto"/>
              </w:rPr>
            </w:pPr>
            <w:r>
              <w:rPr>
                <w:rFonts w:ascii="Arial" w:cs="Arial" w:eastAsia="Arial" w:hAnsi="Arial"/>
                <w:sz w:val="18"/>
                <w:szCs w:val="18"/>
                <w:color w:val="231F20"/>
              </w:rPr>
              <w:t>Total future payments</w:t>
            </w:r>
          </w:p>
        </w:tc>
        <w:tc>
          <w:tcPr>
            <w:tcW w:w="44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10,395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400" w:type="dxa"/>
            <w:vAlign w:val="bottom"/>
            <w:vMerge w:val="restart"/>
          </w:tcPr>
          <w:p>
            <w:pPr>
              <w:jc w:val="right"/>
              <w:ind w:right="285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310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1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10—Stockholders’ Equity (Deficit)</w:t>
      </w:r>
    </w:p>
    <w:p>
      <w:pPr>
        <w:spacing w:after="0" w:line="187"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changed its name to “Century Therapeutics, Inc.” In connection with this merger, 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w:t>
      </w:r>
    </w:p>
    <w:p>
      <w:pPr>
        <w:spacing w:after="0" w:line="144"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Upon the execution of the preceding conversion on February 25, 2021, the Company entered into a stock purchase agreement with existing and new investors whereby the Company issued and sold 24,721,999 shares of Series C Preferred Stock with a par value of $0.0001, to investors at a price of $6.472 per shares for gross proceeds of $160,000.</w:t>
      </w:r>
    </w:p>
    <w:p>
      <w:pPr>
        <w:spacing w:after="0" w:line="133"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Pursuant to its Amended Articles of Incorporation filed on February 25, 2021, the Company was authorized to issue 125,236,190 shares of $0.0001 par value common stock and 85,865,789 shares of $0.0001 par value Preferred Stock. Of the Preferred Stock, 35,000,000 shares are designated as Series A Preferred Stock, 26,143,790 are designated as Series B Preferred Stock and 24,721,999 are designated as Series C Preferred Stock.</w:t>
      </w:r>
    </w:p>
    <w:p>
      <w:pPr>
        <w:spacing w:after="0" w:line="14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June 22, 2021 when the Company closed its IPO, all outstanding shares of the Series A Preferred Stock, Series B Preferred Stock, and Series C Preferred Stock were converted into an aggregate of 34,126,528 shares of Common Stock automatically and without any action on the part of the holder thereof. The per share conversion price of each of the Series A Preferred Stock, Series B Preferred Stock, and Series C Preferred Stock was equal to $1.00, $5.55 and $6.472, respectively. The Company is authorized to issue up to 300,000,000 shares of common stock with a par value of $0.0001 per share and 10,000,000 shares of undesignated preferred stock with a par value of $0.0001 per share.</w:t>
      </w:r>
    </w:p>
    <w:p>
      <w:pPr>
        <w:spacing w:after="0" w:line="200" w:lineRule="exact"/>
        <w:rPr>
          <w:sz w:val="20"/>
          <w:szCs w:val="20"/>
          <w:color w:val="auto"/>
        </w:rPr>
      </w:pPr>
    </w:p>
    <w:p>
      <w:pPr>
        <w:spacing w:after="0" w:line="34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11 – Revenue recognition</w:t>
      </w:r>
    </w:p>
    <w:p>
      <w:pPr>
        <w:spacing w:after="0" w:line="173"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January 7, 2022, the Company entered into the Collaboration Agreement with Bristol-Myers Squibb to collaborate on the research, development and commercialization of iNK and iT cell programs for hematologic malignancies and solid tumors (“Collaboration Program,” and each product candidate a “Development Candidate”). The Collaboration Agreement is within the scope of ASC 808, Collaborative Arrangements as both parties are active participants in the arrangement and are exposed to significant risks and rewards. While this arrangement is in the scope of ASC 808, the Company analogizes to ASC 606 for the accounting for the Collaboration Agreement, including for the delivery of goods and services (i.e., units of account). Revenue recognized by analogizing to ASC 606 is recorded as collaboration revenue in the statements of operations.</w:t>
      </w:r>
    </w:p>
    <w:p>
      <w:pPr>
        <w:spacing w:after="0" w:line="16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Pursuant to the Collaboration Agreement, the Company and Bristol-Myers Squibb will initially collaborate on two Collaboration Programs focused on acute myeloid leukemia (“AML”) and multiple myeloma (“MM”), and Bristol-Myers Squibb has the option to add up to two additional Collaboration Programs for an additional fee. The Company is responsible for generating Development Candidates for each Collaboration Program, and Bristol-Myers Squibb has the option to elect to exclusively license the Development Candidates for pre-clinical development, clinical development and commercialization on a worldwide basis (“License Option”). Following Bristol-Myers Squibb’s exercise of the License Option, the Company will be responsible for performing IND-enabling studies, supporting Bristol-Myers Squibb’s preparation and submission of an IND, and manufacturing of clinical supplies until completion of a proof of concept clinical trial. Bristol-Myers Squibb will be responsible for all regulatory, clinical, manufacturing (after the proof of concept clinical trial) and commercialization activities for such Development Candidates worldwide. The Company has the option to co-promote Development Candidates generated from certain specified Collaboration Programs.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$100,000 and will pay an exercise fee upon the exercise of the License Option (“Licensed Program” and product candidates developed under a Licensed Program, “Licensed Products”). For each Licensed Program, Bristol-Myers Squibb will pay up to $235,000 in milestone payments upon the first achievement of certain development and regulatory milestones and will pay up to $500,000 per Licensed Product in net sales-based milestone payments. Bristol-Myers Squibb will also pay the Company tiered royalties per Licensed Product as a percentage of net sales in the high-single digits to low-teens, subject to reduction for biosimilar competition, compulsory licensing and certain third party license costs. If Century exercises its co-promote option, such royalty percentage will be increased to low-teens to high-teens in respect of the sales of the co-promoted Licensed Products in the United States. The royalty term shall terminate on a Licensed Product-by-Licensed Product and country-by-country basis on the latest of (i) the twelve (12) year anniversary of the first commercial sale of such Licensed Product in such country, (ii) the expiration of any regulatory exclusivity period that covers such Licensed Product in such country, and (iii) the expiration of the last-to-expire licensed patent of the Company or a jointly owned patent that covers such the Licensed Product in such country. After expiration of the applicable royalty term for a Licensed Product in a country, all licenses granted by the Company to Bristol-Myers Squibb for such Licensed Product in such country will be fully paid-up, royalty- free, perpetual and irrevocable.</w:t>
      </w:r>
    </w:p>
    <w:p>
      <w:pPr>
        <w:spacing w:after="0" w:line="170"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In connection with the Collaboration Agreement, Bristol-Myers Squibb purchased 2,160,760 shares of the Company’s common stock at a price per share of $23.14, for an aggregate purchase price of $50,000. In determining the fair value of the common stock issued to Bristol-Myers Squibb, the Company considered the closing price of the common stock on the date of the transaction and included a lack of marketability discount because the shares are subject to certain restrictions. The Company determined the common stock purchase represented a premium of $7.82 per share, or $23,200 in the aggregate (“Equity Premium”), and the remaining $26,800 was recorded as issuance of common stock in stockholders’ equity.</w:t>
      </w:r>
    </w:p>
    <w:p>
      <w:pPr>
        <w:spacing w:after="0" w:line="171"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 Company identified the following commitments under the arrangement: (i) research and development services (“R&amp;D Services”) under each of the two initial Collaboration Programs and (ii) Bristol-Myers Squibb’s License Option to elect to exclusively license the Development Candidates for each of the two initial Collaboration Programs. The Company determined that these four commitments represent distinct performance obligations for purposes of recognizing revenue and will recognize revenue as the Company fulfills each performance obligation.</w:t>
      </w:r>
    </w:p>
    <w:p>
      <w:pPr>
        <w:spacing w:after="0" w:line="16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Company determined that the upfront payment and Equity Premium constitute the transaction price at the inception of the Collaboration Agreement. The future potential development and regulatory milestone payments were fully constrained at contract inception as the risk of significant revenue reversal related to these amounts has not yet been resolved. The achievement of the future potential milestones is not within the Company’s control and is subject to certain research and development success and therefore carries significant uncertainty. The Company will reevaluate the likelihood of achieving these milestones at the end of each reporting period and adjust the transaction price in the period the risk is resolved. In addition, the Company will recognize any consideration related to sales-based milestones and royalties when the subsequent sales occur.</w:t>
      </w:r>
    </w:p>
    <w:p>
      <w:pPr>
        <w:spacing w:after="0" w:line="167"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At March 31, 2022, the total transaction price of $123,200 is allocated to the performance obligations based on their estimated standalone selling price. The stand-alone selling price of the research and development services was estimated using the expected cost-plus margin approach, and the stand-alone selling price of the License Options was based on a discounted cash flow approach and considered several factors including, but not limited to, discount rate, development timeline, regulatory risks, estimated market demand, and future revenue potential using an adjusted market approach. The allocated transaction price is recognized as revenue in one of two ways:</w:t>
      </w:r>
    </w:p>
    <w:p>
      <w:pPr>
        <w:spacing w:after="0" w:line="171" w:lineRule="exact"/>
        <w:rPr>
          <w:sz w:val="20"/>
          <w:szCs w:val="20"/>
          <w:color w:val="auto"/>
        </w:rPr>
      </w:pPr>
    </w:p>
    <w:p>
      <w:pPr>
        <w:ind w:left="720" w:right="459" w:hanging="319"/>
        <w:spacing w:after="0" w:line="270"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services: The Company recognizes the portion of the transaction price allocated to each of the research and development performance obligations as the research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19"/>
        <w:spacing w:after="0" w:line="244" w:lineRule="auto"/>
        <w:rPr>
          <w:sz w:val="20"/>
          <w:szCs w:val="20"/>
          <w:color w:val="auto"/>
        </w:rPr>
      </w:pPr>
      <w:r>
        <w:rPr>
          <w:rFonts w:ascii="Arial" w:cs="Arial" w:eastAsia="Arial" w:hAnsi="Arial"/>
          <w:sz w:val="18"/>
          <w:szCs w:val="18"/>
          <w:color w:val="auto"/>
        </w:rPr>
        <w:t>development services are provided, using an inputs method, in proportion to costs incurred to date for each research development target as compared to total costs incurred and expected to be incurred in the future to satisfy the underlying obligation related to each research and development target. The transfer of control occurs over this period and, in management’s judgment, is the best measure of progress towards satisfying the performance obligation.</w:t>
      </w:r>
    </w:p>
    <w:p>
      <w:pPr>
        <w:spacing w:after="0" w:line="163" w:lineRule="exact"/>
        <w:rPr>
          <w:sz w:val="20"/>
          <w:szCs w:val="20"/>
          <w:color w:val="auto"/>
        </w:rPr>
      </w:pPr>
    </w:p>
    <w:p>
      <w:pPr>
        <w:ind w:left="720" w:right="79" w:hanging="319"/>
        <w:spacing w:after="0" w:line="246"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License option rights: The transaction price allocated to the license options rights, which are considered material rights to license and commercialize the underlying research and development target, are deferred until the period that Bristol-Myers Squibb elects to exercise or elects to not exercise its option or when the option to exercise expires.</w:t>
      </w:r>
    </w:p>
    <w:p>
      <w:pPr>
        <w:spacing w:after="0" w:line="163" w:lineRule="exact"/>
        <w:rPr>
          <w:sz w:val="20"/>
          <w:szCs w:val="20"/>
          <w:color w:val="auto"/>
        </w:rPr>
      </w:pPr>
    </w:p>
    <w:p>
      <w:pPr>
        <w:ind w:left="60" w:right="299"/>
        <w:spacing w:after="0" w:line="301" w:lineRule="auto"/>
        <w:rPr>
          <w:sz w:val="20"/>
          <w:szCs w:val="20"/>
          <w:color w:val="auto"/>
        </w:rPr>
      </w:pPr>
      <w:r>
        <w:rPr>
          <w:rFonts w:ascii="Arial" w:cs="Arial" w:eastAsia="Arial" w:hAnsi="Arial"/>
          <w:sz w:val="17"/>
          <w:szCs w:val="17"/>
          <w:color w:val="auto"/>
        </w:rPr>
        <w:t>The following table summarizes the allocation of the total transaction price to the identified performance obligations under the arrangement, and the amount of the transaction price unsatisfied as of March 31, 2022:</w:t>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color w:val="231F20"/>
                <w:w w:val="99"/>
              </w:rPr>
              <w:t>Cumulative</w:t>
            </w: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70"/>
              <w:spacing w:after="0" w:line="202" w:lineRule="exact"/>
              <w:rPr>
                <w:sz w:val="20"/>
                <w:szCs w:val="20"/>
                <w:color w:val="auto"/>
              </w:rPr>
            </w:pPr>
            <w:r>
              <w:rPr>
                <w:rFonts w:ascii="Arial" w:cs="Arial" w:eastAsia="Arial" w:hAnsi="Arial"/>
                <w:sz w:val="18"/>
                <w:szCs w:val="18"/>
                <w:color w:val="231F20"/>
                <w:w w:val="99"/>
              </w:rPr>
              <w:t>Transaction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231F20"/>
                <w:w w:val="99"/>
              </w:rPr>
              <w:t>collaboration</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231F20"/>
              </w:rPr>
              <w:t>Deferred collaboration</w:t>
            </w:r>
          </w:p>
        </w:tc>
      </w:tr>
      <w:tr>
        <w:trPr>
          <w:trHeight w:val="221"/>
        </w:trPr>
        <w:tc>
          <w:tcPr>
            <w:tcW w:w="3560" w:type="dxa"/>
            <w:vAlign w:val="bottom"/>
          </w:tcPr>
          <w:p>
            <w:pPr>
              <w:ind w:left="120"/>
              <w:spacing w:after="0"/>
              <w:rPr>
                <w:sz w:val="20"/>
                <w:szCs w:val="20"/>
                <w:color w:val="auto"/>
              </w:rPr>
            </w:pPr>
            <w:r>
              <w:rPr>
                <w:rFonts w:ascii="Arial" w:cs="Arial" w:eastAsia="Arial" w:hAnsi="Arial"/>
                <w:sz w:val="18"/>
                <w:szCs w:val="18"/>
                <w:color w:val="231F20"/>
              </w:rPr>
              <w:t>Performance obligations:</w:t>
            </w:r>
          </w:p>
        </w:tc>
        <w:tc>
          <w:tcPr>
            <w:tcW w:w="14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231F20"/>
              </w:rPr>
              <w:t>price</w:t>
            </w:r>
          </w:p>
        </w:tc>
        <w:tc>
          <w:tcPr>
            <w:tcW w:w="220" w:type="dxa"/>
            <w:vAlign w:val="bottom"/>
          </w:tcPr>
          <w:p>
            <w:pPr>
              <w:spacing w:after="0"/>
              <w:rPr>
                <w:sz w:val="19"/>
                <w:szCs w:val="19"/>
                <w:color w:val="auto"/>
              </w:rPr>
            </w:pPr>
          </w:p>
        </w:tc>
        <w:tc>
          <w:tcPr>
            <w:tcW w:w="1940" w:type="dxa"/>
            <w:vAlign w:val="bottom"/>
            <w:gridSpan w:val="3"/>
          </w:tcPr>
          <w:p>
            <w:pPr>
              <w:jc w:val="center"/>
              <w:ind w:right="240"/>
              <w:spacing w:after="0"/>
              <w:rPr>
                <w:sz w:val="20"/>
                <w:szCs w:val="20"/>
                <w:color w:val="auto"/>
              </w:rPr>
            </w:pPr>
            <w:r>
              <w:rPr>
                <w:rFonts w:ascii="Arial" w:cs="Arial" w:eastAsia="Arial" w:hAnsi="Arial"/>
                <w:sz w:val="18"/>
                <w:szCs w:val="18"/>
                <w:color w:val="231F20"/>
                <w:w w:val="99"/>
              </w:rPr>
              <w:t>revenue recognized</w:t>
            </w:r>
          </w:p>
        </w:tc>
        <w:tc>
          <w:tcPr>
            <w:tcW w:w="120" w:type="dxa"/>
            <w:vAlign w:val="bottom"/>
          </w:tcPr>
          <w:p>
            <w:pPr>
              <w:spacing w:after="0"/>
              <w:rPr>
                <w:sz w:val="19"/>
                <w:szCs w:val="19"/>
                <w:color w:val="auto"/>
              </w:rPr>
            </w:pPr>
          </w:p>
        </w:tc>
        <w:tc>
          <w:tcPr>
            <w:tcW w:w="1800" w:type="dxa"/>
            <w:vAlign w:val="bottom"/>
          </w:tcPr>
          <w:p>
            <w:pPr>
              <w:jc w:val="right"/>
              <w:ind w:right="550"/>
              <w:spacing w:after="0"/>
              <w:rPr>
                <w:sz w:val="20"/>
                <w:szCs w:val="20"/>
                <w:color w:val="auto"/>
              </w:rPr>
            </w:pPr>
            <w:r>
              <w:rPr>
                <w:rFonts w:ascii="Arial" w:cs="Arial" w:eastAsia="Arial" w:hAnsi="Arial"/>
                <w:sz w:val="18"/>
                <w:szCs w:val="18"/>
                <w:color w:val="231F20"/>
              </w:rPr>
              <w:t>revenue</w:t>
            </w:r>
          </w:p>
        </w:tc>
      </w:tr>
      <w:tr>
        <w:trPr>
          <w:trHeight w:val="209"/>
        </w:trPr>
        <w:tc>
          <w:tcPr>
            <w:tcW w:w="35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231F20"/>
              </w:rPr>
              <w:t>Option rights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109,045</w:t>
            </w:r>
          </w:p>
        </w:tc>
      </w:tr>
      <w:tr>
        <w:trPr>
          <w:trHeight w:val="216"/>
        </w:trPr>
        <w:tc>
          <w:tcPr>
            <w:tcW w:w="3560" w:type="dxa"/>
            <w:vAlign w:val="bottom"/>
          </w:tcPr>
          <w:p>
            <w:pPr>
              <w:ind w:left="120"/>
              <w:spacing w:after="0"/>
              <w:rPr>
                <w:sz w:val="20"/>
                <w:szCs w:val="20"/>
                <w:color w:val="auto"/>
              </w:rPr>
            </w:pPr>
            <w:r>
              <w:rPr>
                <w:rFonts w:ascii="Arial" w:cs="Arial" w:eastAsia="Arial" w:hAnsi="Arial"/>
                <w:sz w:val="18"/>
                <w:szCs w:val="18"/>
                <w:color w:val="231F20"/>
              </w:rPr>
              <w:t>Research and development services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13,084</w:t>
            </w:r>
          </w:p>
        </w:tc>
      </w:tr>
      <w:tr>
        <w:trPr>
          <w:trHeight w:val="210"/>
        </w:trPr>
        <w:tc>
          <w:tcPr>
            <w:tcW w:w="35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231F20"/>
              </w:rPr>
              <w:t>Total</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122,129</w:t>
            </w:r>
          </w:p>
        </w:tc>
      </w:tr>
      <w:tr>
        <w:trPr>
          <w:trHeight w:val="216"/>
        </w:trPr>
        <w:tc>
          <w:tcPr>
            <w:tcW w:w="3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231F20"/>
              </w:rPr>
              <w:t>Less current portion of deferred revenue</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w:t>
            </w:r>
          </w:p>
        </w:tc>
      </w:tr>
      <w:tr>
        <w:trPr>
          <w:trHeight w:val="209"/>
        </w:trPr>
        <w:tc>
          <w:tcPr>
            <w:tcW w:w="3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231F20"/>
              </w:rPr>
              <w:t>Total long-term deferred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115,750</w:t>
            </w: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As a direct result of the execution of the Collaboration Agreement, the Company incurred $ 10,000 in fees to amend the FCDI agreement to gain access to the territory rights of Japan. This is recorded as in-process research and development expenses in the consolidated statement of operations and comprehensive loss for the three months ended March 31, 2022.</w:t>
      </w:r>
    </w:p>
    <w:p>
      <w:pPr>
        <w:spacing w:after="0" w:line="3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w:t>
      </w:r>
      <w:r>
        <w:rPr>
          <w:rFonts w:ascii="Arial" w:cs="Arial" w:eastAsia="Arial" w:hAnsi="Arial"/>
          <w:sz w:val="21"/>
          <w:szCs w:val="21"/>
          <w:color w:val="auto"/>
        </w:rPr>
        <w:t>ote 12—Commitments and contingencies</w:t>
      </w:r>
    </w:p>
    <w:p>
      <w:pPr>
        <w:spacing w:after="0" w:line="185"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Distributed Bio Master Service Agreement</w:t>
      </w:r>
    </w:p>
    <w:p>
      <w:pPr>
        <w:spacing w:after="0" w:line="185"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 No milestone payments were due in 2021 or 2020.</w:t>
      </w:r>
    </w:p>
    <w:p>
      <w:pPr>
        <w:spacing w:after="0" w:line="179"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The Company had $264 within accounts payable as of March 31, 2022 and $36 within accrued expenses and other liabilities as of December 31, 2021, in its consolidated balance sheets related to the Master Service Agreement.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iCELL Inc. Sublicense Agreement</w:t>
      </w:r>
    </w:p>
    <w:p>
      <w:pPr>
        <w:spacing w:after="0" w:line="212"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sales milestones, not to exceed $70,000, for the sales of the licensed product. iCELL is also eligible to receive payments of up to $4,250 in development and regulatory approval milestone payments. No milestones or royalties were due in 2022 or 2021.</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University of Toronto and McMaster University</w:t>
      </w:r>
    </w:p>
    <w:p>
      <w:pPr>
        <w:spacing w:after="0" w:line="212"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In connection with the Empirica asset acquisition in June 2020 (Note 4), the Company acquired a license agreement by and among the Governing Council of the University of Toronto, or the Council, the McMaster University, or, together with the Council, the Toronto Universities, and Empirica (the Empirica License). Under the Empirica License, the Company received an exclusive, non- transferable, sublicensable, worldwide license to certain patents and antibody sequences and related intellectual property rights and know-how.</w:t>
      </w:r>
    </w:p>
    <w:p>
      <w:pPr>
        <w:spacing w:after="0" w:line="17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Pursuant to the Empirica License, the Company is required to make aggregate milestone payments of $18,000 to the Toronto Universities upon the achievement of regulatory approval for certain products developed pursuant to the Empirica License. The Company is also required to make royalty payments to the Toronto Universities in an amount equal to a low single-digit percentage of annual net sales of any product commercialized utilizing technology licensed. The Company is also required to pay the Toronto Institutions 50% of all non-royalty payments from sublicenses up to certain maximum amounts and 50% of royalty payments from sublicenses up to a maximum low single-digit percentage.</w:t>
      </w:r>
    </w:p>
    <w:p>
      <w:pPr>
        <w:spacing w:after="0" w:line="18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The Empirica License expires upon the expiration of the last-to-expire valid claim covering the antibody and antibody-derived technology licensed under the agreement, which, if issued, is expected to expire in 2037. The Toronto Universities may immediately terminate the agreement upon certain insolvency events and the Company may terminate the agreement for convenience upon 30 days’ written notice.</w:t>
      </w:r>
    </w:p>
    <w:p>
      <w:pPr>
        <w:spacing w:after="0" w:line="369"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13—Leases</w:t>
      </w:r>
    </w:p>
    <w:p>
      <w:pPr>
        <w:spacing w:after="0" w:line="187" w:lineRule="exact"/>
        <w:rPr>
          <w:sz w:val="20"/>
          <w:szCs w:val="20"/>
          <w:color w:val="auto"/>
        </w:rPr>
      </w:pPr>
    </w:p>
    <w:p>
      <w:pPr>
        <w:ind w:left="60" w:right="419"/>
        <w:spacing w:after="0" w:line="244" w:lineRule="auto"/>
        <w:rPr>
          <w:sz w:val="20"/>
          <w:szCs w:val="20"/>
          <w:color w:val="auto"/>
        </w:rPr>
      </w:pPr>
      <w:r>
        <w:rPr>
          <w:rFonts w:ascii="Arial" w:cs="Arial" w:eastAsia="Arial" w:hAnsi="Arial"/>
          <w:sz w:val="18"/>
          <w:szCs w:val="18"/>
          <w:color w:val="auto"/>
        </w:rPr>
        <w:t>The Company has commitments under operating leases for certain facilities used in its operations. The Company maintains security deposits on certain leases in the amounts of $1,523 and $1,549 within security deposits in its consolidated balance sheets at March 31, 2022 and December 31, 2021, respectively. The Company’s leases have initial lease terms ranging from 5 to 16 years. Certain lease agreements contain provisions for future rent increases.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components of lease expense:</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402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For the</w:t>
            </w:r>
          </w:p>
        </w:tc>
      </w:tr>
      <w:tr>
        <w:trPr>
          <w:trHeight w:val="162"/>
        </w:trPr>
        <w:tc>
          <w:tcPr>
            <w:tcW w:w="4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Three Months Ended</w:t>
            </w:r>
          </w:p>
        </w:tc>
      </w:tr>
      <w:tr>
        <w:trPr>
          <w:trHeight w:val="171"/>
        </w:trPr>
        <w:tc>
          <w:tcPr>
            <w:tcW w:w="4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March 31, 2022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March 31, 2021</w:t>
            </w:r>
          </w:p>
        </w:tc>
      </w:tr>
      <w:tr>
        <w:trPr>
          <w:trHeight w:val="196"/>
        </w:trPr>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expense:</w:t>
            </w:r>
          </w:p>
        </w:tc>
        <w:tc>
          <w:tcPr>
            <w:tcW w:w="16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03"/>
        </w:trPr>
        <w:tc>
          <w:tcPr>
            <w:tcW w:w="4020" w:type="dxa"/>
            <w:vAlign w:val="bottom"/>
          </w:tcPr>
          <w:p>
            <w:pPr>
              <w:ind w:left="100"/>
              <w:spacing w:after="0" w:line="202" w:lineRule="exact"/>
              <w:rPr>
                <w:sz w:val="20"/>
                <w:szCs w:val="20"/>
                <w:color w:val="auto"/>
              </w:rPr>
            </w:pPr>
            <w:r>
              <w:rPr>
                <w:rFonts w:ascii="Arial" w:cs="Arial" w:eastAsia="Arial" w:hAnsi="Arial"/>
                <w:sz w:val="18"/>
                <w:szCs w:val="18"/>
                <w:color w:val="auto"/>
              </w:rPr>
              <w:t>Fixed lease cost</w:t>
            </w:r>
          </w:p>
        </w:tc>
        <w:tc>
          <w:tcPr>
            <w:tcW w:w="1880" w:type="dxa"/>
            <w:vAlign w:val="bottom"/>
            <w:gridSpan w:val="2"/>
          </w:tcPr>
          <w:p>
            <w:pPr>
              <w:jc w:val="right"/>
              <w:ind w:right="67"/>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597</w:t>
            </w:r>
          </w:p>
        </w:tc>
        <w:tc>
          <w:tcPr>
            <w:tcW w:w="42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548</w:t>
            </w:r>
          </w:p>
        </w:tc>
        <w:tc>
          <w:tcPr>
            <w:tcW w:w="200" w:type="dxa"/>
            <w:vAlign w:val="bottom"/>
          </w:tcPr>
          <w:p>
            <w:pPr>
              <w:spacing w:after="0"/>
              <w:rPr>
                <w:sz w:val="17"/>
                <w:szCs w:val="17"/>
                <w:color w:val="auto"/>
              </w:rPr>
            </w:pPr>
          </w:p>
        </w:tc>
      </w:tr>
      <w:tr>
        <w:trPr>
          <w:trHeight w:val="203"/>
        </w:trPr>
        <w:tc>
          <w:tcPr>
            <w:tcW w:w="40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Variable lease cost</w:t>
            </w: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7"/>
                <w:szCs w:val="17"/>
                <w:color w:val="auto"/>
              </w:rPr>
            </w:pPr>
          </w:p>
        </w:tc>
      </w:tr>
      <w:tr>
        <w:trPr>
          <w:trHeight w:val="203"/>
        </w:trPr>
        <w:tc>
          <w:tcPr>
            <w:tcW w:w="40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Short term lease expense</w:t>
            </w:r>
          </w:p>
        </w:tc>
        <w:tc>
          <w:tcPr>
            <w:tcW w:w="16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649</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668</w:t>
            </w:r>
          </w:p>
        </w:tc>
        <w:tc>
          <w:tcPr>
            <w:tcW w:w="200" w:type="dxa"/>
            <w:vAlign w:val="bottom"/>
            <w:tcBorders>
              <w:bottom w:val="single" w:sz="8" w:color="CCEEFF"/>
            </w:tcBorders>
          </w:tcPr>
          <w:p>
            <w:pPr>
              <w:spacing w:after="0"/>
              <w:rPr>
                <w:sz w:val="17"/>
                <w:szCs w:val="17"/>
                <w:color w:val="auto"/>
              </w:rPr>
            </w:pPr>
          </w:p>
        </w:tc>
      </w:tr>
      <w:tr>
        <w:trPr>
          <w:trHeight w:val="196"/>
        </w:trPr>
        <w:tc>
          <w:tcPr>
            <w:tcW w:w="40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lease expense</w:t>
            </w:r>
          </w:p>
        </w:tc>
        <w:tc>
          <w:tcPr>
            <w:tcW w:w="1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1,543</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1,488</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4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balance sheet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56661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269" w:lineRule="exact"/>
        <w:rPr>
          <w:sz w:val="20"/>
          <w:szCs w:val="20"/>
          <w:color w:val="auto"/>
        </w:rPr>
      </w:pPr>
    </w:p>
    <w:tbl>
      <w:tblPr>
        <w:tblLayout w:type="fixed"/>
        <w:tblInd w:w="470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As of</w:t>
            </w:r>
          </w:p>
        </w:tc>
        <w:tc>
          <w:tcPr>
            <w:tcW w:w="1160" w:type="dxa"/>
            <w:vAlign w:val="bottom"/>
          </w:tcPr>
          <w:p>
            <w:pPr>
              <w:jc w:val="right"/>
              <w:spacing w:after="0"/>
              <w:rPr>
                <w:sz w:val="20"/>
                <w:szCs w:val="20"/>
                <w:color w:val="auto"/>
              </w:rPr>
            </w:pPr>
            <w:r>
              <w:rPr>
                <w:rFonts w:ascii="Arial" w:cs="Arial" w:eastAsia="Arial" w:hAnsi="Arial"/>
                <w:sz w:val="14"/>
                <w:szCs w:val="14"/>
                <w:color w:val="auto"/>
              </w:rPr>
              <w:t>As of</w:t>
            </w:r>
          </w:p>
        </w:tc>
      </w:tr>
      <w:tr>
        <w:trPr>
          <w:trHeight w:val="162"/>
        </w:trPr>
        <w:tc>
          <w:tcPr>
            <w:tcW w:w="1860" w:type="dxa"/>
            <w:vAlign w:val="bottom"/>
          </w:tcPr>
          <w:p>
            <w:pPr>
              <w:spacing w:after="0"/>
              <w:rPr>
                <w:sz w:val="14"/>
                <w:szCs w:val="14"/>
                <w:color w:val="auto"/>
              </w:rPr>
            </w:pP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March 31,</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December 31,</w:t>
            </w:r>
          </w:p>
        </w:tc>
      </w:tr>
      <w:tr>
        <w:trPr>
          <w:trHeight w:val="171"/>
        </w:trPr>
        <w:tc>
          <w:tcPr>
            <w:tcW w:w="1860" w:type="dxa"/>
            <w:vAlign w:val="bottom"/>
          </w:tcPr>
          <w:p>
            <w:pPr>
              <w:spacing w:after="0"/>
              <w:rPr>
                <w:sz w:val="20"/>
                <w:szCs w:val="20"/>
                <w:color w:val="auto"/>
              </w:rPr>
            </w:pPr>
            <w:r>
              <w:rPr>
                <w:rFonts w:ascii="Arial" w:cs="Arial" w:eastAsia="Arial" w:hAnsi="Arial"/>
                <w:sz w:val="14"/>
                <w:szCs w:val="14"/>
                <w:color w:val="auto"/>
              </w:rPr>
              <w:t>Location in Balance Sheet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bl>
    <w:p>
      <w:pPr>
        <w:spacing w:after="0" w:line="139"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Operating lease right-of-use asset, net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lease liability, current</w:t>
      </w:r>
    </w:p>
    <w:p>
      <w:pPr>
        <w:ind w:left="60"/>
        <w:spacing w:after="0"/>
        <w:rPr>
          <w:sz w:val="20"/>
          <w:szCs w:val="20"/>
          <w:color w:val="auto"/>
        </w:rPr>
      </w:pPr>
      <w:r>
        <w:rPr>
          <w:rFonts w:ascii="Arial" w:cs="Arial" w:eastAsia="Arial" w:hAnsi="Arial"/>
          <w:sz w:val="18"/>
          <w:szCs w:val="18"/>
          <w:color w:val="auto"/>
        </w:rPr>
        <w:t>Operating lease liability, long-term</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lease liability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11,670</w:t>
            </w:r>
          </w:p>
        </w:tc>
        <w:tc>
          <w:tcPr>
            <w:tcW w:w="160" w:type="dxa"/>
            <w:vAlign w:val="bottom"/>
          </w:tcPr>
          <w:p>
            <w:pPr>
              <w:spacing w:after="0"/>
              <w:rPr>
                <w:sz w:val="17"/>
                <w:szCs w:val="17"/>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11,854</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592</w:t>
            </w:r>
          </w:p>
        </w:tc>
        <w:tc>
          <w:tcPr>
            <w:tcW w:w="16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r>
      <w:tr>
        <w:trPr>
          <w:trHeight w:val="221"/>
        </w:trPr>
        <w:tc>
          <w:tcPr>
            <w:tcW w:w="3220" w:type="dxa"/>
            <w:vAlign w:val="bottom"/>
          </w:tcPr>
          <w:p>
            <w:pPr>
              <w:spacing w:after="0"/>
              <w:rPr>
                <w:sz w:val="20"/>
                <w:szCs w:val="20"/>
                <w:color w:val="auto"/>
              </w:rPr>
            </w:pPr>
            <w:r>
              <w:rPr>
                <w:rFonts w:ascii="Arial" w:cs="Arial" w:eastAsia="Arial" w:hAnsi="Arial"/>
                <w:sz w:val="18"/>
                <w:szCs w:val="18"/>
                <w:color w:val="auto"/>
              </w:rPr>
              <w:t>Operating lease liability, long-term</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14,430</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14,559</w:t>
            </w:r>
          </w:p>
        </w:tc>
      </w:tr>
      <w:tr>
        <w:trPr>
          <w:trHeight w:val="196"/>
        </w:trPr>
        <w:tc>
          <w:tcPr>
            <w:tcW w:w="322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15,022</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15,174</w:t>
            </w:r>
          </w:p>
        </w:tc>
      </w:tr>
      <w:tr>
        <w:trPr>
          <w:trHeight w:val="20"/>
        </w:trPr>
        <w:tc>
          <w:tcPr>
            <w:tcW w:w="3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-548005</wp:posOffset>
            </wp:positionV>
            <wp:extent cx="567499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749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-290830</wp:posOffset>
            </wp:positionV>
            <wp:extent cx="567499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74995" cy="1289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120" w:space="220"/>
            <w:col w:w="5679"/>
          </w:cols>
          <w:pgMar w:left="1440" w:top="512" w:right="1440"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The following table reflects supplement lease term and discount rate information related to leases: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4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As of March 31, 2022</w:t>
            </w:r>
          </w:p>
        </w:tc>
        <w:tc>
          <w:tcPr>
            <w:tcW w:w="170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As of December 31, 2021</w:t>
            </w:r>
          </w:p>
        </w:tc>
        <w:tc>
          <w:tcPr>
            <w:tcW w:w="180" w:type="dxa"/>
            <w:vAlign w:val="bottom"/>
          </w:tcPr>
          <w:p>
            <w:pPr>
              <w:spacing w:after="0"/>
              <w:rPr>
                <w:sz w:val="15"/>
                <w:szCs w:val="15"/>
                <w:color w:val="auto"/>
              </w:rPr>
            </w:pPr>
          </w:p>
        </w:tc>
      </w:tr>
      <w:tr>
        <w:trPr>
          <w:trHeight w:val="196"/>
        </w:trPr>
        <w:tc>
          <w:tcPr>
            <w:tcW w:w="54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remaining lease terms - operating leases</w:t>
            </w: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7.74 years</w:t>
            </w:r>
          </w:p>
        </w:tc>
        <w:tc>
          <w:tcPr>
            <w:tcW w:w="2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ind w:left="800"/>
              <w:spacing w:after="0" w:line="196" w:lineRule="exact"/>
              <w:rPr>
                <w:sz w:val="20"/>
                <w:szCs w:val="20"/>
                <w:color w:val="auto"/>
              </w:rPr>
            </w:pPr>
            <w:r>
              <w:rPr>
                <w:rFonts w:ascii="Arial" w:cs="Arial" w:eastAsia="Arial" w:hAnsi="Arial"/>
                <w:sz w:val="18"/>
                <w:szCs w:val="18"/>
                <w:color w:val="auto"/>
              </w:rPr>
              <w:t>7.99 years</w:t>
            </w:r>
          </w:p>
        </w:tc>
        <w:tc>
          <w:tcPr>
            <w:tcW w:w="180" w:type="dxa"/>
            <w:vAlign w:val="bottom"/>
            <w:tcBorders>
              <w:top w:val="single" w:sz="8" w:color="CCEEFF"/>
            </w:tcBorders>
            <w:shd w:val="clear" w:color="auto" w:fill="CCEEFF"/>
          </w:tcPr>
          <w:p>
            <w:pPr>
              <w:spacing w:after="0"/>
              <w:rPr>
                <w:sz w:val="17"/>
                <w:szCs w:val="17"/>
                <w:color w:val="auto"/>
              </w:rPr>
            </w:pPr>
          </w:p>
        </w:tc>
      </w:tr>
      <w:tr>
        <w:trPr>
          <w:trHeight w:val="239"/>
        </w:trPr>
        <w:tc>
          <w:tcPr>
            <w:tcW w:w="540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9.0 %</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9.0 %</w:t>
            </w:r>
          </w:p>
        </w:tc>
      </w:tr>
    </w:tbl>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cash flow information related to leases as of the periods indicated: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5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For the Three</w:t>
            </w: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 Three</w:t>
            </w:r>
          </w:p>
        </w:tc>
        <w:tc>
          <w:tcPr>
            <w:tcW w:w="20" w:type="dxa"/>
            <w:vAlign w:val="bottom"/>
          </w:tcPr>
          <w:p>
            <w:pPr>
              <w:spacing w:after="0"/>
              <w:rPr>
                <w:sz w:val="14"/>
                <w:szCs w:val="14"/>
                <w:color w:val="auto"/>
              </w:rPr>
            </w:pPr>
          </w:p>
        </w:tc>
      </w:tr>
      <w:tr>
        <w:trPr>
          <w:trHeight w:val="162"/>
        </w:trPr>
        <w:tc>
          <w:tcPr>
            <w:tcW w:w="6540" w:type="dxa"/>
            <w:vAlign w:val="bottom"/>
          </w:tcPr>
          <w:p>
            <w:pPr>
              <w:spacing w:after="0"/>
              <w:rPr>
                <w:sz w:val="14"/>
                <w:szCs w:val="14"/>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Months Ended</w:t>
            </w:r>
          </w:p>
        </w:tc>
        <w:tc>
          <w:tcPr>
            <w:tcW w:w="1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Months Ended</w:t>
            </w:r>
          </w:p>
        </w:tc>
      </w:tr>
      <w:tr>
        <w:trPr>
          <w:trHeight w:val="171"/>
        </w:trPr>
        <w:tc>
          <w:tcPr>
            <w:tcW w:w="6540" w:type="dxa"/>
            <w:vAlign w:val="bottom"/>
          </w:tcPr>
          <w:p>
            <w:pPr>
              <w:spacing w:after="0"/>
              <w:rPr>
                <w:sz w:val="14"/>
                <w:szCs w:val="14"/>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March 31, 2022</w:t>
            </w: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March 31, 2021</w:t>
            </w:r>
          </w:p>
        </w:tc>
      </w:tr>
      <w:tr>
        <w:trPr>
          <w:trHeight w:val="196"/>
        </w:trPr>
        <w:tc>
          <w:tcPr>
            <w:tcW w:w="65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20" w:type="dxa"/>
            <w:vAlign w:val="bottom"/>
          </w:tcPr>
          <w:p>
            <w:pPr>
              <w:spacing w:after="0"/>
              <w:rPr>
                <w:sz w:val="17"/>
                <w:szCs w:val="17"/>
                <w:color w:val="auto"/>
              </w:rPr>
            </w:pPr>
          </w:p>
        </w:tc>
      </w:tr>
      <w:tr>
        <w:trPr>
          <w:trHeight w:val="202"/>
        </w:trPr>
        <w:tc>
          <w:tcPr>
            <w:tcW w:w="6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3,295</w:t>
            </w:r>
          </w:p>
        </w:tc>
        <w:tc>
          <w:tcPr>
            <w:tcW w:w="2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future minimum lease payments under noncancelable leases as of March 31, 2022:</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660" w:type="dxa"/>
            <w:vAlign w:val="bottom"/>
            <w:tcBorders>
              <w:top w:val="single" w:sz="8" w:color="auto"/>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Operating Leases</w:t>
            </w:r>
          </w:p>
        </w:tc>
      </w:tr>
      <w:tr>
        <w:trPr>
          <w:trHeight w:val="196"/>
        </w:trPr>
        <w:tc>
          <w:tcPr>
            <w:tcW w:w="7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2022</w:t>
            </w:r>
          </w:p>
        </w:tc>
        <w:tc>
          <w:tcPr>
            <w:tcW w:w="340" w:type="dxa"/>
            <w:vAlign w:val="bottom"/>
            <w:shd w:val="clear" w:color="auto" w:fill="CCEEFF"/>
          </w:tcPr>
          <w:p>
            <w:pPr>
              <w:jc w:val="right"/>
              <w:ind w:right="15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2,762</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2,679</w:t>
            </w:r>
          </w:p>
        </w:tc>
      </w:tr>
      <w:tr>
        <w:trPr>
          <w:trHeight w:val="203"/>
        </w:trPr>
        <w:tc>
          <w:tcPr>
            <w:tcW w:w="7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2,708</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2,747</w:t>
            </w:r>
          </w:p>
        </w:tc>
      </w:tr>
      <w:tr>
        <w:trPr>
          <w:trHeight w:val="203"/>
        </w:trPr>
        <w:tc>
          <w:tcPr>
            <w:tcW w:w="7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2026</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2,776</w:t>
            </w:r>
          </w:p>
        </w:tc>
      </w:tr>
      <w:tr>
        <w:trPr>
          <w:trHeight w:val="203"/>
        </w:trPr>
        <w:tc>
          <w:tcPr>
            <w:tcW w:w="76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15,524</w:t>
            </w:r>
          </w:p>
        </w:tc>
      </w:tr>
      <w:tr>
        <w:trPr>
          <w:trHeight w:val="196"/>
        </w:trPr>
        <w:tc>
          <w:tcPr>
            <w:tcW w:w="7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29,196</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(10,468)</w:t>
            </w:r>
          </w:p>
        </w:tc>
      </w:tr>
      <w:tr>
        <w:trPr>
          <w:trHeight w:val="203"/>
        </w:trPr>
        <w:tc>
          <w:tcPr>
            <w:tcW w:w="7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Tenant incentive receivable</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(3,706)</w:t>
            </w: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15,022</w:t>
            </w:r>
          </w:p>
        </w:tc>
      </w:tr>
      <w:tr>
        <w:trPr>
          <w:trHeight w:val="20"/>
        </w:trPr>
        <w:tc>
          <w:tcPr>
            <w:tcW w:w="7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479"/>
        <w:spacing w:after="0" w:line="253" w:lineRule="auto"/>
        <w:rPr>
          <w:sz w:val="20"/>
          <w:szCs w:val="20"/>
          <w:color w:val="auto"/>
        </w:rPr>
      </w:pPr>
      <w:r>
        <w:rPr>
          <w:rFonts w:ascii="Arial" w:cs="Arial" w:eastAsia="Arial" w:hAnsi="Arial"/>
          <w:sz w:val="18"/>
          <w:szCs w:val="18"/>
          <w:color w:val="auto"/>
        </w:rPr>
        <w:t>The Company entered into one lease that had not commenced at March 31, 2022. As a result, future lease payments of approximately $17,300 are not recorded on the Company’s consolidated balance sheets. The lease is expected to commence in June 2022 with a non-cancelable term of 10 years.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14—Income taxes</w:t>
      </w:r>
    </w:p>
    <w:p>
      <w:pPr>
        <w:spacing w:after="0" w:line="214" w:lineRule="exact"/>
        <w:rPr>
          <w:sz w:val="20"/>
          <w:szCs w:val="20"/>
          <w:color w:val="auto"/>
        </w:rPr>
      </w:pPr>
    </w:p>
    <w:p>
      <w:pPr>
        <w:jc w:val="both"/>
        <w:ind w:left="60" w:right="539"/>
        <w:spacing w:after="0" w:line="275" w:lineRule="auto"/>
        <w:rPr>
          <w:sz w:val="20"/>
          <w:szCs w:val="20"/>
          <w:color w:val="auto"/>
        </w:rPr>
      </w:pPr>
      <w:r>
        <w:rPr>
          <w:rFonts w:ascii="Arial" w:cs="Arial" w:eastAsia="Arial" w:hAnsi="Arial"/>
          <w:sz w:val="17"/>
          <w:szCs w:val="17"/>
          <w:color w:val="auto"/>
        </w:rPr>
        <w:t>During the three months ended March 31, 2022, the Company recorded no income tax benefits for the net operating losses incurred or for the research and development tax credits generated in the U.S. due to its uncertainty of realizing a benefit from those items. During the three months ended March 31, 2022, the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1" w:lineRule="auto"/>
        <w:rPr>
          <w:sz w:val="20"/>
          <w:szCs w:val="20"/>
          <w:color w:val="auto"/>
        </w:rPr>
      </w:pPr>
      <w:r>
        <w:rPr>
          <w:rFonts w:ascii="Arial" w:cs="Arial" w:eastAsia="Arial" w:hAnsi="Arial"/>
          <w:sz w:val="18"/>
          <w:szCs w:val="18"/>
          <w:color w:val="auto"/>
        </w:rPr>
        <w:t>Company recorded a tax provision of $16 related to its income tax obligations of its operating company in Canada.</w:t>
      </w:r>
    </w:p>
    <w:p>
      <w:pPr>
        <w:spacing w:after="0" w:line="15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Company’s tax provision and the resulting effective tax rate for interim periods is determined based upon its estimated annual effective tax rate (“AETR”), adjusted for the effect of discrete items arising in that quarter. The impact of such inclusions could result in a higher or lower effective tax rate during a particular quarter, based upon the mix and timing of actual earnings or losses versus annual projections. In each quarter, the Company updates its estimate of the annual effective tax rate, and if the estimated annual tax rate changes, a cumulative adjustment is made in that quarter. For the three months ended March 31, 2022, the Company excluded the U.S. from the calculation of the AETR as the Company anticipates an ordinary loss in these jurisdictions for which no tax benefit can be recognized.</w:t>
      </w:r>
    </w:p>
    <w:p>
      <w:pPr>
        <w:spacing w:after="0" w:line="180"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The Company has evaluated the positive and negative evidence bearing upon its ability to realize its deferred tax assets, which primarily consist of net operating loss carryforwards. The Company has considered its history of cumulative net losses in the U.S., estimated future taxable income and prudent and feasible tax planning strategies and has concluded that it is more likely than not that the Company will not realize the benefits of its U.S. deferred tax assets. As a result, as of March 31, 2022, the Company has recorded a full valuation allowance against its net deferred tax assets in the U.S.</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15—Basic and diluted net loss per common share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Basic and diluted net loss per common share is calculated as follows:</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5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4"/>
                <w:szCs w:val="14"/>
                <w:color w:val="auto"/>
              </w:rPr>
              <w:t>Three Months Ended</w:t>
            </w:r>
          </w:p>
        </w:tc>
        <w:tc>
          <w:tcPr>
            <w:tcW w:w="3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right"/>
              <w:ind w:right="220"/>
              <w:spacing w:after="0" w:line="147" w:lineRule="exact"/>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Arial" w:cs="Arial" w:eastAsia="Arial" w:hAnsi="Arial"/>
                <w:sz w:val="14"/>
                <w:szCs w:val="14"/>
                <w:color w:val="auto"/>
              </w:rPr>
              <w:t>March 31,</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ind w:left="360"/>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80"/>
              <w:spacing w:after="0" w:line="202" w:lineRule="exact"/>
              <w:rPr>
                <w:sz w:val="20"/>
                <w:szCs w:val="20"/>
                <w:color w:val="auto"/>
              </w:rPr>
            </w:pPr>
            <w:r>
              <w:rPr>
                <w:rFonts w:ascii="Arial" w:cs="Arial" w:eastAsia="Arial" w:hAnsi="Arial"/>
                <w:sz w:val="18"/>
                <w:szCs w:val="18"/>
                <w:color w:val="auto"/>
              </w:rPr>
              <w:t>Net loss</w:t>
            </w:r>
          </w:p>
        </w:tc>
        <w:tc>
          <w:tcPr>
            <w:tcW w:w="460" w:type="dxa"/>
            <w:vAlign w:val="bottom"/>
            <w:gridSpan w:val="2"/>
          </w:tcPr>
          <w:p>
            <w:pPr>
              <w:jc w:val="right"/>
              <w:ind w:right="107"/>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(37,513)</w:t>
            </w:r>
          </w:p>
        </w:tc>
        <w:tc>
          <w:tcPr>
            <w:tcW w:w="640" w:type="dxa"/>
            <w:vAlign w:val="bottom"/>
            <w:gridSpan w:val="2"/>
          </w:tcPr>
          <w:p>
            <w:pPr>
              <w:jc w:val="right"/>
              <w:ind w:right="139"/>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(18,348)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380" w:type="dxa"/>
            <w:vAlign w:val="bottom"/>
            <w:shd w:val="clear" w:color="auto" w:fill="CCEEFF"/>
          </w:tcPr>
          <w:p>
            <w:pPr>
              <w:ind w:left="80"/>
              <w:spacing w:after="0" w:line="183" w:lineRule="exact"/>
              <w:rPr>
                <w:sz w:val="20"/>
                <w:szCs w:val="20"/>
                <w:color w:val="auto"/>
              </w:rPr>
            </w:pPr>
            <w:r>
              <w:rPr>
                <w:rFonts w:ascii="Arial" w:cs="Arial" w:eastAsia="Arial" w:hAnsi="Arial"/>
                <w:sz w:val="18"/>
                <w:szCs w:val="18"/>
                <w:color w:val="auto"/>
              </w:rPr>
              <w:t>Weighted-average common shares for basic and diluted net loss</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per share</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57,051,539</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7,677,196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common share</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(0.66)</w:t>
            </w:r>
          </w:p>
        </w:tc>
        <w:tc>
          <w:tcPr>
            <w:tcW w:w="3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9"/>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Company’s potentially dilutive securities, which include the convertible preferred stock in 2021, restricted stock, warrants, early exercised stock options and stock options to purchase shares of the Company’s common stock, have been excluded from the computation of dilutive net loss per share as the effect would be antidilutive. Therefore, the weighted- average number of shares of common stock outstanding used to calculate both basic and diluted net loss per share is the same. The Company excluded the following potential shares of common stock presented based on amounts outstanding at each stated period end, from the computation of diluted net loss per share for the three months ended March 31, 2022 and 2021 because including them would have had an anti-dilutive effect.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32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Three Months Ended</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Three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60" w:type="dxa"/>
            <w:vAlign w:val="bottom"/>
            <w:gridSpan w:val="2"/>
          </w:tcPr>
          <w:p>
            <w:pPr>
              <w:ind w:left="680"/>
              <w:spacing w:after="0"/>
              <w:rPr>
                <w:sz w:val="20"/>
                <w:szCs w:val="20"/>
                <w:color w:val="auto"/>
              </w:rPr>
            </w:pPr>
            <w:r>
              <w:rPr>
                <w:rFonts w:ascii="Arial" w:cs="Arial" w:eastAsia="Arial" w:hAnsi="Arial"/>
                <w:sz w:val="14"/>
                <w:szCs w:val="14"/>
                <w:color w:val="auto"/>
              </w:rPr>
              <w:t>March 31,</w:t>
            </w:r>
          </w:p>
        </w:tc>
        <w:tc>
          <w:tcPr>
            <w:tcW w:w="1440" w:type="dxa"/>
            <w:vAlign w:val="bottom"/>
            <w:gridSpan w:val="2"/>
          </w:tcPr>
          <w:p>
            <w:pPr>
              <w:ind w:left="700"/>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3000" w:type="dxa"/>
            <w:vAlign w:val="bottom"/>
            <w:gridSpan w:val="2"/>
          </w:tcPr>
          <w:p>
            <w:pPr>
              <w:jc w:val="right"/>
              <w:spacing w:after="0"/>
              <w:rPr>
                <w:sz w:val="20"/>
                <w:szCs w:val="20"/>
                <w:color w:val="auto"/>
              </w:rPr>
            </w:pPr>
            <w:r>
              <w:rPr>
                <w:rFonts w:ascii="Arial" w:cs="Arial" w:eastAsia="Arial" w:hAnsi="Arial"/>
                <w:sz w:val="14"/>
                <w:szCs w:val="14"/>
                <w:color w:val="auto"/>
              </w:rPr>
              <w:t>2022</w:t>
            </w: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6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7,424,538</w:t>
            </w:r>
          </w:p>
        </w:tc>
        <w:tc>
          <w:tcPr>
            <w:tcW w:w="1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3,419,208</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Early exercised stock options subject to future vesting</w:t>
            </w:r>
          </w:p>
        </w:tc>
        <w:tc>
          <w:tcPr>
            <w:tcW w:w="3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773,394</w:t>
            </w: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952,518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award subject to future vesting</w:t>
            </w:r>
          </w:p>
        </w:tc>
        <w:tc>
          <w:tcPr>
            <w:tcW w:w="3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520,630</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902,703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Warrants on long term debt</w:t>
            </w:r>
          </w:p>
        </w:tc>
        <w:tc>
          <w:tcPr>
            <w:tcW w:w="3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32,009</w:t>
            </w: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16,112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6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85,865,789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60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8,750,571</w:t>
            </w:r>
          </w:p>
        </w:tc>
        <w:tc>
          <w:tcPr>
            <w:tcW w:w="160" w:type="dxa"/>
            <w:vAlign w:val="bottom"/>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91,156,330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0" w:type="dxa"/>
            <w:vAlign w:val="bottom"/>
            <w:vMerge w:val="restart"/>
          </w:tcPr>
          <w:p>
            <w:pPr>
              <w:jc w:val="right"/>
              <w:ind w:right="1274"/>
              <w:spacing w:after="0"/>
              <w:rPr>
                <w:sz w:val="20"/>
                <w:szCs w:val="20"/>
                <w:color w:val="auto"/>
              </w:rPr>
            </w:pPr>
            <w:r>
              <w:rPr>
                <w:rFonts w:ascii="Arial" w:cs="Arial" w:eastAsia="Arial" w:hAnsi="Arial"/>
                <w:sz w:val="18"/>
                <w:szCs w:val="18"/>
                <w:color w:val="auto"/>
              </w:rPr>
              <w:t>29</w:t>
            </w: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43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4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16—Defined contribution plan</w:t>
      </w:r>
    </w:p>
    <w:p>
      <w:pPr>
        <w:spacing w:after="0" w:line="187"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Company has a 401(k) Employee Savings Plan (“401(k) Plan”) that is available to all employees of the Company. The Company has elected a Safe-Harbor provision for the 401(k) Plan in which participants are always fully vested in their employer contributions. The Company matches 100% of the first 3% of participating employee contributions and 50% of the next 2% of participating employee contributions. Contributions are made in cash. Contributions were approximately $158 and $212 for the three months ended March 31, 2022 and 2021, respectively. Such contribution expense has been recognized in the consolidated statement of operations for each period.</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17—Stock-based compensation</w:t>
      </w:r>
    </w:p>
    <w:p>
      <w:pPr>
        <w:spacing w:after="0" w:line="173"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As part of the merger discussed in Note 2 above, the Company adopted from Prior Century, the 2018 Stock Option and Grant Plan (the “Plan”). The Plan provides for the Company to sell or issue common stock or restricted common stock, or to grant incentive stock options or nonqualified stock options for the purchase of common stock, to employees, members of the Board of Directors, and consultants of the Company under terms and provisions established by the Board of Directors. Under the terms of the Plan, options may be granted at an exercise price not less than fair market value.</w:t>
      </w:r>
    </w:p>
    <w:p>
      <w:pPr>
        <w:spacing w:after="0" w:line="138"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Stock awards granted typically vest over a four-year period but may be granted with different vesting terms. For performance-based awards, the Company reassesses at each reporting date whether achievement of the performance condition is probable and accrues compensation expense if and when achievement of the performance condition is probable. On June 17, 2021, this plan was replaced by the Century Therapeutics, Inc. 2021 Equity Incentive Plan (the “2021 Incentive Plan”) and future issuances of incentive awards will be governed by that plan.</w:t>
      </w:r>
    </w:p>
    <w:p>
      <w:pPr>
        <w:spacing w:after="0" w:line="156"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Upon adoption of the 2021 Incentive Plan, the Company was authorized to issue 5,481,735 shares of Common Stock under the 2021 Incentive Plan (which represents 5,640,711 shares of Common Stock initially available for grant under the 2021 Incentive Plan less 158,976 shares of Common Stock reserved for issuance upon the exercise of previously granted stock options that remain outstanding under the 2018 Incentive Plan).</w:t>
      </w:r>
    </w:p>
    <w:p>
      <w:pPr>
        <w:spacing w:after="0" w:line="133"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The 2021 Employee Stock Purchase Plan (the “2021 ESPP”) was approved by the board of directors on May 27, 2021. A total of 564,071 shares of common stock were initially reserved for issuance under this plan. No shares are issued or outstanding under the 2021 ESPP.</w:t>
      </w:r>
    </w:p>
    <w:p>
      <w:pPr>
        <w:spacing w:after="0" w:line="128"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On January 1, 2022, the Company was authorized to issue an additional 2,750,276 shares of Common Stock under the 2021 Incentive Plan and an additional 550,055 shares of Common Stock under the 2021 ESPP pursuant to “evergreen” provisions contained in each of the 2021 Incentive Plan and 2021 ESPP.</w:t>
      </w:r>
    </w:p>
    <w:p>
      <w:pPr>
        <w:spacing w:after="0" w:line="142"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The Company recognizes the costs of the stock-based payments as the employees vest in the awards. For the three months ended March 31, 2022, the Company recognized $2,380 of stock-based compensation expense of which $1,071 was general and administrative expense and $1,309 was research and development expenses recorded within the consolidated statement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stock option activity for the period ended March 31, 2022:</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8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gridSpan w:val="3"/>
          </w:tcPr>
          <w:p>
            <w:pPr>
              <w:jc w:val="right"/>
              <w:ind w:right="317"/>
              <w:spacing w:after="0"/>
              <w:rPr>
                <w:sz w:val="20"/>
                <w:szCs w:val="20"/>
                <w:color w:val="auto"/>
              </w:rPr>
            </w:pPr>
            <w:r>
              <w:rPr>
                <w:rFonts w:ascii="Arial" w:cs="Arial" w:eastAsia="Arial" w:hAnsi="Arial"/>
                <w:sz w:val="14"/>
                <w:szCs w:val="14"/>
                <w:color w:val="auto"/>
              </w:rPr>
              <w:t>Weighted Average</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Remaining</w:t>
            </w: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Contractual</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Term</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Shares</w:t>
            </w:r>
          </w:p>
        </w:tc>
        <w:tc>
          <w:tcPr>
            <w:tcW w:w="1120" w:type="dxa"/>
            <w:vAlign w:val="bottom"/>
            <w:gridSpan w:val="3"/>
          </w:tcPr>
          <w:p>
            <w:pPr>
              <w:spacing w:after="0"/>
              <w:rPr>
                <w:sz w:val="20"/>
                <w:szCs w:val="20"/>
                <w:color w:val="auto"/>
              </w:rPr>
            </w:pPr>
            <w:r>
              <w:rPr>
                <w:rFonts w:ascii="Arial" w:cs="Arial" w:eastAsia="Arial" w:hAnsi="Arial"/>
                <w:sz w:val="14"/>
                <w:szCs w:val="14"/>
                <w:color w:val="auto"/>
              </w:rPr>
              <w:t>Exercise Price</w:t>
            </w:r>
          </w:p>
        </w:tc>
        <w:tc>
          <w:tcPr>
            <w:tcW w:w="800" w:type="dxa"/>
            <w:vAlign w:val="bottom"/>
          </w:tcPr>
          <w:p>
            <w:pPr>
              <w:jc w:val="right"/>
              <w:spacing w:after="0"/>
              <w:rPr>
                <w:sz w:val="20"/>
                <w:szCs w:val="20"/>
                <w:color w:val="auto"/>
              </w:rPr>
            </w:pPr>
            <w:r>
              <w:rPr>
                <w:rFonts w:ascii="Arial" w:cs="Arial" w:eastAsia="Arial" w:hAnsi="Arial"/>
                <w:sz w:val="14"/>
                <w:szCs w:val="14"/>
                <w:color w:val="auto"/>
              </w:rPr>
              <w:t>(years)</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January 1, 2022</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5,678,604</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5.36</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8.35</w:t>
            </w:r>
          </w:p>
        </w:tc>
        <w:tc>
          <w:tcPr>
            <w:tcW w:w="1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11,595</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1,871,450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13.21</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Exercised - vested</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(85,396)</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0.77</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(40,120)</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4.03</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Outstanding, March 31, 2022</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7,424,538</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7.34</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8.52</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43,259</w:t>
            </w:r>
          </w:p>
        </w:tc>
        <w:tc>
          <w:tcPr>
            <w:tcW w:w="0" w:type="dxa"/>
            <w:vAlign w:val="bottom"/>
          </w:tcPr>
          <w:p>
            <w:pPr>
              <w:spacing w:after="0"/>
              <w:rPr>
                <w:sz w:val="1"/>
                <w:szCs w:val="1"/>
                <w:color w:val="auto"/>
              </w:rPr>
            </w:pPr>
          </w:p>
        </w:tc>
      </w:tr>
      <w:tr>
        <w:trPr>
          <w:trHeight w:val="196"/>
        </w:trPr>
        <w:tc>
          <w:tcPr>
            <w:tcW w:w="48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Exercisable at March 31, 2022</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3,470,378</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4.07</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8.29</w:t>
            </w: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28,266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The weighted average grant date fair value of awards for options granted during the period ended March 31, 2022 was $8.63. As of March 31, 2022, there was $30,778 of total unrecognized compensation expense related to unvested stock options with time-based vesting terms, which is expected to be recognized over a weighted average period of 2.89 years.</w:t>
      </w:r>
    </w:p>
    <w:p>
      <w:pPr>
        <w:spacing w:after="0" w:line="133"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color w:val="auto"/>
        </w:rPr>
        <w:t>During 2020, the Company issued 213,624 performance-based awards, respectively, that vest upon contingent events. The performance condition for these awards were achieved as of June 30, 2021. As a result, the Company recorded compensation expense related to the performance-based awards of $227 in 2021.</w:t>
      </w:r>
    </w:p>
    <w:p>
      <w:pPr>
        <w:spacing w:after="0" w:line="111" w:lineRule="exact"/>
        <w:rPr>
          <w:sz w:val="20"/>
          <w:szCs w:val="20"/>
          <w:color w:val="auto"/>
        </w:rPr>
      </w:pPr>
    </w:p>
    <w:p>
      <w:pPr>
        <w:ind w:left="60" w:right="139"/>
        <w:spacing w:after="0" w:line="256" w:lineRule="auto"/>
        <w:rPr>
          <w:sz w:val="20"/>
          <w:szCs w:val="20"/>
          <w:color w:val="auto"/>
        </w:rPr>
      </w:pPr>
      <w:r>
        <w:rPr>
          <w:rFonts w:ascii="Arial" w:cs="Arial" w:eastAsia="Arial" w:hAnsi="Arial"/>
          <w:sz w:val="17"/>
          <w:szCs w:val="17"/>
          <w:color w:val="auto"/>
        </w:rPr>
        <w:t>The Company estimates the fair value of its option awards to employees and directors using Black-Scholes. Due to the lack of substantial company-specific historical and implied volatility data of its common stock, the Company has based its estimate of expected volatility on the historical volatility of a group of similar public companies. 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the expected term of the option are based on the U.S. Treasury securities with a maturity date commensurate with the expected term of the associated award. The Company will account for actual forfeitures as they occur.</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assumptions used to calculate the fair value of stock options granted are as follows: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360" w:type="dxa"/>
            <w:vAlign w:val="bottom"/>
            <w:tcBorders>
              <w:top w:val="single" w:sz="8" w:color="auto"/>
              <w:bottom w:val="single" w:sz="8" w:color="CCEEFF"/>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March 31, 2022</w:t>
            </w:r>
          </w:p>
        </w:tc>
        <w:tc>
          <w:tcPr>
            <w:tcW w:w="300" w:type="dxa"/>
            <w:vAlign w:val="bottom"/>
            <w:tcBorders>
              <w:bottom w:val="single" w:sz="8" w:color="CCEEFF"/>
            </w:tcBorders>
          </w:tcPr>
          <w:p>
            <w:pPr>
              <w:spacing w:after="0"/>
              <w:rPr>
                <w:sz w:val="15"/>
                <w:szCs w:val="15"/>
                <w:color w:val="auto"/>
              </w:rPr>
            </w:pPr>
          </w:p>
        </w:tc>
      </w:tr>
      <w:tr>
        <w:trPr>
          <w:trHeight w:val="196"/>
        </w:trPr>
        <w:tc>
          <w:tcPr>
            <w:tcW w:w="7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Expected dividend rate</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Expected option term (years)</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6.10</w:t>
            </w:r>
          </w:p>
        </w:tc>
        <w:tc>
          <w:tcPr>
            <w:tcW w:w="300" w:type="dxa"/>
            <w:vAlign w:val="bottom"/>
          </w:tcPr>
          <w:p>
            <w:pPr>
              <w:spacing w:after="0"/>
              <w:rPr>
                <w:sz w:val="17"/>
                <w:szCs w:val="17"/>
                <w:color w:val="auto"/>
              </w:rPr>
            </w:pPr>
          </w:p>
        </w:tc>
      </w:tr>
      <w:tr>
        <w:trPr>
          <w:trHeight w:val="203"/>
        </w:trPr>
        <w:tc>
          <w:tcPr>
            <w:tcW w:w="7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73.42</w:t>
            </w:r>
          </w:p>
        </w:tc>
        <w:tc>
          <w:tcPr>
            <w:tcW w:w="3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r>
      <w:tr>
        <w:trPr>
          <w:trHeight w:val="239"/>
        </w:trPr>
        <w:tc>
          <w:tcPr>
            <w:tcW w:w="73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280" w:type="dxa"/>
            <w:vAlign w:val="bottom"/>
          </w:tcPr>
          <w:p>
            <w:pPr>
              <w:jc w:val="right"/>
              <w:spacing w:after="0"/>
              <w:rPr>
                <w:sz w:val="20"/>
                <w:szCs w:val="20"/>
                <w:color w:val="auto"/>
              </w:rPr>
            </w:pPr>
            <w:r>
              <w:rPr>
                <w:rFonts w:ascii="Arial" w:cs="Arial" w:eastAsia="Arial" w:hAnsi="Arial"/>
                <w:sz w:val="18"/>
                <w:szCs w:val="18"/>
                <w:color w:val="auto"/>
              </w:rPr>
              <w:t>1.67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r>
    </w:tbl>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restricted stock activity as of March 31, 2022 and December 31, 2021:</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580" w:type="dxa"/>
            <w:vAlign w:val="bottom"/>
            <w:tcBorders>
              <w:top w:val="single" w:sz="8" w:color="auto"/>
            </w:tcBorders>
          </w:tcPr>
          <w:p>
            <w:pPr>
              <w:spacing w:after="0"/>
              <w:rPr>
                <w:sz w:val="14"/>
                <w:szCs w:val="14"/>
                <w:color w:val="auto"/>
              </w:rPr>
            </w:pPr>
          </w:p>
        </w:tc>
        <w:tc>
          <w:tcPr>
            <w:tcW w:w="26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16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Grant Date 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Unvested December 31, 2021</w:t>
            </w:r>
          </w:p>
        </w:tc>
        <w:tc>
          <w:tcPr>
            <w:tcW w:w="26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681,789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26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3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(161,159)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196"/>
        </w:trPr>
        <w:tc>
          <w:tcPr>
            <w:tcW w:w="36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Unvested March 31, 2022</w:t>
            </w:r>
          </w:p>
        </w:tc>
        <w:tc>
          <w:tcPr>
            <w:tcW w:w="26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520,630</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80" w:type="dxa"/>
            <w:vAlign w:val="bottom"/>
            <w:vMerge w:val="restart"/>
          </w:tcPr>
          <w:p>
            <w:pPr>
              <w:jc w:val="right"/>
              <w:ind w:right="1630"/>
              <w:spacing w:after="0"/>
              <w:rPr>
                <w:sz w:val="20"/>
                <w:szCs w:val="20"/>
                <w:color w:val="auto"/>
              </w:rPr>
            </w:pPr>
            <w:r>
              <w:rPr>
                <w:rFonts w:ascii="Arial" w:cs="Arial" w:eastAsia="Arial" w:hAnsi="Arial"/>
                <w:sz w:val="18"/>
                <w:szCs w:val="18"/>
                <w:color w:val="auto"/>
              </w:rPr>
              <w:t>31</w:t>
            </w: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Pursuant to certain stock purchase agreements containing vesting and other provisions, the Company has the right to repurchase unvested shares.</w:t>
      </w:r>
    </w:p>
    <w:p>
      <w:pPr>
        <w:spacing w:after="0" w:line="127"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As of March 31, 2022, there was $2,345 of total unrecognized compensation expense related to the unvested restricted stock with time-based vesting terms, which is expected to be recognized over a weighted average period of 1.28 years. All restricted stock vests over a four-year period.</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Early-Exercise of Unvested Equity Awards</w:t>
      </w:r>
    </w:p>
    <w:p>
      <w:pPr>
        <w:spacing w:after="0" w:line="169"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As part of the merger, the Company assumed a deposit liability from Prior Century. Certain equity award holders early exercised unvested equity awards. The cash received upon early exercise of options of $2,327 was recorded as a deposit liability on the Company’s balance sheet as of March 31, 2022.</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18—Related party transactions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Agreements and Collaborative Agreements with Shareholder of Equity Method Investor</w:t>
      </w:r>
    </w:p>
    <w:p>
      <w:pPr>
        <w:spacing w:after="0" w:line="169"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As part of the Commitment Agreement, the Company acquired licenses and other contracts from Prior Century that were originally entered into by Prior Century and FUJIFILM Cellular Dynamics, Inc. (“FCDI”). FCDI is a shareholder of Century. The acquired licenses and other contracts with FCDI are as follows: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Licenses</w:t>
      </w:r>
    </w:p>
    <w:p>
      <w:pPr>
        <w:spacing w:after="0" w:line="183"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Company acquired from Prior Century a non-exclusive license agreement with FCDI. The license provides the Company with certain patents and know-how related to the reprogramming of human somatic cells to induce pluripotent stem cells (“iPSCs”)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36" w:lineRule="exact"/>
        <w:rPr>
          <w:sz w:val="20"/>
          <w:szCs w:val="20"/>
          <w:color w:val="auto"/>
        </w:rPr>
      </w:pPr>
    </w:p>
    <w:p>
      <w:pPr>
        <w:ind w:left="60" w:right="259"/>
        <w:spacing w:after="0" w:line="301" w:lineRule="auto"/>
        <w:rPr>
          <w:sz w:val="20"/>
          <w:szCs w:val="20"/>
          <w:color w:val="auto"/>
        </w:rPr>
      </w:pPr>
      <w:r>
        <w:rPr>
          <w:rFonts w:ascii="Arial" w:cs="Arial" w:eastAsia="Arial" w:hAnsi="Arial"/>
          <w:sz w:val="17"/>
          <w:szCs w:val="17"/>
          <w:color w:val="auto"/>
        </w:rPr>
        <w:t>The Company also acquired from Prior Century an exclusive license agreement with FCDI. The license provides the Company with patents and know-how related to human iPSC exclusively manufactured by FCDI.</w:t>
      </w:r>
    </w:p>
    <w:p>
      <w:pPr>
        <w:spacing w:after="0" w:line="90" w:lineRule="exact"/>
        <w:rPr>
          <w:sz w:val="20"/>
          <w:szCs w:val="20"/>
          <w:color w:val="auto"/>
        </w:rPr>
      </w:pPr>
    </w:p>
    <w:p>
      <w:pPr>
        <w:ind w:left="60" w:right="159"/>
        <w:spacing w:after="0" w:line="446" w:lineRule="auto"/>
        <w:rPr>
          <w:sz w:val="20"/>
          <w:szCs w:val="20"/>
          <w:color w:val="auto"/>
        </w:rPr>
      </w:pPr>
      <w:r>
        <w:rPr>
          <w:rFonts w:ascii="Arial" w:cs="Arial" w:eastAsia="Arial" w:hAnsi="Arial"/>
          <w:sz w:val="18"/>
          <w:szCs w:val="18"/>
          <w:color w:val="auto"/>
        </w:rPr>
        <w:t xml:space="preserve">The potential development and regulatory milestone payments to be paid by the Company to FCDI are $6,000. </w:t>
      </w:r>
      <w:r>
        <w:rPr>
          <w:rFonts w:ascii="Arial" w:cs="Arial" w:eastAsia="Arial" w:hAnsi="Arial"/>
          <w:sz w:val="18"/>
          <w:szCs w:val="18"/>
          <w:i w:val="1"/>
          <w:iCs w:val="1"/>
          <w:color w:val="auto"/>
        </w:rPr>
        <w:t>Letter Agreement</w:t>
      </w:r>
    </w:p>
    <w:p>
      <w:pPr>
        <w:ind w:left="60" w:right="99"/>
        <w:spacing w:after="0"/>
        <w:rPr>
          <w:sz w:val="20"/>
          <w:szCs w:val="20"/>
          <w:color w:val="auto"/>
        </w:rPr>
      </w:pPr>
      <w:r>
        <w:rPr>
          <w:rFonts w:ascii="Arial" w:cs="Arial" w:eastAsia="Arial" w:hAnsi="Arial"/>
          <w:sz w:val="18"/>
          <w:szCs w:val="18"/>
          <w:color w:val="auto"/>
        </w:rPr>
        <w:t>On January 7, 2022, the Company and FCDI entered into a letter agreement (the “Letter Agreement”), which amended each of the license agreements with FCDI (the “FCDI Agreements”) such that (i) the definition of Territory under each of the FCDI Agreements, for purposes of the sublicenses under the FCDI Agreements pursuant to the Company’s Collaboration Agreement with Bristol-Myers Squibb, includes Japan, (ii) the licenses granted to the Company and its affiliates under the FCDI Agreements are sublicensable to Bristol -Myers Squibb, including with respect to Japan and (iii) Bristol-Myers Squibb is not subject to grant-back and option provisions under the reprogramming license.</w:t>
      </w:r>
    </w:p>
    <w:p>
      <w:pPr>
        <w:spacing w:after="0" w:line="144" w:lineRule="exact"/>
        <w:rPr>
          <w:sz w:val="20"/>
          <w:szCs w:val="20"/>
          <w:color w:val="auto"/>
        </w:rPr>
      </w:pPr>
    </w:p>
    <w:p>
      <w:pPr>
        <w:ind w:left="60" w:right="319"/>
        <w:spacing w:after="0" w:line="244" w:lineRule="auto"/>
        <w:rPr>
          <w:sz w:val="20"/>
          <w:szCs w:val="20"/>
          <w:color w:val="auto"/>
        </w:rPr>
      </w:pPr>
      <w:r>
        <w:rPr>
          <w:rFonts w:ascii="Arial" w:cs="Arial" w:eastAsia="Arial" w:hAnsi="Arial"/>
          <w:sz w:val="18"/>
          <w:szCs w:val="18"/>
          <w:color w:val="auto"/>
        </w:rPr>
        <w:t>Pursuant to the Letter Agreement, and in consideration for amending the FCDI Agreements, the Company (i) paid to FCDI an upfront payment of $10,000, (ii) will pay to FCDI a percentage of any milestone payments received by us under the Collaboration Agreement in respect of achievement of development or regulatory milestones specific to Japan, and (iii) will pay to FCDI a percentage of all royalties received by the Company under the Collaboration Agreement in respect of sales of products in Japan.</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Collaboration Agreement</w:t>
      </w:r>
    </w:p>
    <w:p>
      <w:pPr>
        <w:spacing w:after="0" w:line="169"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In October 2019, the Company entered into the Master Collaboration Agreement with FCDI, whereby FCDI will provide certain services to the Company to develop and manufacture iPSCs and immune cells derived therefrom. FCDI will provide services in accordance with the approved research plan and related research</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budget. The initial research plan covers the period from October 2019 through March 31, 2022, with the related research budget totaling $31,400.</w:t>
      </w:r>
    </w:p>
    <w:p>
      <w:pPr>
        <w:spacing w:after="0" w:line="127"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During the three months ended March 31, 2022, the Company made payments of $3,003 and incurred research and development expenses of $1,445, and legal fees of $30, recorded within general and administrative expenses in its consolidated statements of operations and comprehensive loss. As of March 31, 2022, there was $850 in accounts payable related to this agreement on the consolidated balance sheets. As of December 31, 2021, there was $2,375 in accounts payable on the consolidated balance sheets.</w:t>
      </w:r>
    </w:p>
    <w:p>
      <w:pPr>
        <w:spacing w:after="0" w:line="136" w:lineRule="exact"/>
        <w:rPr>
          <w:sz w:val="20"/>
          <w:szCs w:val="20"/>
          <w:color w:val="auto"/>
        </w:rPr>
      </w:pPr>
    </w:p>
    <w:p>
      <w:pPr>
        <w:ind w:left="60" w:right="779"/>
        <w:spacing w:after="0" w:line="275" w:lineRule="auto"/>
        <w:rPr>
          <w:sz w:val="20"/>
          <w:szCs w:val="20"/>
          <w:color w:val="auto"/>
        </w:rPr>
      </w:pPr>
      <w:r>
        <w:rPr>
          <w:rFonts w:ascii="Arial" w:cs="Arial" w:eastAsia="Arial" w:hAnsi="Arial"/>
          <w:sz w:val="17"/>
          <w:szCs w:val="17"/>
          <w:color w:val="auto"/>
        </w:rPr>
        <w:t>During the three months ended March 31, 2021, the Company made payments of $3,223, and incurred research and development expenses of $2,781, and legal fees of $21, recorded within general and administrative expenses in its consolidated statements of operations and comprehensive loss.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Consulting Arrangements with Shareholders of Equity Method Investor</w:t>
      </w:r>
    </w:p>
    <w:p>
      <w:pPr>
        <w:spacing w:after="0" w:line="183" w:lineRule="exact"/>
        <w:rPr>
          <w:sz w:val="20"/>
          <w:szCs w:val="20"/>
          <w:color w:val="auto"/>
        </w:rPr>
      </w:pPr>
    </w:p>
    <w:p>
      <w:pPr>
        <w:ind w:left="60" w:right="139"/>
        <w:spacing w:after="0" w:line="256" w:lineRule="auto"/>
        <w:rPr>
          <w:sz w:val="20"/>
          <w:szCs w:val="20"/>
          <w:color w:val="auto"/>
        </w:rPr>
      </w:pPr>
      <w:r>
        <w:rPr>
          <w:rFonts w:ascii="Arial" w:cs="Arial" w:eastAsia="Arial" w:hAnsi="Arial"/>
          <w:sz w:val="17"/>
          <w:szCs w:val="17"/>
          <w:color w:val="auto"/>
        </w:rPr>
        <w:t>In 2019, the Company entered into arrangements with two shareholders of the Company, wherein the shareholders provide consulting services to the Company. As compensation for the consulting services, the shareholders are entitled to an annual retainer fee of $125 payable quarterly, along with payment of reasonable expenses associated with providing the consulting services. The Company paid $19 and $ 38 related to these consulting arrangements that were included in research and development expenses in the consolidated statements of operations and comprehensive loss for the three months ended March 31, 2022 and 2021, respectively. As of December 31, 2021, there was $18 in accrued expenses related to this agreement on the consolidated balance sheets. As of March 31, 2022, there was no accrued expenses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accompanying notes included in this Quarterly Report on Form 10-Q and the financial statements and accompanying notes thereto for the fiscal year ended December 31, 2021 and the related Management’s Discussion and Analysis of Financial Condition and Results of Operations, which are contained in our Annual Report on Form 10-K filed with the Securities and Exchange Commission on March 17, 2022 (the “Annual Report”). This Quarterly Report on Form 10-Q contains “forward-looking statements” within the meaning of Section 27A of the Securities Act and Section 21E of the Securities Exchange Act of 1934, as amended (the Exchange Act). Such forward-looking 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in our Annual Report. Except as required by law, we undertake no obligation to update these forward-looking statements to reflect events or circumstances after the date of this report or to reflect actual outcomes.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 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Allo-EvasionTM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fully integrated biotechnology company by developing and ultimately commercializing off-the-shelf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184"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We were formed in 2018 as Century Therapeutics, Inc., or Prior Century. In 2019, in connection with our investment from Bayer Healthcare LLC, or Bayer, Prior Century contributed substantially all of its operating assets and cash to a newly formed entity, Century Therapeutics, LLC, or the LLC Entity. We refer to this transaction as the 2019 Reorganization. The 2019 Reorganization was accounted for as an asset acquisition under US Generally Accepted Accounting Principles, and as a result we recorded a one-time non-cash charge in the amount of $225.9 million which represented the fair value of the contributed in-process research and development, or IPR&amp;D, of Prior Century. The IPR&amp;D asset acquired was Prior Century’s comprehensive allogeneic cell therapy platform.</w:t>
      </w:r>
    </w:p>
    <w:p>
      <w:pPr>
        <w:spacing w:after="0" w:line="18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Until February 2021, our business was operated through the LLC Entity. In February 2021, in connection with the sale of 24,721,999 shares of our Series C preferred stock, or the Series C Financing, the LLC Entity converted from a Delaware limited liability company to a Delaware C corporation. Upon completion of this conversion, Prior Century, whose only significant asset was its equity investment in LLC, merged with the C corporation, and in connection therewith the C corporation changed its name to “Century Therapeutics, Inc.” We refer to these transactions as the 2021 Reorganization.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and in-licensing intellectual property. All of our programs are currently in the development stage, and we do not have any products approved for sale. Since our inception, we have incurred net losses each year. We had an accumulated deficit of $425.7 million as of March 31, 2022. Substantially all of our losses have resulted from expenses incurred in connection with our research and development programs, the acquisition of in-process research and development and general and administrative costs associated with our operations. Included in our accumulated deficit, as noted above, is a non-cash expense of $225.9 million related to the fair value of the in-process research and development of Prior Century.</w:t>
      </w:r>
    </w:p>
    <w:p>
      <w:pPr>
        <w:spacing w:after="0" w:line="15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June 2021, we completed our initial public offering, or IPO, in which we issued and sold 12,132,500 shares of our common stock, at a public offering price of $20.00 per share. We received net proceeds of $221.4 million after deducting underwriting discounts, commissions, and other offering cost of $21.2 million in the aggregate. To date, we have funded our operations from the issuance and sale of our equity securities and have not generated any revenues. Since our inception, we have raised approximately $591 million in net proceeds from sales of our equity securities. As of March 31, 2022, we had cash and cash equivalents of $126.0 million and investments of $340.3 million. Based on our current business plans, we believe, our cash, cash equivalents and investments as of March 31, 2022, will be sufficient for us to fund our operating expenses and capital expenditures requirements into 2025. We have based this estimate on assumptions that may prove to be wrong, and we could exhaust our available capital resources sooner than we expect. We anticipate that our expenses and operating losses will increase substantially over the foreseeable future. The expected increase in expenses will be driven in large part by our ongoing activities, if and as we:</w:t>
      </w:r>
    </w:p>
    <w:p>
      <w:pPr>
        <w:spacing w:after="0" w:line="345"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our iPSC cell therapy platforms;</w:t>
      </w:r>
    </w:p>
    <w:p>
      <w:pPr>
        <w:spacing w:after="0" w:line="183" w:lineRule="exact"/>
        <w:rPr>
          <w:rFonts w:ascii="Times New Roman" w:cs="Times New Roman" w:eastAsia="Times New Roman" w:hAnsi="Times New Roman"/>
          <w:sz w:val="18"/>
          <w:szCs w:val="18"/>
          <w:color w:val="auto"/>
        </w:rPr>
      </w:pPr>
    </w:p>
    <w:p>
      <w:pPr>
        <w:ind w:left="380" w:right="239" w:hanging="330"/>
        <w:spacing w:after="0" w:line="270"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continue preclinical development of, and initiate clinical development of CNTY-101, CNTY-103, CNTY-102 and our other product candidates;</w:t>
      </w:r>
    </w:p>
    <w:p>
      <w:pPr>
        <w:spacing w:after="0" w:line="1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seek to discover and develop additional product candidates;</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and validate our own clinical-scale current good manufacturing practices, or cGMP, facilities;</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approvals for any of our other product candidates that successfully complete clinical trials;</w:t>
      </w:r>
    </w:p>
    <w:p>
      <w:pPr>
        <w:spacing w:after="0" w:line="19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protect, and enforce our intellectual property portfolio;</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and technologies;</w:t>
      </w:r>
    </w:p>
    <w:p>
      <w:pPr>
        <w:spacing w:after="0" w:line="183" w:lineRule="exact"/>
        <w:rPr>
          <w:rFonts w:ascii="Times New Roman" w:cs="Times New Roman" w:eastAsia="Times New Roman" w:hAnsi="Times New Roman"/>
          <w:sz w:val="18"/>
          <w:szCs w:val="18"/>
          <w:color w:val="auto"/>
        </w:rPr>
      </w:pPr>
    </w:p>
    <w:p>
      <w:pPr>
        <w:ind w:left="380" w:right="199" w:hanging="330"/>
        <w:spacing w:after="0" w:line="274" w:lineRule="auto"/>
        <w:tabs>
          <w:tab w:leader="none" w:pos="3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incur additional costs associated with operating as a public company, which will require us to add operational, financial and management information systems and personnel, including personnel to support our drug development, any future commercialization efforts and our transition to a public company; and</w:t>
      </w:r>
    </w:p>
    <w:p>
      <w:pPr>
        <w:spacing w:after="0" w:line="126" w:lineRule="exact"/>
        <w:rPr>
          <w:rFonts w:ascii="Times New Roman" w:cs="Times New Roman" w:eastAsia="Times New Roman" w:hAnsi="Times New Roman"/>
          <w:sz w:val="17"/>
          <w:szCs w:val="17"/>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184"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We are also investing early in building our capabilities in key areas of manufacturing sciences and operations, including development of our iPSC cell therapy platforms, product characterization, and process analytics from the time product candidates are in early research phases. Our investments also include scaled research solutions, scaled infrastructure, and novel technologies intended to improve efficiency, characterization, and scalability of manufacturing.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funding for preclinical studies, clinical trials and the commercialization of any approved product candidates. We intend to use the proceeds from such financings to, among other uses, fund research and development of our product candidates and development programs, including our pre-clinical and clinical development of CNTY-101, CNTY-103, and CNTY-102, and as well as CNTY-104 and CNTY-106 in collaboration with Bristol-Myers Squibb. Until such time, if ever, as we can generate significant product revenue, we expect to finance our operations with our existing cash and cash equivalents, investments, any future equity or debt financings, and upfront and milestone and royalties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18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global COVID-19 pandemic continues to evolve rapidly, and we will continue to monitor it closely. The extent of the impact of the COVID-19 pandemic on our business, operations, and clinical development timelines and plans remains uncertain and will depend on certain developments, including the duration and spread of the outbreak, including as a result of the emergence of new variants of COVID-19, and its impact on our clinical trial enrollment, trial sites, CROs, contract manufacturing organizations, and other third parties with whom we do business, as well as its impact on regulatory authorities and our key scientific and management personnel. We have experienced modest delays in our discovery and development activities as a result of the COVID-19 pandemic, primarily due to temporary and partial shutdowns at certain of our CROs and academic institutions that have since resumed operations, and due to governmental responses to the pandemic. The ongoing pandemic has led to the implementation of various responses, including travel restrictions, mask mandates, social distancing requirements and other public health safety measures. In response, and in compliance with rapidly changing local and state regulations, we have implemented a mandatory vaccination policy for all employees and have taken other precautionary measures, including testing of any employees displaying symptoms of COVID-19. While the vaccines have proven effective in reducing the severity and mortality of COVID-19 including the variants that have evolved to date, the overall vaccination rate in the United States may have not reached the level required for herd immunity. Certain variants of COVID-19, such as the delta and omicron variants, have proven to be more easily spread than earlier variants. The emergence of new variants, which could prove resistant to existing vaccines, could again result in major disruptions to businesses and markets worldwide. We will continue to actively monitor the situation related to COVID-19 and may take further actions that alter our operations, including those that may be required by federal, state, or local authorities, or that we determine are in the best interests of our employees and other third parties with whom we do business. The extent to which the ongoing pandemic may affect our preclinical studies, clinical trials, supply chain, labor force, business, financial condition, and results of operations will depend on future developments, which are highly uncertain and cannot be predicted at this time.</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Bristol-Myers Squibb</w:t>
      </w:r>
    </w:p>
    <w:p>
      <w:pPr>
        <w:spacing w:after="0" w:line="183"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January 7, 2022, we entered into the Collaboration Agreement with Bristol-Myers Squibb to collaborate on the research, development and commercialization of iNK and iT cell programs for hematologic malignancies and solid tumors (“Collaboration Program,” and each product candidate a “Development Candidate”). We and Bristol-Myers Squibb will initially collaborate on two Collaboration Programs focused on acute myeloid leukemia (“AML”) and multiple myeloma (“MM”), and Bristol-Myers Squibb has the option to add up to two additional Collaboration Programs for an additional fee. We are responsible for generating Development Candidates for each Collaboration Program, and Bristol-Myers Squibb has the option to elect to exclusively license the Development Candidates for pre-clinical development, clinical development and commercialization on a worldwide basis (“License Option”). Following Bristol-Myers Squibb’s exercise of the License Option, we will be responsible for performing IND-enabling studies, supporting Bristol-Myers Squibb’s preparation and submission of an IND, and manufacturing of clinical supplies until completion of a proof of concept clinical trial. Bristol-Myers Squibb will be responsible for all regulatory, clinical, manufacturing (after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the proof of concept clinical trial) and commercialization activities for such Development Candidates worldwide. We have the option to co-promote Development Candidates generated from certain specified Collaboration Programs.</w:t>
      </w:r>
    </w:p>
    <w:p>
      <w:pPr>
        <w:spacing w:after="0" w:line="142" w:lineRule="exact"/>
        <w:rPr>
          <w:sz w:val="20"/>
          <w:szCs w:val="20"/>
          <w:color w:val="auto"/>
        </w:rPr>
      </w:pPr>
    </w:p>
    <w:p>
      <w:pPr>
        <w:ind w:left="60" w:right="379"/>
        <w:spacing w:after="0"/>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 million and will pay an exercise fee upon the exercise of the License Option (“Licensed Program” and product candidates developed under a Licensed Program, “Licensed Products”). For each Licensed Program, Bristol-Myers Squibb will pay up to $235 million in milestone payments upon the first achievement of certain development and regulatory milestones and will pay up to $ 500 million per Licensed Product in net sales-based milestone payments. Bristol-Myers Squibb will also pay us tiered royalties per Licensed Product as a percentage of net sales in the high-single digits to low-teens, subject to certain adjustments.</w:t>
      </w:r>
    </w:p>
    <w:p>
      <w:pPr>
        <w:spacing w:after="0" w:line="140"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In connection with the Collaboration Agreement, Bristol-Myers Squibb purchased 2,160,760 shares of our common stock at a price per share of $23.14, for an aggregate purchase price of $50 million. We determined the common stock purchase represented a premium of $ 7.82 per share, or $23.2 million in the aggregate, and the remaining $26.8 million was recorded as issuance of common stock in stockholders’ equity.</w:t>
      </w:r>
    </w:p>
    <w:p>
      <w:pPr>
        <w:spacing w:after="0" w:line="133"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We identified the following commitments under the arrangement: (i) research and development services under each of the two initial Collaboration Programs and (ii) License Option to elect to exclusively license the Development Candidates for each of the two initial Collaboration Programs. We determined that these four commitments represent distinct performance obligations for purposes of recognizing revenue and will recognize revenue as we fulfill each performance obligation.</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Fujifilm Cellular Dynamics, Inc. (FCDI)</w:t>
      </w:r>
    </w:p>
    <w:p>
      <w:pPr>
        <w:spacing w:after="0" w:line="169"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On September 18, 2018, we entered into a license agreement, or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Prior Century issued 2,980,803 shares of common stock to FCDI, which were exchanged for 2,980,803 shares of common stock in connection with the Reorganization.</w:t>
      </w:r>
    </w:p>
    <w:p>
      <w:pPr>
        <w:spacing w:after="0" w:line="17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Also on September 18, 2018, we entered into the non-exclusive license, or the Reprogramming License, with FCDI. The Reprogramming License, as amended, provides us with a non-exclusive license under certain patents and know- 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The potential development and regulatory milestone payments to be paid by us to FCDI are approximately $6 million per licensed product. In connection with the Reprogramming License, we entered into a collaboration agreement, or the FCDI Collaboration Agreement, with FCDI pursuant to which we agreed to fund research and development work at FCDI pursuant to a research plan.</w:t>
      </w:r>
    </w:p>
    <w:p>
      <w:pPr>
        <w:spacing w:after="0" w:line="183"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October 21, 2019, we entered into the FCDI Collaboration Agreement with FCDI, whereby FCDI provides certain services to us to develop and manufacture iPSCs and immune cells derived therefrom. Under the terms of the FCDI Collaboration Agreement, as amended, FCDI will provide services in accordance with the approved research plan and related research budget. The research plan covers the period from the date of execution of the FCDI Collaboration Agreement through March 31, 2022, with the related research budget of approximately $31.4 million.</w:t>
      </w:r>
    </w:p>
    <w:p>
      <w:pPr>
        <w:spacing w:after="0" w:line="179" w:lineRule="exact"/>
        <w:rPr>
          <w:sz w:val="20"/>
          <w:szCs w:val="20"/>
          <w:color w:val="auto"/>
        </w:rPr>
      </w:pPr>
    </w:p>
    <w:p>
      <w:pPr>
        <w:ind w:left="60" w:right="479"/>
        <w:spacing w:after="0" w:line="275" w:lineRule="auto"/>
        <w:rPr>
          <w:sz w:val="20"/>
          <w:szCs w:val="20"/>
          <w:color w:val="auto"/>
        </w:rPr>
      </w:pPr>
      <w:r>
        <w:rPr>
          <w:rFonts w:ascii="Arial" w:cs="Arial" w:eastAsia="Arial" w:hAnsi="Arial"/>
          <w:sz w:val="17"/>
          <w:szCs w:val="17"/>
          <w:color w:val="auto"/>
        </w:rPr>
        <w:t>On January 7, 2022, we and FCDI entered into a letter agreement, or the Letter Agreement, which amends each of the FCDI agreements as further discussed in Note 11 to our consolidated financial statements. Pursuant to the Letter Agreement, and in consideration for amending the FCDI Agreements, we agreed to</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pay to FCDI (i) an upfront payment of $ 10 million, (ii) a percentage of any milestone payments received by us under the Research, Collaboration and License Agreement, with Bristol-Myers Squibb, or the Collaboration Agreement, in respect of achievement of development or regulatory milestones specific to Japan, and (iii) a percentage of all royalties received by us under the Collaboration Agreement in respect of sales of products in Japan.</w:t>
      </w:r>
    </w:p>
    <w:p>
      <w:pPr>
        <w:spacing w:after="0" w:line="149"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During the three months ended March 31, 2022, the Company made payments of $3.0 million and incurred research and development expenses of $1.4 million, and legal fees of $30 thousand, recorded within general and administrative expenses in its consolidated statements of operations and comprehensive loss. As of March 31, 2022, there was $0.9 million in accounts payable related to this agreement on the consolidated balance sheets.</w:t>
      </w:r>
    </w:p>
    <w:p>
      <w:pPr>
        <w:spacing w:after="0" w:line="136"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During the three months ended March 31, 2021, the Company made payments of $3.2 million, and incurred research and development expenses of $2.8 million, and legal fees of $21 thousand, recorded within general and administrative expenses in its consolidated statements of operations and comprehensive loss.</w:t>
      </w:r>
    </w:p>
    <w:p>
      <w:pPr>
        <w:spacing w:after="0" w:line="128" w:lineRule="exact"/>
        <w:rPr>
          <w:sz w:val="20"/>
          <w:szCs w:val="20"/>
          <w:color w:val="auto"/>
        </w:rPr>
      </w:pPr>
    </w:p>
    <w:p>
      <w:pPr>
        <w:ind w:left="60" w:right="99"/>
        <w:spacing w:after="0" w:line="446" w:lineRule="auto"/>
        <w:rPr>
          <w:sz w:val="20"/>
          <w:szCs w:val="20"/>
          <w:color w:val="auto"/>
        </w:rPr>
      </w:pPr>
      <w:r>
        <w:rPr>
          <w:rFonts w:ascii="Arial" w:cs="Arial" w:eastAsia="Arial" w:hAnsi="Arial"/>
          <w:sz w:val="18"/>
          <w:szCs w:val="18"/>
          <w:color w:val="auto"/>
        </w:rPr>
        <w:t xml:space="preserve">As of March 31, 2022, we incurred $32.4 million of the $31.4 million budget under the Collaboration Agreement. </w:t>
      </w:r>
      <w:r>
        <w:rPr>
          <w:rFonts w:ascii="Arial" w:cs="Arial" w:eastAsia="Arial" w:hAnsi="Arial"/>
          <w:sz w:val="18"/>
          <w:szCs w:val="18"/>
          <w:b w:val="1"/>
          <w:bCs w:val="1"/>
          <w:color w:val="auto"/>
        </w:rPr>
        <w:t>Empirica acquisition</w:t>
      </w:r>
    </w:p>
    <w:p>
      <w:pPr>
        <w:jc w:val="both"/>
        <w:ind w:left="60" w:right="99"/>
        <w:spacing w:after="0" w:line="247" w:lineRule="auto"/>
        <w:rPr>
          <w:sz w:val="20"/>
          <w:szCs w:val="20"/>
          <w:color w:val="auto"/>
        </w:rPr>
      </w:pPr>
      <w:r>
        <w:rPr>
          <w:rFonts w:ascii="Arial" w:cs="Arial" w:eastAsia="Arial" w:hAnsi="Arial"/>
          <w:sz w:val="18"/>
          <w:szCs w:val="18"/>
          <w:color w:val="auto"/>
        </w:rPr>
        <w:t>On June 9, 2020, we acquired certain assets of Empirica Therapeutics, or Empirica, a privately-held early-stage biotechnology company focused on the development of adoptive immunotherapies against the most aggressive and treatment-resistant forms of cancers, including glioblastoma and brain metastasis for a total purchase price of $4.7 million.</w:t>
      </w:r>
    </w:p>
    <w:p>
      <w:pPr>
        <w:spacing w:after="0" w:line="133"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transaction was accounted for as an asset acquisition of IPR&amp;D. Total consideration in the acquisition was $4.7 million, consisting of cash consideration of $4.5 million and transaction expenses of $0.2 million. In addition to the purchase price, $ 1.5 million was deposited in escrow, or the Escrow Deposit, whereby release of the Escrow Deposit is subject to the terms of a promissory note, which provides for the funds to be released in equal installments over a three-year period related to continuing services by former Empirica shareholders who are employed by the Company. In July 2021, the first annual installment of $523 was released from escrow. The Escrow Deposit is recognized as an asset and the promissory note is post- acquisition compensation expense, which will be accrued over the term of the promissory note. We recorded $0.1 million compensation in research and development expense for three months ended March 31, 2022. For further details regarding this acquisition, see Note 4 to our unaudited consolidated financial statements.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69"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for the foreseeable future. Our revenues to date have been generated through our collaboration, option and license agreement with Bristol-Myers Squibb. We recognize revenue over the expected performance period under this agreement. We expect that our revenue for the next several years will be derived primarily from this agreement and any additional collaborations that we may enter into in the future. To date, we have not received any royalties under any of our existing collaboration agreements.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169"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To date, research and development expenses have related primarily to discovery and development of our iPSC cell therapy platform technology and product candidates and acquired in-process research and development. Research and development expenses are recognized as incurred and payments made prior to</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the receipt of goods or services to be used in research and development are recorded as prepaid expenses until the goods or services are received.</w:t>
      </w:r>
    </w:p>
    <w:p>
      <w:pPr>
        <w:spacing w:after="0" w:line="154" w:lineRule="exact"/>
        <w:rPr>
          <w:sz w:val="20"/>
          <w:szCs w:val="20"/>
          <w:color w:val="auto"/>
        </w:rPr>
      </w:pPr>
    </w:p>
    <w:p>
      <w:pPr>
        <w:ind w:left="60" w:right="139"/>
        <w:spacing w:after="0" w:line="266" w:lineRule="auto"/>
        <w:rPr>
          <w:sz w:val="20"/>
          <w:szCs w:val="20"/>
          <w:color w:val="auto"/>
        </w:rPr>
      </w:pPr>
      <w:r>
        <w:rPr>
          <w:rFonts w:ascii="Arial" w:cs="Arial" w:eastAsia="Arial" w:hAnsi="Arial"/>
          <w:sz w:val="17"/>
          <w:szCs w:val="17"/>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159" w:lineRule="exact"/>
        <w:rPr>
          <w:sz w:val="20"/>
          <w:szCs w:val="20"/>
          <w:color w:val="auto"/>
        </w:rPr>
      </w:pPr>
    </w:p>
    <w:p>
      <w:pPr>
        <w:ind w:left="60" w:right="199"/>
        <w:spacing w:after="0" w:line="261" w:lineRule="auto"/>
        <w:rPr>
          <w:sz w:val="20"/>
          <w:szCs w:val="20"/>
          <w:color w:val="auto"/>
        </w:rPr>
      </w:pPr>
      <w:r>
        <w:rPr>
          <w:rFonts w:ascii="Arial" w:cs="Arial" w:eastAsia="Arial" w:hAnsi="Arial"/>
          <w:sz w:val="17"/>
          <w:szCs w:val="17"/>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16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completing preclinical studies and commencing clinical trials,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83"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76"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We anticipate that our general and administrative expenses will increase over the foreseeable future to support our continued research and development activities, operations generally, future business development opportunities, consulting fees, as well as due to the increased costs of operating as a public company.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In-process research and development</w:t>
      </w:r>
    </w:p>
    <w:p>
      <w:pPr>
        <w:spacing w:after="0" w:line="169"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As a direct result of the execution of the Collaboration Agreement with Bristol-Myers Squibb, we incurred $10 million in fees to amend the FCDI agreement to gain access to the territory rights of Japan. See Note 11 to our consolidated financial statements.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3"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Interest expense relates to interest incurred on the Loan Agreement we entered into with Hercules Capital, Inc., or Hercules, in 2020, as well as amortization of the related deferred financing cost. See Note 9 to our consolidated financial statements.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income, net consists of interest earned on our cash, cash equivalents and investment balances.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183"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Until February 25, 2021, we were organized as a limited liability company, which is considered a passthrough entity for federal and state income tax purposes. Subsequent to the conversion of the LLC Entity to a C-Corp on February 25, 2021, we have incurred losses and recorded a full valuation allowance on all of our net deferred tax assets. As of March 31, 2022, the Company recorded $16 thousand in provisions for income taxes related to its subsidiary Century Therapeutics Canada ULC in the accompanying consolidated financial statements. There were no provisions or benefit for income taxes in 2021.</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March 31, 2022 and 2021</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1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Three Months Ended</w:t>
            </w:r>
          </w:p>
        </w:tc>
        <w:tc>
          <w:tcPr>
            <w:tcW w:w="1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jc w:val="right"/>
              <w:ind w:right="92"/>
              <w:spacing w:after="0"/>
              <w:rPr>
                <w:sz w:val="20"/>
                <w:szCs w:val="20"/>
                <w:color w:val="auto"/>
              </w:rPr>
            </w:pPr>
            <w:r>
              <w:rPr>
                <w:rFonts w:ascii="Arial" w:cs="Arial" w:eastAsia="Arial" w:hAnsi="Arial"/>
                <w:sz w:val="14"/>
                <w:szCs w:val="14"/>
                <w:color w:val="auto"/>
              </w:rPr>
              <w:t>Three Months Ended</w:t>
            </w:r>
          </w:p>
        </w:tc>
        <w:tc>
          <w:tcPr>
            <w:tcW w:w="720" w:type="dxa"/>
            <w:vAlign w:val="bottom"/>
            <w:tcBorders>
              <w:top w:val="single" w:sz="8" w:color="auto"/>
            </w:tcBorders>
          </w:tcPr>
          <w:p>
            <w:pPr>
              <w:spacing w:after="0"/>
              <w:rPr>
                <w:sz w:val="14"/>
                <w:szCs w:val="14"/>
                <w:color w:val="auto"/>
              </w:rPr>
            </w:pPr>
          </w:p>
        </w:tc>
      </w:tr>
      <w:tr>
        <w:trPr>
          <w:trHeight w:val="171"/>
        </w:trPr>
        <w:tc>
          <w:tcPr>
            <w:tcW w:w="5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 2022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March 31, 2021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r>
      <w:tr>
        <w:trPr>
          <w:trHeight w:val="142"/>
        </w:trPr>
        <w:tc>
          <w:tcPr>
            <w:tcW w:w="5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3"/>
          </w:tcPr>
          <w:p>
            <w:pPr>
              <w:jc w:val="right"/>
              <w:ind w:right="592"/>
              <w:spacing w:after="0" w:line="142" w:lineRule="exact"/>
              <w:rPr>
                <w:sz w:val="20"/>
                <w:szCs w:val="20"/>
                <w:color w:val="auto"/>
              </w:rPr>
            </w:pPr>
            <w:r>
              <w:rPr>
                <w:rFonts w:ascii="Arial" w:cs="Arial" w:eastAsia="Arial" w:hAnsi="Arial"/>
                <w:sz w:val="14"/>
                <w:szCs w:val="14"/>
                <w:color w:val="auto"/>
              </w:rPr>
              <w:t>(in thousands)</w:t>
            </w:r>
          </w:p>
        </w:tc>
        <w:tc>
          <w:tcPr>
            <w:tcW w:w="720" w:type="dxa"/>
            <w:vAlign w:val="bottom"/>
          </w:tcPr>
          <w:p>
            <w:pPr>
              <w:spacing w:after="0"/>
              <w:rPr>
                <w:sz w:val="12"/>
                <w:szCs w:val="12"/>
                <w:color w:val="auto"/>
              </w:rPr>
            </w:pPr>
          </w:p>
        </w:tc>
      </w:tr>
      <w:tr>
        <w:trPr>
          <w:trHeight w:val="203"/>
        </w:trPr>
        <w:tc>
          <w:tcPr>
            <w:tcW w:w="5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Collaboration revenue</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1,058</w:t>
            </w:r>
          </w:p>
        </w:tc>
        <w:tc>
          <w:tcPr>
            <w:tcW w:w="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1,058</w:t>
            </w: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15,374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r>
      <w:tr>
        <w:trPr>
          <w:trHeight w:val="203"/>
        </w:trPr>
        <w:tc>
          <w:tcPr>
            <w:tcW w:w="510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7,298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2,688</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4,610</w:t>
            </w:r>
          </w:p>
        </w:tc>
      </w:tr>
      <w:tr>
        <w:trPr>
          <w:trHeight w:val="203"/>
        </w:trPr>
        <w:tc>
          <w:tcPr>
            <w:tcW w:w="51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In-process research and development</w:t>
            </w: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10,000</w:t>
            </w:r>
          </w:p>
        </w:tc>
      </w:tr>
      <w:tr>
        <w:trPr>
          <w:trHeight w:val="196"/>
        </w:trPr>
        <w:tc>
          <w:tcPr>
            <w:tcW w:w="51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38,494</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rPr>
              <w:t>18,062</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20,432</w:t>
            </w:r>
          </w:p>
        </w:tc>
      </w:tr>
      <w:tr>
        <w:trPr>
          <w:trHeight w:val="196"/>
        </w:trPr>
        <w:tc>
          <w:tcPr>
            <w:tcW w:w="5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(37,436)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(18,062)</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(19,374)</w:t>
            </w:r>
          </w:p>
        </w:tc>
      </w:tr>
      <w:tr>
        <w:trPr>
          <w:trHeight w:val="196"/>
        </w:trPr>
        <w:tc>
          <w:tcPr>
            <w:tcW w:w="5100" w:type="dxa"/>
            <w:vAlign w:val="bottom"/>
          </w:tcPr>
          <w:p>
            <w:pPr>
              <w:ind w:left="20"/>
              <w:spacing w:after="0" w:line="196" w:lineRule="exact"/>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(314)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(314)</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5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28</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w:t>
            </w: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196"/>
        </w:trPr>
        <w:tc>
          <w:tcPr>
            <w:tcW w:w="51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(37,513)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(18,348)$</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(19,165)</w:t>
            </w:r>
          </w:p>
        </w:tc>
      </w:tr>
      <w:tr>
        <w:trPr>
          <w:trHeight w:val="20"/>
        </w:trPr>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83" w:lineRule="exact"/>
        <w:rPr>
          <w:sz w:val="20"/>
          <w:szCs w:val="20"/>
          <w:color w:val="auto"/>
        </w:rPr>
      </w:pPr>
    </w:p>
    <w:p>
      <w:pPr>
        <w:jc w:val="both"/>
        <w:ind w:left="60" w:right="179"/>
        <w:spacing w:after="0" w:line="253" w:lineRule="auto"/>
        <w:rPr>
          <w:sz w:val="20"/>
          <w:szCs w:val="20"/>
          <w:color w:val="auto"/>
        </w:rPr>
      </w:pPr>
      <w:r>
        <w:rPr>
          <w:rFonts w:ascii="Arial" w:cs="Arial" w:eastAsia="Arial" w:hAnsi="Arial"/>
          <w:sz w:val="18"/>
          <w:szCs w:val="18"/>
          <w:color w:val="auto"/>
        </w:rPr>
        <w:t>During the three months ended March 31, 2022, we recognized revenue of $1.2 million under our collaboration agreement with Bristol-Myers Squibb. There was no collaboration revenue recognized during the three months ended March 31, 2021.</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9"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0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Three Months Ended</w:t>
            </w: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Three Months Ended</w:t>
            </w:r>
          </w:p>
        </w:tc>
        <w:tc>
          <w:tcPr>
            <w:tcW w:w="680" w:type="dxa"/>
            <w:vAlign w:val="bottom"/>
            <w:tcBorders>
              <w:top w:val="single" w:sz="8" w:color="auto"/>
            </w:tcBorders>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March 31, 2022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March 31, 2021</w:t>
            </w:r>
          </w:p>
        </w:tc>
        <w:tc>
          <w:tcPr>
            <w:tcW w:w="680" w:type="dxa"/>
            <w:vAlign w:val="bottom"/>
          </w:tcPr>
          <w:p>
            <w:pPr>
              <w:jc w:val="right"/>
              <w:spacing w:after="0"/>
              <w:rPr>
                <w:sz w:val="20"/>
                <w:szCs w:val="20"/>
                <w:color w:val="auto"/>
              </w:rPr>
            </w:pPr>
            <w:r>
              <w:rPr>
                <w:rFonts w:ascii="Arial" w:cs="Arial" w:eastAsia="Arial" w:hAnsi="Arial"/>
                <w:sz w:val="14"/>
                <w:szCs w:val="14"/>
                <w:color w:val="auto"/>
              </w:rPr>
              <w:t>Change</w:t>
            </w:r>
          </w:p>
        </w:tc>
      </w:tr>
      <w:tr>
        <w:trPr>
          <w:trHeight w:val="142"/>
        </w:trPr>
        <w:tc>
          <w:tcPr>
            <w:tcW w:w="50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Personnel and related costs</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9,595</w:t>
            </w:r>
          </w:p>
        </w:tc>
        <w:tc>
          <w:tcPr>
            <w:tcW w:w="4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4,789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$ 4,806</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Facility and other allocated costs</w:t>
            </w: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2,641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2,075</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566</w:t>
            </w: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laboratory</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5,804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4,260</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1,544</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Collaborations</w:t>
            </w: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2,385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2,906</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(521)</w:t>
            </w: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Consulting</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691</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p>
        </w:tc>
      </w:tr>
      <w:tr>
        <w:trPr>
          <w:trHeight w:val="203"/>
        </w:trPr>
        <w:tc>
          <w:tcPr>
            <w:tcW w:w="50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653</w:t>
            </w:r>
          </w:p>
        </w:tc>
        <w:tc>
          <w:tcPr>
            <w:tcW w:w="2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(491)</w:t>
            </w:r>
          </w:p>
        </w:tc>
      </w:tr>
      <w:tr>
        <w:trPr>
          <w:trHeight w:val="196"/>
        </w:trPr>
        <w:tc>
          <w:tcPr>
            <w:tcW w:w="50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research and development expense</w:t>
            </w: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21,196</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15,374</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$ 5,822</w:t>
            </w:r>
          </w:p>
        </w:tc>
      </w:tr>
      <w:tr>
        <w:trPr>
          <w:trHeight w:val="20"/>
        </w:trPr>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Research and development expenses were $21.2 million and $15.4 million for the three months ended March 31, 2022 and 2021. The increase of $5.8 million was primarily due to:</w:t>
      </w:r>
    </w:p>
    <w:p>
      <w:pPr>
        <w:spacing w:after="0" w:line="127" w:lineRule="exact"/>
        <w:rPr>
          <w:sz w:val="20"/>
          <w:szCs w:val="20"/>
          <w:color w:val="auto"/>
        </w:rPr>
      </w:pPr>
    </w:p>
    <w:p>
      <w:pPr>
        <w:ind w:left="380" w:right="359" w:hanging="330"/>
        <w:spacing w:after="0" w:line="252"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personnel-related expenses of $4.8 million, including an increase of stock-based compensation of $1.2 million, which was primarily attributable to an increase in headcount to expand our research and development capabilities;</w:t>
      </w:r>
    </w:p>
    <w:p>
      <w:pPr>
        <w:spacing w:after="0" w:line="130" w:lineRule="exact"/>
        <w:rPr>
          <w:rFonts w:ascii="Times New Roman" w:cs="Times New Roman" w:eastAsia="Times New Roman" w:hAnsi="Times New Roman"/>
          <w:sz w:val="18"/>
          <w:szCs w:val="18"/>
          <w:color w:val="auto"/>
        </w:rPr>
      </w:pPr>
    </w:p>
    <w:p>
      <w:pPr>
        <w:ind w:left="380" w:right="199" w:hanging="330"/>
        <w:spacing w:after="0" w:line="270"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$0.6 million of facility and other allocated costs, including rent and allocated overhead costs as a result of an expansion of our geographic footprint for office and lab space;</w:t>
      </w:r>
    </w:p>
    <w:p>
      <w:pPr>
        <w:spacing w:after="0" w:line="113" w:lineRule="exact"/>
        <w:rPr>
          <w:rFonts w:ascii="Times New Roman" w:cs="Times New Roman" w:eastAsia="Times New Roman" w:hAnsi="Times New Roman"/>
          <w:sz w:val="18"/>
          <w:szCs w:val="18"/>
          <w:color w:val="auto"/>
        </w:rPr>
      </w:pPr>
    </w:p>
    <w:p>
      <w:pPr>
        <w:ind w:left="380" w:right="679" w:hanging="330"/>
        <w:spacing w:after="0" w:line="270"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$1.5 million in research and laboratory costs, including laboratory supplies, preclinical studies, and other external research expenses;</w:t>
      </w:r>
    </w:p>
    <w:p>
      <w:pPr>
        <w:spacing w:after="0" w:line="1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of $0.5 million for collaborative arrangements with FCDI;</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9" w:lineRule="exact"/>
        <w:rPr>
          <w:sz w:val="20"/>
          <w:szCs w:val="20"/>
          <w:color w:val="auto"/>
        </w:rPr>
      </w:pPr>
    </w:p>
    <w:p>
      <w:pPr>
        <w:ind w:left="60" w:right="199"/>
        <w:spacing w:after="0" w:line="257" w:lineRule="auto"/>
        <w:rPr>
          <w:sz w:val="20"/>
          <w:szCs w:val="20"/>
          <w:color w:val="auto"/>
        </w:rPr>
      </w:pPr>
      <w:r>
        <w:rPr>
          <w:rFonts w:ascii="Arial" w:cs="Arial" w:eastAsia="Arial" w:hAnsi="Arial"/>
          <w:sz w:val="17"/>
          <w:szCs w:val="17"/>
          <w:color w:val="auto"/>
        </w:rPr>
        <w:t>General and administrative expenses were $7.3 million for the three months ended March 31, 2022 and $2.7 million for three months ended March 31, 2021. The increase of $ 4.6 million was primarily due to increased personnel-related expenses of $2.3 million, including an increase of stock-based compensation of $1.0 million, primarily attributable to an increase in headcount to build our infrastructure, increased directors’ and officers’ insurance expense of $0.7 million, and increased professional fees of $0.9 million relating to accounting, audit and legal services as well as costs associated with ongoing business activities and operating as a public company, and increased information technology and facility costs, including rent, of $0.7 million.</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69"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In-process research and development expenses was $10 million for the three months ended March 31, 2022. As a direct result of the execution of the Collaboration Agreement with Bristol-Myers Squibb, the Company incurred $10 million in fees to amend the FCDI agreement to gain access to the territory rights of Japan. See Note 11 to our consolidated financial statements. There was no in-process research and development expenses for the three months ended March 31, 2021.</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3"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Interest expense was $0.3 million for the three months ended March 31, 2022 and 2021, which related to our Loan Agreement with Hercules.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9"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Interest income was $253 thousand for the three months ended March 31, 2022 and $28 thousand for the three months ended March 31, 2021, which included interest earned on our cash, cash equivalents, and investment balances.</w:t>
      </w:r>
    </w:p>
    <w:p>
      <w:pPr>
        <w:spacing w:after="0" w:line="344" w:lineRule="exact"/>
        <w:rPr>
          <w:sz w:val="20"/>
          <w:szCs w:val="20"/>
          <w:color w:val="auto"/>
        </w:rPr>
      </w:pPr>
    </w:p>
    <w:p>
      <w:pPr>
        <w:ind w:left="60" w:right="4419"/>
        <w:spacing w:after="0" w:line="438" w:lineRule="auto"/>
        <w:rPr>
          <w:sz w:val="20"/>
          <w:szCs w:val="20"/>
          <w:color w:val="auto"/>
        </w:rPr>
      </w:pPr>
      <w:r>
        <w:rPr>
          <w:rFonts w:ascii="Arial" w:cs="Arial" w:eastAsia="Arial" w:hAnsi="Arial"/>
          <w:sz w:val="18"/>
          <w:szCs w:val="18"/>
          <w:b w:val="1"/>
          <w:bCs w:val="1"/>
          <w:color w:val="auto"/>
        </w:rPr>
        <w:t xml:space="preserve">Liquidity, capital resources, and capital requirements </w:t>
      </w:r>
      <w:r>
        <w:rPr>
          <w:rFonts w:ascii="Arial" w:cs="Arial" w:eastAsia="Arial" w:hAnsi="Arial"/>
          <w:sz w:val="18"/>
          <w:szCs w:val="18"/>
          <w:b w:val="1"/>
          <w:bCs w:val="1"/>
          <w:i w:val="1"/>
          <w:iCs w:val="1"/>
          <w:color w:val="auto"/>
        </w:rPr>
        <w:t>Sources of liquidity</w:t>
      </w:r>
    </w:p>
    <w:p>
      <w:pPr>
        <w:spacing w:after="0" w:line="1"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To date, we have funded our operations from the issuance and sale of our equity securities, debt financing and collaboration revenues. Since our inception, we have raised approximately $591 million in net proceeds from the sales of our equity securities. As of March 31, 2022, we had cash, and cash equivalents of $126.0 million and investments of $340.3 million. Based on our research and development plans, we believe our existing cash, cash equivalents and investments, will be sufficient to fund our operating expenses and capital expenditures requirements into 2025. Since our inception, we have incurred significant operating losses. We have not yet commercialized any products and we do not expect to generate revenue from sales of any product candidates for a number of years, if ever. We had an accumulated deficit of $425.7 million as of March 31, 2022. As further described in Note 3 of our consolidated financial statements, we obtained a cash capital commitment from Bayer totaling $215 million, from which net proceeds of $ 74.8 million were received in June 2019, $38.1 million were received in November 2020 and $31.9 million were received in January 2021. The commitment agreement terminated in connection with the Series C Financing, and Bayer has no continuing obligation to invest any additional amounts thereunder. As further described in Note 9 of our consolidated financial statements, we entered into a Loan Agreement with Hercules, pursuant to which net proceeds of $9.6 million were received by us in September 2020. As further described in Note 10 of our consolidated financial statements, in February 2021, we sold 24,721,999 shares of our Series C preferred stock to certain institutional investors for net proceeds of approximately $ 159.6 million. Upon the closing of our IPO, the Series C preferred stock automatically converted into 9,825,513 shares of common stock. On June 22, 2021, we closed our IPO in which we issued and sold 12,132,500 shares of our common stock at a public offering price of $20.00 per share. We received net proceeds of $ 221.2 million after deducting underwriting discounts and commissions and other expenses. As described in Note 11, in January 2022 we entered into a Collaboration Agreement with Bristol-Myers Squibb resulting in an upfront payment of $100 million. In connection with the Collaboration Agreement, Bristol-Myers Squibb also purchased 2,160,760 shares of our common stock at a price per share of $23.14, for an aggregate purchase price of $50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6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Based on our current business plans, we believe that our existing cash, cash equivalents, and investments, as of March 31, 2022 will be sufficient for us to fund our operating expenses and capital expenditure requirements for at least the next 12 months after this filing. We have based this estimate on assumptions that may prove to be wrong, and we could exhaust our available capital resources sooner than we expect. However,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85" w:lineRule="exact"/>
        <w:rPr>
          <w:sz w:val="20"/>
          <w:szCs w:val="20"/>
          <w:color w:val="auto"/>
        </w:rPr>
      </w:pPr>
    </w:p>
    <w:p>
      <w:pPr>
        <w:ind w:left="380" w:right="319" w:hanging="330"/>
        <w:spacing w:after="0" w:line="270"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19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183" w:lineRule="exact"/>
        <w:rPr>
          <w:rFonts w:ascii="Times New Roman" w:cs="Times New Roman" w:eastAsia="Times New Roman" w:hAnsi="Times New Roman"/>
          <w:sz w:val="18"/>
          <w:szCs w:val="18"/>
          <w:color w:val="auto"/>
        </w:rPr>
      </w:pPr>
    </w:p>
    <w:p>
      <w:pPr>
        <w:ind w:left="380" w:right="299" w:hanging="330"/>
        <w:spacing w:after="0" w:line="270"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13" w:lineRule="exact"/>
        <w:rPr>
          <w:rFonts w:ascii="Times New Roman" w:cs="Times New Roman" w:eastAsia="Times New Roman" w:hAnsi="Times New Roman"/>
          <w:sz w:val="18"/>
          <w:szCs w:val="18"/>
          <w:color w:val="auto"/>
        </w:rPr>
      </w:pPr>
    </w:p>
    <w:p>
      <w:pPr>
        <w:ind w:left="380" w:right="219" w:hanging="330"/>
        <w:spacing w:after="0" w:line="246"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149" w:lineRule="exact"/>
        <w:rPr>
          <w:rFonts w:ascii="Times New Roman" w:cs="Times New Roman" w:eastAsia="Times New Roman" w:hAnsi="Times New Roman"/>
          <w:sz w:val="18"/>
          <w:szCs w:val="18"/>
          <w:color w:val="auto"/>
        </w:rPr>
      </w:pPr>
    </w:p>
    <w:p>
      <w:pPr>
        <w:ind w:left="380" w:right="139" w:hanging="330"/>
        <w:spacing w:after="0" w:line="252"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30" w:lineRule="exact"/>
        <w:rPr>
          <w:rFonts w:ascii="Times New Roman" w:cs="Times New Roman" w:eastAsia="Times New Roman" w:hAnsi="Times New Roman"/>
          <w:sz w:val="18"/>
          <w:szCs w:val="18"/>
          <w:color w:val="auto"/>
        </w:rPr>
      </w:pPr>
    </w:p>
    <w:p>
      <w:pPr>
        <w:ind w:left="380" w:right="779" w:hanging="330"/>
        <w:spacing w:after="0" w:line="270"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attract, hire and retain, skilled personnel;</w:t>
      </w:r>
    </w:p>
    <w:p>
      <w:pPr>
        <w:spacing w:after="0" w:line="19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183" w:lineRule="exact"/>
        <w:rPr>
          <w:rFonts w:ascii="Times New Roman" w:cs="Times New Roman" w:eastAsia="Times New Roman" w:hAnsi="Times New Roman"/>
          <w:sz w:val="18"/>
          <w:szCs w:val="18"/>
          <w:color w:val="auto"/>
        </w:rPr>
      </w:pPr>
    </w:p>
    <w:p>
      <w:pPr>
        <w:ind w:left="380" w:right="779" w:hanging="330"/>
        <w:spacing w:after="0" w:line="270"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payors;</w:t>
      </w:r>
    </w:p>
    <w:p>
      <w:pPr>
        <w:spacing w:after="0" w:line="113" w:lineRule="exact"/>
        <w:rPr>
          <w:rFonts w:ascii="Times New Roman" w:cs="Times New Roman" w:eastAsia="Times New Roman" w:hAnsi="Times New Roman"/>
          <w:sz w:val="18"/>
          <w:szCs w:val="18"/>
          <w:color w:val="auto"/>
        </w:rPr>
      </w:pPr>
    </w:p>
    <w:p>
      <w:pPr>
        <w:ind w:left="380" w:right="279" w:hanging="330"/>
        <w:spacing w:after="0" w:line="270"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potential interruptions or delays resulting from factors related to the COVID-19 pandemic, including the emergence of new variants of COVID-19;</w:t>
      </w:r>
    </w:p>
    <w:p>
      <w:pPr>
        <w:spacing w:after="0" w:line="154"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 and</w:t>
      </w:r>
    </w:p>
    <w:p>
      <w:pPr>
        <w:spacing w:after="0" w:line="19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18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the proceeds from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COVID-19 pandemic, political unrest and hostilities, war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color w:val="auto"/>
              </w:rPr>
              <w:t>Three months ended</w:t>
            </w:r>
          </w:p>
        </w:tc>
        <w:tc>
          <w:tcPr>
            <w:tcW w:w="1580" w:type="dxa"/>
            <w:vAlign w:val="bottom"/>
            <w:gridSpan w:val="3"/>
          </w:tcPr>
          <w:p>
            <w:pPr>
              <w:ind w:left="20"/>
              <w:spacing w:after="0"/>
              <w:rPr>
                <w:sz w:val="20"/>
                <w:szCs w:val="20"/>
                <w:color w:val="auto"/>
              </w:rPr>
            </w:pPr>
            <w:r>
              <w:rPr>
                <w:rFonts w:ascii="Arial" w:cs="Arial" w:eastAsia="Arial" w:hAnsi="Arial"/>
                <w:sz w:val="14"/>
                <w:szCs w:val="14"/>
                <w:color w:val="auto"/>
              </w:rPr>
              <w:t>Three months ended</w:t>
            </w:r>
          </w:p>
        </w:tc>
      </w:tr>
      <w:tr>
        <w:trPr>
          <w:trHeight w:val="171"/>
        </w:trPr>
        <w:tc>
          <w:tcPr>
            <w:tcW w:w="5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March 31, 2022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March 31, 2021</w:t>
            </w:r>
          </w:p>
        </w:tc>
        <w:tc>
          <w:tcPr>
            <w:tcW w:w="2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60" w:type="dxa"/>
            <w:vAlign w:val="bottom"/>
            <w:gridSpan w:val="4"/>
          </w:tcPr>
          <w:p>
            <w:pPr>
              <w:jc w:val="right"/>
              <w:ind w:right="994"/>
              <w:spacing w:after="0" w:line="142" w:lineRule="exact"/>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r>
      <w:tr>
        <w:trPr>
          <w:trHeight w:val="203"/>
        </w:trPr>
        <w:tc>
          <w:tcPr>
            <w:tcW w:w="5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provided by (used in):</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Operating activities</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86,753</w:t>
            </w:r>
          </w:p>
        </w:tc>
        <w:tc>
          <w:tcPr>
            <w:tcW w:w="20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(22,179)</w:t>
            </w:r>
          </w:p>
        </w:tc>
        <w:tc>
          <w:tcPr>
            <w:tcW w:w="20" w:type="dxa"/>
            <w:vAlign w:val="bottom"/>
          </w:tcPr>
          <w:p>
            <w:pPr>
              <w:spacing w:after="0"/>
              <w:rPr>
                <w:sz w:val="17"/>
                <w:szCs w:val="17"/>
                <w:color w:val="auto"/>
              </w:rPr>
            </w:pPr>
          </w:p>
        </w:tc>
      </w:tr>
      <w:tr>
        <w:trPr>
          <w:trHeight w:val="203"/>
        </w:trPr>
        <w:tc>
          <w:tcPr>
            <w:tcW w:w="5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(44,037)</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(119,034)</w:t>
            </w:r>
          </w:p>
        </w:tc>
        <w:tc>
          <w:tcPr>
            <w:tcW w:w="20" w:type="dxa"/>
            <w:vAlign w:val="bottom"/>
            <w:shd w:val="clear" w:color="auto" w:fill="CCEEFF"/>
          </w:tcPr>
          <w:p>
            <w:pPr>
              <w:spacing w:after="0"/>
              <w:rPr>
                <w:sz w:val="17"/>
                <w:szCs w:val="17"/>
                <w:color w:val="auto"/>
              </w:rPr>
            </w:pPr>
          </w:p>
        </w:tc>
      </w:tr>
      <w:tr>
        <w:trPr>
          <w:trHeight w:val="203"/>
        </w:trPr>
        <w:tc>
          <w:tcPr>
            <w:tcW w:w="58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Financing activities</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26,878</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74"/>
              <w:spacing w:after="0" w:line="202" w:lineRule="exact"/>
              <w:rPr>
                <w:sz w:val="20"/>
                <w:szCs w:val="20"/>
                <w:color w:val="auto"/>
              </w:rPr>
            </w:pPr>
            <w:r>
              <w:rPr>
                <w:rFonts w:ascii="Arial" w:cs="Arial" w:eastAsia="Arial" w:hAnsi="Arial"/>
                <w:sz w:val="18"/>
                <w:szCs w:val="18"/>
                <w:color w:val="auto"/>
              </w:rPr>
              <w:t>193,485</w:t>
            </w:r>
          </w:p>
        </w:tc>
        <w:tc>
          <w:tcPr>
            <w:tcW w:w="20" w:type="dxa"/>
            <w:vAlign w:val="bottom"/>
            <w:tcBorders>
              <w:bottom w:val="single" w:sz="8" w:color="CCEEFF"/>
            </w:tcBorders>
          </w:tcPr>
          <w:p>
            <w:pPr>
              <w:spacing w:after="0"/>
              <w:rPr>
                <w:sz w:val="17"/>
                <w:szCs w:val="17"/>
                <w:color w:val="auto"/>
              </w:rPr>
            </w:pPr>
          </w:p>
        </w:tc>
      </w:tr>
      <w:tr>
        <w:trPr>
          <w:trHeight w:val="196"/>
        </w:trPr>
        <w:tc>
          <w:tcPr>
            <w:tcW w:w="5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increase in cash, cash equivalents, and restricted cash</w:t>
            </w: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69,594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74"/>
              <w:spacing w:after="0" w:line="196" w:lineRule="exact"/>
              <w:rPr>
                <w:sz w:val="20"/>
                <w:szCs w:val="20"/>
                <w:color w:val="auto"/>
              </w:rPr>
            </w:pPr>
            <w:r>
              <w:rPr>
                <w:rFonts w:ascii="Arial" w:cs="Arial" w:eastAsia="Arial" w:hAnsi="Arial"/>
                <w:sz w:val="18"/>
                <w:szCs w:val="18"/>
                <w:color w:val="auto"/>
              </w:rPr>
              <w:t>52,272</w:t>
            </w:r>
          </w:p>
        </w:tc>
        <w:tc>
          <w:tcPr>
            <w:tcW w:w="20" w:type="dxa"/>
            <w:vAlign w:val="bottom"/>
            <w:shd w:val="clear" w:color="auto" w:fill="CCEEFF"/>
          </w:tcPr>
          <w:p>
            <w:pPr>
              <w:spacing w:after="0"/>
              <w:rPr>
                <w:sz w:val="17"/>
                <w:szCs w:val="17"/>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Net cash provided by (used in) operating activities was $86.8 million and ($22.2) million for the three months ended March 31, 2022 and 2021, respectively. Net cash provided by operating activities during the three months ended March 31, 2022 consisted primarily of our deferred revenue of $122.1 million from our collaboration agreement with Bristol-Myers Squibb partially offset by our net loss of $37.5 million and net cash outflows from decreases in our accounts payable of $1.5 million, and accrued expenses of $1.2 million.</w:t>
      </w:r>
    </w:p>
    <w:p>
      <w:pPr>
        <w:spacing w:after="0" w:line="136" w:lineRule="exact"/>
        <w:rPr>
          <w:sz w:val="20"/>
          <w:szCs w:val="20"/>
          <w:color w:val="auto"/>
        </w:rPr>
      </w:pPr>
    </w:p>
    <w:p>
      <w:pPr>
        <w:jc w:val="both"/>
        <w:ind w:left="60" w:right="199"/>
        <w:spacing w:after="0" w:line="247" w:lineRule="auto"/>
        <w:rPr>
          <w:sz w:val="20"/>
          <w:szCs w:val="20"/>
          <w:color w:val="auto"/>
        </w:rPr>
      </w:pPr>
      <w:r>
        <w:rPr>
          <w:rFonts w:ascii="Arial" w:cs="Arial" w:eastAsia="Arial" w:hAnsi="Arial"/>
          <w:sz w:val="18"/>
          <w:szCs w:val="18"/>
          <w:color w:val="auto"/>
        </w:rPr>
        <w:t>Net cash used in operating activities during the three months ended March 31, 2021 consisted primarily of our net loss of $18.3 million and net cash outflows from decreases in our accounts payable and accrued expenses and other liabilities of $5.2 million partially offset by non-cash charges of $1.1 million. The non-cash charges of $1.1 million consisted primarily of $0.7 million for depreciation expense.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Cash used in investing activities was $44.0 million, and $119.0 million for the three months ended March 31, 2022 and 2021, respectively. Cash used in investing activities for the three months ended March 31, 2022 consisted primarily of net purchases of fixed maturity securities of $40.0 million and purchases of property and equipment of $4.1 million.</w:t>
      </w:r>
    </w:p>
    <w:p>
      <w:pPr>
        <w:spacing w:after="0" w:line="133" w:lineRule="exact"/>
        <w:rPr>
          <w:sz w:val="20"/>
          <w:szCs w:val="20"/>
          <w:color w:val="auto"/>
        </w:rPr>
      </w:pPr>
    </w:p>
    <w:p>
      <w:pPr>
        <w:ind w:left="60" w:right="79"/>
        <w:spacing w:after="0" w:line="301" w:lineRule="auto"/>
        <w:rPr>
          <w:sz w:val="20"/>
          <w:szCs w:val="20"/>
          <w:color w:val="auto"/>
        </w:rPr>
      </w:pPr>
      <w:r>
        <w:rPr>
          <w:rFonts w:ascii="Arial" w:cs="Arial" w:eastAsia="Arial" w:hAnsi="Arial"/>
          <w:sz w:val="17"/>
          <w:szCs w:val="17"/>
          <w:color w:val="auto"/>
        </w:rPr>
        <w:t>Cash used in investing activities for the three months ended March 31, 2021 consisted primarily of net purchases of fixed maturity securities of $117.2 million and purchases of property and equipment of $1.9 million.</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provided by financing activities was $26.9 million, and $193.5 million for the three months ended March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31, 2022 and 2021, respectively. Cash provided by financing activities consisted primarily of net proceeds of</w:t>
      </w:r>
    </w:p>
    <w:p>
      <w:pPr>
        <w:ind w:left="60"/>
        <w:spacing w:after="0" w:line="234" w:lineRule="auto"/>
        <w:rPr>
          <w:sz w:val="20"/>
          <w:szCs w:val="20"/>
          <w:color w:val="auto"/>
        </w:rPr>
      </w:pPr>
      <w:r>
        <w:rPr>
          <w:rFonts w:ascii="Arial" w:cs="Arial" w:eastAsia="Arial" w:hAnsi="Arial"/>
          <w:sz w:val="18"/>
          <w:szCs w:val="18"/>
          <w:color w:val="auto"/>
        </w:rPr>
        <w:t>$26.8 million from Bristol-Myers Squibb for the purchase of our common stock, and cash of $65 thousand from</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issuance of our common stock from equity incentive plans pursuant to the exercise of employee stock options.</w:t>
      </w:r>
    </w:p>
    <w:p>
      <w:pPr>
        <w:spacing w:after="0" w:line="113" w:lineRule="exact"/>
        <w:rPr>
          <w:sz w:val="20"/>
          <w:szCs w:val="20"/>
          <w:color w:val="auto"/>
        </w:rPr>
      </w:pPr>
    </w:p>
    <w:p>
      <w:pPr>
        <w:jc w:val="both"/>
        <w:ind w:left="60" w:right="499"/>
        <w:spacing w:after="0" w:line="253" w:lineRule="auto"/>
        <w:rPr>
          <w:sz w:val="20"/>
          <w:szCs w:val="20"/>
          <w:color w:val="auto"/>
        </w:rPr>
      </w:pPr>
      <w:r>
        <w:rPr>
          <w:rFonts w:ascii="Arial" w:cs="Arial" w:eastAsia="Arial" w:hAnsi="Arial"/>
          <w:sz w:val="18"/>
          <w:szCs w:val="18"/>
          <w:color w:val="auto"/>
        </w:rPr>
        <w:t>Cash provided by financing activities for the three months ended March 31, 2021 consisted primarily of the $31.9 million subscription receivable, the sale of our Series C preferred shares of $159.6 million, and cash resulting from the Prior Century-CenturyTx, Inc. merger of $2.4 million.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significant contractual obligations and commitments as of March 31, 2022:</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720" w:type="dxa"/>
            <w:vAlign w:val="bottom"/>
            <w:tcBorders>
              <w:top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Payments Due by Period</w:t>
            </w:r>
          </w:p>
        </w:tc>
      </w:tr>
      <w:tr>
        <w:trPr>
          <w:trHeight w:val="156"/>
        </w:trPr>
        <w:tc>
          <w:tcPr>
            <w:tcW w:w="3720" w:type="dxa"/>
            <w:vAlign w:val="bottom"/>
          </w:tcPr>
          <w:p>
            <w:pPr>
              <w:spacing w:after="0"/>
              <w:rPr>
                <w:sz w:val="13"/>
                <w:szCs w:val="13"/>
                <w:color w:val="auto"/>
              </w:rPr>
            </w:pPr>
          </w:p>
        </w:tc>
        <w:tc>
          <w:tcPr>
            <w:tcW w:w="880" w:type="dxa"/>
            <w:vAlign w:val="bottom"/>
            <w:tcBorders>
              <w:bottom w:val="single" w:sz="8" w:color="auto"/>
            </w:tcBorders>
            <w:gridSpan w:val="2"/>
          </w:tcPr>
          <w:p>
            <w:pPr>
              <w:ind w:left="220"/>
              <w:spacing w:after="0" w:line="155" w:lineRule="exact"/>
              <w:rPr>
                <w:sz w:val="20"/>
                <w:szCs w:val="20"/>
                <w:color w:val="auto"/>
              </w:rPr>
            </w:pPr>
            <w:r>
              <w:rPr>
                <w:rFonts w:ascii="Arial" w:cs="Arial" w:eastAsia="Arial" w:hAnsi="Arial"/>
                <w:sz w:val="14"/>
                <w:szCs w:val="14"/>
                <w:color w:val="auto"/>
              </w:rPr>
              <w:t>1 Year</w:t>
            </w:r>
          </w:p>
        </w:tc>
        <w:tc>
          <w:tcPr>
            <w:tcW w:w="102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1 to 3 Years</w:t>
            </w:r>
          </w:p>
        </w:tc>
        <w:tc>
          <w:tcPr>
            <w:tcW w:w="104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3 to 5 Years</w:t>
            </w:r>
          </w:p>
        </w:tc>
        <w:tc>
          <w:tcPr>
            <w:tcW w:w="12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More than 5 Years</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Total</w:t>
            </w:r>
          </w:p>
        </w:tc>
      </w:tr>
      <w:tr>
        <w:trPr>
          <w:trHeight w:val="155"/>
        </w:trPr>
        <w:tc>
          <w:tcPr>
            <w:tcW w:w="37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(in thousands)</w:t>
            </w:r>
          </w:p>
        </w:tc>
      </w:tr>
      <w:tr>
        <w:trPr>
          <w:trHeight w:val="196"/>
        </w:trPr>
        <w:tc>
          <w:tcPr>
            <w:tcW w:w="3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leases</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$ 2,762</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5,387</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5,523</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15,524</w:t>
            </w: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$ 29,196</w:t>
            </w: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6,550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3,845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10,395</w:t>
            </w:r>
          </w:p>
        </w:tc>
      </w:tr>
      <w:tr>
        <w:trPr>
          <w:trHeight w:val="216"/>
        </w:trPr>
        <w:tc>
          <w:tcPr>
            <w:tcW w:w="372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Interest on long-term debt </w:t>
            </w:r>
            <w:r>
              <w:rPr>
                <w:rFonts w:ascii="Arial" w:cs="Arial" w:eastAsia="Arial" w:hAnsi="Arial"/>
                <w:sz w:val="25"/>
                <w:szCs w:val="25"/>
                <w:color w:val="auto"/>
                <w:vertAlign w:val="superscript"/>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60" w:right="619" w:hanging="10"/>
        <w:spacing w:after="0" w:line="264" w:lineRule="auto"/>
        <w:tabs>
          <w:tab w:leader="none" w:pos="374"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Reflects minimum interest payable under the Loan Agreement. Payment herein subject to variable rate debt have been estimated.</w:t>
      </w:r>
    </w:p>
    <w:p>
      <w:pPr>
        <w:spacing w:after="0" w:line="11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Other than as disclosed in the table above, the payment obligations under our license, collaboration, and acquisition agreements as of March 31, 2022 are contingent upon future events such as our achievement of pre- specified development, regulatory, and commercial milestones, or royalties on net product sales. As of March 31, 2022, the timing and likelihood of achieving the milestones and success payments and generating future product sales are uncertain and therefore, any related payments are not included in the table above. We have commitments under operating leases for certain facilities used in our operations. Our leases have initial lease terms ranging from 5 to 16 years. We entered into one lease that had not commenced at March 31, 2022. As a result, future lease payments of approximately $0.8 million in 1 year, $3.2 million in 1 to 3 years, $3.3 million in 3 to 5 years and $10.1 million in more than 5 years are not included within the table above.</w:t>
      </w:r>
    </w:p>
    <w:p>
      <w:pPr>
        <w:spacing w:after="0" w:line="156"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12 to our unaudited consolidated financial statements for additional information.</w:t>
      </w:r>
    </w:p>
    <w:p>
      <w:pPr>
        <w:spacing w:after="0" w:line="133" w:lineRule="exact"/>
        <w:rPr>
          <w:sz w:val="20"/>
          <w:szCs w:val="20"/>
          <w:color w:val="auto"/>
        </w:rPr>
      </w:pPr>
    </w:p>
    <w:p>
      <w:pPr>
        <w:jc w:val="both"/>
        <w:ind w:left="60" w:right="219"/>
        <w:spacing w:after="0" w:line="253" w:lineRule="auto"/>
        <w:rPr>
          <w:sz w:val="20"/>
          <w:szCs w:val="20"/>
          <w:color w:val="auto"/>
        </w:rPr>
      </w:pPr>
      <w:r>
        <w:rPr>
          <w:rFonts w:ascii="Arial" w:cs="Arial" w:eastAsia="Arial" w:hAnsi="Arial"/>
          <w:sz w:val="18"/>
          <w:szCs w:val="18"/>
          <w:color w:val="auto"/>
        </w:rPr>
        <w:t>We have entered into a $10.0 million Term Loan Agreement with Hercules. Amounts borrowed under the Loan Agreement have an interest-only period of up to 24 months and a maturity date of April 1, 2024. See Note 9 to our unaudited consolidated financial statements for additional information.</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85"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color w:val="auto"/>
        </w:rPr>
        <w:t>Since our inception, we have not engaged in any off-balance sheet arrangements as defined under the rules and regulations of the SEC.</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171"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149" w:lineRule="exact"/>
        <w:rPr>
          <w:sz w:val="20"/>
          <w:szCs w:val="20"/>
          <w:color w:val="auto"/>
        </w:rPr>
      </w:pPr>
    </w:p>
    <w:p>
      <w:pPr>
        <w:ind w:left="380" w:right="639" w:hanging="330"/>
        <w:spacing w:after="0" w:line="270"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presenting reduced disclosure about our executive compensation arrangements;</w:t>
      </w:r>
    </w:p>
    <w:p>
      <w:pPr>
        <w:spacing w:after="0" w:line="183" w:lineRule="exact"/>
        <w:rPr>
          <w:rFonts w:ascii="Times New Roman" w:cs="Times New Roman" w:eastAsia="Times New Roman" w:hAnsi="Times New Roman"/>
          <w:sz w:val="18"/>
          <w:szCs w:val="18"/>
          <w:color w:val="auto"/>
        </w:rPr>
      </w:pPr>
    </w:p>
    <w:p>
      <w:pPr>
        <w:ind w:left="380" w:right="179" w:hanging="330"/>
        <w:spacing w:after="0" w:line="252"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539" w:hanging="330"/>
        <w:spacing w:after="0" w:line="270"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1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8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40"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We will remain an emerging growth company until the earliest of (i) December 31, 2026, (ii) the last day of the fiscal year in which we have total annual gross revenue of at least $1.07 billion, (iii)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5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71"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Refer to Note 2, Summary of Significant Accounting Policies, included in Part I, Item 1 of this Quarterly Report on Form 10-Q for a discussion of our critical accounting policies.</w:t>
      </w:r>
    </w:p>
    <w:p>
      <w:pPr>
        <w:spacing w:after="0" w:line="127"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color w:val="auto"/>
        </w:rPr>
        <w:t>During the three months ended March 31, 2022, there were no material changes to our critical accounting policies from those described in our audited financial statements for the year ended December 31, 2021 included in the our Annual Report on Form 10-K filed with the SEC on March 17, 2022, except as noted below.</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102"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We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recognize revenue in accordance with ASC Topic 606, Revenue from Contracts with Customers, or ASC</w:t>
      </w:r>
    </w:p>
    <w:p>
      <w:pPr>
        <w:spacing w:after="0" w:line="14" w:lineRule="exact"/>
        <w:rPr>
          <w:sz w:val="20"/>
          <w:szCs w:val="20"/>
          <w:color w:val="auto"/>
        </w:rPr>
      </w:pPr>
    </w:p>
    <w:p>
      <w:pPr>
        <w:ind w:left="60" w:right="299" w:hanging="10"/>
        <w:spacing w:after="0" w:line="279"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standard applies to all contracts with customers. When an agreement falls under the scope of other standards, such as ASC Topic 808, Collaborative Arrangements, or ASC 808, we will apply the recognition,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spacing w:after="0" w:line="61"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we satisfy each performance obligation.</w:t>
      </w:r>
    </w:p>
    <w:p>
      <w:pPr>
        <w:spacing w:after="0" w:line="7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As part of the accounting for these arrangements, we must use its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We also apply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non-current.</w:t>
      </w:r>
    </w:p>
    <w:p>
      <w:pPr>
        <w:spacing w:after="0" w:line="78"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We evaluate the customer options for material rights or options to acquire additional goods or services for free or at a discount. If the customer options are not determined to represent a material right, no transaction price is allocated to these options and we will account for these options at that time they are exercised. If the customer options are determined to represent a material right, the material right is recognized as a separate performance obligation at the outset of the arrangement.</w:t>
      </w:r>
    </w:p>
    <w:p>
      <w:pPr>
        <w:spacing w:after="0" w:line="72"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The promises under our collaboration agreements may include research and development services to be performed by us for or on behalf of the customer. Amounts allocated to these performance obligations are recognized as we perform these obligations, and revenue is measures based on an inputs method of costs incurred to date of budgeted costs. Under certain circumstances, we may be reimbursed for certain expenses incurred under the research and development services.</w:t>
      </w:r>
    </w:p>
    <w:p>
      <w:pPr>
        <w:spacing w:after="0" w:line="6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At the inception of each arrangement that includes development milestone payments, we evaluate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us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we reevaluate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5"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9"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We had cash, cash equivalents, and restricted cash of $127.8 million as of March 31, 2022, which consisted of bank deposits and money market funds. We also had investments of $340.3 million as of March 31, 2022. Our primary exposure to market risk is interest income sensitivity, which is affected by changes in the general level of U.S. interest rates. However, because of the low risk profile of the instruments in our portfolio, a change in market interest rates would not have a material impact on our financial condition and/or results of operations. Additionally, we had the $10.0 million borrowing related to the Loan Agreement in September 2020 with a floating interest rate per annum (based on a year of 360 days) equal to (i) the sum of (a) the greater of 6.30% plus (b) the prime rate as reported in The Wall Street Journal on the last business day of the month that immediately precedes the month in which the interest will accrue, or (ii) 9.55%. We are therefore exposed to changes in variable United States interest rates on borrowings under our Loan Agreement. A hypothetical 1% increase in interest rates would not result in a material impact to our business.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69" w:lineRule="exact"/>
        <w:rPr>
          <w:sz w:val="20"/>
          <w:szCs w:val="20"/>
          <w:color w:val="auto"/>
        </w:rPr>
      </w:pPr>
    </w:p>
    <w:p>
      <w:pPr>
        <w:ind w:left="60" w:right="59"/>
        <w:spacing w:after="0" w:line="24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disclosures controls and procedures, as defined in Rules 13a-15(e) and 15d-</w:t>
      </w:r>
    </w:p>
    <w:p>
      <w:pPr>
        <w:ind w:left="60" w:right="79"/>
        <w:spacing w:after="0" w:line="236" w:lineRule="auto"/>
        <w:rPr>
          <w:sz w:val="20"/>
          <w:szCs w:val="20"/>
          <w:color w:val="auto"/>
        </w:rPr>
      </w:pPr>
      <w:r>
        <w:rPr>
          <w:rFonts w:ascii="Arial" w:cs="Arial" w:eastAsia="Arial" w:hAnsi="Arial"/>
          <w:sz w:val="18"/>
          <w:szCs w:val="18"/>
          <w:color w:val="auto"/>
        </w:rPr>
        <w:t>15(e) under the Exchange Act, as of March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2022, our principal executive officer and principal financial officer concluded that, as of such date, our disclosure controls and procedures were effective at a reasonable assurance level.</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3" w:lineRule="exact"/>
        <w:rPr>
          <w:sz w:val="20"/>
          <w:szCs w:val="20"/>
          <w:color w:val="auto"/>
        </w:rPr>
      </w:pPr>
    </w:p>
    <w:p>
      <w:pPr>
        <w:jc w:val="both"/>
        <w:ind w:left="60" w:right="699"/>
        <w:spacing w:after="0" w:line="253" w:lineRule="auto"/>
        <w:rPr>
          <w:sz w:val="20"/>
          <w:szCs w:val="20"/>
          <w:color w:val="auto"/>
        </w:rPr>
      </w:pPr>
      <w:r>
        <w:rPr>
          <w:rFonts w:ascii="Arial" w:cs="Arial" w:eastAsia="Arial" w:hAnsi="Arial"/>
          <w:sz w:val="18"/>
          <w:szCs w:val="18"/>
          <w:color w:val="auto"/>
        </w:rPr>
        <w:t>Management determined that, as of March 31, 2022,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71"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Our management believes that there are currently no claims or actions pending against us, the ultimate disposition of which would have a material adverse effect on our results of operations, financial condition or cash flows.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There have been no material changes in our risk factors from those disclosed in our Annual Report on Form 10-K for the year ended December 31, 2021.</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Use of Proceeds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Proceeds</w:t>
      </w:r>
    </w:p>
    <w:p>
      <w:pPr>
        <w:spacing w:after="0" w:line="169"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color w:val="auto"/>
        </w:rPr>
        <w:t>On June 22, 2021, we completed our IPO. Our registration statement on Form S-1 (File No. 333- 256648) relating to the IPO was declared effective by the SEC on June 17, 2021. We issued an aggregate of 12,132,500 shares of our common stock at a price of $20.00 per share for aggregate net cash proceeds of $221.4 million, after deducting approximately $17.0 million in underwriting discounts and commissions and approximately $4.0 million in other offering costs. None of the expenses associated with the IPO were paid to directors, officers, persons owning 10% or more of any class of equity securities, or to their associates, or to our affiliates.</w:t>
      </w:r>
    </w:p>
    <w:p>
      <w:pPr>
        <w:spacing w:after="0" w:line="138"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The sale and issuance of 12,132,500 shares in the IPO closed on June 22, 2021. J.P. Morgan, BofA Securities, SVB Leerink and Piper Sandler acted as joint book-running managers for the IPO.</w:t>
      </w:r>
    </w:p>
    <w:p>
      <w:pPr>
        <w:spacing w:after="0" w:line="113"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June 21, 2021.</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Dividends</w:t>
      </w:r>
    </w:p>
    <w:p>
      <w:pPr>
        <w:spacing w:after="0" w:line="183"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Our ability to pay cash dividends is currently restricted by the terms of our Loan and Security Agreement with Hercules Capital, Inc., as discussed in Note 9 - “Long term debt” in the notes to our consolidated financial statements.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5648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0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7880" w:type="dxa"/>
            <w:vAlign w:val="bottom"/>
            <w:gridSpan w:val="15"/>
          </w:tcPr>
          <w:p>
            <w:pPr>
              <w:spacing w:after="0"/>
              <w:rPr>
                <w:rFonts w:ascii="Arial" w:cs="Arial" w:eastAsia="Arial" w:hAnsi="Arial"/>
                <w:sz w:val="18"/>
                <w:szCs w:val="18"/>
                <w:color w:val="0000EE"/>
              </w:rPr>
            </w:pPr>
            <w:hyperlink r:id="rId68">
              <w:r>
                <w:rPr>
                  <w:rFonts w:ascii="Arial" w:cs="Arial" w:eastAsia="Arial" w:hAnsi="Arial"/>
                  <w:sz w:val="18"/>
                  <w:szCs w:val="18"/>
                  <w:color w:val="0000EE"/>
                </w:rPr>
                <w:t>Research Collaboration and License Agreement, by and between Century Therapeutics, Inc. and</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72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8"/>
              </w:rPr>
            </w:pPr>
            <w:hyperlink r:id="rId68">
              <w:r>
                <w:rPr>
                  <w:rFonts w:ascii="Arial" w:cs="Arial" w:eastAsia="Arial" w:hAnsi="Arial"/>
                  <w:sz w:val="18"/>
                  <w:szCs w:val="18"/>
                  <w:color w:val="0000EE"/>
                  <w:w w:val="98"/>
                </w:rPr>
                <w:t>Bristol-Myers Squibb Company, dated January 7, 2022 (incorporated by reference to Exhibit 10.31</w:t>
              </w:r>
            </w:hyperlink>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7800" w:type="dxa"/>
            <w:vAlign w:val="bottom"/>
            <w:gridSpan w:val="12"/>
          </w:tcPr>
          <w:p>
            <w:pPr>
              <w:spacing w:after="0" w:line="182" w:lineRule="exact"/>
              <w:rPr>
                <w:rFonts w:ascii="Arial" w:cs="Arial" w:eastAsia="Arial" w:hAnsi="Arial"/>
                <w:sz w:val="18"/>
                <w:szCs w:val="18"/>
                <w:color w:val="0000EE"/>
              </w:rPr>
            </w:pPr>
            <w:hyperlink r:id="rId68">
              <w:r>
                <w:rPr>
                  <w:rFonts w:ascii="Arial" w:cs="Arial" w:eastAsia="Arial" w:hAnsi="Arial"/>
                  <w:sz w:val="18"/>
                  <w:szCs w:val="18"/>
                  <w:color w:val="0000EE"/>
                </w:rPr>
                <w:t>to the Company’s Annual Report on Form 10-K for the year ended December 31, 2021)</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880" w:type="dxa"/>
            <w:vAlign w:val="bottom"/>
            <w:gridSpan w:val="15"/>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Letter Agreement by and between Century Therapeutics, Inc. and FUJIFILM Cellular Dynamics,</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62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8"/>
              </w:rPr>
            </w:pPr>
            <w:hyperlink r:id="rId69">
              <w:r>
                <w:rPr>
                  <w:rFonts w:ascii="Arial" w:cs="Arial" w:eastAsia="Arial" w:hAnsi="Arial"/>
                  <w:sz w:val="18"/>
                  <w:szCs w:val="18"/>
                  <w:color w:val="0000EE"/>
                  <w:w w:val="98"/>
                </w:rPr>
                <w:t>Inc., dated January 7, 2022 (incorporated by reference to Exhibit 10.25 to the Company’s Annual</w:t>
              </w:r>
            </w:hyperlink>
          </w:p>
        </w:tc>
        <w:tc>
          <w:tcPr>
            <w:tcW w:w="60" w:type="dxa"/>
            <w:vAlign w:val="bottom"/>
            <w:tcBorders>
              <w:bottom w:val="single" w:sz="8" w:color="0000EE"/>
            </w:tcBorders>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490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69">
              <w:r>
                <w:rPr>
                  <w:rFonts w:ascii="Arial" w:cs="Arial" w:eastAsia="Arial" w:hAnsi="Arial"/>
                  <w:sz w:val="18"/>
                  <w:szCs w:val="18"/>
                  <w:color w:val="0000EE"/>
                  <w:w w:val="99"/>
                </w:rPr>
                <w:t>Report on Form 10-K for the year ended December 31, 2021)</w:t>
              </w:r>
            </w:hyperlink>
          </w:p>
        </w:tc>
        <w:tc>
          <w:tcPr>
            <w:tcW w:w="2780" w:type="dxa"/>
            <w:vAlign w:val="bottom"/>
            <w:gridSpan w:val="5"/>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6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9"/>
              </w:rPr>
              <w:t>Certification of Principal Executive Officer Pursuant to Rules 13a-14(a) and 15d-14(a) under the</w:t>
            </w:r>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7880" w:type="dxa"/>
            <w:vAlign w:val="bottom"/>
            <w:gridSpan w:val="15"/>
          </w:tcPr>
          <w:p>
            <w:pPr>
              <w:spacing w:after="0" w:line="182" w:lineRule="exact"/>
              <w:rPr>
                <w:sz w:val="20"/>
                <w:szCs w:val="20"/>
                <w:color w:val="auto"/>
              </w:rPr>
            </w:pPr>
            <w:r>
              <w:rPr>
                <w:rFonts w:ascii="Arial" w:cs="Arial" w:eastAsia="Arial" w:hAnsi="Arial"/>
                <w:sz w:val="18"/>
                <w:szCs w:val="18"/>
                <w:color w:val="0000EE"/>
              </w:rPr>
              <w:t>Securities Exchange Act of 1934, as Adopted Pursuant to Section 302 of the Sarbanes-Oxley Act</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774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of 2002</w:t>
            </w: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5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9"/>
              </w:rPr>
              <w:t>Certification of Principal Financial Officer Pursuant to Rules 13a-14(a) and 15d-14(a) under the</w:t>
            </w:r>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880" w:type="dxa"/>
            <w:vAlign w:val="bottom"/>
            <w:gridSpan w:val="15"/>
          </w:tcPr>
          <w:p>
            <w:pPr>
              <w:spacing w:after="0" w:line="182" w:lineRule="exact"/>
              <w:rPr>
                <w:sz w:val="20"/>
                <w:szCs w:val="20"/>
                <w:color w:val="auto"/>
              </w:rPr>
            </w:pPr>
            <w:r>
              <w:rPr>
                <w:rFonts w:ascii="Arial" w:cs="Arial" w:eastAsia="Arial" w:hAnsi="Arial"/>
                <w:sz w:val="18"/>
                <w:szCs w:val="18"/>
                <w:color w:val="0000EE"/>
              </w:rPr>
              <w:t>Securities Exchange Act of 1934, as Adopted Pursuant to Section 302 of the Sarbanes-Oxley Act</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774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of 2002</w:t>
            </w: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880" w:type="dxa"/>
            <w:vAlign w:val="bottom"/>
            <w:gridSpan w:val="15"/>
          </w:tcPr>
          <w:p>
            <w:pPr>
              <w:spacing w:after="0" w:line="196" w:lineRule="exact"/>
              <w:rPr>
                <w:sz w:val="20"/>
                <w:szCs w:val="20"/>
                <w:color w:val="auto"/>
              </w:rPr>
            </w:pPr>
            <w:r>
              <w:rPr>
                <w:rFonts w:ascii="Arial" w:cs="Arial" w:eastAsia="Arial" w:hAnsi="Arial"/>
                <w:sz w:val="18"/>
                <w:szCs w:val="18"/>
                <w:color w:val="0000EE"/>
              </w:rPr>
              <w:t>Certification of Chief Executive Officer pursuant to 18 U.S.C. Section 1350, as adopted pursuant to</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376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Section 906 of the Sarbanes-Oxley Act of 2002</w:t>
            </w:r>
          </w:p>
        </w:tc>
        <w:tc>
          <w:tcPr>
            <w:tcW w:w="4080" w:type="dxa"/>
            <w:vAlign w:val="bottom"/>
            <w:tcBorders>
              <w:top w:val="single" w:sz="8" w:color="0000EE"/>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880" w:type="dxa"/>
            <w:vAlign w:val="bottom"/>
            <w:gridSpan w:val="15"/>
          </w:tcPr>
          <w:p>
            <w:pPr>
              <w:spacing w:after="0" w:line="196" w:lineRule="exact"/>
              <w:rPr>
                <w:sz w:val="20"/>
                <w:szCs w:val="20"/>
                <w:color w:val="auto"/>
              </w:rPr>
            </w:pPr>
            <w:r>
              <w:rPr>
                <w:rFonts w:ascii="Arial" w:cs="Arial" w:eastAsia="Arial" w:hAnsi="Arial"/>
                <w:sz w:val="18"/>
                <w:szCs w:val="18"/>
                <w:color w:val="0000EE"/>
                <w:w w:val="99"/>
              </w:rPr>
              <w:t>Certification of Principal Financial Officer pursuant to 18 U.S.C. Section 1350, as adopted pursuant</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396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to Section 906 of the Sarbanes-Oxley Act of 2002</w:t>
            </w:r>
          </w:p>
        </w:tc>
        <w:tc>
          <w:tcPr>
            <w:tcW w:w="3900" w:type="dxa"/>
            <w:vAlign w:val="bottom"/>
            <w:tcBorders>
              <w:top w:val="single" w:sz="8" w:color="0000EE"/>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40" w:type="dxa"/>
            <w:vAlign w:val="bottom"/>
            <w:vMerge w:val="continue"/>
          </w:tcPr>
          <w:p>
            <w:pPr>
              <w:spacing w:after="0"/>
              <w:rPr>
                <w:sz w:val="17"/>
                <w:szCs w:val="17"/>
                <w:color w:val="auto"/>
              </w:rPr>
            </w:pPr>
          </w:p>
        </w:tc>
        <w:tc>
          <w:tcPr>
            <w:tcW w:w="7880" w:type="dxa"/>
            <w:vAlign w:val="bottom"/>
            <w:gridSpan w:val="15"/>
          </w:tcPr>
          <w:p>
            <w:pPr>
              <w:spacing w:after="0" w:line="204" w:lineRule="exact"/>
              <w:rPr>
                <w:sz w:val="20"/>
                <w:szCs w:val="20"/>
                <w:color w:val="auto"/>
              </w:rPr>
            </w:pPr>
            <w:r>
              <w:rPr>
                <w:rFonts w:ascii="Arial" w:cs="Arial" w:eastAsia="Arial" w:hAnsi="Arial"/>
                <w:sz w:val="18"/>
                <w:szCs w:val="18"/>
                <w:color w:val="auto"/>
              </w:rPr>
              <w:t>Inline XBRL Instance Document (the instance document does not appear in the Interactive Data</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880" w:type="dxa"/>
            <w:vAlign w:val="bottom"/>
            <w:gridSpan w:val="15"/>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788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788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788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788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788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ind w:left="1000" w:right="459" w:hanging="945"/>
        <w:spacing w:after="0" w:line="250"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cover page from Century Therapeutics, Inc. Quarterly Report on Form 10-Q for the quarter ended March 31, 2022,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52705</wp:posOffset>
            </wp:positionV>
            <wp:extent cx="14141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65" w:lineRule="exact"/>
        <w:rPr>
          <w:sz w:val="20"/>
          <w:szCs w:val="20"/>
          <w:color w:val="auto"/>
        </w:rPr>
      </w:pPr>
    </w:p>
    <w:p>
      <w:pPr>
        <w:ind w:left="440" w:hanging="385"/>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identified information in the exhibit has been omitted because it is the type of information that</w:t>
      </w:r>
    </w:p>
    <w:p>
      <w:pPr>
        <w:spacing w:after="0" w:line="13"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(i) the Company customarily and actually treats as private and confidential, and (ii) is not material.</w:t>
      </w:r>
    </w:p>
    <w:p>
      <w:pPr>
        <w:spacing w:after="0" w:line="180" w:lineRule="exact"/>
        <w:rPr>
          <w:sz w:val="20"/>
          <w:szCs w:val="20"/>
          <w:color w:val="auto"/>
        </w:rPr>
      </w:pPr>
    </w:p>
    <w:p>
      <w:pPr>
        <w:ind w:left="440" w:hanging="385"/>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Quarterly Report on Form 10-Q pursuant to</w:t>
      </w:r>
    </w:p>
    <w:p>
      <w:pPr>
        <w:spacing w:after="0" w:line="13" w:lineRule="exact"/>
        <w:rPr>
          <w:rFonts w:ascii="Arial" w:cs="Arial" w:eastAsia="Arial" w:hAnsi="Arial"/>
          <w:sz w:val="18"/>
          <w:szCs w:val="18"/>
          <w:color w:val="auto"/>
        </w:rPr>
      </w:pPr>
    </w:p>
    <w:p>
      <w:pPr>
        <w:ind w:left="440" w:right="99"/>
        <w:spacing w:after="0" w:line="239" w:lineRule="auto"/>
        <w:rPr>
          <w:rFonts w:ascii="Arial" w:cs="Arial" w:eastAsia="Arial" w:hAnsi="Arial"/>
          <w:sz w:val="18"/>
          <w:szCs w:val="18"/>
          <w:color w:val="auto"/>
        </w:rPr>
      </w:pPr>
      <w:r>
        <w:rPr>
          <w:rFonts w:ascii="Arial" w:cs="Arial" w:eastAsia="Arial" w:hAnsi="Arial"/>
          <w:sz w:val="18"/>
          <w:szCs w:val="18"/>
          <w:color w:val="auto"/>
        </w:rPr>
        <w:t>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4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Century Therapeutics, Inc.</w:t>
      </w:r>
    </w:p>
    <w:p>
      <w:pPr>
        <w:spacing w:after="0" w:line="198" w:lineRule="exact"/>
        <w:rPr>
          <w:sz w:val="20"/>
          <w:szCs w:val="20"/>
          <w:color w:val="auto"/>
        </w:rPr>
      </w:pPr>
    </w:p>
    <w:p>
      <w:pPr>
        <w:ind w:left="60"/>
        <w:spacing w:after="0"/>
        <w:tabs>
          <w:tab w:leader="none" w:pos="4500" w:val="left"/>
          <w:tab w:leader="none" w:pos="5880"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8890</wp:posOffset>
            </wp:positionV>
            <wp:extent cx="26149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Osvaldo Flores, Ph.D.</w:t>
      </w:r>
    </w:p>
    <w:p>
      <w:pPr>
        <w:jc w:val="center"/>
        <w:ind w:left="476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ind w:left="60"/>
        <w:spacing w:after="0"/>
        <w:tabs>
          <w:tab w:leader="none" w:pos="4500" w:val="left"/>
          <w:tab w:leader="none" w:pos="5960"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8890</wp:posOffset>
            </wp:positionV>
            <wp:extent cx="26149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Michael Diem, M.D.</w:t>
      </w:r>
    </w:p>
    <w:p>
      <w:pPr>
        <w:jc w:val="center"/>
        <w:ind w:left="4760"/>
        <w:spacing w:after="0" w:line="234" w:lineRule="auto"/>
        <w:rPr>
          <w:sz w:val="20"/>
          <w:szCs w:val="20"/>
          <w:color w:val="auto"/>
        </w:rPr>
      </w:pPr>
      <w:r>
        <w:rPr>
          <w:rFonts w:ascii="Arial" w:cs="Arial" w:eastAsia="Arial" w:hAnsi="Arial"/>
          <w:sz w:val="18"/>
          <w:szCs w:val="18"/>
          <w:color w:val="auto"/>
        </w:rPr>
        <w:t>Chief Business Officer</w:t>
      </w:r>
    </w:p>
    <w:p>
      <w:pPr>
        <w:spacing w:after="0" w:line="1"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Osvaldo Flores, certify that:</w:t>
      </w:r>
    </w:p>
    <w:p>
      <w:pPr>
        <w:spacing w:after="0" w:line="117" w:lineRule="exact"/>
        <w:rPr>
          <w:sz w:val="20"/>
          <w:szCs w:val="20"/>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have:</w:t>
      </w:r>
    </w:p>
    <w:p>
      <w:pPr>
        <w:spacing w:after="0" w:line="53"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Osvaldo Flores, Ph.D.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Diem, certify that:</w:t>
      </w:r>
    </w:p>
    <w:p>
      <w:pPr>
        <w:spacing w:after="0" w:line="117" w:lineRule="exact"/>
        <w:rPr>
          <w:sz w:val="20"/>
          <w:szCs w:val="20"/>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have:</w:t>
      </w:r>
    </w:p>
    <w:p>
      <w:pPr>
        <w:spacing w:after="0" w:line="53"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Michael Diem, M.D.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Business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Century Therapeutics, Inc. (the “Company”) on Form 10-Q for the quarter ended March 31, 2022,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Osvaldo Flores, Ph.D.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Century Therapeutics, Inc. (the “Company”) on Form 10-Q for the quarter ended March 31, 2022,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Michael Diem, M.D.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Business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606"/>
    </w:lvl>
  </w:abstractNum>
  <w:abstractNum w:abstractNumId="13">
    <w:nsid w:val="25E45D32"/>
    <w:multiLevelType w:val="hybridMultilevel"/>
    <w:lvl w:ilvl="0">
      <w:lvlJc w:val="left"/>
      <w:lvlText w:val="%1"/>
      <w:numFmt w:val="decimal"/>
      <w:start w:val="104"/>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68" Type="http://schemas.openxmlformats.org/officeDocument/2006/relationships/hyperlink" Target="https://www.sec.gov/Archives/edgar/data/0001850119/000155837022003867/ipsc-20211231xex10d31.htm" TargetMode="External"/><Relationship Id="rId69" Type="http://schemas.openxmlformats.org/officeDocument/2006/relationships/hyperlink" Target="https://www.sec.gov/Archives/edgar/data/0001850119/000155837022003867/ipsc-20211231xex10d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2022-05-16T06:39:10Z</dcterms:created>
  <dcterms:modified xsi:type="dcterms:W3CDTF">2022-05-16T06:39:10Z</dcterms:modified>
</cp:coreProperties>
</file>