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192"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w:t>
      </w:r>
    </w:p>
    <w:p>
      <w:pPr>
        <w:spacing w:after="0" w:line="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RULES 13d-1 (b), (c) AND (d) AND AMENDMENTS THERETO FILED PURSUANT TO</w:t>
      </w:r>
    </w:p>
    <w:p>
      <w:pPr>
        <w:jc w:val="center"/>
        <w:ind w:right="-83"/>
        <w:spacing w:after="0" w:line="230" w:lineRule="auto"/>
        <w:rPr>
          <w:sz w:val="20"/>
          <w:szCs w:val="20"/>
          <w:color w:val="auto"/>
        </w:rPr>
      </w:pPr>
      <w:r>
        <w:rPr>
          <w:rFonts w:ascii="Times New Roman" w:cs="Times New Roman" w:eastAsia="Times New Roman" w:hAnsi="Times New Roman"/>
          <w:sz w:val="22"/>
          <w:szCs w:val="22"/>
          <w:b w:val="1"/>
          <w:bCs w:val="1"/>
          <w:color w:val="auto"/>
        </w:rPr>
        <w:t>13d-2 (b)</w:t>
      </w:r>
    </w:p>
    <w:p>
      <w:pPr>
        <w:spacing w:after="0" w:line="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40"/>
          <w:szCs w:val="40"/>
          <w:b w:val="1"/>
          <w:bCs w:val="1"/>
          <w:color w:val="auto"/>
        </w:rPr>
        <w:t>Century Therapeutics, Inc.</w:t>
      </w:r>
    </w:p>
    <w:p>
      <w:pPr>
        <w:spacing w:after="0" w:line="4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15673T100</w:t>
      </w:r>
    </w:p>
    <w:p>
      <w:pPr>
        <w:spacing w:after="0" w:line="25"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217805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4"/>
          </w:cols>
          <w:pgMar w:left="436" w:top="511" w:right="53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4560" w:type="dxa"/>
            <w:vAlign w:val="bottom"/>
          </w:tcPr>
          <w:p>
            <w:pPr>
              <w:ind w:left="42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8020" w:hanging="397"/>
        <w:spacing w:after="0" w:line="430" w:lineRule="auto"/>
        <w:tabs>
          <w:tab w:leader="none" w:pos="64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Versant Venture Capital VI, L.P.</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rFonts w:ascii="Times New Roman" w:cs="Times New Roman" w:eastAsia="Times New Roman" w:hAnsi="Times New Roman"/>
          <w:sz w:val="18"/>
          <w:szCs w:val="18"/>
          <w:color w:val="auto"/>
        </w:rPr>
      </w:pPr>
    </w:p>
    <w:p>
      <w:pPr>
        <w:ind w:left="944" w:hanging="287"/>
        <w:spacing w:after="0" w:line="207" w:lineRule="exact"/>
        <w:tabs>
          <w:tab w:leader="none" w:pos="94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7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right="7700" w:hanging="417"/>
        <w:spacing w:after="0" w:line="406" w:lineRule="auto"/>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44" w:hanging="416"/>
        <w:spacing w:after="0"/>
        <w:tabs>
          <w:tab w:leader="none" w:pos="164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-1773555</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4" w:right="5540" w:hanging="417"/>
        <w:spacing w:after="0" w:line="406" w:lineRule="auto"/>
        <w:tabs>
          <w:tab w:leader="none" w:pos="6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11,452,014 shares of Common Stock (2)</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6660" w:hanging="507"/>
        <w:spacing w:after="0" w:line="400" w:lineRule="auto"/>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19.4% (3)</w:t>
      </w:r>
    </w:p>
    <w:p>
      <w:pPr>
        <w:ind w:left="644" w:hanging="487"/>
        <w:spacing w:after="0"/>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Versant Venture Capital VI, L.P. (“Versant VI”), Versant Ventures VI GP, L.P. (“Versant VI GP LP”), Versant Ventures VI GP-GP, LLC (“Versant VI GP LLC”), Versant Vantage II, L.P. (“Vantage II”), Versant Vantage II GP, L.P. (“Vantage II GP LP”) and Versant Vantage II GP-GP, LLC (“Vantage II GP LLC” and together with Vantage II, Vantage II GP LP, Versant VI, Versant VI GP LP and Versant VI GP LLC, the “Reporting Persons”). Versant VI GP LP is the sole general partner of Versant VI and Versant VI GP LLC is the sole general partner of Versant VI GP LP, each of which may be deemed to have voting, investment and dispositive power over the securities held by Versant VI. Vantage II GP LP is the sole general partner of Vantage II and Vantage II GP LLC is the sole general partner of Vantage II GP LP, each of which may be deemed to have voting, investment and dispositive power over the securities held by Vantage II. The Reporting Persons expressly disclaim status as a “group” for purposes of this Schedule 13G.</w:t>
      </w:r>
    </w:p>
    <w:p>
      <w:pPr>
        <w:ind w:left="424" w:right="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Versant VI GP LLC is the sole general partner of Versant VI GP LP, which is the sole general partner of Versant VI. Each of Versant VI GP LLC and Versant VI GP LP share voting, investment and dispositive power over the securities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jc w:val="both"/>
        <w:ind w:left="424" w:right="16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58,974,247 shares of the Issuer’s Common Stock outstanding as of November 4, 2022, as set forth in the Issuer’s quarterly report on Form 10-Q for the quarter ended September 30, 2022, filed with the United States Securities and Exchange Commission (the “Commission”) on November 10, 2022 (the “Form 10-Q”).</w:t>
      </w:r>
    </w:p>
    <w:p>
      <w:pPr>
        <w:sectPr>
          <w:pgSz w:w="11900" w:h="16838" w:orient="portrait"/>
          <w:cols w:equalWidth="0" w:num="1">
            <w:col w:w="10984"/>
          </w:cols>
          <w:pgMar w:left="436" w:top="270" w:right="47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4560" w:type="dxa"/>
            <w:vAlign w:val="bottom"/>
          </w:tcPr>
          <w:p>
            <w:pPr>
              <w:ind w:left="42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260" w:hanging="397"/>
        <w:spacing w:after="0" w:line="430" w:lineRule="auto"/>
        <w:tabs>
          <w:tab w:leader="none" w:pos="64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Versant Ventures VI GP, L.P.</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rFonts w:ascii="Times New Roman" w:cs="Times New Roman" w:eastAsia="Times New Roman" w:hAnsi="Times New Roman"/>
          <w:sz w:val="18"/>
          <w:szCs w:val="18"/>
          <w:color w:val="auto"/>
        </w:rPr>
      </w:pPr>
    </w:p>
    <w:p>
      <w:pPr>
        <w:ind w:left="944" w:hanging="287"/>
        <w:spacing w:after="0" w:line="207" w:lineRule="exact"/>
        <w:tabs>
          <w:tab w:leader="none" w:pos="944"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7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right="7700" w:hanging="417"/>
        <w:spacing w:after="0" w:line="406" w:lineRule="auto"/>
        <w:tabs>
          <w:tab w:leader="none" w:pos="6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44" w:hanging="416"/>
        <w:spacing w:after="0"/>
        <w:tabs>
          <w:tab w:leader="none" w:pos="16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-1773555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4"/>
        <w:spacing w:after="0"/>
        <w:rPr>
          <w:sz w:val="20"/>
          <w:szCs w:val="20"/>
          <w:color w:val="auto"/>
        </w:rPr>
      </w:pPr>
      <w:r>
        <w:rPr>
          <w:rFonts w:ascii="Times New Roman" w:cs="Times New Roman" w:eastAsia="Times New Roman" w:hAnsi="Times New Roman"/>
          <w:sz w:val="18"/>
          <w:szCs w:val="18"/>
          <w:color w:val="auto"/>
        </w:rPr>
        <w:t>11,452,014 shares of Common Stock (2)</w:t>
      </w:r>
    </w:p>
    <w:p>
      <w:pPr>
        <w:spacing w:after="0" w:line="36" w:lineRule="exact"/>
        <w:rPr>
          <w:sz w:val="20"/>
          <w:szCs w:val="20"/>
          <w:color w:val="auto"/>
        </w:rPr>
      </w:pPr>
    </w:p>
    <w:p>
      <w:pPr>
        <w:ind w:left="664" w:right="5540" w:hanging="417"/>
        <w:spacing w:after="0" w:line="406" w:lineRule="auto"/>
        <w:tabs>
          <w:tab w:leader="none" w:pos="6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11,452,014 shares of Common Stock (2)</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6660" w:hanging="507"/>
        <w:spacing w:after="0" w:line="400" w:lineRule="auto"/>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19.4% (3)</w:t>
      </w:r>
    </w:p>
    <w:p>
      <w:pPr>
        <w:ind w:left="644" w:hanging="487"/>
        <w:spacing w:after="0"/>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Versant VI GP LLC is the sole general partner of Versant VI GP LP, which is the sole general partner of Versant VI. Each of Versant VI GP LLC and Versant VI GP LP share voting, investment, and dispositive power over the securities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360" w:hanging="424"/>
        <w:spacing w:after="0" w:line="26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58,974,247 shares of the Issuer’s Common Stock outstanding as of November 4, 2022, as set forth in the Form 10-Q.</w:t>
      </w:r>
    </w:p>
    <w:p>
      <w:pPr>
        <w:sectPr>
          <w:pgSz w:w="11900" w:h="16838" w:orient="portrait"/>
          <w:cols w:equalWidth="0" w:num="1">
            <w:col w:w="10984"/>
          </w:cols>
          <w:pgMar w:left="436" w:top="270" w:right="47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4560" w:type="dxa"/>
            <w:vAlign w:val="bottom"/>
          </w:tcPr>
          <w:p>
            <w:pPr>
              <w:ind w:left="42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7860" w:hanging="397"/>
        <w:spacing w:after="0" w:line="430" w:lineRule="auto"/>
        <w:tabs>
          <w:tab w:leader="none" w:pos="64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Versant Ventures VI GP-GP, LLC</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rFonts w:ascii="Times New Roman" w:cs="Times New Roman" w:eastAsia="Times New Roman" w:hAnsi="Times New Roman"/>
          <w:sz w:val="18"/>
          <w:szCs w:val="18"/>
          <w:color w:val="auto"/>
        </w:rPr>
      </w:pPr>
    </w:p>
    <w:p>
      <w:pPr>
        <w:ind w:left="944" w:hanging="287"/>
        <w:spacing w:after="0" w:line="207" w:lineRule="exact"/>
        <w:tabs>
          <w:tab w:leader="none" w:pos="944"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7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right="7660" w:hanging="417"/>
        <w:spacing w:after="0" w:line="406" w:lineRule="auto"/>
        <w:tabs>
          <w:tab w:leader="none" w:pos="6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44" w:hanging="416"/>
        <w:spacing w:after="0"/>
        <w:tabs>
          <w:tab w:leader="none" w:pos="164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-1773555</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4"/>
        <w:spacing w:after="0"/>
        <w:rPr>
          <w:sz w:val="20"/>
          <w:szCs w:val="20"/>
          <w:color w:val="auto"/>
        </w:rPr>
      </w:pPr>
      <w:r>
        <w:rPr>
          <w:rFonts w:ascii="Times New Roman" w:cs="Times New Roman" w:eastAsia="Times New Roman" w:hAnsi="Times New Roman"/>
          <w:sz w:val="18"/>
          <w:szCs w:val="18"/>
          <w:color w:val="auto"/>
        </w:rPr>
        <w:t>11,452,014 shares of Common Stock (2)</w:t>
      </w:r>
    </w:p>
    <w:p>
      <w:pPr>
        <w:spacing w:after="0" w:line="36" w:lineRule="exact"/>
        <w:rPr>
          <w:sz w:val="20"/>
          <w:szCs w:val="20"/>
          <w:color w:val="auto"/>
        </w:rPr>
      </w:pPr>
    </w:p>
    <w:p>
      <w:pPr>
        <w:ind w:left="664" w:right="5500" w:hanging="417"/>
        <w:spacing w:after="0" w:line="406" w:lineRule="auto"/>
        <w:tabs>
          <w:tab w:leader="none" w:pos="6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11,452,014 shares of Common Stock (2)</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6620" w:hanging="507"/>
        <w:spacing w:after="0" w:line="400" w:lineRule="auto"/>
        <w:tabs>
          <w:tab w:leader="none" w:pos="6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19.4% (3)</w:t>
      </w:r>
    </w:p>
    <w:p>
      <w:pPr>
        <w:ind w:left="644" w:hanging="487"/>
        <w:spacing w:after="0"/>
        <w:tabs>
          <w:tab w:leader="none" w:pos="64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ind w:left="424" w:hanging="424"/>
        <w:spacing w:after="0" w:line="25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Versant VI GP LLC is the sole general partner of Versant VI GP LP, which is the sole general partner of Versant VI. Each of Versant VI GP LLC and Versant VI GP LP share voting, investment and dispositive power over the securities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58,974,247 shares of the Issuer’s Common Stock outstanding as of November 4, 2022, as set forth in the Form 10-Q.</w:t>
      </w:r>
    </w:p>
    <w:p>
      <w:pPr>
        <w:sectPr>
          <w:pgSz w:w="11900" w:h="16838" w:orient="portrait"/>
          <w:cols w:equalWidth="0" w:num="1">
            <w:col w:w="10944"/>
          </w:cols>
          <w:pgMar w:left="436" w:top="270" w:right="51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4560" w:type="dxa"/>
            <w:vAlign w:val="bottom"/>
          </w:tcPr>
          <w:p>
            <w:pPr>
              <w:ind w:left="42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8260" w:hanging="397"/>
        <w:spacing w:after="0" w:line="406" w:lineRule="auto"/>
        <w:tabs>
          <w:tab w:leader="none" w:pos="6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Versant Vantage II, L.P.</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rFonts w:ascii="Times New Roman" w:cs="Times New Roman" w:eastAsia="Times New Roman" w:hAnsi="Times New Roman"/>
          <w:sz w:val="18"/>
          <w:szCs w:val="18"/>
          <w:color w:val="auto"/>
        </w:rPr>
      </w:pPr>
    </w:p>
    <w:p>
      <w:pPr>
        <w:ind w:left="944" w:hanging="287"/>
        <w:spacing w:after="0" w:line="207" w:lineRule="exact"/>
        <w:tabs>
          <w:tab w:leader="none" w:pos="944"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7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right="7620" w:hanging="417"/>
        <w:spacing w:after="0" w:line="406" w:lineRule="auto"/>
        <w:tabs>
          <w:tab w:leader="none" w:pos="6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44" w:hanging="416"/>
        <w:spacing w:after="0"/>
        <w:tabs>
          <w:tab w:leader="none" w:pos="164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-1773555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4" w:right="5460" w:hanging="417"/>
        <w:spacing w:after="0" w:line="40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714,095 shares of Common Stock (2)</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6580" w:hanging="507"/>
        <w:spacing w:after="0" w:line="400" w:lineRule="auto"/>
        <w:tabs>
          <w:tab w:leader="none" w:pos="6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1.2% (3)</w:t>
      </w:r>
    </w:p>
    <w:p>
      <w:pPr>
        <w:ind w:left="644" w:hanging="487"/>
        <w:spacing w:after="0"/>
        <w:tabs>
          <w:tab w:leader="none" w:pos="6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ind w:left="424" w:right="20" w:hanging="424"/>
        <w:spacing w:after="0" w:line="250"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Vantage II GP LLC is the sole general partner of Vantage II GP LP, which is the sole general partner of Vantage II. Each of Vantage II GP LLC and Vantage II GP LP share voting, investment and dispositive power over the securities held by Vantage II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280" w:hanging="424"/>
        <w:spacing w:after="0" w:line="260"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58,974,247 shares of the Issuer’s Common Stock outstanding as of November 4, 2022, as set forth in the Form 10-Q.</w:t>
      </w:r>
    </w:p>
    <w:p>
      <w:pPr>
        <w:sectPr>
          <w:pgSz w:w="11900" w:h="16838" w:orient="portrait"/>
          <w:cols w:equalWidth="0" w:num="1">
            <w:col w:w="10904"/>
          </w:cols>
          <w:pgMar w:left="436" w:top="270" w:right="55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4560" w:type="dxa"/>
            <w:vAlign w:val="bottom"/>
          </w:tcPr>
          <w:p>
            <w:pPr>
              <w:ind w:left="42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644" w:right="8260" w:hanging="397"/>
        <w:spacing w:after="0" w:line="430" w:lineRule="auto"/>
        <w:tabs>
          <w:tab w:leader="none" w:pos="64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Versant Vantage II GP, L.P.</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rFonts w:ascii="Times New Roman" w:cs="Times New Roman" w:eastAsia="Times New Roman" w:hAnsi="Times New Roman"/>
          <w:sz w:val="18"/>
          <w:szCs w:val="18"/>
          <w:color w:val="auto"/>
        </w:rPr>
      </w:pPr>
    </w:p>
    <w:p>
      <w:pPr>
        <w:ind w:left="944" w:hanging="287"/>
        <w:spacing w:after="0" w:line="207" w:lineRule="exact"/>
        <w:tabs>
          <w:tab w:leader="none" w:pos="944"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7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right="7620" w:hanging="417"/>
        <w:spacing w:after="0" w:line="406" w:lineRule="auto"/>
        <w:tabs>
          <w:tab w:leader="none" w:pos="6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44" w:hanging="416"/>
        <w:spacing w:after="0"/>
        <w:tabs>
          <w:tab w:leader="none" w:pos="16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-1773555</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4"/>
        <w:spacing w:after="0"/>
        <w:rPr>
          <w:sz w:val="20"/>
          <w:szCs w:val="20"/>
          <w:color w:val="auto"/>
        </w:rPr>
      </w:pPr>
      <w:r>
        <w:rPr>
          <w:rFonts w:ascii="Times New Roman" w:cs="Times New Roman" w:eastAsia="Times New Roman" w:hAnsi="Times New Roman"/>
          <w:sz w:val="18"/>
          <w:szCs w:val="18"/>
          <w:color w:val="auto"/>
        </w:rPr>
        <w:t>714,095 shares of Common Stock (2)</w:t>
      </w:r>
    </w:p>
    <w:p>
      <w:pPr>
        <w:spacing w:after="0" w:line="36" w:lineRule="exact"/>
        <w:rPr>
          <w:sz w:val="20"/>
          <w:szCs w:val="20"/>
          <w:color w:val="auto"/>
        </w:rPr>
      </w:pPr>
    </w:p>
    <w:p>
      <w:pPr>
        <w:ind w:left="664" w:right="5460" w:hanging="417"/>
        <w:spacing w:after="0" w:line="40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714,095 shares of Common Stock (2)</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6580" w:hanging="507"/>
        <w:spacing w:after="0" w:line="400" w:lineRule="auto"/>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1.2% (3)</w:t>
      </w:r>
    </w:p>
    <w:p>
      <w:pPr>
        <w:ind w:left="644" w:hanging="487"/>
        <w:spacing w:after="0"/>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ind w:left="424" w:right="2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Vantage II GP LLC is the sole general partner of Vantage II GP LP, which is the sole general partner of Vantage II. Each of Vantage II GP LLC and Vantage II GP LP share voting, investment and dispositive power over the securities held by Vantage II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280" w:hanging="424"/>
        <w:spacing w:after="0" w:line="26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58,974,247 shares of the Issuer’s Common Stock outstanding as of November 4, 2022, as set forth in the Form 10-Q.</w:t>
      </w:r>
    </w:p>
    <w:p>
      <w:pPr>
        <w:sectPr>
          <w:pgSz w:w="11900" w:h="16838" w:orient="portrait"/>
          <w:cols w:equalWidth="0" w:num="1">
            <w:col w:w="10904"/>
          </w:cols>
          <w:pgMar w:left="436" w:top="270" w:right="55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4560" w:type="dxa"/>
            <w:vAlign w:val="bottom"/>
          </w:tcPr>
          <w:p>
            <w:pPr>
              <w:ind w:left="42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7940" w:hanging="397"/>
        <w:spacing w:after="0" w:line="430" w:lineRule="auto"/>
        <w:tabs>
          <w:tab w:leader="none" w:pos="64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Versant Vantage II GP-GP, LLC</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rFonts w:ascii="Times New Roman" w:cs="Times New Roman" w:eastAsia="Times New Roman" w:hAnsi="Times New Roman"/>
          <w:sz w:val="18"/>
          <w:szCs w:val="18"/>
          <w:color w:val="auto"/>
        </w:rPr>
      </w:pPr>
    </w:p>
    <w:p>
      <w:pPr>
        <w:ind w:left="944" w:hanging="287"/>
        <w:spacing w:after="0" w:line="207" w:lineRule="exact"/>
        <w:tabs>
          <w:tab w:leader="none" w:pos="944" w:val="left"/>
        </w:tabs>
        <w:numPr>
          <w:ilvl w:val="1"/>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7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right="7620" w:hanging="417"/>
        <w:spacing w:after="0" w:line="40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44" w:hanging="416"/>
        <w:spacing w:after="0"/>
        <w:tabs>
          <w:tab w:leader="none" w:pos="164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-1773555</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4"/>
        <w:spacing w:after="0"/>
        <w:rPr>
          <w:sz w:val="20"/>
          <w:szCs w:val="20"/>
          <w:color w:val="auto"/>
        </w:rPr>
      </w:pPr>
      <w:r>
        <w:rPr>
          <w:rFonts w:ascii="Times New Roman" w:cs="Times New Roman" w:eastAsia="Times New Roman" w:hAnsi="Times New Roman"/>
          <w:sz w:val="18"/>
          <w:szCs w:val="18"/>
          <w:color w:val="auto"/>
        </w:rPr>
        <w:t>714,095 shares of Common Stock (2)</w:t>
      </w:r>
    </w:p>
    <w:p>
      <w:pPr>
        <w:spacing w:after="0" w:line="36" w:lineRule="exact"/>
        <w:rPr>
          <w:sz w:val="20"/>
          <w:szCs w:val="20"/>
          <w:color w:val="auto"/>
        </w:rPr>
      </w:pPr>
    </w:p>
    <w:p>
      <w:pPr>
        <w:ind w:left="664" w:right="5460" w:hanging="417"/>
        <w:spacing w:after="0" w:line="406" w:lineRule="auto"/>
        <w:tabs>
          <w:tab w:leader="none" w:pos="6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714,095 shares of Common Stock (2)</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6580" w:hanging="507"/>
        <w:spacing w:after="0" w:line="400" w:lineRule="auto"/>
        <w:tabs>
          <w:tab w:leader="none" w:pos="6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1.2% (3)</w:t>
      </w:r>
    </w:p>
    <w:p>
      <w:pPr>
        <w:ind w:left="644" w:hanging="487"/>
        <w:spacing w:after="0"/>
        <w:tabs>
          <w:tab w:leader="none" w:pos="64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ind w:left="424" w:right="100" w:hanging="424"/>
        <w:spacing w:after="0" w:line="250"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Vantage II GP LLC is the sole general partner of Vantage II GP LP, which is the sole general partner of Vantage II. Each of Vantage II GP LLC and Vantage II GP LP share voting and investment power over the securities held by Vantage II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280" w:hanging="424"/>
        <w:spacing w:after="0" w:line="260"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58,974,247 shares of the Issuer’s Common Stock outstanding as of November 4, 2022, as set forth in the Form 10-Q.</w:t>
      </w:r>
    </w:p>
    <w:p>
      <w:pPr>
        <w:sectPr>
          <w:pgSz w:w="11900" w:h="16838" w:orient="portrait"/>
          <w:cols w:equalWidth="0" w:num="1">
            <w:col w:w="10904"/>
          </w:cols>
          <w:pgMar w:left="436" w:top="270" w:right="559" w:bottom="1440" w:gutter="0" w:footer="0" w:header="0"/>
        </w:sectPr>
      </w:pPr>
    </w:p>
    <w:bookmarkStart w:id="7" w:name="page8"/>
    <w:bookmarkEnd w:id="7"/>
    <w:p>
      <w:pPr>
        <w:ind w:left="4"/>
        <w:spacing w:after="0" w:line="28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Introductory Note</w:t>
      </w:r>
      <w:r>
        <w:rPr>
          <w:rFonts w:ascii="Times New Roman" w:cs="Times New Roman" w:eastAsia="Times New Roman" w:hAnsi="Times New Roman"/>
          <w:sz w:val="17"/>
          <w:szCs w:val="17"/>
          <w:color w:val="auto"/>
        </w:rPr>
        <w:t>: This Amendment No. 1 (the “Amendment”) amends and supplements the Schedule 13G originally filed by the Reporting Persons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Commission on February 11, 2022 (the “Original Schedule 13G”). Only those items that are hereby reported are amended; all other items reported in the Original Schedule 13G remain unchanged. Information given in response to each item shall be deemed incorporated by reference in all other items, as applicable. Capitalized terms not defined in this Amendment have the meanings ascribed to them in the Original Schedule 13G.</w:t>
      </w:r>
    </w:p>
    <w:p>
      <w:pPr>
        <w:spacing w:after="0" w:line="31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9 of the cover page for each Reporting Person.*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11 of the cover page for each Reporting Person.*</w:t>
      </w:r>
    </w:p>
    <w:p>
      <w:pPr>
        <w:spacing w:after="0" w:line="225" w:lineRule="exact"/>
        <w:rPr>
          <w:sz w:val="20"/>
          <w:szCs w:val="20"/>
          <w:color w:val="auto"/>
        </w:rPr>
      </w:pPr>
    </w:p>
    <w:p>
      <w:pPr>
        <w:ind w:left="244" w:hanging="244"/>
        <w:spacing w:after="0"/>
        <w:tabs>
          <w:tab w:leader="none" w:pos="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the cover page for each Reporting Person.*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6 of the cover page for each Reporting Person.*</w:t>
      </w:r>
    </w:p>
    <w:p>
      <w:pPr>
        <w:spacing w:after="0" w:line="117" w:lineRule="exact"/>
        <w:rPr>
          <w:sz w:val="20"/>
          <w:szCs w:val="20"/>
          <w:color w:val="auto"/>
        </w:rPr>
      </w:pPr>
    </w:p>
    <w:p>
      <w:pPr>
        <w:ind w:left="4" w:right="6700" w:hanging="4"/>
        <w:spacing w:after="0" w:line="397" w:lineRule="auto"/>
        <w:tabs>
          <w:tab w:leader="none" w:pos="31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See Row 7 of the cover page for each Reporting Person.*</w:t>
      </w:r>
    </w:p>
    <w:p>
      <w:pPr>
        <w:spacing w:after="0" w:line="1" w:lineRule="exact"/>
        <w:rPr>
          <w:rFonts w:ascii="Times New Roman" w:cs="Times New Roman" w:eastAsia="Times New Roman" w:hAnsi="Times New Roman"/>
          <w:sz w:val="17"/>
          <w:szCs w:val="17"/>
          <w:color w:val="auto"/>
        </w:rPr>
      </w:pPr>
    </w:p>
    <w:p>
      <w:pPr>
        <w:ind w:left="4" w:right="6620" w:hanging="4"/>
        <w:spacing w:after="0" w:line="383" w:lineRule="auto"/>
        <w:tabs>
          <w:tab w:leader="none" w:pos="3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Row 8 of the cover page for each Reporting Person.*</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of the Reporting Persons disclaims beneficial ownership as to such securities, except to the extent of his, her or its pecuniary interest therein.</w:t>
      </w:r>
    </w:p>
    <w:p>
      <w:pPr>
        <w:sectPr>
          <w:pgSz w:w="11900" w:h="16838" w:orient="portrait"/>
          <w:cols w:equalWidth="0" w:num="1">
            <w:col w:w="10824"/>
          </w:cols>
          <w:pgMar w:left="436" w:top="266" w:right="639" w:bottom="1440" w:gutter="0" w:footer="0" w:header="0"/>
        </w:sectPr>
      </w:pPr>
    </w:p>
    <w:bookmarkStart w:id="8" w:name="page9"/>
    <w:bookmarkEnd w:id="8"/>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 Capital VI,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 L.P.</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GP-GP, LLC</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VI GP,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GP-GP, LLC</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VI GP-GP,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 L.P.</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GP-GP, LLC</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GP,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GP-GP, LLC</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GP-GP,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109CF92E"/>
    <w:multiLevelType w:val="hybridMultilevel"/>
    <w:lvl w:ilvl="0">
      <w:lvlJc w:val="left"/>
      <w:lvlText w:val="%1"/>
      <w:numFmt w:val="decimal"/>
      <w:start w:val="1"/>
    </w:lvl>
    <w:lvl w:ilvl="1">
      <w:lvlJc w:val="left"/>
      <w:lvlText w:val="%2."/>
      <w:numFmt w:val="decimal"/>
      <w:start w:val="9"/>
    </w:lvl>
  </w:abstractNum>
  <w:abstractNum w:abstractNumId="4">
    <w:nsid w:val="DED7263"/>
    <w:multiLevelType w:val="hybridMultilevel"/>
    <w:lvl w:ilvl="0">
      <w:lvlJc w:val="left"/>
      <w:lvlText w:val="(%1)"/>
      <w:numFmt w:val="decimal"/>
      <w:start w:val="1"/>
    </w:lvl>
    <w:lvl w:ilvl="1">
      <w:lvlJc w:val="left"/>
      <w:lvlText w:val="%2"/>
      <w:numFmt w:val="decimal"/>
      <w:start w:val="1"/>
    </w:lvl>
  </w:abstractNum>
  <w:abstractNum w:abstractNumId="5">
    <w:nsid w:val="7FDCC2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1BEFD79F"/>
    <w:multiLevelType w:val="hybridMultilevel"/>
    <w:lvl w:ilvl="0">
      <w:lvlJc w:val="left"/>
      <w:lvlText w:val="%1"/>
      <w:numFmt w:val="decimal"/>
      <w:start w:val="1"/>
    </w:lvl>
    <w:lvl w:ilvl="1">
      <w:lvlJc w:val="left"/>
      <w:lvlText w:val="%2."/>
      <w:numFmt w:val="decimal"/>
      <w:start w:val="9"/>
    </w:lvl>
  </w:abstractNum>
  <w:abstractNum w:abstractNumId="7">
    <w:nsid w:val="41A7C4C9"/>
    <w:multiLevelType w:val="hybridMultilevel"/>
    <w:lvl w:ilvl="0">
      <w:lvlJc w:val="left"/>
      <w:lvlText w:val="(%1)"/>
      <w:numFmt w:val="decimal"/>
      <w:start w:val="1"/>
    </w:lvl>
    <w:lvl w:ilvl="1">
      <w:lvlJc w:val="left"/>
      <w:lvlText w:val="%2"/>
      <w:numFmt w:val="decimal"/>
      <w:start w:val="1"/>
    </w:lvl>
  </w:abstractNum>
  <w:abstractNum w:abstractNumId="8">
    <w:nsid w:val="6B68079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4E6AFB66"/>
    <w:multiLevelType w:val="hybridMultilevel"/>
    <w:lvl w:ilvl="0">
      <w:lvlJc w:val="left"/>
      <w:lvlText w:val="%1"/>
      <w:numFmt w:val="decimal"/>
      <w:start w:val="1"/>
    </w:lvl>
    <w:lvl w:ilvl="1">
      <w:lvlJc w:val="left"/>
      <w:lvlText w:val="%2."/>
      <w:numFmt w:val="decimal"/>
      <w:start w:val="9"/>
    </w:lvl>
  </w:abstractNum>
  <w:abstractNum w:abstractNumId="10">
    <w:nsid w:val="25E45D32"/>
    <w:multiLevelType w:val="hybridMultilevel"/>
    <w:lvl w:ilvl="0">
      <w:lvlJc w:val="left"/>
      <w:lvlText w:val="(%1)"/>
      <w:numFmt w:val="decimal"/>
      <w:start w:val="1"/>
    </w:lvl>
    <w:lvl w:ilvl="1">
      <w:lvlJc w:val="left"/>
      <w:lvlText w:val="%2"/>
      <w:numFmt w:val="decimal"/>
      <w:start w:val="1"/>
    </w:lvl>
  </w:abstractNum>
  <w:abstractNum w:abstractNumId="11">
    <w:nsid w:val="519B500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
    <w:nsid w:val="431BD7B7"/>
    <w:multiLevelType w:val="hybridMultilevel"/>
    <w:lvl w:ilvl="0">
      <w:lvlJc w:val="left"/>
      <w:lvlText w:val="%1"/>
      <w:numFmt w:val="decimal"/>
      <w:start w:val="1"/>
    </w:lvl>
    <w:lvl w:ilvl="1">
      <w:lvlJc w:val="left"/>
      <w:lvlText w:val="%2."/>
      <w:numFmt w:val="decimal"/>
      <w:start w:val="9"/>
    </w:lvl>
  </w:abstractNum>
  <w:abstractNum w:abstractNumId="13">
    <w:nsid w:val="3F2DBA31"/>
    <w:multiLevelType w:val="hybridMultilevel"/>
    <w:lvl w:ilvl="0">
      <w:lvlJc w:val="left"/>
      <w:lvlText w:val="(%1)"/>
      <w:numFmt w:val="decimal"/>
      <w:start w:val="1"/>
    </w:lvl>
    <w:lvl w:ilvl="1">
      <w:lvlJc w:val="left"/>
      <w:lvlText w:val="%2"/>
      <w:numFmt w:val="decimal"/>
      <w:start w:val="1"/>
    </w:lvl>
  </w:abstractNum>
  <w:abstractNum w:abstractNumId="14">
    <w:nsid w:val="7C83E4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5">
    <w:nsid w:val="257130A3"/>
    <w:multiLevelType w:val="hybridMultilevel"/>
    <w:lvl w:ilvl="0">
      <w:lvlJc w:val="left"/>
      <w:lvlText w:val="%1"/>
      <w:numFmt w:val="decimal"/>
      <w:start w:val="1"/>
    </w:lvl>
    <w:lvl w:ilvl="1">
      <w:lvlJc w:val="left"/>
      <w:lvlText w:val="%2."/>
      <w:numFmt w:val="decimal"/>
      <w:start w:val="9"/>
    </w:lvl>
  </w:abstractNum>
  <w:abstractNum w:abstractNumId="16">
    <w:nsid w:val="62BBD95A"/>
    <w:multiLevelType w:val="hybridMultilevel"/>
    <w:lvl w:ilvl="0">
      <w:lvlJc w:val="left"/>
      <w:lvlText w:val="(%1)"/>
      <w:numFmt w:val="decimal"/>
      <w:start w:val="1"/>
    </w:lvl>
    <w:lvl w:ilvl="1">
      <w:lvlJc w:val="left"/>
      <w:lvlText w:val="%2"/>
      <w:numFmt w:val="decimal"/>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8">
    <w:nsid w:val="628C895D"/>
    <w:multiLevelType w:val="hybridMultilevel"/>
    <w:lvl w:ilvl="0">
      <w:lvlJc w:val="left"/>
      <w:lvlText w:val="%1"/>
      <w:numFmt w:val="decimal"/>
      <w:start w:val="1"/>
    </w:lvl>
    <w:lvl w:ilvl="1">
      <w:lvlJc w:val="left"/>
      <w:lvlText w:val="%2."/>
      <w:numFmt w:val="decimal"/>
      <w:start w:val="9"/>
    </w:lvl>
  </w:abstractNum>
  <w:abstractNum w:abstractNumId="19">
    <w:nsid w:val="333AB105"/>
    <w:multiLevelType w:val="hybridMultilevel"/>
    <w:lvl w:ilvl="0">
      <w:lvlJc w:val="left"/>
      <w:lvlText w:val="(%1)"/>
      <w:numFmt w:val="decimal"/>
      <w:start w:val="1"/>
    </w:lvl>
    <w:lvl w:ilvl="1">
      <w:lvlJc w:val="left"/>
      <w:lvlText w:val="%2"/>
      <w:numFmt w:val="decimal"/>
      <w:start w:val="1"/>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1)"/>
      <w:numFmt w:val="lowerLetter"/>
      <w:start w:val="9"/>
    </w:lvl>
  </w:abstractNum>
  <w:abstractNum w:abstractNumId="22">
    <w:nsid w:val="2D1D5A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2023-02-09T15:50:48Z</dcterms:created>
  <dcterms:modified xsi:type="dcterms:W3CDTF">2023-02-09T15:50:48Z</dcterms:modified>
</cp:coreProperties>
</file>