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Conn Morgan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Finanical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19104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03/11/2025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19,500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79,648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0.601</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03/11/2025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19,500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03/11/2035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19,500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Issuer common stock. The RSUs vest 25% on March 11, 2026, with the remaining 75% vesting on a quarterly basis for the three years thereafter, in each case subject the Reporting Person's continued service through the applicable vesting date. The RSUs will be settled on each applicable vesting date in shares of the Issuer's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25% on March 11, 2026, with the remaining 75% vesting in 36 equal monthly installments, subject to the Reporting Person's continued service through each applicable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Morgan Conn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03/12/2025</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4124"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2025-03-12T18:35:01Z</dcterms:created>
  <dcterms:modified xsi:type="dcterms:W3CDTF">2025-03-12T18:35:01Z</dcterms:modified>
</cp:coreProperties>
</file>